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A6D4" w14:textId="77777777" w:rsidR="00000000" w:rsidRDefault="00EE5306">
      <w:pPr>
        <w:divId w:val="631181260"/>
        <w:rPr>
          <w:rFonts w:eastAsia="Times New Roman"/>
          <w:vanish/>
        </w:rPr>
      </w:pPr>
      <w:r>
        <w:rPr>
          <w:rFonts w:eastAsia="Times New Roman"/>
          <w:vanish/>
        </w:rPr>
        <w:t>0001037038false2021FYP3YP3YP3YP10YP3Y00010370382020-03-292021-03-27iso4217:USD00010370382020-09-25xbrli:shares0001037038us-gaap:CommonClassAMember2021-05-140001037038us-gaap:CommonClassBMember2021-05-1400010370382021-03-2700010370382020-03-28</w:t>
      </w:r>
      <w:r>
        <w:rPr>
          <w:rFonts w:eastAsia="Times New Roman"/>
          <w:vanish/>
        </w:rPr>
        <w:t>iso4217:USDxbrli:shares0001037038us-gaap:CommonClassAMember2020-03-280001037038us-gaap:CommonClassAMember2021-03-270001037038us-gaap:CommonClassBMember2021-03-270001037038us-gaap:CommonClassBMember2020-03-2800010370382019-03-312020-03-2800010370382018-04-0</w:t>
      </w:r>
      <w:r>
        <w:rPr>
          <w:rFonts w:eastAsia="Times New Roman"/>
          <w:vanish/>
        </w:rPr>
        <w:t>12019-03-3000010370382019-03-3000010370382018-03-310001037038us-gaap:CommonStockMember2018-03-310001037038us-gaap:AdditionalPaidInCapitalMember2018-03-310001037038us-gaap:RetainedEarningsMember2018-03-310001037038us-gaap:TreasuryStockMember2018-03-31000103</w:t>
      </w:r>
      <w:r>
        <w:rPr>
          <w:rFonts w:eastAsia="Times New Roman"/>
          <w:vanish/>
        </w:rPr>
        <w:t>7038us-gaap:AccumulatedOtherComprehensiveIncomeMember2018-03-310001037038us-gaap:RetainedEarningsMember2018-04-012019-03-300001037038us-gaap:AccumulatedOtherComprehensiveIncomeMember2018-04-012019-03-300001037038us-gaap:TreasuryStockMember2018-04-012019-03</w:t>
      </w:r>
      <w:r>
        <w:rPr>
          <w:rFonts w:eastAsia="Times New Roman"/>
          <w:vanish/>
        </w:rPr>
        <w:t>-300001037038us-gaap:AdditionalPaidInCapitalMember2018-04-012019-03-300001037038us-gaap:CommonStockMember2018-04-012019-03-300001037038us-gaap:CommonStockMember2019-03-300001037038us-gaap:AdditionalPaidInCapitalMember2019-03-300001037038us-gaap:RetainedEar</w:t>
      </w:r>
      <w:r>
        <w:rPr>
          <w:rFonts w:eastAsia="Times New Roman"/>
          <w:vanish/>
        </w:rPr>
        <w:t>ningsMember2019-03-300001037038us-gaap:TreasuryStockMember2019-03-300001037038us-gaap:AccumulatedOtherComprehensiveIncomeMember2019-03-300001037038us-gaap:RetainedEarningsMember2019-03-312020-03-280001037038us-gaap:AccumulatedOtherComprehensiveIncomeMember</w:t>
      </w:r>
      <w:r>
        <w:rPr>
          <w:rFonts w:eastAsia="Times New Roman"/>
          <w:vanish/>
        </w:rPr>
        <w:t>2019-03-312020-03-280001037038us-gaap:TreasuryStockMember2019-03-312020-03-280001037038us-gaap:AdditionalPaidInCapitalMember2019-03-312020-03-280001037038us-gaap:CommonStockMember2019-03-312020-03-280001037038us-gaap:CommonStockMember2020-03-280001037038us</w:t>
      </w:r>
      <w:r>
        <w:rPr>
          <w:rFonts w:eastAsia="Times New Roman"/>
          <w:vanish/>
        </w:rPr>
        <w:t>-gaap:AdditionalPaidInCapitalMember2020-03-280001037038us-gaap:RetainedEarningsMember2020-03-280001037038us-gaap:TreasuryStockMember2020-03-280001037038us-gaap:AccumulatedOtherComprehensiveIncomeMember2020-03-280001037038us-gaap:RetainedEarningsMember2020-</w:t>
      </w:r>
      <w:r>
        <w:rPr>
          <w:rFonts w:eastAsia="Times New Roman"/>
          <w:vanish/>
        </w:rPr>
        <w:t>03-292021-03-270001037038us-gaap:AccumulatedOtherComprehensiveIncomeMember2020-03-292021-03-270001037038us-gaap:TreasuryStockMember2020-03-292021-03-270001037038us-gaap:AdditionalPaidInCapitalMember2020-03-292021-03-270001037038us-gaap:CommonStockMember202</w:t>
      </w:r>
      <w:r>
        <w:rPr>
          <w:rFonts w:eastAsia="Times New Roman"/>
          <w:vanish/>
        </w:rPr>
        <w:t>0-03-292021-03-270001037038us-gaap:CommonStockMember2021-03-270001037038us-gaap:AdditionalPaidInCapitalMember2021-03-270001037038us-gaap:RetainedEarningsMember2021-03-270001037038us-gaap:TreasuryStockMember2021-03-270001037038us-gaap:AccumulatedOtherCompre</w:t>
      </w:r>
      <w:r>
        <w:rPr>
          <w:rFonts w:eastAsia="Times New Roman"/>
          <w:vanish/>
        </w:rPr>
        <w:t>hensiveIncomeMember2021-03-27rl:Segment0001037038rl:A17002950SeniorNotesMember2021-03-270001037038us-gaap:RetailMemberus-gaap:TransferredAtPointInTimeMemberrl:NorthAmericaSegmentMember2020-03-292021-03-270001037038us-gaap:RetailMemberus-gaap:TransferredAtP</w:t>
      </w:r>
      <w:r>
        <w:rPr>
          <w:rFonts w:eastAsia="Times New Roman"/>
          <w:vanish/>
        </w:rPr>
        <w:t>ointInTimeMemberrl:EuropeSegmentMember2020-03-292021-03-270001037038us-gaap:RetailMemberrl:AsiaSegmentMemberus-gaap:TransferredAtPointInTimeMember2020-03-292021-03-270001037038us-gaap:RetailMemberrl:OtherNonReportableSegmentRelatedMemberus-gaap:Transferred</w:t>
      </w:r>
      <w:r>
        <w:rPr>
          <w:rFonts w:eastAsia="Times New Roman"/>
          <w:vanish/>
        </w:rPr>
        <w:t>AtPointInTimeMember2020-03-292021-03-270001037038us-gaap:RetailMemberus-gaap:TransferredAtPointInTimeMember2020-03-292021-03-270001037038us-gaap:TransferredAtPointInTimeMemberrl:WholesaleMemberrl:NorthAmericaSegmentMember2020-03-292021-03-270001037038us-ga</w:t>
      </w:r>
      <w:r>
        <w:rPr>
          <w:rFonts w:eastAsia="Times New Roman"/>
          <w:vanish/>
        </w:rPr>
        <w:t>ap:TransferredAtPointInTimeMemberrl:WholesaleMemberrl:EuropeSegmentMember2020-03-292021-03-270001037038rl:AsiaSegmentMemberus-gaap:TransferredAtPointInTimeMemberrl:WholesaleMember2020-03-292021-03-270001037038rl:OtherNonReportableSegmentRelatedMemberus-gaa</w:t>
      </w:r>
      <w:r>
        <w:rPr>
          <w:rFonts w:eastAsia="Times New Roman"/>
          <w:vanish/>
        </w:rPr>
        <w:t>p:TransferredAtPointInTimeMemberrl:WholesaleMember2020-03-292021-03-270001037038us-gaap:TransferredAtPointInTimeMemberrl:WholesaleMember2020-03-292021-03-270001037038us-gaap:LicensingAgreementsMemberus-gaap:TransferredOverTimeMemberrl:NorthAmericaSegmentMe</w:t>
      </w:r>
      <w:r>
        <w:rPr>
          <w:rFonts w:eastAsia="Times New Roman"/>
          <w:vanish/>
        </w:rPr>
        <w:t>mber2020-03-292021-03-270001037038us-gaap:LicensingAgreementsMemberus-gaap:TransferredOverTimeMemberrl:EuropeSegmentMember2020-03-292021-03-270001037038us-gaap:LicensingAgreementsMemberrl:AsiaSegmentMemberus-gaap:TransferredOverTimeMember2020-03-292021-03-</w:t>
      </w:r>
      <w:r>
        <w:rPr>
          <w:rFonts w:eastAsia="Times New Roman"/>
          <w:vanish/>
        </w:rPr>
        <w:t>270001037038us-gaap:LicensingAgreementsMemberrl:OtherNonReportableSegmentRelatedMemberus-gaap:TransferredOverTimeMember2020-03-292021-03-270001037038us-gaap:LicensingAgreementsMemberus-gaap:TransferredOverTimeMember2020-03-292021-03-270001037038rl:NorthAme</w:t>
      </w:r>
      <w:r>
        <w:rPr>
          <w:rFonts w:eastAsia="Times New Roman"/>
          <w:vanish/>
        </w:rPr>
        <w:t>ricaSegmentMember2020-03-292021-03-270001037038rl:EuropeSegmentMember2020-03-292021-03-270001037038rl:AsiaSegmentMember2020-03-292021-03-270001037038rl:OtherNonReportableSegmentRelatedMember2020-03-292021-03-270001037038us-gaap:RetailMemberus-gaap:Transfer</w:t>
      </w:r>
      <w:r>
        <w:rPr>
          <w:rFonts w:eastAsia="Times New Roman"/>
          <w:vanish/>
        </w:rPr>
        <w:t>redAtPointInTimeMemberrl:NorthAmericaSegmentMember2019-03-312020-03-280001037038us-gaap:RetailMemberus-gaap:TransferredAtPointInTimeMemberrl:EuropeSegmentMember2019-03-312020-03-280001037038us-gaap:RetailMemberrl:AsiaSegmentMemberus-gaap:TransferredAtPoint</w:t>
      </w:r>
      <w:r>
        <w:rPr>
          <w:rFonts w:eastAsia="Times New Roman"/>
          <w:vanish/>
        </w:rPr>
        <w:t>InTimeMember2019-03-312020-03-280001037038us-gaap:RetailMemberrl:OtherNonReportableSegmentRelatedMemberus-gaap:TransferredAtPointInTimeMember2019-03-312020-03-280001037038us-gaap:RetailMemberus-gaap:TransferredAtPointInTimeMember2019-03-312020-03-280001037</w:t>
      </w:r>
      <w:r>
        <w:rPr>
          <w:rFonts w:eastAsia="Times New Roman"/>
          <w:vanish/>
        </w:rPr>
        <w:t>038us-gaap:TransferredAtPointInTimeMemberrl:WholesaleMemberrl:NorthAmericaSegmentMember2019-03-312020-03-280001037038us-gaap:TransferredAtPointInTimeMemberrl:WholesaleMemberrl:EuropeSegmentMember2019-03-312020-03-280001037038rl:AsiaSegmentMemberus-gaap:Tra</w:t>
      </w:r>
      <w:r>
        <w:rPr>
          <w:rFonts w:eastAsia="Times New Roman"/>
          <w:vanish/>
        </w:rPr>
        <w:t>nsferredAtPointInTimeMemberrl:WholesaleMember2019-03-312020-03-280001037038rl:OtherNonReportableSegmentRelatedMemberus-gaap:TransferredAtPointInTimeMemberrl:WholesaleMember2019-03-312020-03-280001037038us-gaap:TransferredAtPointInTimeMemberrl:WholesaleMemb</w:t>
      </w:r>
      <w:r>
        <w:rPr>
          <w:rFonts w:eastAsia="Times New Roman"/>
          <w:vanish/>
        </w:rPr>
        <w:t>er2019-03-312020-03-280001037038us-gaap:LicensingAgreementsMemberus-gaap:TransferredOverTimeMemberrl:NorthAmericaSegmentMember2019-03-312020-03-280001037038us-gaap:LicensingAgreementsMemberus-gaap:TransferredOverTimeMemberrl:EuropeSegmentMember2019-03-3120</w:t>
      </w:r>
      <w:r>
        <w:rPr>
          <w:rFonts w:eastAsia="Times New Roman"/>
          <w:vanish/>
        </w:rPr>
        <w:t>20-03-280001037038us-gaap:LicensingAgreementsMemberrl:AsiaSegmentMemberus-gaap:TransferredOverTimeMember2019-03-312020-03-280001037038us-gaap:LicensingAgreementsMemberrl:OtherNonReportableSegmentRelatedMemberus-gaap:TransferredOverTimeMember2019-03-312020-</w:t>
      </w:r>
      <w:r>
        <w:rPr>
          <w:rFonts w:eastAsia="Times New Roman"/>
          <w:vanish/>
        </w:rPr>
        <w:t>03-280001037038us-gaap:LicensingAgreementsMemberus-gaap:TransferredOverTimeMember2019-03-312020-03-280001037038rl:NorthAmericaSegmentMember2019-03-312020-03-280001037038rl:EuropeSegmentMember2019-03-312020-03-280001037038rl:AsiaSegmentMember2019-03-312020-</w:t>
      </w:r>
      <w:r>
        <w:rPr>
          <w:rFonts w:eastAsia="Times New Roman"/>
          <w:vanish/>
        </w:rPr>
        <w:t>03-280001037038rl:OtherNonReportableSegmentRelatedMember2019-03-312020-03-280001037038us-gaap:RetailMemberus-gaap:TransferredAtPointInTimeMemberrl:NorthAmericaSegmentMember2018-04-012019-03-300001037038us-gaap:RetailMemberus-gaap:TransferredAtPointInTimeMe</w:t>
      </w:r>
      <w:r>
        <w:rPr>
          <w:rFonts w:eastAsia="Times New Roman"/>
          <w:vanish/>
        </w:rPr>
        <w:t>mberrl:EuropeSegmentMember2018-04-012019-03-300001037038us-gaap:RetailMemberrl:AsiaSegmentMemberus-gaap:TransferredAtPointInTimeMember2018-04-012019-03-300001037038us-gaap:RetailMemberrl:OtherNonReportableSegmentRelatedMemberus-gaap:TransferredAtPointInTim</w:t>
      </w:r>
      <w:r>
        <w:rPr>
          <w:rFonts w:eastAsia="Times New Roman"/>
          <w:vanish/>
        </w:rPr>
        <w:t>eMember2018-04-012019-03-300001037038us-gaap:RetailMemberus-gaap:TransferredAtPointInTimeMember2018-04-012019-03-300001037038us-gaap:TransferredAtPointInTimeMemberrl:WholesaleMemberrl:NorthAmericaSegmentMember2018-04-012019-03-300001037038us-gaap:Transferr</w:t>
      </w:r>
      <w:r>
        <w:rPr>
          <w:rFonts w:eastAsia="Times New Roman"/>
          <w:vanish/>
        </w:rPr>
        <w:t>edAtPointInTimeMemberrl:WholesaleMemberrl:EuropeSegmentMember2018-04-012019-03-300001037038rl:AsiaSegmentMemberus-gaap:TransferredAtPointInTimeMemberrl:WholesaleMember2018-04-012019-03-300001037038rl:OtherNonReportableSegmentRelatedMemberus-gaap:Transferre</w:t>
      </w:r>
      <w:r>
        <w:rPr>
          <w:rFonts w:eastAsia="Times New Roman"/>
          <w:vanish/>
        </w:rPr>
        <w:t>dAtPointInTimeMemberrl:WholesaleMember2018-04-012019-03-300001037038us-gaap:TransferredAtPointInTimeMemberrl:WholesaleMember2018-04-012019-03-300001037038us-gaap:LicensingAgreementsMemberus-gaap:TransferredOverTimeMemberrl:NorthAmericaSegmentMember2018-04-</w:t>
      </w:r>
      <w:r>
        <w:rPr>
          <w:rFonts w:eastAsia="Times New Roman"/>
          <w:vanish/>
        </w:rPr>
        <w:t>012019-03-300001037038us-gaap:LicensingAgreementsMemberus-gaap:TransferredOverTimeMemberrl:EuropeSegmentMember2018-04-012019-03-300001037038us-gaap:LicensingAgreementsMemberrl:AsiaSegmentMemberus-gaap:TransferredOverTimeMember2018-04-012019-03-300001037038</w:t>
      </w:r>
      <w:r>
        <w:rPr>
          <w:rFonts w:eastAsia="Times New Roman"/>
          <w:vanish/>
        </w:rPr>
        <w:t>us-gaap:LicensingAgreementsMemberrl:OtherNonReportableSegmentRelatedMemberus-gaap:TransferredOverTimeMember2018-04-012019-03-300001037038us-gaap:LicensingAgreementsMemberus-gaap:TransferredOverTimeMember2018-04-012019-03-300001037038rl:NorthAmericaSegmentM</w:t>
      </w:r>
      <w:r>
        <w:rPr>
          <w:rFonts w:eastAsia="Times New Roman"/>
          <w:vanish/>
        </w:rPr>
        <w:t>ember2018-04-012019-03-300001037038rl:EuropeSegmentMember2018-04-012019-03-300001037038rl:AsiaSegmentMember2018-04-012019-03-300001037038rl:OtherNonReportableSegmentRelatedMember2018-04-012019-03-300001037038us-gaap:SalesReturnsAndAllowancesMember2020-03-2</w:t>
      </w:r>
      <w:r>
        <w:rPr>
          <w:rFonts w:eastAsia="Times New Roman"/>
          <w:vanish/>
        </w:rPr>
        <w:t>92021-03-270001037038us-gaap:SalesReturnsAndAllowancesMember2020-03-280001037038us-gaap:SalesReturnsAndAllowancesMember2019-03-300001037038us-gaap:SalesReturnsAndAllowancesMember2018-03-310001037038us-gaap:SalesReturnsAndAllowancesMember2019-03-312020-03-2</w:t>
      </w:r>
      <w:r>
        <w:rPr>
          <w:rFonts w:eastAsia="Times New Roman"/>
          <w:vanish/>
        </w:rPr>
        <w:t>80001037038us-gaap:SalesReturnsAndAllowancesMember2018-04-012019-03-300001037038us-gaap:SalesReturnsAndAllowancesMember2021-03-270001037038us-gaap:AllowanceForCreditLossMember2020-03-292021-03-270001037038us-gaap:AllowanceForCreditLossMember2020-03-2800010</w:t>
      </w:r>
      <w:r>
        <w:rPr>
          <w:rFonts w:eastAsia="Times New Roman"/>
          <w:vanish/>
        </w:rPr>
        <w:t>37038us-gaap:AllowanceForCreditLossMember2019-03-300001037038us-gaap:AllowanceForCreditLossMember2018-03-310001037038us-gaap:AllowanceForCreditLossMember2019-03-312020-03-280001037038us-gaap:AllowanceForCreditLossMember2018-04-012019-03-300001037038us-gaap</w:t>
      </w:r>
      <w:r>
        <w:rPr>
          <w:rFonts w:eastAsia="Times New Roman"/>
          <w:vanish/>
        </w:rPr>
        <w:t>:AllowanceForCreditLossMember2021-03-27rl:Customerxbrli:pure0001037038us-gaap:SalesRevenueNetMember2020-03-292021-03-270001037038us-gaap:AccountsReceivableMember2020-03-292021-03-270001037038rl:ComputerSoftwareEquipmentMembersrt:MinimumMember2020-03-292021</w:t>
      </w:r>
      <w:r>
        <w:rPr>
          <w:rFonts w:eastAsia="Times New Roman"/>
          <w:vanish/>
        </w:rPr>
        <w:t>-03-270001037038us-gaap:FurnitureAndFixturesMembersrt:MinimumMember2020-03-292021-03-270001037038us-gaap:MachineryAndEquipmentMembersrt:MinimumMember2020-03-292021-03-270001037038srt:MaximumMemberrl:ComputerSoftwareEquipmentMember2020-03-292021-03-27000103</w:t>
      </w:r>
      <w:r>
        <w:rPr>
          <w:rFonts w:eastAsia="Times New Roman"/>
          <w:vanish/>
        </w:rPr>
        <w:t>7038srt:MaximumMemberus-gaap:FurnitureAndFixturesMember2020-03-292021-03-270001037038srt:MaximumMemberus-gaap:MachineryAndEquipmentMember2020-03-292021-03-270001037038srt:MinimumMemberus-gaap:BuildingAndBuildingImprovementsMember2020-03-292021-03-270001037</w:t>
      </w:r>
      <w:r>
        <w:rPr>
          <w:rFonts w:eastAsia="Times New Roman"/>
          <w:vanish/>
        </w:rPr>
        <w:t>038srt:MaximumMemberus-gaap:BuildingAndBuildingImprovementsMember2020-03-292021-03-270001037038srt:MinimumMember2021-03-270001037038srt:MaximumMember2021-03-270001037038rl:NorthAmericaSegmentMember2019-03-300001037038rl:EuropeSegmentMember2019-03-300001037</w:t>
      </w:r>
      <w:r>
        <w:rPr>
          <w:rFonts w:eastAsia="Times New Roman"/>
          <w:vanish/>
        </w:rPr>
        <w:t>038rl:AsiaSegmentMember2019-03-300001037038us-gaap:AllOtherSegmentsMember2019-03-300001037038us-gaap:AllOtherSegmentsMember2019-03-312020-03-280001037038rl:NorthAmericaSegmentMember2020-03-280001037038rl:EuropeSegmentMember2020-03-280001037038rl:AsiaSegmen</w:t>
      </w:r>
      <w:r>
        <w:rPr>
          <w:rFonts w:eastAsia="Times New Roman"/>
          <w:vanish/>
        </w:rPr>
        <w:t>tMember2020-03-280001037038us-gaap:AllOtherSegmentsMember2020-03-280001037038us-gaap:AllOtherSegmentsMember2020-03-292021-03-270001037038rl:NorthAmericaSegmentMember2021-03-270001037038rl:EuropeSegmentMember2021-03-270001037038rl:AsiaSegmentMember2021-03-2</w:t>
      </w:r>
      <w:r>
        <w:rPr>
          <w:rFonts w:eastAsia="Times New Roman"/>
          <w:vanish/>
        </w:rPr>
        <w:t>70001037038us-gaap:AllOtherSegmentsMember2021-03-270001037038rl:ReacquiredLicensedTrademarksMember2021-03-270001037038rl:ReacquiredLicensedTrademarksMember2020-03-280001037038us-gaap:CustomerRelationshipsMember2021-03-270001037038us-gaap:CustomerRelationsh</w:t>
      </w:r>
      <w:r>
        <w:rPr>
          <w:rFonts w:eastAsia="Times New Roman"/>
          <w:vanish/>
        </w:rPr>
        <w:t>ipsMember2020-03-280001037038us-gaap:OtherIntangibleAssetsMember2021-03-270001037038us-gaap:OtherIntangibleAssetsMember2020-03-280001037038rl:ReacquiredLicensedTrademarksMember2020-03-292021-03-270001037038us-gaap:CustomerRelationshipsMember2020-03-292021-</w:t>
      </w:r>
      <w:r>
        <w:rPr>
          <w:rFonts w:eastAsia="Times New Roman"/>
          <w:vanish/>
        </w:rPr>
        <w:t>03-270001037038rl:RestructuringPlanRelatedMember2020-03-292021-03-270001037038rl:UnderperformingStoresMemberrl:OthernonrestructuringrelatedMember2020-03-292021-03-270001037038rl:OthernonrestructuringrelatedMemberrl:PreviouslyExitedRealEstateLocationsForWhi</w:t>
      </w:r>
      <w:r>
        <w:rPr>
          <w:rFonts w:eastAsia="Times New Roman"/>
          <w:vanish/>
        </w:rPr>
        <w:t>chTheRelatedLeaseAgreementHaveNotYetExpiredMember2020-03-292021-03-270001037038rl:RestructuringPlanRelatedMember2019-03-312020-03-280001037038rl:UnderperformingStoresMemberrl:OthernonrestructuringrelatedMember2019-03-312020-03-280001037038rl:RestructuringP</w:t>
      </w:r>
      <w:r>
        <w:rPr>
          <w:rFonts w:eastAsia="Times New Roman"/>
          <w:vanish/>
        </w:rPr>
        <w:t>lanRelatedMember2018-04-012019-03-300001037038rl:UnderperformingStoresMemberrl:OthernonrestructuringrelatedMember2018-04-012019-03-300001037038rl:Fiscal2021StrategicRealignmentPlanMembersrt:MinimumMember2021-03-270001037038srt:MaximumMemberrl:Fiscal2021Str</w:t>
      </w:r>
      <w:r>
        <w:rPr>
          <w:rFonts w:eastAsia="Times New Roman"/>
          <w:vanish/>
        </w:rPr>
        <w:t>ategicRealignmentPlanMember2021-03-270001037038rl:CashRelatedRestructuringChargesMemberrl:Fiscal2021StrategicRealignmentPlanMembersrt:MinimumMember2021-03-270001037038rl:CashRelatedRestructuringChargesMembersrt:MaximumMemberrl:Fiscal2021StrategicRealignmen</w:t>
      </w:r>
      <w:r>
        <w:rPr>
          <w:rFonts w:eastAsia="Times New Roman"/>
          <w:vanish/>
        </w:rPr>
        <w:t>tPlanMember2021-03-270001037038rl:NonCashRelatedRestructuringChargesMemberrl:Fiscal2021StrategicRealignmentPlanMembersrt:MinimumMember2021-03-270001037038rl:NonCashRelatedRestructuringChargesMembersrt:MaximumMemberrl:Fiscal2021StrategicRealignmentPlanMembe</w:t>
      </w:r>
      <w:r>
        <w:rPr>
          <w:rFonts w:eastAsia="Times New Roman"/>
          <w:vanish/>
        </w:rPr>
        <w:t>r2021-03-270001037038rl:Fiscal2021StrategicRealignmentPlanMember2020-03-292021-03-270001037038rl:Fiscal2021StrategicRealignmentPlanMemberus-gaap:EmployeeSeveranceMember2020-03-292021-03-270001037038us-gaap:OtherRestructuringMemberrl:Fiscal2021StrategicReal</w:t>
      </w:r>
      <w:r>
        <w:rPr>
          <w:rFonts w:eastAsia="Times New Roman"/>
          <w:vanish/>
        </w:rPr>
        <w:t>ignmentPlanMember2020-03-292021-03-270001037038rl:ImpairmentofAssetsMemberrl:Fiscal2021StrategicRealignmentPlanMember2020-03-292021-03-270001037038us-gaap:InventoriesMemberrl:Fiscal2021StrategicRealignmentPlanMember2020-03-292021-03-270001037038rl:Fiscal20</w:t>
      </w:r>
      <w:r>
        <w:rPr>
          <w:rFonts w:eastAsia="Times New Roman"/>
          <w:vanish/>
        </w:rPr>
        <w:t>21StrategicRealignmentPlanMemberus-gaap:EmployeeSeveranceMember2020-03-280001037038us-gaap:OtherRestructuringMemberrl:Fiscal2021StrategicRealignmentPlanMember2020-03-280001037038rl:Fiscal2021StrategicRealignmentPlanMember2020-03-280001037038rl:Fiscal2021St</w:t>
      </w:r>
      <w:r>
        <w:rPr>
          <w:rFonts w:eastAsia="Times New Roman"/>
          <w:vanish/>
        </w:rPr>
        <w:t>rategicRealignmentPlanMemberus-gaap:EmployeeSeveranceMember2021-03-270001037038us-gaap:OtherRestructuringMemberrl:Fiscal2021StrategicRealignmentPlanMember2021-03-270001037038rl:Fiscal2021StrategicRealignmentPlanMember2021-03-270001037038rl:Fiscal2019Restru</w:t>
      </w:r>
      <w:r>
        <w:rPr>
          <w:rFonts w:eastAsia="Times New Roman"/>
          <w:vanish/>
        </w:rPr>
        <w:t>cturingPlanMember2020-03-292021-03-270001037038rl:Fiscal2019RestructuringPlanMemberus-gaap:EmployeeSeveranceMember2019-03-312020-03-280001037038rl:Fiscal2019RestructuringPlanMemberus-gaap:EmployeeSeveranceMember2018-04-012019-03-300001037038rl:Fiscal2019Re</w:t>
      </w:r>
      <w:r>
        <w:rPr>
          <w:rFonts w:eastAsia="Times New Roman"/>
          <w:vanish/>
        </w:rPr>
        <w:t>structuringPlanMemberus-gaap:EmployeeSeveranceMember2021-03-270001037038rl:Fiscal2019RestructuringPlanMemberus-gaap:FacilityClosingMember2019-03-312020-03-280001037038rl:Fiscal2019RestructuringPlanMemberus-gaap:FacilityClosingMember2018-04-012019-03-300001</w:t>
      </w:r>
      <w:r>
        <w:rPr>
          <w:rFonts w:eastAsia="Times New Roman"/>
          <w:vanish/>
        </w:rPr>
        <w:t>037038rl:Fiscal2019RestructuringPlanMemberus-gaap:FacilityClosingMember2021-03-270001037038rl:Fiscal2019RestructuringPlanMemberus-gaap:OtherRestructuringMember2019-03-312020-03-280001037038rl:Fiscal2019RestructuringPlanMemberus-gaap:OtherRestructuringMembe</w:t>
      </w:r>
      <w:r>
        <w:rPr>
          <w:rFonts w:eastAsia="Times New Roman"/>
          <w:vanish/>
        </w:rPr>
        <w:t>r2018-04-012019-03-300001037038rl:Fiscal2019RestructuringPlanMemberus-gaap:OtherRestructuringMember2021-03-270001037038rl:Fiscal2019RestructuringPlanMember2019-03-312020-03-280001037038rl:Fiscal2019RestructuringPlanMember2018-04-012019-03-300001037038rl:Fi</w:t>
      </w:r>
      <w:r>
        <w:rPr>
          <w:rFonts w:eastAsia="Times New Roman"/>
          <w:vanish/>
        </w:rPr>
        <w:t>scal2019RestructuringPlanMember2021-03-270001037038rl:Fiscal2019RestructuringPlanMemberrl:ImpairmentofAssetsMember2019-03-312020-03-280001037038rl:Fiscal2019RestructuringPlanMemberrl:ImpairmentofAssetsMember2018-04-012019-03-300001037038rl:Fiscal2019Restru</w:t>
      </w:r>
      <w:r>
        <w:rPr>
          <w:rFonts w:eastAsia="Times New Roman"/>
          <w:vanish/>
        </w:rPr>
        <w:t>cturingPlanMemberrl:ImpairmentofAssetsMember2021-03-270001037038us-gaap:InventoriesMemberrl:Fiscal2019RestructuringPlanMember2019-03-312020-03-280001037038us-gaap:InventoriesMemberrl:Fiscal2019RestructuringPlanMember2018-04-012019-03-300001037038us-gaap:In</w:t>
      </w:r>
      <w:r>
        <w:rPr>
          <w:rFonts w:eastAsia="Times New Roman"/>
          <w:vanish/>
        </w:rPr>
        <w:t>ventoriesMemberrl:Fiscal2019RestructuringPlanMember2021-03-270001037038rl:Fiscal2019RestructuringPlanMemberrl:AcceleratedstockbasedcompensationexpenseMember2019-03-312020-03-280001037038rl:Fiscal2019RestructuringPlanMemberrl:Acceleratedstockbasedcompensati</w:t>
      </w:r>
      <w:r>
        <w:rPr>
          <w:rFonts w:eastAsia="Times New Roman"/>
          <w:vanish/>
        </w:rPr>
        <w:t>onexpenseMember2018-04-012019-03-300001037038rl:Fiscal2019RestructuringPlanMemberrl:AcceleratedstockbasedcompensationexpenseMember2021-03-270001037038rl:Fiscal2019RestructuringPlanMemberrl:LossonsaleofpropertyMember2019-03-312020-03-280001037038rl:Fiscal20</w:t>
      </w:r>
      <w:r>
        <w:rPr>
          <w:rFonts w:eastAsia="Times New Roman"/>
          <w:vanish/>
        </w:rPr>
        <w:t>19RestructuringPlanMemberrl:LossonsaleofpropertyMember2018-04-012019-03-300001037038rl:Fiscal2019RestructuringPlanMemberrl:LossonsaleofpropertyMember2021-03-270001037038rl:Fiscal2019RestructuringPlanMemberus-gaap:EmployeeSeveranceMember2018-03-310001037038</w:t>
      </w:r>
      <w:r>
        <w:rPr>
          <w:rFonts w:eastAsia="Times New Roman"/>
          <w:vanish/>
        </w:rPr>
        <w:t>rl:Fiscal2019RestructuringPlanMemberus-gaap:FacilityClosingMember2018-03-310001037038rl:Fiscal2019RestructuringPlanMemberus-gaap:OtherRestructuringMember2018-03-310001037038rl:Fiscal2019RestructuringPlanMember2018-03-310001037038rl:Fiscal2019RestructuringP</w:t>
      </w:r>
      <w:r>
        <w:rPr>
          <w:rFonts w:eastAsia="Times New Roman"/>
          <w:vanish/>
        </w:rPr>
        <w:t>lanMemberus-gaap:EmployeeSeveranceMember2019-03-300001037038rl:Fiscal2019RestructuringPlanMemberus-gaap:FacilityClosingMember2019-03-300001037038rl:Fiscal2019RestructuringPlanMemberus-gaap:OtherRestructuringMember2019-03-300001037038rl:Fiscal2019Restructur</w:t>
      </w:r>
      <w:r>
        <w:rPr>
          <w:rFonts w:eastAsia="Times New Roman"/>
          <w:vanish/>
        </w:rPr>
        <w:t>ingPlanMember2019-03-300001037038rl:Fiscal2019RestructuringPlanMemberus-gaap:EmployeeSeveranceMember2020-03-280001037038rl:Fiscal2019RestructuringPlanMemberus-gaap:FacilityClosingMember2020-03-280001037038rl:Fiscal2019RestructuringPlanMemberus-gaap:OtherRe</w:t>
      </w:r>
      <w:r>
        <w:rPr>
          <w:rFonts w:eastAsia="Times New Roman"/>
          <w:vanish/>
        </w:rPr>
        <w:t>structuringMember2020-03-280001037038rl:Fiscal2019RestructuringPlanMember2020-03-280001037038rl:Fiscal2019RestructuringPlanMemberus-gaap:EmployeeSeveranceMember2020-03-292021-03-270001037038rl:Fiscal2019RestructuringPlanMemberus-gaap:FacilityClosingMember2</w:t>
      </w:r>
      <w:r>
        <w:rPr>
          <w:rFonts w:eastAsia="Times New Roman"/>
          <w:vanish/>
        </w:rPr>
        <w:t>020-03-292021-03-270001037038rl:Fiscal2019RestructuringPlanMemberus-gaap:OtherRestructuringMember2020-03-292021-03-270001037038rl:OtherRestructuringPlansMember2018-04-012019-03-300001037038rl:OtherRestructuringPlansMember2020-03-292021-03-270001037038rl:Ot</w:t>
      </w:r>
      <w:r>
        <w:rPr>
          <w:rFonts w:eastAsia="Times New Roman"/>
          <w:vanish/>
        </w:rPr>
        <w:t>herRestructuringPlansMember2019-03-312020-03-280001037038rl:OtherRestructuringPlansMember2021-03-270001037038rl:OtherRestructuringPlansMember2020-03-280001037038rl:Chargesprimarilyrelatedtorentandoccupancycostsassociatedwithpreviouslyexitedrealestatelocati</w:t>
      </w:r>
      <w:r>
        <w:rPr>
          <w:rFonts w:eastAsia="Times New Roman"/>
          <w:vanish/>
        </w:rPr>
        <w:t>onsMember2020-03-292021-03-270001037038rl:CorporateJetDonationMember2019-03-312020-03-280001037038rl:ChargesprimarilyrelatedtorentandoccupancycostsassociatedwithpreviouslyexitedrealestatelocationsMember2019-03-312020-03-280001037038rl:Depreciationexpenseas</w:t>
      </w:r>
      <w:r>
        <w:rPr>
          <w:rFonts w:eastAsia="Times New Roman"/>
          <w:vanish/>
        </w:rPr>
        <w:t>sociatedwith711FifthAvenueMember2018-04-012019-03-300001037038rl:PrimarilyrelatedtoCustomsAuditMember2018-04-012019-03-300001037038rl:PrimarilyrelatedtonewsabbaticalleaveprogramMember2018-04-012019-03-3000010370382017-04-022018-03-310001037038rl:USTaxRefor</w:t>
      </w:r>
      <w:r>
        <w:rPr>
          <w:rFonts w:eastAsia="Times New Roman"/>
          <w:vanish/>
        </w:rPr>
        <w:t>mMember2018-04-012019-03-300001037038us-gaap:DomesticCountryMember2021-03-270001037038us-gaap:StateAndLocalJurisdictionMember2021-03-270001037038us-gaap:ForeignCountryMember2021-03-270001037038us-gaap:StateAndLocalJurisdictionMember2020-03-292021-03-270001</w:t>
      </w:r>
      <w:r>
        <w:rPr>
          <w:rFonts w:eastAsia="Times New Roman"/>
          <w:vanish/>
        </w:rPr>
        <w:t>037038us-gaap:ForeignCountryMember2020-03-292021-03-270001037038rl:A2.625SeniorNotesMember2021-03-270001037038rl:A2.625SeniorNotesMember2020-03-280001037038rl:A3.750SeniorNotesMemberMember2021-03-270001037038rl:A3.750SeniorNotesMemberMember2020-03-28000103</w:t>
      </w:r>
      <w:r>
        <w:rPr>
          <w:rFonts w:eastAsia="Times New Roman"/>
          <w:vanish/>
        </w:rPr>
        <w:t>7038rl:A1700SeniorNotesMember2021-03-270001037038rl:A1700SeniorNotesMember2020-03-280001037038rl:A2950SeniorNotesMember2021-03-270001037038rl:A2950SeniorNotesMember2020-03-280001037038rl:A3.750SeniorNotesMemberMember2020-03-292021-03-270001037038rl:A2.125S</w:t>
      </w:r>
      <w:r>
        <w:rPr>
          <w:rFonts w:eastAsia="Times New Roman"/>
          <w:vanish/>
        </w:rPr>
        <w:t>eniorNotesMember2018-09-260001037038rl:A2.125SeniorNotesMember2020-03-292021-03-270001037038rl:A1700SeniorNotesMember2020-03-292021-03-270001037038rl:A2950SeniorNotesMember2020-03-292021-03-270001037038rl:GlobalCreditFacilityMember2020-03-292021-03-2700010</w:t>
      </w:r>
      <w:r>
        <w:rPr>
          <w:rFonts w:eastAsia="Times New Roman"/>
          <w:vanish/>
        </w:rPr>
        <w:t>37038rl:A2.625SeniorNotesMember2020-03-292021-03-270001037038us-gaap:SeniorNotesMember2020-03-292021-03-270001037038us-gaap:CommercialPaperMember2021-03-270001037038srt:MaximumMemberus-gaap:CommercialPaperMember2020-03-292021-03-270001037038rl:GlobalCredit</w:t>
      </w:r>
      <w:r>
        <w:rPr>
          <w:rFonts w:eastAsia="Times New Roman"/>
          <w:vanish/>
        </w:rPr>
        <w:t>FacilityMember2021-03-270001037038rl:GlobalCreditFacilityMemberrl:WeightedAverageOvernightFederalFundsRateMember2020-03-292021-03-270001037038us-gaap:LondonInterbankOfferedRateLIBORMemberrl:GlobalCreditFacilityMember2020-03-292021-03-270001037038rl:GlobalC</w:t>
      </w:r>
      <w:r>
        <w:rPr>
          <w:rFonts w:eastAsia="Times New Roman"/>
          <w:vanish/>
        </w:rPr>
        <w:t>reditFacilityMemberrl:AdjustedLondonInterbankOfferedRateMember2020-03-292021-03-27rl:Quarter0001037038rl:GlobalCreditFacilityAmendmentMember2020-03-292021-03-270001037038rl:GlobalCreditFacilityAmendmentMemberrl:AdjustedLondonInterbankOfferedRateMember2020-</w:t>
      </w:r>
      <w:r>
        <w:rPr>
          <w:rFonts w:eastAsia="Times New Roman"/>
          <w:vanish/>
        </w:rPr>
        <w:t>03-292021-03-270001037038rl:GlobalCreditFacilityAmendmentMemberrl:AlternatebaserateMember2020-03-292021-03-270001037038rl:QuarterEndingSeptember302021Memberrl:GlobalCreditFacilityAmendmentMember2020-03-292021-03-270001037038rl:QuarterEndingDecember312021Me</w:t>
      </w:r>
      <w:r>
        <w:rPr>
          <w:rFonts w:eastAsia="Times New Roman"/>
          <w:vanish/>
        </w:rPr>
        <w:t>mberrl:GlobalCreditFacilityAmendmentMember2020-03-292021-03-270001037038rl:GlobalCreditFacilityAmendmentMemberrl:QuarterEndingJune302022Member2020-03-292021-03-270001037038rl:A364DayFacilityMember2020-05-260001037038rl:A364DayFacilityMember2020-05-012020-0</w:t>
      </w:r>
      <w:r>
        <w:rPr>
          <w:rFonts w:eastAsia="Times New Roman"/>
          <w:vanish/>
        </w:rPr>
        <w:t>5-31iso4217:CNY0001037038rl:ChineseCreditFacilityMember2021-03-270001037038rl:ChineseCreditFacilityMember2020-03-292021-03-27iso4217:KRW0001037038rl:SouthKoreaCreditFacilityMember2021-03-270001037038rl:SouthKoreaCreditFacilityMember2020-03-292021-03-27iso4</w:t>
      </w:r>
      <w:r>
        <w:rPr>
          <w:rFonts w:eastAsia="Times New Roman"/>
          <w:vanish/>
        </w:rPr>
        <w:t>217:JPY0001037038rl:JapanOverdraftFacilityMember2021-03-270001037038rl:JapanOverdraftFacilityMember2020-03-292021-03-270001037038rl:PanAsiaBorrowingFacilitiesMember2021-03-270001037038rl:PanAsiaBorrowingFacilitiesMember2020-03-280001037038us-gaap:Commercia</w:t>
      </w:r>
      <w:r>
        <w:rPr>
          <w:rFonts w:eastAsia="Times New Roman"/>
          <w:vanish/>
        </w:rPr>
        <w:t>lPaperMemberus-gaap:FairValueInputsLevel2Memberus-gaap:FairValueMeasurementsRecurringMember2021-03-270001037038us-gaap:CommercialPaperMemberus-gaap:FairValueInputsLevel2Memberus-gaap:FairValueMeasurementsRecurringMember2020-03-280001037038us-gaap:FairValue</w:t>
      </w:r>
      <w:r>
        <w:rPr>
          <w:rFonts w:eastAsia="Times New Roman"/>
          <w:vanish/>
        </w:rPr>
        <w:t>InputsLevel2Memberus-gaap:FairValueMeasurementsRecurringMember2021-03-270001037038us-gaap:FairValueInputsLevel2Memberus-gaap:FairValueMeasurementsRecurringMember2020-03-280001037038rl:A2.625SeniorNotesMemberus-gaap:FairValueInputsLevel2Member2021-03-270001</w:t>
      </w:r>
      <w:r>
        <w:rPr>
          <w:rFonts w:eastAsia="Times New Roman"/>
          <w:vanish/>
        </w:rPr>
        <w:t>037038rl:A2.625SeniorNotesMemberus-gaap:FairValueInputsLevel2Member2020-03-280001037038us-gaap:FairValueInputsLevel2Memberrl:A3.750SeniorNotesMemberMember2021-03-270001037038us-gaap:FairValueInputsLevel2Memberrl:A3.750SeniorNotesMemberMember2020-03-2800010</w:t>
      </w:r>
      <w:r>
        <w:rPr>
          <w:rFonts w:eastAsia="Times New Roman"/>
          <w:vanish/>
        </w:rPr>
        <w:t>37038us-gaap:FairValueInputsLevel2Memberrl:A1700SeniorNotesMember2021-03-270001037038us-gaap:FairValueInputsLevel2Memberrl:A1700SeniorNotesMember2020-03-280001037038rl:A2950SeniorNotesMemberus-gaap:FairValueInputsLevel2Member2021-03-270001037038rl:A2950Sen</w:t>
      </w:r>
      <w:r>
        <w:rPr>
          <w:rFonts w:eastAsia="Times New Roman"/>
          <w:vanish/>
        </w:rPr>
        <w:t>iorNotesMemberus-gaap:FairValueInputsLevel2Member2020-03-280001037038us-gaap:FairValueInputsLevel2Member2021-03-270001037038us-gaap:FairValueInputsLevel2Member2020-03-280001037038us-gaap:PropertyPlantAndEquipmentMember2020-03-292021-03-270001037038us-gaap:</w:t>
      </w:r>
      <w:r>
        <w:rPr>
          <w:rFonts w:eastAsia="Times New Roman"/>
          <w:vanish/>
        </w:rPr>
        <w:t>PropertyPlantAndEquipmentMember2019-03-312020-03-280001037038us-gaap:PropertyPlantAndEquipmentMember2018-04-012019-03-300001037038rl:OperatingLeaseRightofUseAssetMember2020-03-292021-03-270001037038rl:OperatingLeaseRightofUseAssetMember2019-03-312020-03-28</w:t>
      </w:r>
      <w:r>
        <w:rPr>
          <w:rFonts w:eastAsia="Times New Roman"/>
          <w:vanish/>
        </w:rPr>
        <w:t>0001037038us-gaap:EquityMethodInvestmentsMember2020-03-292021-03-270001037038us-gaap:EquityMethodInvestmentsMember2019-03-312020-03-280001037038us-gaap:EquityMethodInvestmentsMember2018-04-012019-03-300001037038rl:OperatingLeaseRightofUseAssetMemberus-gaap</w:t>
      </w:r>
      <w:r>
        <w:rPr>
          <w:rFonts w:eastAsia="Times New Roman"/>
          <w:vanish/>
        </w:rPr>
        <w:t>:AccountingStandardsUpdate201602Member2019-03-310001037038us-gaap:ForeignExchangeForwardMemberus-gaap:CashFlowHedgingMemberus-gaap:DesignatedAsHedgingInstrumentMember2021-03-270001037038us-gaap:ForeignExchangeForwardMemberus-gaap:CashFlowHedgingMemberus-ga</w:t>
      </w:r>
      <w:r>
        <w:rPr>
          <w:rFonts w:eastAsia="Times New Roman"/>
          <w:vanish/>
        </w:rPr>
        <w:t>ap:DesignatedAsHedgingInstrumentMember2020-03-280001037038us-gaap:PrepaidExpensesAndOtherCurrentAssetsMemberus-gaap:ForeignExchangeForwardMemberus-gaap:CashFlowHedgingMemberus-gaap:DesignatedAsHedgingInstrumentMember2021-03-270001037038us-gaap:PrepaidExpen</w:t>
      </w:r>
      <w:r>
        <w:rPr>
          <w:rFonts w:eastAsia="Times New Roman"/>
          <w:vanish/>
        </w:rPr>
        <w:t>sesAndOtherCurrentAssetsMemberus-gaap:ForeignExchangeForwardMemberus-gaap:CashFlowHedgingMemberus-gaap:DesignatedAsHedgingInstrumentMember2020-03-280001037038rl:AccruedExpensesandOtherCurrentLiabilitiesMemberus-gaap:ForeignExchangeForwardMemberus-gaap:Cash</w:t>
      </w:r>
      <w:r>
        <w:rPr>
          <w:rFonts w:eastAsia="Times New Roman"/>
          <w:vanish/>
        </w:rPr>
        <w:t>FlowHedgingMemberus-gaap:DesignatedAsHedgingInstrumentMember2020-03-280001037038us-gaap:InterestRateSwapMemberus-gaap:DesignatedAsHedgingInstrumentMember2021-03-270001037038us-gaap:InterestRateSwapMemberus-gaap:DesignatedAsHedgingInstrumentMember2020-03-28</w:t>
      </w:r>
      <w:r>
        <w:rPr>
          <w:rFonts w:eastAsia="Times New Roman"/>
          <w:vanish/>
        </w:rPr>
        <w:t>0001037038rl:AccruedExpensesandOtherCurrentLiabilitiesMemberus-gaap:InterestRateSwapMemberus-gaap:DesignatedAsHedgingInstrumentMember2020-03-280001037038us-gaap:NetInvestmentHedgingMemberus-gaap:DesignatedAsHedgingInstrumentMember2021-03-270001037038us-gaa</w:t>
      </w:r>
      <w:r>
        <w:rPr>
          <w:rFonts w:eastAsia="Times New Roman"/>
          <w:vanish/>
        </w:rPr>
        <w:t>p:NetInvestmentHedgingMemberus-gaap:DesignatedAsHedgingInstrumentMember2020-03-280001037038us-gaap:OtherNoncurrentAssetsMemberus-gaap:NetInvestmentHedgingMemberus-gaap:DesignatedAsHedgingInstrumentMember2021-03-270001037038us-gaap:OtherNoncurrentAssetsMemb</w:t>
      </w:r>
      <w:r>
        <w:rPr>
          <w:rFonts w:eastAsia="Times New Roman"/>
          <w:vanish/>
        </w:rPr>
        <w:t>erus-gaap:NetInvestmentHedgingMemberus-gaap:DesignatedAsHedgingInstrumentMember2020-03-280001037038us-gaap:OtherNoncurrentLiabilitiesMemberus-gaap:NetInvestmentHedgingMemberus-gaap:DesignatedAsHedgingInstrumentMember2021-03-270001037038us-gaap:NetInvestmen</w:t>
      </w:r>
      <w:r>
        <w:rPr>
          <w:rFonts w:eastAsia="Times New Roman"/>
          <w:vanish/>
        </w:rPr>
        <w:t>tHedgingMemberrl:AccruedExpensesandOtherCurrentLiabilitiesMemberus-gaap:DesignatedAsHedgingInstrumentMember2020-03-280001037038us-gaap:DesignatedAsHedgingInstrumentMember2021-03-270001037038us-gaap:DesignatedAsHedgingInstrumentMember2020-03-280001037038us-</w:t>
      </w:r>
      <w:r>
        <w:rPr>
          <w:rFonts w:eastAsia="Times New Roman"/>
          <w:vanish/>
        </w:rPr>
        <w:t>gaap:ForeignExchangeForwardMemberus-gaap:NondesignatedMember2021-03-270001037038us-gaap:ForeignExchangeForwardMemberus-gaap:NondesignatedMember2020-03-280001037038us-gaap:PrepaidExpensesAndOtherCurrentAssetsMemberus-gaap:ForeignExchangeForwardMemberus-gaap</w:t>
      </w:r>
      <w:r>
        <w:rPr>
          <w:rFonts w:eastAsia="Times New Roman"/>
          <w:vanish/>
        </w:rPr>
        <w:t>:NondesignatedMember2021-03-270001037038us-gaap:PrepaidExpensesAndOtherCurrentAssetsMemberus-gaap:ForeignExchangeForwardMemberus-gaap:NondesignatedMember2020-03-280001037038rl:AccruedExpensesandOtherCurrentLiabilitiesMemberus-gaap:ForeignExchangeForwardMem</w:t>
      </w:r>
      <w:r>
        <w:rPr>
          <w:rFonts w:eastAsia="Times New Roman"/>
          <w:vanish/>
        </w:rPr>
        <w:t>berus-gaap:NondesignatedMember2021-03-270001037038rl:AccruedExpensesandOtherCurrentLiabilitiesMemberus-gaap:ForeignExchangeForwardMemberus-gaap:NondesignatedMember2020-03-28rl:counterparty0001037038us-gaap:ForeignExchangeForwardMemberus-gaap:CashFlowHedgin</w:t>
      </w:r>
      <w:r>
        <w:rPr>
          <w:rFonts w:eastAsia="Times New Roman"/>
          <w:vanish/>
        </w:rPr>
        <w:t>gMemberus-gaap:DesignatedAsHedgingInstrumentMember2020-03-292021-03-270001037038us-gaap:ForeignExchangeForwardMemberus-gaap:CashFlowHedgingMemberus-gaap:DesignatedAsHedgingInstrumentMember2019-03-312020-03-280001037038us-gaap:ForeignExchangeForwardMemberus</w:t>
      </w:r>
      <w:r>
        <w:rPr>
          <w:rFonts w:eastAsia="Times New Roman"/>
          <w:vanish/>
        </w:rPr>
        <w:t>-gaap:CashFlowHedgingMemberus-gaap:DesignatedAsHedgingInstrumentMember2018-04-012019-03-300001037038us-gaap:NetInvestmentHedgingMemberrl:EffectiveportionMemberus-gaap:DesignatedAsHedgingInstrumentMember2020-03-292021-03-270001037038us-gaap:NetInvestmentHed</w:t>
      </w:r>
      <w:r>
        <w:rPr>
          <w:rFonts w:eastAsia="Times New Roman"/>
          <w:vanish/>
        </w:rPr>
        <w:t>gingMemberrl:EffectiveportionMemberus-gaap:DesignatedAsHedgingInstrumentMember2019-03-312020-03-280001037038us-gaap:NetInvestmentHedgingMemberrl:EffectiveportionMemberus-gaap:DesignatedAsHedgingInstrumentMember2018-04-012019-03-300001037038us-gaap:NetInves</w:t>
      </w:r>
      <w:r>
        <w:rPr>
          <w:rFonts w:eastAsia="Times New Roman"/>
          <w:vanish/>
        </w:rPr>
        <w:t>tmentHedgingMemberrl:PortionexcludedfromassessmentofhedgeeffectivenessMemberus-gaap:DesignatedAsHedgingInstrumentMember2020-03-292021-03-270001037038us-gaap:NetInvestmentHedgingMemberrl:PortionexcludedfromassessmentofhedgeeffectivenessMemberus-gaap:Designa</w:t>
      </w:r>
      <w:r>
        <w:rPr>
          <w:rFonts w:eastAsia="Times New Roman"/>
          <w:vanish/>
        </w:rPr>
        <w:t>tedAsHedgingInstrumentMember2019-03-312020-03-280001037038us-gaap:NetInvestmentHedgingMemberrl:PortionexcludedfromassessmentofhedgeeffectivenessMemberus-gaap:DesignatedAsHedgingInstrumentMember2018-04-012019-03-300001037038us-gaap:DesignatedAsHedgingInstru</w:t>
      </w:r>
      <w:r>
        <w:rPr>
          <w:rFonts w:eastAsia="Times New Roman"/>
          <w:vanish/>
        </w:rPr>
        <w:t>mentMember2020-03-292021-03-270001037038us-gaap:DesignatedAsHedgingInstrumentMember2019-03-312020-03-280001037038us-gaap:DesignatedAsHedgingInstrumentMember2018-04-012019-03-300001037038us-gaap:ReclassificationOutOfAccumulatedOtherComprehensiveIncomeMember</w:t>
      </w:r>
      <w:r>
        <w:rPr>
          <w:rFonts w:eastAsia="Times New Roman"/>
          <w:vanish/>
        </w:rPr>
        <w:t>us-gaap:ForeignExchangeForwardMemberus-gaap:CashFlowHedgingMemberus-gaap:DesignatedAsHedgingInstrumentMember2020-03-292021-03-270001037038us-gaap:ReclassificationOutOfAccumulatedOtherComprehensiveIncomeMemberus-gaap:ForeignExchangeForwardMemberus-gaap:Cash</w:t>
      </w:r>
      <w:r>
        <w:rPr>
          <w:rFonts w:eastAsia="Times New Roman"/>
          <w:vanish/>
        </w:rPr>
        <w:t>FlowHedgingMemberus-gaap:DesignatedAsHedgingInstrumentMember2019-03-312020-03-280001037038us-gaap:ReclassificationOutOfAccumulatedOtherComprehensiveIncomeMemberus-gaap:ForeignExchangeForwardMemberus-gaap:CashFlowHedgingMemberus-gaap:DesignatedAsHedgingInst</w:t>
      </w:r>
      <w:r>
        <w:rPr>
          <w:rFonts w:eastAsia="Times New Roman"/>
          <w:vanish/>
        </w:rPr>
        <w:t>rumentMember2018-04-012019-03-300001037038us-gaap:NetInvestmentHedgingMemberus-gaap:DesignatedAsHedgingInstrumentMember2020-03-292021-03-270001037038us-gaap:NetInvestmentHedgingMemberus-gaap:DesignatedAsHedgingInstrumentMember2019-03-312020-03-280001037038</w:t>
      </w:r>
      <w:r>
        <w:rPr>
          <w:rFonts w:eastAsia="Times New Roman"/>
          <w:vanish/>
        </w:rPr>
        <w:t>us-gaap:NetInvestmentHedgingMemberus-gaap:DesignatedAsHedgingInstrumentMember2018-04-012019-03-300001037038us-gaap:ForeignExchangeForwardMember2020-03-292021-03-270001037038us-gaap:ForeignExchangeForwardMember2019-03-312020-03-280001037038us-gaap:ForeignEx</w:t>
      </w:r>
      <w:r>
        <w:rPr>
          <w:rFonts w:eastAsia="Times New Roman"/>
          <w:vanish/>
        </w:rPr>
        <w:t>changeForwardMember2018-04-012019-03-300001037038us-gaap:ForeignExchangeForwardMembersrt:MinimumMember2020-03-292021-03-270001037038srt:MaximumMemberus-gaap:ForeignExchangeForwardMember2020-03-292021-03-270001037038us-gaap:InterestRateSwapMember2019-03-312</w:t>
      </w:r>
      <w:r>
        <w:rPr>
          <w:rFonts w:eastAsia="Times New Roman"/>
          <w:vanish/>
        </w:rPr>
        <w:t>020-03-280001037038us-gaap:InterestRateSwapMember2020-03-292021-03-270001037038us-gaap:InterestRateSwapMember2018-04-012019-03-300001037038us-gaap:BankTimeDepositsMember2021-03-270001037038us-gaap:BankTimeDepositsMember2020-03-280001037038us-gaap:Commercia</w:t>
      </w:r>
      <w:r>
        <w:rPr>
          <w:rFonts w:eastAsia="Times New Roman"/>
          <w:vanish/>
        </w:rPr>
        <w:t>lPaperMember2020-03-280001037038us-gaap:SellingGeneralAndAdministrativeExpensesMember2020-03-292021-03-270001037038us-gaap:SellingGeneralAndAdministrativeExpensesMember2019-03-312020-03-280001037038us-gaap:InterestExpenseMember2020-03-292021-03-27000103703</w:t>
      </w:r>
      <w:r>
        <w:rPr>
          <w:rFonts w:eastAsia="Times New Roman"/>
          <w:vanish/>
        </w:rPr>
        <w:t>8us-gaap:InterestExpenseMember2019-03-312020-03-280001037038us-gaap:RestructuringChargesMember2020-03-292021-03-270001037038us-gaap:RestructuringChargesMember2019-03-312020-03-280001037038us-gaap:CostOfSalesMember2020-03-292021-03-270001037038us-gaap:CostO</w:t>
      </w:r>
      <w:r>
        <w:rPr>
          <w:rFonts w:eastAsia="Times New Roman"/>
          <w:vanish/>
        </w:rPr>
        <w:t>fSalesMember2019-03-312020-03-280001037038rl:USTaxReformMember2021-03-270001037038us-gaap:InventoriesMember2021-03-270001037038us-gaap:InterestExpenseMember2021-03-270001037038rl:OtherCommitmentsMember2021-03-27rl:class_of_stockrl:vote0001037038us-gaap:Com</w:t>
      </w:r>
      <w:r>
        <w:rPr>
          <w:rFonts w:eastAsia="Times New Roman"/>
          <w:vanish/>
        </w:rPr>
        <w:t>monClassAMember2020-03-292021-03-270001037038us-gaap:CommonClassBMember2020-03-292021-03-270001037038rl:GeneralRepurchaseProgramMember2020-03-292021-03-270001037038rl:GeneralRepurchaseProgramMember2019-03-312020-03-280001037038rl:GeneralRepurchaseProgramMe</w:t>
      </w:r>
      <w:r>
        <w:rPr>
          <w:rFonts w:eastAsia="Times New Roman"/>
          <w:vanish/>
        </w:rPr>
        <w:t>mber2018-04-012019-03-3000010370382019-05-130001037038rl:WithholdingInSatisfactionOfTaxesOnVestedEquityAwardMember2020-03-292021-03-270001037038rl:WithholdingInSatisfactionOfTaxesOnVestedEquityAwardMember2019-03-312020-03-280001037038rl:WithholdingInSatisf</w:t>
      </w:r>
      <w:r>
        <w:rPr>
          <w:rFonts w:eastAsia="Times New Roman"/>
          <w:vanish/>
        </w:rPr>
        <w:t>actionOfTaxesOnVestedEquityAwardMember2018-04-012019-03-3000010370382018-12-302019-03-3000010370382019-03-312019-06-290001037038us-gaap:AccumulatedTranslationAdjustmentMember2018-03-310001037038us-gaap:AccumulatedNetGainLossFromDesignatedOrQualifyingCashFl</w:t>
      </w:r>
      <w:r>
        <w:rPr>
          <w:rFonts w:eastAsia="Times New Roman"/>
          <w:vanish/>
        </w:rPr>
        <w:t>owHedgesMember2018-03-310001037038us-gaap:AccumulatedDefinedBenefitPlansAdjustmentMember2018-03-310001037038us-gaap:AccumulatedTranslationAdjustmentMember2018-04-012019-03-300001037038us-gaap:AccumulatedNetGainLossFromDesignatedOrQualifyingCashFlowHedgesMe</w:t>
      </w:r>
      <w:r>
        <w:rPr>
          <w:rFonts w:eastAsia="Times New Roman"/>
          <w:vanish/>
        </w:rPr>
        <w:t>mber2018-04-012019-03-300001037038us-gaap:AccumulatedDefinedBenefitPlansAdjustmentMember2018-04-012019-03-300001037038us-gaap:AccumulatedTranslationAdjustmentMember2019-03-300001037038us-gaap:AccumulatedNetGainLossFromDesignatedOrQualifyingCashFlowHedgesMe</w:t>
      </w:r>
      <w:r>
        <w:rPr>
          <w:rFonts w:eastAsia="Times New Roman"/>
          <w:vanish/>
        </w:rPr>
        <w:t>mber2019-03-300001037038us-gaap:AccumulatedDefinedBenefitPlansAdjustmentMember2019-03-300001037038us-gaap:AccumulatedTranslationAdjustmentMember2019-03-312020-03-280001037038us-gaap:AccumulatedNetGainLossFromDesignatedOrQualifyingCashFlowHedgesMember2019-0</w:t>
      </w:r>
      <w:r>
        <w:rPr>
          <w:rFonts w:eastAsia="Times New Roman"/>
          <w:vanish/>
        </w:rPr>
        <w:t>3-312020-03-280001037038us-gaap:AccumulatedDefinedBenefitPlansAdjustmentMember2019-03-312020-03-280001037038us-gaap:AccumulatedTranslationAdjustmentMember2020-03-280001037038us-gaap:AccumulatedNetGainLossFromDesignatedOrQualifyingCashFlowHedgesMember2020-0</w:t>
      </w:r>
      <w:r>
        <w:rPr>
          <w:rFonts w:eastAsia="Times New Roman"/>
          <w:vanish/>
        </w:rPr>
        <w:t>3-280001037038us-gaap:AccumulatedDefinedBenefitPlansAdjustmentMember2020-03-280001037038us-gaap:AccumulatedTranslationAdjustmentMember2020-03-292021-03-270001037038us-gaap:AccumulatedNetGainLossFromDesignatedOrQualifyingCashFlowHedgesMember2020-03-292021-0</w:t>
      </w:r>
      <w:r>
        <w:rPr>
          <w:rFonts w:eastAsia="Times New Roman"/>
          <w:vanish/>
        </w:rPr>
        <w:t>3-270001037038us-gaap:AccumulatedDefinedBenefitPlansAdjustmentMember2020-03-292021-03-270001037038us-gaap:AccumulatedTranslationAdjustmentMember2021-03-270001037038us-gaap:AccumulatedNetGainLossFromDesignatedOrQualifyingCashFlowHedgesMember2021-03-27000103</w:t>
      </w:r>
      <w:r>
        <w:rPr>
          <w:rFonts w:eastAsia="Times New Roman"/>
          <w:vanish/>
        </w:rPr>
        <w:t>7038us-gaap:AccumulatedDefinedBenefitPlansAdjustmentMember2021-03-270001037038us-gaap:ReclassificationOutOfAccumulatedOtherComprehensiveIncomeMemberus-gaap:CashFlowHedgingMember2020-03-292021-03-270001037038us-gaap:ReclassificationOutOfAccumulatedOtherComp</w:t>
      </w:r>
      <w:r>
        <w:rPr>
          <w:rFonts w:eastAsia="Times New Roman"/>
          <w:vanish/>
        </w:rPr>
        <w:t>rehensiveIncomeMemberus-gaap:CashFlowHedgingMember2019-03-312020-03-280001037038us-gaap:ReclassificationOutOfAccumulatedOtherComprehensiveIncomeMemberus-gaap:CashFlowHedgingMember2018-04-012019-03-300001037038rl:A2019LongTermStockIncentivePlanMember2019-03</w:t>
      </w:r>
      <w:r>
        <w:rPr>
          <w:rFonts w:eastAsia="Times New Roman"/>
          <w:vanish/>
        </w:rPr>
        <w:t>-312020-03-280001037038rl:A2010LongTermStockIncentivePlanMember2019-08-010001037038us-gaap:RestrictedStockMember2020-03-292021-03-270001037038us-gaap:RestrictedStockUnitsRSUMember2020-03-292021-03-270001037038rl:RestrictedStockAndServiceBasedRestrictedStoc</w:t>
      </w:r>
      <w:r>
        <w:rPr>
          <w:rFonts w:eastAsia="Times New Roman"/>
          <w:vanish/>
        </w:rPr>
        <w:t>kUnitsMember2020-03-292021-03-270001037038us-gaap:RestrictedStockMember2020-03-280001037038us-gaap:RestrictedStockUnitsRSUMember2020-03-280001037038us-gaap:RestrictedStockMember2021-03-270001037038us-gaap:RestrictedStockUnitsRSUMember2021-03-270001037038us</w:t>
      </w:r>
      <w:r>
        <w:rPr>
          <w:rFonts w:eastAsia="Times New Roman"/>
          <w:vanish/>
        </w:rPr>
        <w:t>-gaap:RestrictedStockMember2019-03-312020-03-280001037038us-gaap:RestrictedStockMember2018-04-012019-03-300001037038us-gaap:RestrictedStockUnitsRSUMember2019-03-312020-03-280001037038us-gaap:RestrictedStockUnitsRSUMember2018-04-012019-03-300001037038us-gaa</w:t>
      </w:r>
      <w:r>
        <w:rPr>
          <w:rFonts w:eastAsia="Times New Roman"/>
          <w:vanish/>
        </w:rPr>
        <w:t>p:PerformanceSharesMember2020-03-292021-03-270001037038us-gaap:PerformanceSharesMembersrt:MinimumMember2020-03-292021-03-270001037038srt:MaximumMemberus-gaap:PerformanceSharesMember2020-03-292021-03-270001037038us-gaap:PerformanceSharesMembersrt:MinimumMem</w:t>
      </w:r>
      <w:r>
        <w:rPr>
          <w:rFonts w:eastAsia="Times New Roman"/>
          <w:vanish/>
        </w:rPr>
        <w:t>ber2017-04-022018-03-310001037038srt:MaximumMemberus-gaap:PerformanceSharesMember2017-04-022018-03-310001037038rl:TSRSharesMember2020-03-292021-03-270001037038rl:TSRSharesMembersrt:MinimumMember2020-03-292021-03-270001037038rl:TSRSharesMembersrt:MaximumMem</w:t>
      </w:r>
      <w:r>
        <w:rPr>
          <w:rFonts w:eastAsia="Times New Roman"/>
          <w:vanish/>
        </w:rPr>
        <w:t>ber2020-03-292021-03-270001037038rl:TSRSharesMember2019-03-312020-03-280001037038rl:TSRSharesMember2018-04-012019-03-300001037038us-gaap:PerformanceSharesMember2020-03-280001037038us-gaap:PerformanceSharesMember2021-03-270001037038us-gaap:PerformanceShares</w:t>
      </w:r>
      <w:r>
        <w:rPr>
          <w:rFonts w:eastAsia="Times New Roman"/>
          <w:vanish/>
        </w:rPr>
        <w:t>Member2019-03-312020-03-280001037038us-gaap:PerformanceSharesMember2018-04-012019-03-300001037038us-gaap:EmployeeStockOptionMember2020-03-292021-03-270001037038us-gaap:EmployeeStockOptionMember2021-03-270001037038rl:AbovetargetperformanceminimummatchMember</w:t>
      </w:r>
      <w:r>
        <w:rPr>
          <w:rFonts w:eastAsia="Times New Roman"/>
          <w:vanish/>
        </w:rPr>
        <w:t>2020-03-292021-03-270001037038rl:AbovetargetperformancemaximummatchMember2020-03-292021-03-270001037038us-gaap:SupplementalEmployeeRetirementPlanDefinedBenefitMember2021-03-270001037038us-gaap:SupplementalEmployeeRetirementPlanDefinedBenefitMember2020-03-2</w:t>
      </w:r>
      <w:r>
        <w:rPr>
          <w:rFonts w:eastAsia="Times New Roman"/>
          <w:vanish/>
        </w:rPr>
        <w:t>80001037038us-gaap:AllOtherSegmentsMember2018-04-012019-03-300001037038rl:TotalOperatingSegmentsMember2020-03-292021-03-270001037038rl:TotalOperatingSegmentsMember2019-03-312020-03-280001037038rl:TotalOperatingSegmentsMember2018-04-012019-03-300001037038us</w:t>
      </w:r>
      <w:r>
        <w:rPr>
          <w:rFonts w:eastAsia="Times New Roman"/>
          <w:vanish/>
        </w:rPr>
        <w:t>-gaap:MaterialReconcilingItemsMember2020-03-292021-03-270001037038us-gaap:MaterialReconcilingItemsMember2019-03-312020-03-280001037038us-gaap:MaterialReconcilingItemsMember2018-04-012019-03-300001037038rl:NorthAmericaRelatedMember2020-03-292021-03-27000103</w:t>
      </w:r>
      <w:r>
        <w:rPr>
          <w:rFonts w:eastAsia="Times New Roman"/>
          <w:vanish/>
        </w:rPr>
        <w:t>7038rl:NorthAmericaRelatedMember2019-03-312020-03-280001037038rl:NorthAmericaRelatedMember2018-04-012019-03-300001037038rl:EuropeRelatedMember2020-03-292021-03-270001037038rl:EuropeRelatedMember2019-03-312020-03-280001037038rl:EuropeRelatedMember2018-04-01</w:t>
      </w:r>
      <w:r>
        <w:rPr>
          <w:rFonts w:eastAsia="Times New Roman"/>
          <w:vanish/>
        </w:rPr>
        <w:t>2019-03-300001037038rl:AsiaRelatedMember2020-03-292021-03-270001037038rl:AsiaRelatedMember2019-03-312020-03-280001037038rl:AsiaRelatedMember2018-04-012019-03-300001037038rl:CorporateRelatedMember2020-03-292021-03-270001037038rl:CorporateRelatedMember2019-0</w:t>
      </w:r>
      <w:r>
        <w:rPr>
          <w:rFonts w:eastAsia="Times New Roman"/>
          <w:vanish/>
        </w:rPr>
        <w:t>3-312020-03-280001037038rl:CorporateRelatedMember2018-04-012019-03-300001037038rl:UnallocatedCorporateMember2020-03-292021-03-270001037038rl:UnallocatedCorporateMember2019-03-312020-03-280001037038rl:UnallocatedCorporateMember2018-04-012019-03-300001037038</w:t>
      </w:r>
      <w:r>
        <w:rPr>
          <w:rFonts w:eastAsia="Times New Roman"/>
          <w:vanish/>
        </w:rPr>
        <w:t>rl:UnallocatedrestructuringandotherchargesMember2020-03-292021-03-270001037038rl:UnallocatedrestructuringandotherchargesMember2019-03-312020-03-280001037038rl:UnallocatedrestructuringandotherchargesMember2018-04-012019-03-300001037038srt:AmericasMember2020</w:t>
      </w:r>
      <w:r>
        <w:rPr>
          <w:rFonts w:eastAsia="Times New Roman"/>
          <w:vanish/>
        </w:rPr>
        <w:t>-03-292021-03-270001037038srt:AmericasMember2019-03-312020-03-280001037038srt:AmericasMember2018-04-012019-03-300001037038srt:EuropeMember2020-03-292021-03-270001037038srt:EuropeMember2019-03-312020-03-280001037038srt:EuropeMember2018-04-012019-03-30000103</w:t>
      </w:r>
      <w:r>
        <w:rPr>
          <w:rFonts w:eastAsia="Times New Roman"/>
          <w:vanish/>
        </w:rPr>
        <w:t>7038srt:AsiaMember2020-03-292021-03-270001037038srt:AsiaMember2019-03-312020-03-280001037038srt:AsiaMember2018-04-012019-03-300001037038srt:AmericasMember2021-03-270001037038srt:AmericasMember2020-03-280001037038srt:EuropeMember2021-03-270001037038srt:Euro</w:t>
      </w:r>
      <w:r>
        <w:rPr>
          <w:rFonts w:eastAsia="Times New Roman"/>
          <w:vanish/>
        </w:rPr>
        <w:t>peMember2020-03-280001037038srt:AsiaMember2021-03-270001037038srt:AsiaMember2020-03-280001037038country:US2020-03-292021-03-270001037038country:US2019-03-312020-03-280001037038country:US2018-04-012019-03-300001037038country:US2021-03-270001037038country:US</w:t>
      </w:r>
      <w:r>
        <w:rPr>
          <w:rFonts w:eastAsia="Times New Roman"/>
          <w:vanish/>
        </w:rPr>
        <w:t>2020-03-28</w:t>
      </w:r>
    </w:p>
    <w:p w14:paraId="378D025C" w14:textId="77777777" w:rsidR="00000000" w:rsidRDefault="00EE5306">
      <w:pPr>
        <w:divId w:val="6272544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CDF3D65" w14:textId="77777777">
        <w:trPr>
          <w:divId w:val="1143959937"/>
        </w:trPr>
        <w:tc>
          <w:tcPr>
            <w:tcW w:w="50" w:type="pct"/>
            <w:vAlign w:val="center"/>
            <w:hideMark/>
          </w:tcPr>
          <w:p w14:paraId="37A05A1D" w14:textId="77777777" w:rsidR="00000000" w:rsidRDefault="00EE5306">
            <w:pPr>
              <w:rPr>
                <w:rFonts w:eastAsia="Times New Roman"/>
              </w:rPr>
            </w:pPr>
          </w:p>
        </w:tc>
        <w:tc>
          <w:tcPr>
            <w:tcW w:w="4945" w:type="pct"/>
            <w:vAlign w:val="center"/>
            <w:hideMark/>
          </w:tcPr>
          <w:p w14:paraId="1DADEA72" w14:textId="77777777" w:rsidR="00000000" w:rsidRDefault="00EE5306">
            <w:pPr>
              <w:spacing w:after="100"/>
              <w:rPr>
                <w:rFonts w:eastAsia="Times New Roman"/>
                <w:sz w:val="20"/>
                <w:szCs w:val="20"/>
              </w:rPr>
            </w:pPr>
          </w:p>
        </w:tc>
        <w:tc>
          <w:tcPr>
            <w:tcW w:w="5" w:type="pct"/>
            <w:vAlign w:val="center"/>
            <w:hideMark/>
          </w:tcPr>
          <w:p w14:paraId="3407DE13" w14:textId="77777777" w:rsidR="00000000" w:rsidRDefault="00EE5306">
            <w:pPr>
              <w:spacing w:after="100"/>
              <w:rPr>
                <w:rFonts w:eastAsia="Times New Roman"/>
                <w:sz w:val="20"/>
                <w:szCs w:val="20"/>
              </w:rPr>
            </w:pPr>
          </w:p>
        </w:tc>
      </w:tr>
      <w:tr w:rsidR="00000000" w14:paraId="271285F7" w14:textId="77777777">
        <w:trPr>
          <w:divId w:val="1143959937"/>
          <w:trHeight w:val="100"/>
        </w:trPr>
        <w:tc>
          <w:tcPr>
            <w:tcW w:w="0" w:type="auto"/>
            <w:gridSpan w:val="3"/>
            <w:tcBorders>
              <w:bottom w:val="single" w:sz="18" w:space="0" w:color="000000"/>
            </w:tcBorders>
            <w:tcMar>
              <w:top w:w="0" w:type="dxa"/>
              <w:left w:w="20" w:type="dxa"/>
              <w:bottom w:w="0" w:type="dxa"/>
              <w:right w:w="20" w:type="dxa"/>
            </w:tcMar>
            <w:vAlign w:val="center"/>
            <w:hideMark/>
          </w:tcPr>
          <w:p w14:paraId="0B4311E7" w14:textId="77777777" w:rsidR="00000000" w:rsidRDefault="00EE5306">
            <w:pPr>
              <w:spacing w:after="100"/>
              <w:rPr>
                <w:rFonts w:eastAsia="Times New Roman"/>
                <w:sz w:val="20"/>
                <w:szCs w:val="20"/>
              </w:rPr>
            </w:pPr>
          </w:p>
        </w:tc>
      </w:tr>
    </w:tbl>
    <w:p w14:paraId="0CAA0D4E" w14:textId="77777777" w:rsidR="00000000" w:rsidRDefault="00EE5306">
      <w:pPr>
        <w:divId w:val="274950799"/>
        <w:rPr>
          <w:rFonts w:eastAsia="Times New Roman"/>
        </w:rPr>
      </w:pPr>
    </w:p>
    <w:p w14:paraId="72CD2221" w14:textId="77777777" w:rsidR="00000000" w:rsidRDefault="00EE5306">
      <w:pPr>
        <w:jc w:val="center"/>
        <w:rPr>
          <w:rFonts w:eastAsia="Times New Roman"/>
        </w:rPr>
      </w:pPr>
      <w:r>
        <w:rPr>
          <w:rFonts w:eastAsia="Times New Roman"/>
          <w:b/>
          <w:bCs/>
          <w:color w:val="000000"/>
          <w:sz w:val="27"/>
          <w:szCs w:val="27"/>
        </w:rPr>
        <w:t>UNITED STATES</w:t>
      </w:r>
    </w:p>
    <w:p w14:paraId="42A3400D" w14:textId="77777777" w:rsidR="00000000" w:rsidRDefault="00EE5306">
      <w:pPr>
        <w:jc w:val="center"/>
        <w:rPr>
          <w:rFonts w:eastAsia="Times New Roman"/>
        </w:rPr>
      </w:pPr>
      <w:r>
        <w:rPr>
          <w:rFonts w:eastAsia="Times New Roman"/>
          <w:b/>
          <w:bCs/>
          <w:color w:val="000000"/>
          <w:sz w:val="27"/>
          <w:szCs w:val="27"/>
        </w:rPr>
        <w:t>SECURITIES AND EXCHANGE COMMISSION</w:t>
      </w:r>
    </w:p>
    <w:p w14:paraId="0BDD1A80" w14:textId="77777777" w:rsidR="00000000" w:rsidRDefault="00EE5306">
      <w:pPr>
        <w:jc w:val="center"/>
        <w:rPr>
          <w:rFonts w:eastAsia="Times New Roman"/>
        </w:rPr>
      </w:pPr>
      <w:r>
        <w:rPr>
          <w:rFonts w:eastAsia="Times New Roman"/>
          <w:b/>
          <w:bCs/>
          <w:color w:val="000000"/>
        </w:rPr>
        <w:t>Washington, D.C. 20549</w:t>
      </w:r>
    </w:p>
    <w:p w14:paraId="3C4E69EE" w14:textId="77777777" w:rsidR="00000000" w:rsidRDefault="00EE5306">
      <w:pPr>
        <w:jc w:val="center"/>
        <w:divId w:val="446706994"/>
        <w:rPr>
          <w:rFonts w:eastAsia="Times New Roman"/>
        </w:rPr>
      </w:pPr>
      <w:r>
        <w:rPr>
          <w:rFonts w:eastAsia="Times New Roman"/>
          <w:b/>
          <w:bCs/>
          <w:color w:val="000000"/>
          <w:sz w:val="36"/>
          <w:szCs w:val="36"/>
        </w:rPr>
        <w:t xml:space="preserve">Form 10-K </w:t>
      </w:r>
    </w:p>
    <w:p w14:paraId="2742A99A" w14:textId="77777777" w:rsidR="00000000" w:rsidRDefault="00EE5306">
      <w:pPr>
        <w:divId w:val="1150706152"/>
        <w:rPr>
          <w:rFonts w:eastAsia="Times New Roman"/>
        </w:rPr>
      </w:pPr>
      <w:r>
        <w:rPr>
          <w:rFonts w:eastAsia="Times New Roman"/>
          <w:color w:val="000000"/>
          <w:sz w:val="18"/>
          <w:szCs w:val="18"/>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506"/>
        <w:gridCol w:w="36"/>
        <w:gridCol w:w="69"/>
        <w:gridCol w:w="7590"/>
        <w:gridCol w:w="36"/>
      </w:tblGrid>
      <w:tr w:rsidR="00000000" w14:paraId="4C65877D" w14:textId="77777777">
        <w:trPr>
          <w:divId w:val="1855803618"/>
        </w:trPr>
        <w:tc>
          <w:tcPr>
            <w:tcW w:w="50" w:type="pct"/>
            <w:vAlign w:val="center"/>
            <w:hideMark/>
          </w:tcPr>
          <w:p w14:paraId="43714021" w14:textId="77777777" w:rsidR="00000000" w:rsidRDefault="00EE5306">
            <w:pPr>
              <w:rPr>
                <w:rFonts w:eastAsia="Times New Roman"/>
              </w:rPr>
            </w:pPr>
          </w:p>
        </w:tc>
        <w:tc>
          <w:tcPr>
            <w:tcW w:w="313" w:type="pct"/>
            <w:vAlign w:val="center"/>
            <w:hideMark/>
          </w:tcPr>
          <w:p w14:paraId="6AB5FAE4" w14:textId="77777777" w:rsidR="00000000" w:rsidRDefault="00EE5306">
            <w:pPr>
              <w:spacing w:after="100"/>
              <w:rPr>
                <w:rFonts w:eastAsia="Times New Roman"/>
                <w:sz w:val="20"/>
                <w:szCs w:val="20"/>
              </w:rPr>
            </w:pPr>
          </w:p>
        </w:tc>
        <w:tc>
          <w:tcPr>
            <w:tcW w:w="5" w:type="pct"/>
            <w:vAlign w:val="center"/>
            <w:hideMark/>
          </w:tcPr>
          <w:p w14:paraId="6266F2EA" w14:textId="77777777" w:rsidR="00000000" w:rsidRDefault="00EE5306">
            <w:pPr>
              <w:spacing w:after="100"/>
              <w:rPr>
                <w:rFonts w:eastAsia="Times New Roman"/>
                <w:sz w:val="20"/>
                <w:szCs w:val="20"/>
              </w:rPr>
            </w:pPr>
          </w:p>
        </w:tc>
        <w:tc>
          <w:tcPr>
            <w:tcW w:w="50" w:type="pct"/>
            <w:vAlign w:val="center"/>
            <w:hideMark/>
          </w:tcPr>
          <w:p w14:paraId="2281DF0A" w14:textId="77777777" w:rsidR="00000000" w:rsidRDefault="00EE5306">
            <w:pPr>
              <w:spacing w:after="100"/>
              <w:rPr>
                <w:rFonts w:eastAsia="Times New Roman"/>
                <w:sz w:val="20"/>
                <w:szCs w:val="20"/>
              </w:rPr>
            </w:pPr>
          </w:p>
        </w:tc>
        <w:tc>
          <w:tcPr>
            <w:tcW w:w="4576" w:type="pct"/>
            <w:vAlign w:val="center"/>
            <w:hideMark/>
          </w:tcPr>
          <w:p w14:paraId="6B5648EA" w14:textId="77777777" w:rsidR="00000000" w:rsidRDefault="00EE5306">
            <w:pPr>
              <w:spacing w:after="100"/>
              <w:rPr>
                <w:rFonts w:eastAsia="Times New Roman"/>
                <w:sz w:val="20"/>
                <w:szCs w:val="20"/>
              </w:rPr>
            </w:pPr>
          </w:p>
        </w:tc>
        <w:tc>
          <w:tcPr>
            <w:tcW w:w="5" w:type="pct"/>
            <w:vAlign w:val="center"/>
            <w:hideMark/>
          </w:tcPr>
          <w:p w14:paraId="68382161" w14:textId="77777777" w:rsidR="00000000" w:rsidRDefault="00EE5306">
            <w:pPr>
              <w:spacing w:after="100"/>
              <w:rPr>
                <w:rFonts w:eastAsia="Times New Roman"/>
                <w:sz w:val="20"/>
                <w:szCs w:val="20"/>
              </w:rPr>
            </w:pPr>
          </w:p>
        </w:tc>
      </w:tr>
      <w:tr w:rsidR="00000000" w14:paraId="6E8086B8" w14:textId="77777777">
        <w:trPr>
          <w:divId w:val="1855803618"/>
        </w:trPr>
        <w:tc>
          <w:tcPr>
            <w:tcW w:w="0" w:type="auto"/>
            <w:gridSpan w:val="3"/>
            <w:tcMar>
              <w:top w:w="30" w:type="dxa"/>
              <w:left w:w="20" w:type="dxa"/>
              <w:bottom w:w="30" w:type="dxa"/>
              <w:right w:w="20" w:type="dxa"/>
            </w:tcMar>
            <w:vAlign w:val="bottom"/>
            <w:hideMark/>
          </w:tcPr>
          <w:p w14:paraId="6E0BACE9" w14:textId="77777777" w:rsidR="00000000" w:rsidRDefault="00EE5306">
            <w:pPr>
              <w:spacing w:after="100"/>
              <w:jc w:val="center"/>
              <w:rPr>
                <w:rFonts w:eastAsia="Times New Roman"/>
              </w:rPr>
            </w:pPr>
            <w:r>
              <w:rPr>
                <w:rFonts w:ascii="Segoe UI Emoji" w:eastAsia="Times New Roman" w:hAnsi="Segoe UI Emoji" w:cs="Segoe UI Emoji"/>
                <w:b/>
                <w:bCs/>
                <w:color w:val="000000"/>
                <w:sz w:val="20"/>
                <w:szCs w:val="20"/>
              </w:rPr>
              <w:t>☑</w:t>
            </w:r>
          </w:p>
        </w:tc>
        <w:tc>
          <w:tcPr>
            <w:tcW w:w="0" w:type="auto"/>
            <w:gridSpan w:val="3"/>
            <w:tcMar>
              <w:top w:w="30" w:type="dxa"/>
              <w:left w:w="20" w:type="dxa"/>
              <w:bottom w:w="30" w:type="dxa"/>
              <w:right w:w="20" w:type="dxa"/>
            </w:tcMar>
            <w:vAlign w:val="bottom"/>
            <w:hideMark/>
          </w:tcPr>
          <w:p w14:paraId="50F55311" w14:textId="77777777" w:rsidR="00000000" w:rsidRDefault="00EE5306">
            <w:pPr>
              <w:spacing w:after="100"/>
              <w:rPr>
                <w:rFonts w:eastAsia="Times New Roman"/>
              </w:rPr>
            </w:pPr>
            <w:r>
              <w:rPr>
                <w:rFonts w:eastAsia="Times New Roman"/>
                <w:b/>
                <w:bCs/>
                <w:color w:val="000000"/>
                <w:sz w:val="19"/>
                <w:szCs w:val="19"/>
              </w:rPr>
              <w:t xml:space="preserve">ANNUAL REPORT PURSUANT TO SECTION 13 OR 15(d) OF THE SECURITIES EXCHANGE ACT OF 1934 </w:t>
            </w:r>
          </w:p>
        </w:tc>
      </w:tr>
    </w:tbl>
    <w:p w14:paraId="53BD2EFD" w14:textId="77777777" w:rsidR="00000000" w:rsidRDefault="00EE5306">
      <w:pPr>
        <w:divId w:val="84693833"/>
        <w:rPr>
          <w:rFonts w:eastAsia="Times New Roman"/>
        </w:rPr>
      </w:pPr>
      <w:r>
        <w:rPr>
          <w:rFonts w:eastAsia="Times New Roman"/>
          <w:b/>
          <w:bCs/>
          <w:color w:val="000000"/>
          <w:sz w:val="19"/>
          <w:szCs w:val="19"/>
        </w:rPr>
        <w:t>     For the fiscal year ended March 27, 2021</w:t>
      </w:r>
    </w:p>
    <w:p w14:paraId="1BC07A5A" w14:textId="77777777" w:rsidR="00000000" w:rsidRDefault="00EE5306">
      <w:pPr>
        <w:jc w:val="center"/>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506"/>
        <w:gridCol w:w="36"/>
        <w:gridCol w:w="69"/>
        <w:gridCol w:w="7590"/>
        <w:gridCol w:w="36"/>
      </w:tblGrid>
      <w:tr w:rsidR="00000000" w14:paraId="7EC9D18A" w14:textId="77777777">
        <w:trPr>
          <w:divId w:val="856038957"/>
        </w:trPr>
        <w:tc>
          <w:tcPr>
            <w:tcW w:w="50" w:type="pct"/>
            <w:vAlign w:val="center"/>
            <w:hideMark/>
          </w:tcPr>
          <w:p w14:paraId="42228B63" w14:textId="77777777" w:rsidR="00000000" w:rsidRDefault="00EE5306">
            <w:pPr>
              <w:jc w:val="center"/>
              <w:rPr>
                <w:rFonts w:eastAsia="Times New Roman"/>
              </w:rPr>
            </w:pPr>
          </w:p>
        </w:tc>
        <w:tc>
          <w:tcPr>
            <w:tcW w:w="313" w:type="pct"/>
            <w:vAlign w:val="center"/>
            <w:hideMark/>
          </w:tcPr>
          <w:p w14:paraId="424A33C0" w14:textId="77777777" w:rsidR="00000000" w:rsidRDefault="00EE5306">
            <w:pPr>
              <w:spacing w:after="100"/>
              <w:rPr>
                <w:rFonts w:eastAsia="Times New Roman"/>
                <w:sz w:val="20"/>
                <w:szCs w:val="20"/>
              </w:rPr>
            </w:pPr>
          </w:p>
        </w:tc>
        <w:tc>
          <w:tcPr>
            <w:tcW w:w="5" w:type="pct"/>
            <w:vAlign w:val="center"/>
            <w:hideMark/>
          </w:tcPr>
          <w:p w14:paraId="33B01DF9" w14:textId="77777777" w:rsidR="00000000" w:rsidRDefault="00EE5306">
            <w:pPr>
              <w:spacing w:after="100"/>
              <w:rPr>
                <w:rFonts w:eastAsia="Times New Roman"/>
                <w:sz w:val="20"/>
                <w:szCs w:val="20"/>
              </w:rPr>
            </w:pPr>
          </w:p>
        </w:tc>
        <w:tc>
          <w:tcPr>
            <w:tcW w:w="50" w:type="pct"/>
            <w:vAlign w:val="center"/>
            <w:hideMark/>
          </w:tcPr>
          <w:p w14:paraId="067AAF67" w14:textId="77777777" w:rsidR="00000000" w:rsidRDefault="00EE5306">
            <w:pPr>
              <w:spacing w:after="100"/>
              <w:rPr>
                <w:rFonts w:eastAsia="Times New Roman"/>
                <w:sz w:val="20"/>
                <w:szCs w:val="20"/>
              </w:rPr>
            </w:pPr>
          </w:p>
        </w:tc>
        <w:tc>
          <w:tcPr>
            <w:tcW w:w="4576" w:type="pct"/>
            <w:vAlign w:val="center"/>
            <w:hideMark/>
          </w:tcPr>
          <w:p w14:paraId="2BA7C302" w14:textId="77777777" w:rsidR="00000000" w:rsidRDefault="00EE5306">
            <w:pPr>
              <w:spacing w:after="100"/>
              <w:rPr>
                <w:rFonts w:eastAsia="Times New Roman"/>
                <w:sz w:val="20"/>
                <w:szCs w:val="20"/>
              </w:rPr>
            </w:pPr>
          </w:p>
        </w:tc>
        <w:tc>
          <w:tcPr>
            <w:tcW w:w="5" w:type="pct"/>
            <w:vAlign w:val="center"/>
            <w:hideMark/>
          </w:tcPr>
          <w:p w14:paraId="5DF0ED3B" w14:textId="77777777" w:rsidR="00000000" w:rsidRDefault="00EE5306">
            <w:pPr>
              <w:spacing w:after="100"/>
              <w:rPr>
                <w:rFonts w:eastAsia="Times New Roman"/>
                <w:sz w:val="20"/>
                <w:szCs w:val="20"/>
              </w:rPr>
            </w:pPr>
          </w:p>
        </w:tc>
      </w:tr>
      <w:tr w:rsidR="00000000" w14:paraId="35C42282" w14:textId="77777777">
        <w:trPr>
          <w:divId w:val="856038957"/>
        </w:trPr>
        <w:tc>
          <w:tcPr>
            <w:tcW w:w="0" w:type="auto"/>
            <w:gridSpan w:val="3"/>
            <w:tcMar>
              <w:top w:w="30" w:type="dxa"/>
              <w:left w:w="20" w:type="dxa"/>
              <w:bottom w:w="30" w:type="dxa"/>
              <w:right w:w="20" w:type="dxa"/>
            </w:tcMar>
            <w:hideMark/>
          </w:tcPr>
          <w:p w14:paraId="1F78848F" w14:textId="77777777" w:rsidR="00000000" w:rsidRDefault="00EE5306">
            <w:pPr>
              <w:spacing w:after="100"/>
              <w:jc w:val="center"/>
              <w:rPr>
                <w:rFonts w:eastAsia="Times New Roman"/>
              </w:rPr>
            </w:pPr>
            <w:r>
              <w:rPr>
                <w:rFonts w:ascii="Segoe UI Symbol" w:eastAsia="Times New Roman" w:hAnsi="Segoe UI Symbol" w:cs="Segoe UI Symbol"/>
                <w:b/>
                <w:bCs/>
                <w:color w:val="000000"/>
                <w:sz w:val="20"/>
                <w:szCs w:val="20"/>
              </w:rPr>
              <w:t>☐</w:t>
            </w:r>
          </w:p>
        </w:tc>
        <w:tc>
          <w:tcPr>
            <w:tcW w:w="0" w:type="auto"/>
            <w:gridSpan w:val="3"/>
            <w:tcMar>
              <w:top w:w="30" w:type="dxa"/>
              <w:left w:w="20" w:type="dxa"/>
              <w:bottom w:w="30" w:type="dxa"/>
              <w:right w:w="20" w:type="dxa"/>
            </w:tcMar>
            <w:vAlign w:val="bottom"/>
            <w:hideMark/>
          </w:tcPr>
          <w:p w14:paraId="6D822B4D" w14:textId="77777777" w:rsidR="00000000" w:rsidRDefault="00EE5306">
            <w:pPr>
              <w:spacing w:after="100"/>
              <w:rPr>
                <w:rFonts w:eastAsia="Times New Roman"/>
              </w:rPr>
            </w:pPr>
            <w:r>
              <w:rPr>
                <w:rFonts w:eastAsia="Times New Roman"/>
                <w:b/>
                <w:bCs/>
                <w:color w:val="000000"/>
                <w:sz w:val="19"/>
                <w:szCs w:val="19"/>
              </w:rPr>
              <w:t>TRANSITION REPORT PURSUANT TO SECTION 13 OR 15(d) OF THE SECURITIES EXCHANGE ACT OF 1934</w:t>
            </w:r>
          </w:p>
        </w:tc>
      </w:tr>
    </w:tbl>
    <w:p w14:paraId="406CA0AE" w14:textId="77777777" w:rsidR="00000000" w:rsidRDefault="00EE5306">
      <w:pPr>
        <w:jc w:val="center"/>
        <w:divId w:val="1201475009"/>
        <w:rPr>
          <w:rFonts w:eastAsia="Times New Roman"/>
        </w:rPr>
      </w:pPr>
      <w:r>
        <w:rPr>
          <w:rFonts w:eastAsia="Times New Roman"/>
          <w:b/>
          <w:bCs/>
          <w:color w:val="000000"/>
          <w:sz w:val="20"/>
          <w:szCs w:val="20"/>
        </w:rPr>
        <w:t xml:space="preserve">Commission File Number: 001-13057 </w:t>
      </w:r>
    </w:p>
    <w:p w14:paraId="225D09AE" w14:textId="77777777" w:rsidR="00000000" w:rsidRDefault="00EE5306">
      <w:pPr>
        <w:jc w:val="center"/>
        <w:rPr>
          <w:rFonts w:eastAsia="Times New Roman"/>
        </w:rPr>
      </w:pPr>
      <w:r>
        <w:rPr>
          <w:rFonts w:eastAsia="Times New Roman"/>
          <w:b/>
          <w:bCs/>
          <w:color w:val="000000"/>
          <w:sz w:val="46"/>
          <w:szCs w:val="46"/>
        </w:rPr>
        <w:t xml:space="preserve">RALPH LAUREN CORPORATION </w:t>
      </w:r>
    </w:p>
    <w:p w14:paraId="66492336" w14:textId="77777777" w:rsidR="00000000" w:rsidRDefault="00EE5306">
      <w:pPr>
        <w:jc w:val="center"/>
        <w:rPr>
          <w:rFonts w:eastAsia="Times New Roman"/>
        </w:rPr>
      </w:pPr>
      <w:r>
        <w:rPr>
          <w:rFonts w:eastAsia="Times New Roman"/>
          <w:i/>
          <w:iCs/>
          <w:color w:val="000000"/>
          <w:sz w:val="16"/>
          <w:szCs w:val="16"/>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8"/>
        <w:gridCol w:w="1509"/>
        <w:gridCol w:w="38"/>
        <w:gridCol w:w="69"/>
        <w:gridCol w:w="690"/>
        <w:gridCol w:w="37"/>
        <w:gridCol w:w="69"/>
        <w:gridCol w:w="875"/>
        <w:gridCol w:w="37"/>
        <w:gridCol w:w="69"/>
        <w:gridCol w:w="1428"/>
        <w:gridCol w:w="36"/>
        <w:gridCol w:w="69"/>
        <w:gridCol w:w="3275"/>
        <w:gridCol w:w="37"/>
      </w:tblGrid>
      <w:tr w:rsidR="00000000" w14:paraId="5CC4FD31" w14:textId="77777777">
        <w:trPr>
          <w:divId w:val="1982034651"/>
        </w:trPr>
        <w:tc>
          <w:tcPr>
            <w:tcW w:w="50" w:type="pct"/>
            <w:vAlign w:val="center"/>
            <w:hideMark/>
          </w:tcPr>
          <w:p w14:paraId="1ED8C801" w14:textId="77777777" w:rsidR="00000000" w:rsidRDefault="00EE5306">
            <w:pPr>
              <w:jc w:val="center"/>
              <w:rPr>
                <w:rFonts w:eastAsia="Times New Roman"/>
              </w:rPr>
            </w:pPr>
          </w:p>
        </w:tc>
        <w:tc>
          <w:tcPr>
            <w:tcW w:w="917" w:type="pct"/>
            <w:vAlign w:val="center"/>
            <w:hideMark/>
          </w:tcPr>
          <w:p w14:paraId="7D7D8BBA" w14:textId="77777777" w:rsidR="00000000" w:rsidRDefault="00EE5306">
            <w:pPr>
              <w:spacing w:after="100"/>
              <w:rPr>
                <w:rFonts w:eastAsia="Times New Roman"/>
                <w:sz w:val="20"/>
                <w:szCs w:val="20"/>
              </w:rPr>
            </w:pPr>
          </w:p>
        </w:tc>
        <w:tc>
          <w:tcPr>
            <w:tcW w:w="5" w:type="pct"/>
            <w:vAlign w:val="center"/>
            <w:hideMark/>
          </w:tcPr>
          <w:p w14:paraId="546655B5" w14:textId="77777777" w:rsidR="00000000" w:rsidRDefault="00EE5306">
            <w:pPr>
              <w:spacing w:after="100"/>
              <w:rPr>
                <w:rFonts w:eastAsia="Times New Roman"/>
                <w:sz w:val="20"/>
                <w:szCs w:val="20"/>
              </w:rPr>
            </w:pPr>
          </w:p>
        </w:tc>
        <w:tc>
          <w:tcPr>
            <w:tcW w:w="50" w:type="pct"/>
            <w:vAlign w:val="center"/>
            <w:hideMark/>
          </w:tcPr>
          <w:p w14:paraId="74F2D366" w14:textId="77777777" w:rsidR="00000000" w:rsidRDefault="00EE5306">
            <w:pPr>
              <w:spacing w:after="100"/>
              <w:rPr>
                <w:rFonts w:eastAsia="Times New Roman"/>
                <w:sz w:val="20"/>
                <w:szCs w:val="20"/>
              </w:rPr>
            </w:pPr>
          </w:p>
        </w:tc>
        <w:tc>
          <w:tcPr>
            <w:tcW w:w="424" w:type="pct"/>
            <w:vAlign w:val="center"/>
            <w:hideMark/>
          </w:tcPr>
          <w:p w14:paraId="22A4D74F" w14:textId="77777777" w:rsidR="00000000" w:rsidRDefault="00EE5306">
            <w:pPr>
              <w:spacing w:after="100"/>
              <w:rPr>
                <w:rFonts w:eastAsia="Times New Roman"/>
                <w:sz w:val="20"/>
                <w:szCs w:val="20"/>
              </w:rPr>
            </w:pPr>
          </w:p>
        </w:tc>
        <w:tc>
          <w:tcPr>
            <w:tcW w:w="5" w:type="pct"/>
            <w:vAlign w:val="center"/>
            <w:hideMark/>
          </w:tcPr>
          <w:p w14:paraId="28E4B0DE" w14:textId="77777777" w:rsidR="00000000" w:rsidRDefault="00EE5306">
            <w:pPr>
              <w:spacing w:after="100"/>
              <w:rPr>
                <w:rFonts w:eastAsia="Times New Roman"/>
                <w:sz w:val="20"/>
                <w:szCs w:val="20"/>
              </w:rPr>
            </w:pPr>
          </w:p>
        </w:tc>
        <w:tc>
          <w:tcPr>
            <w:tcW w:w="50" w:type="pct"/>
            <w:vAlign w:val="center"/>
            <w:hideMark/>
          </w:tcPr>
          <w:p w14:paraId="6861ECD8" w14:textId="77777777" w:rsidR="00000000" w:rsidRDefault="00EE5306">
            <w:pPr>
              <w:spacing w:after="100"/>
              <w:rPr>
                <w:rFonts w:eastAsia="Times New Roman"/>
                <w:sz w:val="20"/>
                <w:szCs w:val="20"/>
              </w:rPr>
            </w:pPr>
          </w:p>
        </w:tc>
        <w:tc>
          <w:tcPr>
            <w:tcW w:w="535" w:type="pct"/>
            <w:vAlign w:val="center"/>
            <w:hideMark/>
          </w:tcPr>
          <w:p w14:paraId="0FC7FD27" w14:textId="77777777" w:rsidR="00000000" w:rsidRDefault="00EE5306">
            <w:pPr>
              <w:spacing w:after="100"/>
              <w:rPr>
                <w:rFonts w:eastAsia="Times New Roman"/>
                <w:sz w:val="20"/>
                <w:szCs w:val="20"/>
              </w:rPr>
            </w:pPr>
          </w:p>
        </w:tc>
        <w:tc>
          <w:tcPr>
            <w:tcW w:w="5" w:type="pct"/>
            <w:vAlign w:val="center"/>
            <w:hideMark/>
          </w:tcPr>
          <w:p w14:paraId="06477D1D" w14:textId="77777777" w:rsidR="00000000" w:rsidRDefault="00EE5306">
            <w:pPr>
              <w:spacing w:after="100"/>
              <w:rPr>
                <w:rFonts w:eastAsia="Times New Roman"/>
                <w:sz w:val="20"/>
                <w:szCs w:val="20"/>
              </w:rPr>
            </w:pPr>
          </w:p>
        </w:tc>
        <w:tc>
          <w:tcPr>
            <w:tcW w:w="50" w:type="pct"/>
            <w:vAlign w:val="center"/>
            <w:hideMark/>
          </w:tcPr>
          <w:p w14:paraId="7F9780FF" w14:textId="77777777" w:rsidR="00000000" w:rsidRDefault="00EE5306">
            <w:pPr>
              <w:spacing w:after="100"/>
              <w:rPr>
                <w:rFonts w:eastAsia="Times New Roman"/>
                <w:sz w:val="20"/>
                <w:szCs w:val="20"/>
              </w:rPr>
            </w:pPr>
          </w:p>
        </w:tc>
        <w:tc>
          <w:tcPr>
            <w:tcW w:w="868" w:type="pct"/>
            <w:vAlign w:val="center"/>
            <w:hideMark/>
          </w:tcPr>
          <w:p w14:paraId="723CB111" w14:textId="77777777" w:rsidR="00000000" w:rsidRDefault="00EE5306">
            <w:pPr>
              <w:spacing w:after="100"/>
              <w:rPr>
                <w:rFonts w:eastAsia="Times New Roman"/>
                <w:sz w:val="20"/>
                <w:szCs w:val="20"/>
              </w:rPr>
            </w:pPr>
          </w:p>
        </w:tc>
        <w:tc>
          <w:tcPr>
            <w:tcW w:w="5" w:type="pct"/>
            <w:vAlign w:val="center"/>
            <w:hideMark/>
          </w:tcPr>
          <w:p w14:paraId="1D61D1E3" w14:textId="77777777" w:rsidR="00000000" w:rsidRDefault="00EE5306">
            <w:pPr>
              <w:spacing w:after="100"/>
              <w:rPr>
                <w:rFonts w:eastAsia="Times New Roman"/>
                <w:sz w:val="20"/>
                <w:szCs w:val="20"/>
              </w:rPr>
            </w:pPr>
          </w:p>
        </w:tc>
        <w:tc>
          <w:tcPr>
            <w:tcW w:w="50" w:type="pct"/>
            <w:vAlign w:val="center"/>
            <w:hideMark/>
          </w:tcPr>
          <w:p w14:paraId="4CBDBCEB" w14:textId="77777777" w:rsidR="00000000" w:rsidRDefault="00EE5306">
            <w:pPr>
              <w:spacing w:after="100"/>
              <w:rPr>
                <w:rFonts w:eastAsia="Times New Roman"/>
                <w:sz w:val="20"/>
                <w:szCs w:val="20"/>
              </w:rPr>
            </w:pPr>
          </w:p>
        </w:tc>
        <w:tc>
          <w:tcPr>
            <w:tcW w:w="1979" w:type="pct"/>
            <w:vAlign w:val="center"/>
            <w:hideMark/>
          </w:tcPr>
          <w:p w14:paraId="260559D7" w14:textId="77777777" w:rsidR="00000000" w:rsidRDefault="00EE5306">
            <w:pPr>
              <w:spacing w:after="100"/>
              <w:rPr>
                <w:rFonts w:eastAsia="Times New Roman"/>
                <w:sz w:val="20"/>
                <w:szCs w:val="20"/>
              </w:rPr>
            </w:pPr>
          </w:p>
        </w:tc>
        <w:tc>
          <w:tcPr>
            <w:tcW w:w="5" w:type="pct"/>
            <w:vAlign w:val="center"/>
            <w:hideMark/>
          </w:tcPr>
          <w:p w14:paraId="3654581C" w14:textId="77777777" w:rsidR="00000000" w:rsidRDefault="00EE5306">
            <w:pPr>
              <w:spacing w:after="100"/>
              <w:rPr>
                <w:rFonts w:eastAsia="Times New Roman"/>
                <w:sz w:val="20"/>
                <w:szCs w:val="20"/>
              </w:rPr>
            </w:pPr>
          </w:p>
        </w:tc>
      </w:tr>
      <w:tr w:rsidR="00000000" w14:paraId="107D3BA6" w14:textId="77777777">
        <w:trPr>
          <w:divId w:val="1982034651"/>
        </w:trPr>
        <w:tc>
          <w:tcPr>
            <w:tcW w:w="0" w:type="auto"/>
            <w:gridSpan w:val="9"/>
            <w:tcMar>
              <w:top w:w="30" w:type="dxa"/>
              <w:left w:w="20" w:type="dxa"/>
              <w:bottom w:w="30" w:type="dxa"/>
              <w:right w:w="20" w:type="dxa"/>
            </w:tcMar>
            <w:hideMark/>
          </w:tcPr>
          <w:p w14:paraId="0C322489" w14:textId="77777777" w:rsidR="00000000" w:rsidRDefault="00EE5306">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14:paraId="7AB0462D"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hideMark/>
          </w:tcPr>
          <w:p w14:paraId="57812535" w14:textId="77777777" w:rsidR="00000000" w:rsidRDefault="00EE5306">
            <w:pPr>
              <w:spacing w:after="100"/>
              <w:jc w:val="center"/>
              <w:rPr>
                <w:rFonts w:eastAsia="Times New Roman"/>
              </w:rPr>
            </w:pPr>
            <w:r>
              <w:rPr>
                <w:rFonts w:eastAsia="Times New Roman"/>
                <w:b/>
                <w:bCs/>
                <w:color w:val="000000"/>
                <w:sz w:val="20"/>
                <w:szCs w:val="20"/>
              </w:rPr>
              <w:t>13-2622036</w:t>
            </w:r>
          </w:p>
        </w:tc>
      </w:tr>
      <w:tr w:rsidR="00000000" w14:paraId="20FAFA3B" w14:textId="77777777">
        <w:trPr>
          <w:divId w:val="1982034651"/>
        </w:trPr>
        <w:tc>
          <w:tcPr>
            <w:tcW w:w="0" w:type="auto"/>
            <w:gridSpan w:val="9"/>
            <w:tcMar>
              <w:top w:w="30" w:type="dxa"/>
              <w:left w:w="20" w:type="dxa"/>
              <w:bottom w:w="30" w:type="dxa"/>
              <w:right w:w="20" w:type="dxa"/>
            </w:tcMar>
            <w:vAlign w:val="bottom"/>
            <w:hideMark/>
          </w:tcPr>
          <w:p w14:paraId="2F65F72B" w14:textId="77777777" w:rsidR="00000000" w:rsidRDefault="00EE5306">
            <w:pPr>
              <w:spacing w:after="100"/>
              <w:jc w:val="center"/>
              <w:rPr>
                <w:rFonts w:eastAsia="Times New Roman"/>
              </w:rPr>
            </w:pPr>
            <w:r>
              <w:rPr>
                <w:rFonts w:eastAsia="Times New Roman"/>
                <w:i/>
                <w:iCs/>
                <w:color w:val="000000"/>
                <w:sz w:val="16"/>
                <w:szCs w:val="16"/>
              </w:rPr>
              <w:t>(State or other jurisdiction of incorporation or organization)</w:t>
            </w:r>
          </w:p>
        </w:tc>
        <w:tc>
          <w:tcPr>
            <w:tcW w:w="0" w:type="auto"/>
            <w:gridSpan w:val="3"/>
            <w:tcMar>
              <w:top w:w="0" w:type="dxa"/>
              <w:left w:w="20" w:type="dxa"/>
              <w:bottom w:w="0" w:type="dxa"/>
              <w:right w:w="20" w:type="dxa"/>
            </w:tcMar>
            <w:vAlign w:val="center"/>
            <w:hideMark/>
          </w:tcPr>
          <w:p w14:paraId="75C7F85F"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9046DB" w14:textId="77777777" w:rsidR="00000000" w:rsidRDefault="00EE5306">
            <w:pPr>
              <w:spacing w:after="100"/>
              <w:jc w:val="center"/>
              <w:rPr>
                <w:rFonts w:eastAsia="Times New Roman"/>
              </w:rPr>
            </w:pPr>
            <w:r>
              <w:rPr>
                <w:rFonts w:eastAsia="Times New Roman"/>
                <w:i/>
                <w:iCs/>
                <w:color w:val="000000"/>
                <w:sz w:val="16"/>
                <w:szCs w:val="16"/>
              </w:rPr>
              <w:t>(I.R.S. Employer Identification No.)</w:t>
            </w:r>
          </w:p>
        </w:tc>
      </w:tr>
      <w:tr w:rsidR="00000000" w14:paraId="614139F4" w14:textId="77777777">
        <w:trPr>
          <w:divId w:val="1982034651"/>
        </w:trPr>
        <w:tc>
          <w:tcPr>
            <w:tcW w:w="0" w:type="auto"/>
            <w:gridSpan w:val="3"/>
            <w:tcMar>
              <w:top w:w="30" w:type="dxa"/>
              <w:left w:w="20" w:type="dxa"/>
              <w:bottom w:w="30" w:type="dxa"/>
              <w:right w:w="20" w:type="dxa"/>
            </w:tcMar>
            <w:vAlign w:val="bottom"/>
            <w:hideMark/>
          </w:tcPr>
          <w:p w14:paraId="575E6586" w14:textId="77777777" w:rsidR="00000000" w:rsidRDefault="00EE5306">
            <w:pPr>
              <w:spacing w:after="100"/>
              <w:jc w:val="right"/>
              <w:rPr>
                <w:rFonts w:eastAsia="Times New Roman"/>
              </w:rPr>
            </w:pPr>
            <w:r>
              <w:rPr>
                <w:rFonts w:eastAsia="Times New Roman"/>
                <w:b/>
                <w:bCs/>
                <w:color w:val="000000"/>
                <w:sz w:val="20"/>
                <w:szCs w:val="20"/>
              </w:rPr>
              <w:t>650 Madison Avenue,</w:t>
            </w:r>
          </w:p>
        </w:tc>
        <w:tc>
          <w:tcPr>
            <w:tcW w:w="0" w:type="auto"/>
            <w:gridSpan w:val="3"/>
            <w:tcMar>
              <w:top w:w="30" w:type="dxa"/>
              <w:left w:w="20" w:type="dxa"/>
              <w:bottom w:w="30" w:type="dxa"/>
              <w:right w:w="20" w:type="dxa"/>
            </w:tcMar>
            <w:vAlign w:val="bottom"/>
            <w:hideMark/>
          </w:tcPr>
          <w:p w14:paraId="5B69B971" w14:textId="77777777" w:rsidR="00000000" w:rsidRDefault="00EE5306">
            <w:pPr>
              <w:spacing w:after="100"/>
              <w:rPr>
                <w:rFonts w:eastAsia="Times New Roman"/>
              </w:rPr>
            </w:pPr>
            <w:r>
              <w:rPr>
                <w:rFonts w:eastAsia="Times New Roman"/>
                <w:b/>
                <w:bCs/>
                <w:color w:val="000000"/>
                <w:sz w:val="20"/>
                <w:szCs w:val="20"/>
              </w:rPr>
              <w:t>New York,</w:t>
            </w:r>
          </w:p>
        </w:tc>
        <w:tc>
          <w:tcPr>
            <w:tcW w:w="0" w:type="auto"/>
            <w:gridSpan w:val="3"/>
            <w:tcMar>
              <w:top w:w="30" w:type="dxa"/>
              <w:left w:w="20" w:type="dxa"/>
              <w:bottom w:w="30" w:type="dxa"/>
              <w:right w:w="20" w:type="dxa"/>
            </w:tcMar>
            <w:vAlign w:val="bottom"/>
            <w:hideMark/>
          </w:tcPr>
          <w:p w14:paraId="01FC163F" w14:textId="77777777" w:rsidR="00000000" w:rsidRDefault="00EE5306">
            <w:pPr>
              <w:spacing w:after="100"/>
              <w:rPr>
                <w:rFonts w:eastAsia="Times New Roman"/>
              </w:rPr>
            </w:pPr>
            <w:r>
              <w:rPr>
                <w:rFonts w:eastAsia="Times New Roman"/>
                <w:b/>
                <w:bCs/>
                <w:color w:val="000000"/>
                <w:sz w:val="20"/>
                <w:szCs w:val="20"/>
              </w:rPr>
              <w:t>New York</w:t>
            </w:r>
          </w:p>
        </w:tc>
        <w:tc>
          <w:tcPr>
            <w:tcW w:w="0" w:type="auto"/>
            <w:gridSpan w:val="3"/>
            <w:tcMar>
              <w:top w:w="0" w:type="dxa"/>
              <w:left w:w="20" w:type="dxa"/>
              <w:bottom w:w="0" w:type="dxa"/>
              <w:right w:w="20" w:type="dxa"/>
            </w:tcMar>
            <w:vAlign w:val="center"/>
            <w:hideMark/>
          </w:tcPr>
          <w:p w14:paraId="3EEE1B78"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4FA0A75B" w14:textId="77777777" w:rsidR="00000000" w:rsidRDefault="00EE5306">
            <w:pPr>
              <w:spacing w:after="100"/>
              <w:jc w:val="center"/>
              <w:rPr>
                <w:rFonts w:eastAsia="Times New Roman"/>
              </w:rPr>
            </w:pPr>
            <w:r>
              <w:rPr>
                <w:rFonts w:eastAsia="Times New Roman"/>
                <w:b/>
                <w:bCs/>
                <w:color w:val="000000"/>
                <w:sz w:val="20"/>
                <w:szCs w:val="20"/>
              </w:rPr>
              <w:t>10022</w:t>
            </w:r>
          </w:p>
        </w:tc>
      </w:tr>
      <w:tr w:rsidR="00000000" w14:paraId="7ABE2B65" w14:textId="77777777">
        <w:trPr>
          <w:divId w:val="1982034651"/>
        </w:trPr>
        <w:tc>
          <w:tcPr>
            <w:tcW w:w="0" w:type="auto"/>
            <w:gridSpan w:val="9"/>
            <w:tcMar>
              <w:top w:w="30" w:type="dxa"/>
              <w:left w:w="20" w:type="dxa"/>
              <w:bottom w:w="30" w:type="dxa"/>
              <w:right w:w="20" w:type="dxa"/>
            </w:tcMar>
            <w:hideMark/>
          </w:tcPr>
          <w:p w14:paraId="1E593510" w14:textId="77777777" w:rsidR="00000000" w:rsidRDefault="00EE5306">
            <w:pPr>
              <w:spacing w:after="100"/>
              <w:jc w:val="center"/>
              <w:rPr>
                <w:rFonts w:eastAsia="Times New Roman"/>
              </w:rPr>
            </w:pPr>
            <w:r>
              <w:rPr>
                <w:rFonts w:eastAsia="Times New Roman"/>
                <w:i/>
                <w:i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14:paraId="5F555E1C"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hideMark/>
          </w:tcPr>
          <w:p w14:paraId="690833F5" w14:textId="77777777" w:rsidR="00000000" w:rsidRDefault="00EE5306">
            <w:pPr>
              <w:spacing w:after="100"/>
              <w:jc w:val="center"/>
              <w:rPr>
                <w:rFonts w:eastAsia="Times New Roman"/>
              </w:rPr>
            </w:pPr>
            <w:r>
              <w:rPr>
                <w:rFonts w:eastAsia="Times New Roman"/>
                <w:i/>
                <w:iCs/>
                <w:color w:val="000000"/>
                <w:sz w:val="16"/>
                <w:szCs w:val="16"/>
              </w:rPr>
              <w:t>(Zip Code)</w:t>
            </w:r>
          </w:p>
        </w:tc>
      </w:tr>
    </w:tbl>
    <w:p w14:paraId="6C93C962" w14:textId="77777777" w:rsidR="00000000" w:rsidRDefault="00EE5306">
      <w:pPr>
        <w:jc w:val="center"/>
        <w:rPr>
          <w:rFonts w:eastAsia="Times New Roman"/>
        </w:rPr>
      </w:pPr>
      <w:r>
        <w:rPr>
          <w:rFonts w:eastAsia="Times New Roman"/>
          <w:b/>
          <w:bCs/>
          <w:color w:val="000000"/>
          <w:sz w:val="20"/>
          <w:szCs w:val="20"/>
        </w:rPr>
        <w:t xml:space="preserve">(212) 318-7000 </w:t>
      </w:r>
    </w:p>
    <w:p w14:paraId="7CA1B301" w14:textId="77777777" w:rsidR="00000000" w:rsidRDefault="00EE5306">
      <w:pPr>
        <w:jc w:val="center"/>
        <w:rPr>
          <w:rFonts w:eastAsia="Times New Roman"/>
        </w:rPr>
      </w:pPr>
      <w:r>
        <w:rPr>
          <w:rFonts w:eastAsia="Times New Roman"/>
          <w:i/>
          <w:iCs/>
          <w:color w:val="000000"/>
          <w:sz w:val="16"/>
          <w:szCs w:val="16"/>
        </w:rPr>
        <w:t>(Registrant's telephone number, including area code)</w:t>
      </w:r>
    </w:p>
    <w:p w14:paraId="625D17AF" w14:textId="77777777" w:rsidR="00000000" w:rsidRDefault="00EE5306">
      <w:pPr>
        <w:jc w:val="center"/>
        <w:divId w:val="1491865000"/>
        <w:rPr>
          <w:rFonts w:eastAsia="Times New Roman"/>
        </w:rPr>
      </w:pPr>
      <w:r>
        <w:rPr>
          <w:rFonts w:eastAsia="Times New Roman"/>
          <w:b/>
          <w:bCs/>
          <w:color w:val="000000"/>
          <w:sz w:val="20"/>
          <w:szCs w:val="20"/>
        </w:rPr>
        <w:t>Securities registered pursuant to Section 12(b) of the Act:</w:t>
      </w:r>
    </w:p>
    <w:tbl>
      <w:tblPr>
        <w:tblW w:w="10785" w:type="dxa"/>
        <w:jc w:val="center"/>
        <w:tblCellMar>
          <w:top w:w="15" w:type="dxa"/>
          <w:left w:w="15" w:type="dxa"/>
          <w:bottom w:w="15" w:type="dxa"/>
          <w:right w:w="15" w:type="dxa"/>
        </w:tblCellMar>
        <w:tblLook w:val="04A0" w:firstRow="1" w:lastRow="0" w:firstColumn="1" w:lastColumn="0" w:noHBand="0" w:noVBand="1"/>
      </w:tblPr>
      <w:tblGrid>
        <w:gridCol w:w="36"/>
        <w:gridCol w:w="4314"/>
        <w:gridCol w:w="36"/>
        <w:gridCol w:w="36"/>
        <w:gridCol w:w="1940"/>
        <w:gridCol w:w="36"/>
        <w:gridCol w:w="36"/>
        <w:gridCol w:w="4315"/>
        <w:gridCol w:w="36"/>
      </w:tblGrid>
      <w:tr w:rsidR="00000000" w14:paraId="501EBC5C" w14:textId="77777777">
        <w:trPr>
          <w:divId w:val="974876569"/>
          <w:jc w:val="center"/>
        </w:trPr>
        <w:tc>
          <w:tcPr>
            <w:tcW w:w="20" w:type="dxa"/>
            <w:vAlign w:val="center"/>
            <w:hideMark/>
          </w:tcPr>
          <w:p w14:paraId="28628B30" w14:textId="77777777" w:rsidR="00000000" w:rsidRDefault="00EE5306">
            <w:pPr>
              <w:jc w:val="center"/>
              <w:rPr>
                <w:rFonts w:eastAsia="Times New Roman"/>
              </w:rPr>
            </w:pPr>
          </w:p>
        </w:tc>
        <w:tc>
          <w:tcPr>
            <w:tcW w:w="4355" w:type="dxa"/>
            <w:vAlign w:val="center"/>
            <w:hideMark/>
          </w:tcPr>
          <w:p w14:paraId="67827884" w14:textId="77777777" w:rsidR="00000000" w:rsidRDefault="00EE5306">
            <w:pPr>
              <w:spacing w:after="100"/>
              <w:rPr>
                <w:rFonts w:eastAsia="Times New Roman"/>
                <w:sz w:val="20"/>
                <w:szCs w:val="20"/>
              </w:rPr>
            </w:pPr>
          </w:p>
        </w:tc>
        <w:tc>
          <w:tcPr>
            <w:tcW w:w="20" w:type="dxa"/>
            <w:vAlign w:val="center"/>
            <w:hideMark/>
          </w:tcPr>
          <w:p w14:paraId="1356561E" w14:textId="77777777" w:rsidR="00000000" w:rsidRDefault="00EE5306">
            <w:pPr>
              <w:spacing w:after="100"/>
              <w:rPr>
                <w:rFonts w:eastAsia="Times New Roman"/>
                <w:sz w:val="20"/>
                <w:szCs w:val="20"/>
              </w:rPr>
            </w:pPr>
          </w:p>
        </w:tc>
        <w:tc>
          <w:tcPr>
            <w:tcW w:w="20" w:type="dxa"/>
            <w:vAlign w:val="center"/>
            <w:hideMark/>
          </w:tcPr>
          <w:p w14:paraId="72328188" w14:textId="77777777" w:rsidR="00000000" w:rsidRDefault="00EE5306">
            <w:pPr>
              <w:spacing w:after="100"/>
              <w:rPr>
                <w:rFonts w:eastAsia="Times New Roman"/>
                <w:sz w:val="20"/>
                <w:szCs w:val="20"/>
              </w:rPr>
            </w:pPr>
          </w:p>
        </w:tc>
        <w:tc>
          <w:tcPr>
            <w:tcW w:w="1955" w:type="dxa"/>
            <w:vAlign w:val="center"/>
            <w:hideMark/>
          </w:tcPr>
          <w:p w14:paraId="16A026EF" w14:textId="77777777" w:rsidR="00000000" w:rsidRDefault="00EE5306">
            <w:pPr>
              <w:spacing w:after="100"/>
              <w:rPr>
                <w:rFonts w:eastAsia="Times New Roman"/>
                <w:sz w:val="20"/>
                <w:szCs w:val="20"/>
              </w:rPr>
            </w:pPr>
          </w:p>
        </w:tc>
        <w:tc>
          <w:tcPr>
            <w:tcW w:w="20" w:type="dxa"/>
            <w:vAlign w:val="center"/>
            <w:hideMark/>
          </w:tcPr>
          <w:p w14:paraId="1902614A" w14:textId="77777777" w:rsidR="00000000" w:rsidRDefault="00EE5306">
            <w:pPr>
              <w:spacing w:after="100"/>
              <w:rPr>
                <w:rFonts w:eastAsia="Times New Roman"/>
                <w:sz w:val="20"/>
                <w:szCs w:val="20"/>
              </w:rPr>
            </w:pPr>
          </w:p>
        </w:tc>
        <w:tc>
          <w:tcPr>
            <w:tcW w:w="20" w:type="dxa"/>
            <w:vAlign w:val="center"/>
            <w:hideMark/>
          </w:tcPr>
          <w:p w14:paraId="0B5B0BC8" w14:textId="77777777" w:rsidR="00000000" w:rsidRDefault="00EE5306">
            <w:pPr>
              <w:spacing w:after="100"/>
              <w:rPr>
                <w:rFonts w:eastAsia="Times New Roman"/>
                <w:sz w:val="20"/>
                <w:szCs w:val="20"/>
              </w:rPr>
            </w:pPr>
          </w:p>
        </w:tc>
        <w:tc>
          <w:tcPr>
            <w:tcW w:w="4355" w:type="dxa"/>
            <w:vAlign w:val="center"/>
            <w:hideMark/>
          </w:tcPr>
          <w:p w14:paraId="3EDFBE77" w14:textId="77777777" w:rsidR="00000000" w:rsidRDefault="00EE5306">
            <w:pPr>
              <w:spacing w:after="100"/>
              <w:rPr>
                <w:rFonts w:eastAsia="Times New Roman"/>
                <w:sz w:val="20"/>
                <w:szCs w:val="20"/>
              </w:rPr>
            </w:pPr>
          </w:p>
        </w:tc>
        <w:tc>
          <w:tcPr>
            <w:tcW w:w="20" w:type="dxa"/>
            <w:vAlign w:val="center"/>
            <w:hideMark/>
          </w:tcPr>
          <w:p w14:paraId="289AA7A9" w14:textId="77777777" w:rsidR="00000000" w:rsidRDefault="00EE5306">
            <w:pPr>
              <w:spacing w:after="100"/>
              <w:rPr>
                <w:rFonts w:eastAsia="Times New Roman"/>
                <w:sz w:val="20"/>
                <w:szCs w:val="20"/>
              </w:rPr>
            </w:pPr>
          </w:p>
        </w:tc>
      </w:tr>
      <w:tr w:rsidR="00000000" w14:paraId="164A066B" w14:textId="77777777">
        <w:trPr>
          <w:divId w:val="974876569"/>
          <w:trHeight w:val="240"/>
          <w:jc w:val="center"/>
        </w:trPr>
        <w:tc>
          <w:tcPr>
            <w:tcW w:w="0" w:type="auto"/>
            <w:gridSpan w:val="3"/>
            <w:tcMar>
              <w:top w:w="30" w:type="dxa"/>
              <w:left w:w="20" w:type="dxa"/>
              <w:bottom w:w="30" w:type="dxa"/>
              <w:right w:w="20" w:type="dxa"/>
            </w:tcMar>
            <w:vAlign w:val="bottom"/>
            <w:hideMark/>
          </w:tcPr>
          <w:p w14:paraId="462CF794" w14:textId="77777777" w:rsidR="00000000" w:rsidRDefault="00EE5306">
            <w:pPr>
              <w:spacing w:after="100"/>
              <w:jc w:val="center"/>
              <w:rPr>
                <w:rFonts w:eastAsia="Times New Roman"/>
              </w:rPr>
            </w:pPr>
            <w:r>
              <w:rPr>
                <w:rFonts w:eastAsia="Times New Roman"/>
                <w:b/>
                <w:bCs/>
                <w:color w:val="000000"/>
                <w:sz w:val="16"/>
                <w:szCs w:val="16"/>
                <w:u w:val="single"/>
              </w:rPr>
              <w:t>Title of Each Class</w:t>
            </w:r>
          </w:p>
        </w:tc>
        <w:tc>
          <w:tcPr>
            <w:tcW w:w="0" w:type="auto"/>
            <w:gridSpan w:val="3"/>
            <w:tcMar>
              <w:top w:w="30" w:type="dxa"/>
              <w:left w:w="20" w:type="dxa"/>
              <w:bottom w:w="30" w:type="dxa"/>
              <w:right w:w="20" w:type="dxa"/>
            </w:tcMar>
            <w:vAlign w:val="bottom"/>
            <w:hideMark/>
          </w:tcPr>
          <w:p w14:paraId="4622C0A8" w14:textId="77777777" w:rsidR="00000000" w:rsidRDefault="00EE5306">
            <w:pPr>
              <w:spacing w:after="100"/>
              <w:jc w:val="center"/>
              <w:rPr>
                <w:rFonts w:eastAsia="Times New Roman"/>
              </w:rPr>
            </w:pPr>
            <w:r>
              <w:rPr>
                <w:rFonts w:eastAsia="Times New Roman"/>
                <w:b/>
                <w:bCs/>
                <w:color w:val="000000"/>
                <w:sz w:val="16"/>
                <w:szCs w:val="16"/>
                <w:u w:val="single"/>
              </w:rPr>
              <w:t>Trading Symbol(s)</w:t>
            </w:r>
          </w:p>
        </w:tc>
        <w:tc>
          <w:tcPr>
            <w:tcW w:w="0" w:type="auto"/>
            <w:gridSpan w:val="3"/>
            <w:tcMar>
              <w:top w:w="30" w:type="dxa"/>
              <w:left w:w="20" w:type="dxa"/>
              <w:bottom w:w="30" w:type="dxa"/>
              <w:right w:w="20" w:type="dxa"/>
            </w:tcMar>
            <w:vAlign w:val="bottom"/>
            <w:hideMark/>
          </w:tcPr>
          <w:p w14:paraId="3E45C958" w14:textId="77777777" w:rsidR="00000000" w:rsidRDefault="00EE5306">
            <w:pPr>
              <w:spacing w:after="100"/>
              <w:jc w:val="center"/>
              <w:rPr>
                <w:rFonts w:eastAsia="Times New Roman"/>
              </w:rPr>
            </w:pPr>
            <w:r>
              <w:rPr>
                <w:rFonts w:eastAsia="Times New Roman"/>
                <w:b/>
                <w:bCs/>
                <w:color w:val="000000"/>
                <w:sz w:val="16"/>
                <w:szCs w:val="16"/>
                <w:u w:val="single"/>
              </w:rPr>
              <w:t>Name of Each Exchange on which Registered</w:t>
            </w:r>
          </w:p>
        </w:tc>
      </w:tr>
      <w:tr w:rsidR="00000000" w14:paraId="61C1755D" w14:textId="77777777">
        <w:trPr>
          <w:divId w:val="974876569"/>
          <w:trHeight w:val="240"/>
          <w:jc w:val="center"/>
        </w:trPr>
        <w:tc>
          <w:tcPr>
            <w:tcW w:w="0" w:type="auto"/>
            <w:gridSpan w:val="3"/>
            <w:tcMar>
              <w:top w:w="30" w:type="dxa"/>
              <w:left w:w="20" w:type="dxa"/>
              <w:bottom w:w="30" w:type="dxa"/>
              <w:right w:w="20" w:type="dxa"/>
            </w:tcMar>
            <w:vAlign w:val="bottom"/>
            <w:hideMark/>
          </w:tcPr>
          <w:p w14:paraId="30E4FB5B" w14:textId="77777777" w:rsidR="00000000" w:rsidRDefault="00EE5306">
            <w:pPr>
              <w:spacing w:after="100"/>
              <w:jc w:val="center"/>
              <w:rPr>
                <w:rFonts w:eastAsia="Times New Roman"/>
              </w:rPr>
            </w:pPr>
            <w:r>
              <w:rPr>
                <w:rFonts w:eastAsia="Times New Roman"/>
                <w:b/>
                <w:bCs/>
                <w:color w:val="000000"/>
                <w:sz w:val="20"/>
                <w:szCs w:val="20"/>
              </w:rPr>
              <w:t>Class A Common Stock, $.01 par value</w:t>
            </w:r>
          </w:p>
        </w:tc>
        <w:tc>
          <w:tcPr>
            <w:tcW w:w="0" w:type="auto"/>
            <w:gridSpan w:val="3"/>
            <w:tcMar>
              <w:top w:w="30" w:type="dxa"/>
              <w:left w:w="20" w:type="dxa"/>
              <w:bottom w:w="30" w:type="dxa"/>
              <w:right w:w="20" w:type="dxa"/>
            </w:tcMar>
            <w:vAlign w:val="bottom"/>
            <w:hideMark/>
          </w:tcPr>
          <w:p w14:paraId="5B8BACA5" w14:textId="77777777" w:rsidR="00000000" w:rsidRDefault="00EE5306">
            <w:pPr>
              <w:spacing w:after="100"/>
              <w:jc w:val="center"/>
              <w:rPr>
                <w:rFonts w:eastAsia="Times New Roman"/>
              </w:rPr>
            </w:pPr>
            <w:r>
              <w:rPr>
                <w:rFonts w:eastAsia="Times New Roman"/>
                <w:b/>
                <w:bCs/>
                <w:color w:val="000000"/>
                <w:sz w:val="20"/>
                <w:szCs w:val="20"/>
              </w:rPr>
              <w:t>RL</w:t>
            </w:r>
          </w:p>
        </w:tc>
        <w:tc>
          <w:tcPr>
            <w:tcW w:w="0" w:type="auto"/>
            <w:gridSpan w:val="3"/>
            <w:tcMar>
              <w:top w:w="30" w:type="dxa"/>
              <w:left w:w="20" w:type="dxa"/>
              <w:bottom w:w="30" w:type="dxa"/>
              <w:right w:w="20" w:type="dxa"/>
            </w:tcMar>
            <w:vAlign w:val="bottom"/>
            <w:hideMark/>
          </w:tcPr>
          <w:p w14:paraId="186B26F0" w14:textId="77777777" w:rsidR="00000000" w:rsidRDefault="00EE5306">
            <w:pPr>
              <w:spacing w:after="100"/>
              <w:jc w:val="center"/>
              <w:rPr>
                <w:rFonts w:eastAsia="Times New Roman"/>
              </w:rPr>
            </w:pPr>
            <w:r>
              <w:rPr>
                <w:rFonts w:eastAsia="Times New Roman"/>
                <w:b/>
                <w:bCs/>
                <w:color w:val="000000"/>
                <w:sz w:val="20"/>
                <w:szCs w:val="20"/>
              </w:rPr>
              <w:t>New York Stock Exchange</w:t>
            </w:r>
          </w:p>
        </w:tc>
      </w:tr>
    </w:tbl>
    <w:p w14:paraId="55C0691E" w14:textId="77777777" w:rsidR="00000000" w:rsidRDefault="00EE5306">
      <w:pPr>
        <w:jc w:val="center"/>
        <w:divId w:val="1471167999"/>
        <w:rPr>
          <w:rFonts w:eastAsia="Times New Roman"/>
        </w:rPr>
      </w:pPr>
      <w:r>
        <w:rPr>
          <w:rFonts w:eastAsia="Times New Roman"/>
          <w:b/>
          <w:bCs/>
          <w:color w:val="000000"/>
          <w:sz w:val="18"/>
          <w:szCs w:val="18"/>
        </w:rPr>
        <w:t>Securities registered pursuant to Section 12(g) of the Act: None</w:t>
      </w:r>
    </w:p>
    <w:p w14:paraId="518D9929" w14:textId="77777777" w:rsidR="00000000" w:rsidRDefault="00EE5306">
      <w:pPr>
        <w:ind w:firstLine="360"/>
        <w:divId w:val="1941450668"/>
        <w:rPr>
          <w:rFonts w:eastAsia="Times New Roman"/>
        </w:rPr>
      </w:pPr>
      <w:r>
        <w:rPr>
          <w:rFonts w:eastAsia="Times New Roman"/>
          <w:color w:val="000000"/>
          <w:sz w:val="18"/>
          <w:szCs w:val="18"/>
        </w:rPr>
        <w:t xml:space="preserve">Indicate by check mark if the registrant is a well-known seasoned issuer, as defined in Rule 405 of the Securities Act.     Yes </w:t>
      </w:r>
      <w:r>
        <w:rPr>
          <w:rFonts w:ascii="Segoe UI Emoji" w:eastAsia="Times New Roman" w:hAnsi="Segoe UI Emoji" w:cs="Segoe UI Emoji"/>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Symbol" w:eastAsia="Times New Roman" w:hAnsi="Segoe UI Symbol" w:cs="Segoe UI Symbol"/>
          <w:color w:val="000000"/>
          <w:sz w:val="20"/>
          <w:szCs w:val="20"/>
        </w:rPr>
        <w:t>☐</w:t>
      </w:r>
    </w:p>
    <w:p w14:paraId="40399E00" w14:textId="77777777" w:rsidR="00000000" w:rsidRDefault="00EE5306">
      <w:pPr>
        <w:ind w:firstLine="360"/>
        <w:divId w:val="1967350025"/>
        <w:rPr>
          <w:rFonts w:eastAsia="Times New Roman"/>
        </w:rPr>
      </w:pPr>
      <w:r>
        <w:rPr>
          <w:rFonts w:eastAsia="Times New Roman"/>
          <w:color w:val="000000"/>
          <w:sz w:val="18"/>
          <w:szCs w:val="18"/>
        </w:rPr>
        <w:t xml:space="preserve">Indicate by check mark if the registrant is not required to file reports pursuant to Section 13 or 15(d) of the Act.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Emoji" w:eastAsia="Times New Roman" w:hAnsi="Segoe UI Emoji" w:cs="Segoe UI Emoji"/>
          <w:color w:val="000000"/>
          <w:sz w:val="20"/>
          <w:szCs w:val="20"/>
        </w:rPr>
        <w:t>☑</w:t>
      </w:r>
    </w:p>
    <w:p w14:paraId="7D6F333F" w14:textId="77777777" w:rsidR="00000000" w:rsidRDefault="00EE5306">
      <w:pPr>
        <w:ind w:firstLine="360"/>
        <w:jc w:val="both"/>
        <w:divId w:val="1110122030"/>
        <w:rPr>
          <w:rFonts w:eastAsia="Times New Roman"/>
        </w:rPr>
      </w:pPr>
      <w:r>
        <w:rPr>
          <w:rFonts w:eastAsia="Times New Roman"/>
          <w:color w:val="000000"/>
          <w:sz w:val="18"/>
          <w:szCs w:val="18"/>
        </w:rPr>
        <w:t>Indicate by check mark whether the registrant (1) has filed all reports required to be filed by Section 13 or 15(d) of the S</w:t>
      </w:r>
      <w:r>
        <w:rPr>
          <w:rFonts w:eastAsia="Times New Roman"/>
          <w:color w:val="000000"/>
          <w:sz w:val="18"/>
          <w:szCs w:val="18"/>
        </w:rPr>
        <w:t>ecurities Exchange Act of 1934 during the preceding 12 months (or for such shorter period that the registrant was required to file such reports), and (2) has been subject to such filing requirements for the past 90 days.                                    </w:t>
      </w:r>
      <w:r>
        <w:rPr>
          <w:rFonts w:eastAsia="Times New Roman"/>
          <w:color w:val="000000"/>
          <w:sz w:val="18"/>
          <w:szCs w:val="18"/>
        </w:rPr>
        <w:t xml:space="preserve"> Yes </w:t>
      </w:r>
      <w:r>
        <w:rPr>
          <w:rFonts w:ascii="Segoe UI Emoji" w:eastAsia="Times New Roman" w:hAnsi="Segoe UI Emoji" w:cs="Segoe UI Emoji"/>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Symbol" w:eastAsia="Times New Roman" w:hAnsi="Segoe UI Symbol" w:cs="Segoe UI Symbol"/>
          <w:color w:val="000000"/>
          <w:sz w:val="20"/>
          <w:szCs w:val="20"/>
        </w:rPr>
        <w:t>☐</w:t>
      </w:r>
    </w:p>
    <w:p w14:paraId="2E0E0281" w14:textId="77777777" w:rsidR="00000000" w:rsidRDefault="00EE5306">
      <w:pPr>
        <w:ind w:firstLine="360"/>
        <w:divId w:val="1280842363"/>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w:t>
      </w:r>
      <w:r>
        <w:rPr>
          <w:rFonts w:eastAsia="Times New Roman"/>
          <w:color w:val="000000"/>
          <w:sz w:val="18"/>
          <w:szCs w:val="18"/>
        </w:rPr>
        <w:t xml:space="preserve">r period that the registrant was required to submit such files).                                                  Yes </w:t>
      </w:r>
      <w:r>
        <w:rPr>
          <w:rFonts w:ascii="Segoe UI Emoji" w:eastAsia="Times New Roman" w:hAnsi="Segoe UI Emoji" w:cs="Segoe UI Emoji"/>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Symbol" w:eastAsia="Times New Roman" w:hAnsi="Segoe UI Symbol" w:cs="Segoe UI Symbol"/>
          <w:color w:val="000000"/>
          <w:sz w:val="20"/>
          <w:szCs w:val="20"/>
        </w:rPr>
        <w:t>☐</w:t>
      </w:r>
    </w:p>
    <w:p w14:paraId="6A82EA33" w14:textId="77777777" w:rsidR="00000000" w:rsidRDefault="00EE5306">
      <w:pPr>
        <w:ind w:firstLine="360"/>
        <w:jc w:val="both"/>
        <w:divId w:val="2139642648"/>
        <w:rPr>
          <w:rFonts w:eastAsia="Times New Roman"/>
        </w:rPr>
      </w:pPr>
      <w:r>
        <w:rPr>
          <w:rFonts w:eastAsia="Times New Roman"/>
          <w:color w:val="000000"/>
          <w:sz w:val="18"/>
          <w:szCs w:val="18"/>
        </w:rPr>
        <w:t>Indicate by check mark whether the registrant is a large accelerated filer, an accelerated filer, a non-accelerated filer, a smalle</w:t>
      </w:r>
      <w:r>
        <w:rPr>
          <w:rFonts w:eastAsia="Times New Roman"/>
          <w:color w:val="000000"/>
          <w:sz w:val="18"/>
          <w:szCs w:val="18"/>
        </w:rPr>
        <w:t>r reporting company, or an emerging growth company. See the definitions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44"/>
        <w:gridCol w:w="36"/>
        <w:gridCol w:w="69"/>
        <w:gridCol w:w="3367"/>
        <w:gridCol w:w="36"/>
        <w:gridCol w:w="69"/>
        <w:gridCol w:w="2675"/>
        <w:gridCol w:w="36"/>
        <w:gridCol w:w="70"/>
        <w:gridCol w:w="299"/>
        <w:gridCol w:w="36"/>
      </w:tblGrid>
      <w:tr w:rsidR="00000000" w14:paraId="74D1E2AA" w14:textId="77777777">
        <w:trPr>
          <w:divId w:val="1010378796"/>
          <w:jc w:val="center"/>
        </w:trPr>
        <w:tc>
          <w:tcPr>
            <w:tcW w:w="50" w:type="pct"/>
            <w:vAlign w:val="center"/>
            <w:hideMark/>
          </w:tcPr>
          <w:p w14:paraId="3B5F907A" w14:textId="77777777" w:rsidR="00000000" w:rsidRDefault="00EE5306">
            <w:pPr>
              <w:ind w:firstLine="360"/>
              <w:jc w:val="both"/>
              <w:rPr>
                <w:rFonts w:eastAsia="Times New Roman"/>
              </w:rPr>
            </w:pPr>
          </w:p>
        </w:tc>
        <w:tc>
          <w:tcPr>
            <w:tcW w:w="938" w:type="pct"/>
            <w:vAlign w:val="center"/>
            <w:hideMark/>
          </w:tcPr>
          <w:p w14:paraId="5C366C04" w14:textId="77777777" w:rsidR="00000000" w:rsidRDefault="00EE5306">
            <w:pPr>
              <w:spacing w:after="100"/>
              <w:rPr>
                <w:rFonts w:eastAsia="Times New Roman"/>
                <w:sz w:val="20"/>
                <w:szCs w:val="20"/>
              </w:rPr>
            </w:pPr>
          </w:p>
        </w:tc>
        <w:tc>
          <w:tcPr>
            <w:tcW w:w="5" w:type="pct"/>
            <w:vAlign w:val="center"/>
            <w:hideMark/>
          </w:tcPr>
          <w:p w14:paraId="2EDAAB2C" w14:textId="77777777" w:rsidR="00000000" w:rsidRDefault="00EE5306">
            <w:pPr>
              <w:spacing w:after="100"/>
              <w:rPr>
                <w:rFonts w:eastAsia="Times New Roman"/>
                <w:sz w:val="20"/>
                <w:szCs w:val="20"/>
              </w:rPr>
            </w:pPr>
          </w:p>
        </w:tc>
        <w:tc>
          <w:tcPr>
            <w:tcW w:w="50" w:type="pct"/>
            <w:vAlign w:val="center"/>
            <w:hideMark/>
          </w:tcPr>
          <w:p w14:paraId="15E58909" w14:textId="77777777" w:rsidR="00000000" w:rsidRDefault="00EE5306">
            <w:pPr>
              <w:spacing w:after="100"/>
              <w:rPr>
                <w:rFonts w:eastAsia="Times New Roman"/>
                <w:sz w:val="20"/>
                <w:szCs w:val="20"/>
              </w:rPr>
            </w:pPr>
          </w:p>
        </w:tc>
        <w:tc>
          <w:tcPr>
            <w:tcW w:w="2035" w:type="pct"/>
            <w:vAlign w:val="center"/>
            <w:hideMark/>
          </w:tcPr>
          <w:p w14:paraId="21C6CDC7" w14:textId="77777777" w:rsidR="00000000" w:rsidRDefault="00EE5306">
            <w:pPr>
              <w:spacing w:after="100"/>
              <w:rPr>
                <w:rFonts w:eastAsia="Times New Roman"/>
                <w:sz w:val="20"/>
                <w:szCs w:val="20"/>
              </w:rPr>
            </w:pPr>
          </w:p>
        </w:tc>
        <w:tc>
          <w:tcPr>
            <w:tcW w:w="5" w:type="pct"/>
            <w:vAlign w:val="center"/>
            <w:hideMark/>
          </w:tcPr>
          <w:p w14:paraId="62D104E9" w14:textId="77777777" w:rsidR="00000000" w:rsidRDefault="00EE5306">
            <w:pPr>
              <w:spacing w:after="100"/>
              <w:rPr>
                <w:rFonts w:eastAsia="Times New Roman"/>
                <w:sz w:val="20"/>
                <w:szCs w:val="20"/>
              </w:rPr>
            </w:pPr>
          </w:p>
        </w:tc>
        <w:tc>
          <w:tcPr>
            <w:tcW w:w="50" w:type="pct"/>
            <w:vAlign w:val="center"/>
            <w:hideMark/>
          </w:tcPr>
          <w:p w14:paraId="07B652A3" w14:textId="77777777" w:rsidR="00000000" w:rsidRDefault="00EE5306">
            <w:pPr>
              <w:spacing w:after="100"/>
              <w:rPr>
                <w:rFonts w:eastAsia="Times New Roman"/>
                <w:sz w:val="20"/>
                <w:szCs w:val="20"/>
              </w:rPr>
            </w:pPr>
          </w:p>
        </w:tc>
        <w:tc>
          <w:tcPr>
            <w:tcW w:w="1618" w:type="pct"/>
            <w:vAlign w:val="center"/>
            <w:hideMark/>
          </w:tcPr>
          <w:p w14:paraId="788CF195" w14:textId="77777777" w:rsidR="00000000" w:rsidRDefault="00EE5306">
            <w:pPr>
              <w:spacing w:after="100"/>
              <w:rPr>
                <w:rFonts w:eastAsia="Times New Roman"/>
                <w:sz w:val="20"/>
                <w:szCs w:val="20"/>
              </w:rPr>
            </w:pPr>
          </w:p>
        </w:tc>
        <w:tc>
          <w:tcPr>
            <w:tcW w:w="5" w:type="pct"/>
            <w:vAlign w:val="center"/>
            <w:hideMark/>
          </w:tcPr>
          <w:p w14:paraId="521CCE13" w14:textId="77777777" w:rsidR="00000000" w:rsidRDefault="00EE5306">
            <w:pPr>
              <w:spacing w:after="100"/>
              <w:rPr>
                <w:rFonts w:eastAsia="Times New Roman"/>
                <w:sz w:val="20"/>
                <w:szCs w:val="20"/>
              </w:rPr>
            </w:pPr>
          </w:p>
        </w:tc>
        <w:tc>
          <w:tcPr>
            <w:tcW w:w="50" w:type="pct"/>
            <w:vAlign w:val="center"/>
            <w:hideMark/>
          </w:tcPr>
          <w:p w14:paraId="361A8CF0" w14:textId="77777777" w:rsidR="00000000" w:rsidRDefault="00EE5306">
            <w:pPr>
              <w:spacing w:after="100"/>
              <w:rPr>
                <w:rFonts w:eastAsia="Times New Roman"/>
                <w:sz w:val="20"/>
                <w:szCs w:val="20"/>
              </w:rPr>
            </w:pPr>
          </w:p>
        </w:tc>
        <w:tc>
          <w:tcPr>
            <w:tcW w:w="188" w:type="pct"/>
            <w:vAlign w:val="center"/>
            <w:hideMark/>
          </w:tcPr>
          <w:p w14:paraId="339DAB74" w14:textId="77777777" w:rsidR="00000000" w:rsidRDefault="00EE5306">
            <w:pPr>
              <w:spacing w:after="100"/>
              <w:rPr>
                <w:rFonts w:eastAsia="Times New Roman"/>
                <w:sz w:val="20"/>
                <w:szCs w:val="20"/>
              </w:rPr>
            </w:pPr>
          </w:p>
        </w:tc>
        <w:tc>
          <w:tcPr>
            <w:tcW w:w="5" w:type="pct"/>
            <w:vAlign w:val="center"/>
            <w:hideMark/>
          </w:tcPr>
          <w:p w14:paraId="42C759EE" w14:textId="77777777" w:rsidR="00000000" w:rsidRDefault="00EE5306">
            <w:pPr>
              <w:spacing w:after="100"/>
              <w:rPr>
                <w:rFonts w:eastAsia="Times New Roman"/>
                <w:sz w:val="20"/>
                <w:szCs w:val="20"/>
              </w:rPr>
            </w:pPr>
          </w:p>
        </w:tc>
      </w:tr>
      <w:tr w:rsidR="00000000" w14:paraId="3BCD688A" w14:textId="77777777">
        <w:trPr>
          <w:divId w:val="1010378796"/>
          <w:jc w:val="center"/>
        </w:trPr>
        <w:tc>
          <w:tcPr>
            <w:tcW w:w="0" w:type="auto"/>
            <w:gridSpan w:val="3"/>
            <w:tcMar>
              <w:top w:w="30" w:type="dxa"/>
              <w:left w:w="20" w:type="dxa"/>
              <w:bottom w:w="30" w:type="dxa"/>
              <w:right w:w="20" w:type="dxa"/>
            </w:tcMar>
            <w:vAlign w:val="bottom"/>
            <w:hideMark/>
          </w:tcPr>
          <w:p w14:paraId="32F1807B" w14:textId="77777777" w:rsidR="00000000" w:rsidRDefault="00EE5306">
            <w:pPr>
              <w:spacing w:after="100"/>
              <w:ind w:firstLine="360"/>
              <w:jc w:val="both"/>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14:paraId="75DAB7BC" w14:textId="77777777" w:rsidR="00000000" w:rsidRDefault="00EE5306">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14:paraId="62C7AB52" w14:textId="77777777" w:rsidR="00000000" w:rsidRDefault="00EE5306">
            <w:pPr>
              <w:spacing w:after="100"/>
              <w:jc w:val="right"/>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hideMark/>
          </w:tcPr>
          <w:p w14:paraId="210444BA" w14:textId="77777777" w:rsidR="00000000" w:rsidRDefault="00EE5306">
            <w:pPr>
              <w:spacing w:after="100"/>
              <w:jc w:val="right"/>
              <w:rPr>
                <w:rFonts w:eastAsia="Times New Roman"/>
              </w:rPr>
            </w:pPr>
            <w:r>
              <w:rPr>
                <w:rFonts w:ascii="Segoe UI Symbol" w:eastAsia="Times New Roman" w:hAnsi="Segoe UI Symbol" w:cs="Segoe UI Symbol"/>
                <w:color w:val="000000"/>
                <w:sz w:val="20"/>
                <w:szCs w:val="20"/>
              </w:rPr>
              <w:t>☐</w:t>
            </w:r>
          </w:p>
        </w:tc>
      </w:tr>
      <w:tr w:rsidR="00000000" w14:paraId="3B4A5E4B" w14:textId="77777777">
        <w:trPr>
          <w:divId w:val="1010378796"/>
          <w:jc w:val="center"/>
        </w:trPr>
        <w:tc>
          <w:tcPr>
            <w:tcW w:w="0" w:type="auto"/>
            <w:gridSpan w:val="3"/>
            <w:tcMar>
              <w:top w:w="30" w:type="dxa"/>
              <w:left w:w="20" w:type="dxa"/>
              <w:bottom w:w="30" w:type="dxa"/>
              <w:right w:w="20" w:type="dxa"/>
            </w:tcMar>
            <w:vAlign w:val="bottom"/>
            <w:hideMark/>
          </w:tcPr>
          <w:p w14:paraId="52304F39" w14:textId="77777777" w:rsidR="00000000" w:rsidRDefault="00EE5306">
            <w:pPr>
              <w:spacing w:after="100"/>
              <w:ind w:firstLine="360"/>
              <w:jc w:val="both"/>
              <w:rPr>
                <w:rFonts w:eastAsia="Times New Roman"/>
              </w:rPr>
            </w:pPr>
            <w:r>
              <w:rPr>
                <w:rFonts w:eastAsia="Times New Roman"/>
                <w:color w:val="000000"/>
                <w:sz w:val="18"/>
                <w:szCs w:val="18"/>
              </w:rPr>
              <w:lastRenderedPageBreak/>
              <w:t>Non-accelerated filer</w:t>
            </w:r>
          </w:p>
        </w:tc>
        <w:tc>
          <w:tcPr>
            <w:tcW w:w="0" w:type="auto"/>
            <w:gridSpan w:val="3"/>
            <w:tcMar>
              <w:top w:w="30" w:type="dxa"/>
              <w:left w:w="20" w:type="dxa"/>
              <w:bottom w:w="30" w:type="dxa"/>
              <w:right w:w="20" w:type="dxa"/>
            </w:tcMar>
            <w:hideMark/>
          </w:tcPr>
          <w:p w14:paraId="225C166D" w14:textId="77777777" w:rsidR="00000000" w:rsidRDefault="00EE5306">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41D50979" w14:textId="77777777" w:rsidR="00000000" w:rsidRDefault="00EE5306">
            <w:pPr>
              <w:spacing w:after="100"/>
              <w:jc w:val="right"/>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hideMark/>
          </w:tcPr>
          <w:p w14:paraId="24D93170" w14:textId="77777777" w:rsidR="00000000" w:rsidRDefault="00EE5306">
            <w:pPr>
              <w:spacing w:after="100"/>
              <w:jc w:val="right"/>
              <w:rPr>
                <w:rFonts w:eastAsia="Times New Roman"/>
              </w:rPr>
            </w:pPr>
            <w:r>
              <w:rPr>
                <w:rFonts w:ascii="Segoe UI Symbol" w:eastAsia="Times New Roman" w:hAnsi="Segoe UI Symbol" w:cs="Segoe UI Symbol"/>
                <w:color w:val="000000"/>
                <w:sz w:val="20"/>
                <w:szCs w:val="20"/>
              </w:rPr>
              <w:t>☐</w:t>
            </w:r>
          </w:p>
        </w:tc>
      </w:tr>
      <w:tr w:rsidR="00000000" w14:paraId="740E3C93" w14:textId="77777777">
        <w:trPr>
          <w:divId w:val="1010378796"/>
          <w:jc w:val="center"/>
        </w:trPr>
        <w:tc>
          <w:tcPr>
            <w:tcW w:w="0" w:type="auto"/>
            <w:gridSpan w:val="3"/>
            <w:tcMar>
              <w:top w:w="0" w:type="dxa"/>
              <w:left w:w="20" w:type="dxa"/>
              <w:bottom w:w="0" w:type="dxa"/>
              <w:right w:w="20" w:type="dxa"/>
            </w:tcMar>
            <w:vAlign w:val="center"/>
            <w:hideMark/>
          </w:tcPr>
          <w:p w14:paraId="2F103D76" w14:textId="77777777" w:rsidR="00000000" w:rsidRDefault="00EE530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D12A60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F77D299" w14:textId="77777777" w:rsidR="00000000" w:rsidRDefault="00EE5306">
            <w:pPr>
              <w:spacing w:after="100"/>
              <w:jc w:val="right"/>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hideMark/>
          </w:tcPr>
          <w:p w14:paraId="62D72E0B" w14:textId="77777777" w:rsidR="00000000" w:rsidRDefault="00EE5306">
            <w:pPr>
              <w:spacing w:after="100"/>
              <w:jc w:val="right"/>
              <w:rPr>
                <w:rFonts w:eastAsia="Times New Roman"/>
              </w:rPr>
            </w:pPr>
            <w:r>
              <w:rPr>
                <w:rFonts w:ascii="Segoe UI Symbol" w:eastAsia="Times New Roman" w:hAnsi="Segoe UI Symbol" w:cs="Segoe UI Symbol"/>
                <w:color w:val="000000"/>
                <w:sz w:val="20"/>
                <w:szCs w:val="20"/>
              </w:rPr>
              <w:t>☐</w:t>
            </w:r>
          </w:p>
        </w:tc>
      </w:tr>
    </w:tbl>
    <w:p w14:paraId="6136D8C6" w14:textId="77777777" w:rsidR="00000000" w:rsidRDefault="00EE5306">
      <w:pPr>
        <w:ind w:firstLine="360"/>
        <w:divId w:val="890920663"/>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p>
    <w:p w14:paraId="10270A0F" w14:textId="77777777" w:rsidR="00000000" w:rsidRDefault="00EE5306">
      <w:pPr>
        <w:ind w:firstLine="360"/>
        <w:divId w:val="338580941"/>
        <w:rPr>
          <w:rFonts w:eastAsia="Times New Roman"/>
        </w:rPr>
      </w:pPr>
      <w:r>
        <w:rPr>
          <w:rFonts w:eastAsia="Times New Roman"/>
          <w:color w:val="000000"/>
          <w:sz w:val="18"/>
          <w:szCs w:val="18"/>
        </w:rPr>
        <w:t>Indicate by check mark whether the registrant has filed a report on and attestation to its management’s assessment of the effectiveness of its internal control over financial reporting under Section 404(b) of the Sarbanes-Oxley Act (15 U.S.C.</w:t>
      </w:r>
      <w:r>
        <w:rPr>
          <w:rFonts w:eastAsia="Times New Roman"/>
          <w:color w:val="000000"/>
          <w:sz w:val="18"/>
          <w:szCs w:val="18"/>
        </w:rPr>
        <w:t xml:space="preserve"> 7262(b)) by the registered public accounting firm that prepared or issued its audit report.                  </w:t>
      </w:r>
      <w:r>
        <w:rPr>
          <w:rFonts w:ascii="Segoe UI Emoji" w:eastAsia="Times New Roman" w:hAnsi="Segoe UI Emoji" w:cs="Segoe UI Emoji"/>
          <w:color w:val="000000"/>
          <w:sz w:val="20"/>
          <w:szCs w:val="20"/>
        </w:rPr>
        <w:t>☑</w:t>
      </w:r>
      <w:r>
        <w:rPr>
          <w:rFonts w:eastAsia="Times New Roman"/>
          <w:color w:val="000000"/>
          <w:sz w:val="18"/>
          <w:szCs w:val="18"/>
        </w:rPr>
        <w:t xml:space="preserve"> </w:t>
      </w:r>
    </w:p>
    <w:p w14:paraId="44B9AB07" w14:textId="77777777" w:rsidR="00000000" w:rsidRDefault="00EE5306">
      <w:pPr>
        <w:ind w:firstLine="360"/>
        <w:jc w:val="both"/>
        <w:divId w:val="714278789"/>
        <w:rPr>
          <w:rFonts w:eastAsia="Times New Roman"/>
        </w:rPr>
      </w:pPr>
      <w:r>
        <w:rPr>
          <w:rFonts w:eastAsia="Times New Roman"/>
          <w:color w:val="000000"/>
          <w:sz w:val="18"/>
          <w:szCs w:val="18"/>
        </w:rPr>
        <w:t xml:space="preserve">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Emoji" w:eastAsia="Times New Roman" w:hAnsi="Segoe UI Emoji" w:cs="Segoe UI Emoji"/>
          <w:color w:val="000000"/>
          <w:sz w:val="20"/>
          <w:szCs w:val="20"/>
        </w:rPr>
        <w:t>☑</w:t>
      </w:r>
    </w:p>
    <w:p w14:paraId="21E3139F" w14:textId="77777777" w:rsidR="00000000" w:rsidRDefault="00EE5306">
      <w:pPr>
        <w:ind w:firstLine="360"/>
        <w:jc w:val="both"/>
        <w:divId w:val="2019505921"/>
        <w:rPr>
          <w:rFonts w:eastAsia="Times New Roman"/>
        </w:rPr>
      </w:pPr>
      <w:r>
        <w:rPr>
          <w:rFonts w:eastAsia="Times New Roman"/>
          <w:color w:val="000000"/>
          <w:sz w:val="18"/>
          <w:szCs w:val="18"/>
        </w:rPr>
        <w:t>The aggregate marke</w:t>
      </w:r>
      <w:r>
        <w:rPr>
          <w:rFonts w:eastAsia="Times New Roman"/>
          <w:color w:val="000000"/>
          <w:sz w:val="18"/>
          <w:szCs w:val="18"/>
        </w:rPr>
        <w:t>t value of the registrant's voting common stock held by non-affiliates of the registrant was approximately $3.385 billion as of September 25, 2020, the last business day of the registrant's most recently completed second fiscal quarter based on the closing</w:t>
      </w:r>
      <w:r>
        <w:rPr>
          <w:rFonts w:eastAsia="Times New Roman"/>
          <w:color w:val="000000"/>
          <w:sz w:val="18"/>
          <w:szCs w:val="18"/>
        </w:rPr>
        <w:t xml:space="preserve"> price of the common stock on the New York Stock Exchange.</w:t>
      </w:r>
    </w:p>
    <w:p w14:paraId="1F7479B4" w14:textId="77777777" w:rsidR="00000000" w:rsidRDefault="00EE5306">
      <w:pPr>
        <w:ind w:firstLine="360"/>
        <w:jc w:val="both"/>
        <w:divId w:val="680278983"/>
        <w:rPr>
          <w:rFonts w:eastAsia="Times New Roman"/>
        </w:rPr>
      </w:pPr>
      <w:r>
        <w:rPr>
          <w:rFonts w:eastAsia="Times New Roman"/>
          <w:color w:val="000000"/>
          <w:sz w:val="18"/>
          <w:szCs w:val="18"/>
        </w:rPr>
        <w:t>At May 14, 2021, 48,250,036 shares of the registrant's Class A common stock, $.01 par value and 24,881,276 shares of the registrant's Class B common stock, $.01 par value were outstanding.</w:t>
      </w:r>
    </w:p>
    <w:p w14:paraId="526DB80B" w14:textId="77777777" w:rsidR="00000000" w:rsidRDefault="00EE5306">
      <w:pPr>
        <w:ind w:firstLine="360"/>
        <w:jc w:val="both"/>
        <w:divId w:val="1665861502"/>
        <w:rPr>
          <w:rFonts w:eastAsia="Times New Roman"/>
        </w:rPr>
      </w:pPr>
      <w:r>
        <w:rPr>
          <w:rFonts w:eastAsia="Times New Roman"/>
          <w:color w:val="000000"/>
          <w:sz w:val="18"/>
          <w:szCs w:val="18"/>
        </w:rPr>
        <w:t>Part III</w:t>
      </w:r>
      <w:r>
        <w:rPr>
          <w:rFonts w:eastAsia="Times New Roman"/>
          <w:color w:val="000000"/>
          <w:sz w:val="18"/>
          <w:szCs w:val="18"/>
        </w:rPr>
        <w:t xml:space="preserve"> incorporates by reference information from certain portions of the registrant's definitive proxy statement to be filed with the Securities and Exchange Commission within 120 days after the fiscal year ended March 27,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CAECC2A" w14:textId="77777777">
        <w:trPr>
          <w:divId w:val="1231190786"/>
        </w:trPr>
        <w:tc>
          <w:tcPr>
            <w:tcW w:w="50" w:type="pct"/>
            <w:vAlign w:val="center"/>
            <w:hideMark/>
          </w:tcPr>
          <w:p w14:paraId="563A6D0A" w14:textId="77777777" w:rsidR="00000000" w:rsidRDefault="00EE5306">
            <w:pPr>
              <w:ind w:firstLine="360"/>
              <w:jc w:val="both"/>
              <w:rPr>
                <w:rFonts w:eastAsia="Times New Roman"/>
              </w:rPr>
            </w:pPr>
          </w:p>
        </w:tc>
        <w:tc>
          <w:tcPr>
            <w:tcW w:w="4945" w:type="pct"/>
            <w:vAlign w:val="center"/>
            <w:hideMark/>
          </w:tcPr>
          <w:p w14:paraId="1A75F9D1" w14:textId="77777777" w:rsidR="00000000" w:rsidRDefault="00EE5306">
            <w:pPr>
              <w:spacing w:after="100"/>
              <w:rPr>
                <w:rFonts w:eastAsia="Times New Roman"/>
                <w:sz w:val="20"/>
                <w:szCs w:val="20"/>
              </w:rPr>
            </w:pPr>
          </w:p>
        </w:tc>
        <w:tc>
          <w:tcPr>
            <w:tcW w:w="5" w:type="pct"/>
            <w:vAlign w:val="center"/>
            <w:hideMark/>
          </w:tcPr>
          <w:p w14:paraId="3AFD90F5" w14:textId="77777777" w:rsidR="00000000" w:rsidRDefault="00EE5306">
            <w:pPr>
              <w:spacing w:after="100"/>
              <w:rPr>
                <w:rFonts w:eastAsia="Times New Roman"/>
                <w:sz w:val="20"/>
                <w:szCs w:val="20"/>
              </w:rPr>
            </w:pPr>
          </w:p>
        </w:tc>
      </w:tr>
      <w:tr w:rsidR="00000000" w14:paraId="1C6064A6" w14:textId="77777777">
        <w:trPr>
          <w:divId w:val="1231190786"/>
          <w:trHeight w:val="100"/>
        </w:trPr>
        <w:tc>
          <w:tcPr>
            <w:tcW w:w="0" w:type="auto"/>
            <w:gridSpan w:val="3"/>
            <w:tcBorders>
              <w:bottom w:val="single" w:sz="18" w:space="0" w:color="000000"/>
            </w:tcBorders>
            <w:tcMar>
              <w:top w:w="0" w:type="dxa"/>
              <w:left w:w="20" w:type="dxa"/>
              <w:bottom w:w="0" w:type="dxa"/>
              <w:right w:w="20" w:type="dxa"/>
            </w:tcMar>
            <w:vAlign w:val="center"/>
            <w:hideMark/>
          </w:tcPr>
          <w:p w14:paraId="48DB33D6" w14:textId="77777777" w:rsidR="00000000" w:rsidRDefault="00EE5306">
            <w:pPr>
              <w:spacing w:after="100"/>
              <w:rPr>
                <w:rFonts w:eastAsia="Times New Roman"/>
                <w:sz w:val="20"/>
                <w:szCs w:val="20"/>
              </w:rPr>
            </w:pPr>
          </w:p>
        </w:tc>
      </w:tr>
    </w:tbl>
    <w:p w14:paraId="3901E7DB" w14:textId="77777777" w:rsidR="00000000" w:rsidRDefault="00EE5306">
      <w:pPr>
        <w:divId w:val="94603604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B618CE0" w14:textId="77777777">
        <w:trPr>
          <w:divId w:val="42482000"/>
          <w:jc w:val="center"/>
        </w:trPr>
        <w:tc>
          <w:tcPr>
            <w:tcW w:w="50" w:type="pct"/>
            <w:vAlign w:val="center"/>
            <w:hideMark/>
          </w:tcPr>
          <w:p w14:paraId="19289534" w14:textId="77777777" w:rsidR="00000000" w:rsidRDefault="00EE5306">
            <w:pPr>
              <w:rPr>
                <w:rFonts w:eastAsia="Times New Roman"/>
              </w:rPr>
            </w:pPr>
          </w:p>
        </w:tc>
        <w:tc>
          <w:tcPr>
            <w:tcW w:w="1699" w:type="pct"/>
            <w:vAlign w:val="center"/>
            <w:hideMark/>
          </w:tcPr>
          <w:p w14:paraId="44F09ACC" w14:textId="77777777" w:rsidR="00000000" w:rsidRDefault="00EE5306">
            <w:pPr>
              <w:spacing w:after="100"/>
              <w:rPr>
                <w:rFonts w:eastAsia="Times New Roman"/>
                <w:sz w:val="20"/>
                <w:szCs w:val="20"/>
              </w:rPr>
            </w:pPr>
          </w:p>
        </w:tc>
        <w:tc>
          <w:tcPr>
            <w:tcW w:w="5" w:type="pct"/>
            <w:vAlign w:val="center"/>
            <w:hideMark/>
          </w:tcPr>
          <w:p w14:paraId="5D6F52B5" w14:textId="77777777" w:rsidR="00000000" w:rsidRDefault="00EE5306">
            <w:pPr>
              <w:spacing w:after="100"/>
              <w:rPr>
                <w:rFonts w:eastAsia="Times New Roman"/>
                <w:sz w:val="20"/>
                <w:szCs w:val="20"/>
              </w:rPr>
            </w:pPr>
          </w:p>
        </w:tc>
        <w:tc>
          <w:tcPr>
            <w:tcW w:w="50" w:type="pct"/>
            <w:vAlign w:val="center"/>
            <w:hideMark/>
          </w:tcPr>
          <w:p w14:paraId="12C4D85A" w14:textId="77777777" w:rsidR="00000000" w:rsidRDefault="00EE5306">
            <w:pPr>
              <w:spacing w:after="100"/>
              <w:rPr>
                <w:rFonts w:eastAsia="Times New Roman"/>
                <w:sz w:val="20"/>
                <w:szCs w:val="20"/>
              </w:rPr>
            </w:pPr>
          </w:p>
        </w:tc>
        <w:tc>
          <w:tcPr>
            <w:tcW w:w="1436" w:type="pct"/>
            <w:vAlign w:val="center"/>
            <w:hideMark/>
          </w:tcPr>
          <w:p w14:paraId="24ACAC12" w14:textId="77777777" w:rsidR="00000000" w:rsidRDefault="00EE5306">
            <w:pPr>
              <w:spacing w:after="100"/>
              <w:rPr>
                <w:rFonts w:eastAsia="Times New Roman"/>
                <w:sz w:val="20"/>
                <w:szCs w:val="20"/>
              </w:rPr>
            </w:pPr>
          </w:p>
        </w:tc>
        <w:tc>
          <w:tcPr>
            <w:tcW w:w="5" w:type="pct"/>
            <w:vAlign w:val="center"/>
            <w:hideMark/>
          </w:tcPr>
          <w:p w14:paraId="0F51EAEF" w14:textId="77777777" w:rsidR="00000000" w:rsidRDefault="00EE5306">
            <w:pPr>
              <w:spacing w:after="100"/>
              <w:rPr>
                <w:rFonts w:eastAsia="Times New Roman"/>
                <w:sz w:val="20"/>
                <w:szCs w:val="20"/>
              </w:rPr>
            </w:pPr>
          </w:p>
        </w:tc>
        <w:tc>
          <w:tcPr>
            <w:tcW w:w="50" w:type="pct"/>
            <w:vAlign w:val="center"/>
            <w:hideMark/>
          </w:tcPr>
          <w:p w14:paraId="54AE95BC" w14:textId="77777777" w:rsidR="00000000" w:rsidRDefault="00EE5306">
            <w:pPr>
              <w:spacing w:after="100"/>
              <w:rPr>
                <w:rFonts w:eastAsia="Times New Roman"/>
                <w:sz w:val="20"/>
                <w:szCs w:val="20"/>
              </w:rPr>
            </w:pPr>
          </w:p>
        </w:tc>
        <w:tc>
          <w:tcPr>
            <w:tcW w:w="1699" w:type="pct"/>
            <w:vAlign w:val="center"/>
            <w:hideMark/>
          </w:tcPr>
          <w:p w14:paraId="48B32F01" w14:textId="77777777" w:rsidR="00000000" w:rsidRDefault="00EE5306">
            <w:pPr>
              <w:spacing w:after="100"/>
              <w:rPr>
                <w:rFonts w:eastAsia="Times New Roman"/>
                <w:sz w:val="20"/>
                <w:szCs w:val="20"/>
              </w:rPr>
            </w:pPr>
          </w:p>
        </w:tc>
        <w:tc>
          <w:tcPr>
            <w:tcW w:w="5" w:type="pct"/>
            <w:vAlign w:val="center"/>
            <w:hideMark/>
          </w:tcPr>
          <w:p w14:paraId="1D1F0DCF" w14:textId="77777777" w:rsidR="00000000" w:rsidRDefault="00EE5306">
            <w:pPr>
              <w:spacing w:after="100"/>
              <w:rPr>
                <w:rFonts w:eastAsia="Times New Roman"/>
                <w:sz w:val="20"/>
                <w:szCs w:val="20"/>
              </w:rPr>
            </w:pPr>
          </w:p>
        </w:tc>
      </w:tr>
      <w:tr w:rsidR="00000000" w14:paraId="09D01AE3" w14:textId="77777777">
        <w:trPr>
          <w:divId w:val="42482000"/>
          <w:trHeight w:val="300"/>
          <w:jc w:val="center"/>
        </w:trPr>
        <w:tc>
          <w:tcPr>
            <w:tcW w:w="0" w:type="auto"/>
            <w:gridSpan w:val="3"/>
            <w:tcMar>
              <w:top w:w="0" w:type="dxa"/>
              <w:left w:w="20" w:type="dxa"/>
              <w:bottom w:w="0" w:type="dxa"/>
              <w:right w:w="20" w:type="dxa"/>
            </w:tcMar>
            <w:vAlign w:val="center"/>
            <w:hideMark/>
          </w:tcPr>
          <w:p w14:paraId="78663C92"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2EAD05"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B05595" w14:textId="77777777" w:rsidR="00000000" w:rsidRDefault="00EE5306">
            <w:pPr>
              <w:spacing w:after="100"/>
              <w:rPr>
                <w:rFonts w:eastAsia="Times New Roman"/>
                <w:sz w:val="20"/>
                <w:szCs w:val="20"/>
              </w:rPr>
            </w:pPr>
          </w:p>
        </w:tc>
      </w:tr>
    </w:tbl>
    <w:p w14:paraId="0FA41D35" w14:textId="77777777" w:rsidR="00000000" w:rsidRDefault="00EE5306">
      <w:pPr>
        <w:rPr>
          <w:rFonts w:eastAsia="Times New Roman"/>
        </w:rPr>
      </w:pPr>
      <w:r>
        <w:rPr>
          <w:rFonts w:eastAsia="Times New Roman"/>
        </w:rPr>
        <w:pict w14:anchorId="4C08A8C3">
          <v:rect id="_x0000_i1025" style="width:0;height:1.5pt" o:hralign="center" o:hrstd="t" o:hr="t" fillcolor="#a0a0a0" stroked="f"/>
        </w:pict>
      </w:r>
    </w:p>
    <w:p w14:paraId="26012A36" w14:textId="77777777" w:rsidR="00000000" w:rsidRDefault="00EE5306">
      <w:pPr>
        <w:divId w:val="232816267"/>
        <w:rPr>
          <w:rFonts w:eastAsia="Times New Roman"/>
        </w:rPr>
      </w:pPr>
    </w:p>
    <w:p w14:paraId="15BD16B0" w14:textId="77777777" w:rsidR="00000000" w:rsidRDefault="00EE5306">
      <w:pPr>
        <w:jc w:val="center"/>
        <w:rPr>
          <w:rFonts w:eastAsia="Times New Roman"/>
        </w:rPr>
      </w:pPr>
      <w:r>
        <w:rPr>
          <w:rFonts w:eastAsia="Times New Roman"/>
          <w:b/>
          <w:bCs/>
          <w:color w:val="000000"/>
          <w:sz w:val="20"/>
          <w:szCs w:val="20"/>
        </w:rPr>
        <w:t>SPECIAL NOTE REGARDING FORWARD-LOOKING STATEMENTS</w:t>
      </w:r>
    </w:p>
    <w:p w14:paraId="121C12D7" w14:textId="77777777" w:rsidR="00000000" w:rsidRDefault="00EE5306">
      <w:pPr>
        <w:ind w:firstLine="540"/>
        <w:jc w:val="both"/>
        <w:divId w:val="706830245"/>
        <w:rPr>
          <w:rFonts w:eastAsia="Times New Roman"/>
        </w:rPr>
      </w:pPr>
      <w:r>
        <w:rPr>
          <w:rFonts w:eastAsia="Times New Roman"/>
          <w:color w:val="000000"/>
          <w:sz w:val="20"/>
          <w:szCs w:val="20"/>
        </w:rPr>
        <w:t>Various statements in this Form 10-K or incorporated by reference into this Form </w:t>
      </w:r>
      <w:r>
        <w:rPr>
          <w:rFonts w:eastAsia="Times New Roman"/>
          <w:color w:val="000000"/>
          <w:sz w:val="20"/>
          <w:szCs w:val="20"/>
        </w:rPr>
        <w:t>10-K, in future filings by us with the Securities and Exchange Commission (the "SEC"), in our press releases, and in oral statements made from time to time by us or on our behalf constitute "forward-looking statements" within the meaning of the Private Sec</w:t>
      </w:r>
      <w:r>
        <w:rPr>
          <w:rFonts w:eastAsia="Times New Roman"/>
          <w:color w:val="000000"/>
          <w:sz w:val="20"/>
          <w:szCs w:val="20"/>
        </w:rPr>
        <w:t>urities Litigation Reform Act of 1995. Forward-looking statements include, without limitation, statements regarding our future operating results and sources of liquidity (especially in light of the COVID-19 pandemic), the implementation and impact of our s</w:t>
      </w:r>
      <w:r>
        <w:rPr>
          <w:rFonts w:eastAsia="Times New Roman"/>
          <w:color w:val="000000"/>
          <w:sz w:val="20"/>
          <w:szCs w:val="20"/>
        </w:rPr>
        <w:t>trategic plans, initiatives and capital expenses, and our ability to meet environmental, social, and governance goals. Forward-looking statements are based on current expectations and are indicated by words or phrases such as "anticipate," "outlook," "esti</w:t>
      </w:r>
      <w:r>
        <w:rPr>
          <w:rFonts w:eastAsia="Times New Roman"/>
          <w:color w:val="000000"/>
          <w:sz w:val="20"/>
          <w:szCs w:val="20"/>
        </w:rPr>
        <w:t>mate," "expect," "project," "believe," "envision," "goal," "target," "can," "will," and similar words or phrases and involve known and unknown risks, uncertainties, and other factors which may cause actual results, performance, or achievements to be materi</w:t>
      </w:r>
      <w:r>
        <w:rPr>
          <w:rFonts w:eastAsia="Times New Roman"/>
          <w:color w:val="000000"/>
          <w:sz w:val="20"/>
          <w:szCs w:val="20"/>
        </w:rPr>
        <w:t>ally different from the future results, performance, or achievements expressed in or implied by such forward-looking statements. These risks, uncertainties, and other factors include, among others:</w:t>
      </w:r>
    </w:p>
    <w:p w14:paraId="5A0B7EB9" w14:textId="77777777" w:rsidR="00000000" w:rsidRDefault="00EE5306">
      <w:pPr>
        <w:ind w:hanging="360"/>
        <w:jc w:val="both"/>
        <w:divId w:val="1906181516"/>
        <w:rPr>
          <w:rFonts w:eastAsia="Times New Roman"/>
        </w:rPr>
      </w:pPr>
      <w:r>
        <w:rPr>
          <w:rFonts w:eastAsia="Times New Roman"/>
          <w:color w:val="000000"/>
          <w:sz w:val="20"/>
          <w:szCs w:val="20"/>
        </w:rPr>
        <w:t>•the loss of key personnel, including Mr. Ralph Lauren, or</w:t>
      </w:r>
      <w:r>
        <w:rPr>
          <w:rFonts w:eastAsia="Times New Roman"/>
          <w:color w:val="000000"/>
          <w:sz w:val="20"/>
          <w:szCs w:val="20"/>
        </w:rPr>
        <w:t xml:space="preserve"> other changes in our executive and senior management team or to our operating structure, including those resulting from our decision to significantly reduce our global workforce during Fiscal 2021, and our ability to effectively transfer knowledge and mai</w:t>
      </w:r>
      <w:r>
        <w:rPr>
          <w:rFonts w:eastAsia="Times New Roman"/>
          <w:color w:val="000000"/>
          <w:sz w:val="20"/>
          <w:szCs w:val="20"/>
        </w:rPr>
        <w:t>ntain adequate controls and procedures during periods of transition;</w:t>
      </w:r>
    </w:p>
    <w:p w14:paraId="06095707" w14:textId="77777777" w:rsidR="00000000" w:rsidRDefault="00EE5306">
      <w:pPr>
        <w:ind w:hanging="360"/>
        <w:jc w:val="both"/>
        <w:divId w:val="1433473091"/>
        <w:rPr>
          <w:rFonts w:eastAsia="Times New Roman"/>
        </w:rPr>
      </w:pPr>
      <w:r>
        <w:rPr>
          <w:rFonts w:eastAsia="Times New Roman"/>
          <w:color w:val="000000"/>
          <w:sz w:val="20"/>
          <w:szCs w:val="20"/>
        </w:rPr>
        <w:t>•the impact to our business resulting from the COVID-19 pandemic, including periods of reduced operating hours and capacity limits and/or temporary closure of our stores, distribution cen</w:t>
      </w:r>
      <w:r>
        <w:rPr>
          <w:rFonts w:eastAsia="Times New Roman"/>
          <w:color w:val="000000"/>
          <w:sz w:val="20"/>
          <w:szCs w:val="20"/>
        </w:rPr>
        <w:t>ters, and corporate facilities, as well as those of our wholesale customers, licensing partners, suppliers, and vendors, and potential changes to consumer behavior, spending levels, and/or shopping preferences, such as willingness to congregate in shopping</w:t>
      </w:r>
      <w:r>
        <w:rPr>
          <w:rFonts w:eastAsia="Times New Roman"/>
          <w:color w:val="000000"/>
          <w:sz w:val="20"/>
          <w:szCs w:val="20"/>
        </w:rPr>
        <w:t xml:space="preserve"> centers or other populated locations; </w:t>
      </w:r>
    </w:p>
    <w:p w14:paraId="2F5C5686" w14:textId="77777777" w:rsidR="00000000" w:rsidRDefault="00EE5306">
      <w:pPr>
        <w:ind w:hanging="360"/>
        <w:jc w:val="both"/>
        <w:divId w:val="1867790594"/>
        <w:rPr>
          <w:rFonts w:eastAsia="Times New Roman"/>
        </w:rPr>
      </w:pPr>
      <w:r>
        <w:rPr>
          <w:rFonts w:eastAsia="Times New Roman"/>
          <w:color w:val="000000"/>
          <w:sz w:val="20"/>
          <w:szCs w:val="20"/>
        </w:rPr>
        <w:t>•our ability to achieve anticipated operating enhancements and cost reductions from our restructuring plans, as well as the impact to our business resulting from restructuring-related charges, which may be dilutive t</w:t>
      </w:r>
      <w:r>
        <w:rPr>
          <w:rFonts w:eastAsia="Times New Roman"/>
          <w:color w:val="000000"/>
          <w:sz w:val="20"/>
          <w:szCs w:val="20"/>
        </w:rPr>
        <w:t>o our earnings in the short term;</w:t>
      </w:r>
    </w:p>
    <w:p w14:paraId="04702840" w14:textId="77777777" w:rsidR="00000000" w:rsidRDefault="00EE5306">
      <w:pPr>
        <w:ind w:hanging="360"/>
        <w:jc w:val="both"/>
        <w:divId w:val="481625023"/>
        <w:rPr>
          <w:rFonts w:eastAsia="Times New Roman"/>
        </w:rPr>
      </w:pPr>
      <w:r>
        <w:rPr>
          <w:rFonts w:eastAsia="Times New Roman"/>
          <w:color w:val="000000"/>
          <w:sz w:val="20"/>
          <w:szCs w:val="20"/>
        </w:rPr>
        <w:t>•the impact to our business resulting from potential costs and obligations related to the early or temporary closure of our stores or termination of our long-term, non-cancellable leases;</w:t>
      </w:r>
    </w:p>
    <w:p w14:paraId="5DC4E35C" w14:textId="77777777" w:rsidR="00000000" w:rsidRDefault="00EE5306">
      <w:pPr>
        <w:ind w:hanging="360"/>
        <w:jc w:val="both"/>
        <w:divId w:val="1288198120"/>
        <w:rPr>
          <w:rFonts w:eastAsia="Times New Roman"/>
        </w:rPr>
      </w:pPr>
      <w:r>
        <w:rPr>
          <w:rFonts w:eastAsia="Times New Roman"/>
          <w:color w:val="000000"/>
          <w:sz w:val="20"/>
          <w:szCs w:val="20"/>
        </w:rPr>
        <w:lastRenderedPageBreak/>
        <w:t xml:space="preserve">•our ability to maintain adequate </w:t>
      </w:r>
      <w:r>
        <w:rPr>
          <w:rFonts w:eastAsia="Times New Roman"/>
          <w:color w:val="000000"/>
          <w:sz w:val="20"/>
          <w:szCs w:val="20"/>
        </w:rPr>
        <w:t>levels of liquidity to provide for our cash needs, including our debt obligations, tax obligations, capital expenditures, and potential payment of dividends and repurchases of our Class A common stock, as well as the ability of our customers, suppliers, ve</w:t>
      </w:r>
      <w:r>
        <w:rPr>
          <w:rFonts w:eastAsia="Times New Roman"/>
          <w:color w:val="000000"/>
          <w:sz w:val="20"/>
          <w:szCs w:val="20"/>
        </w:rPr>
        <w:t>ndors, and lenders to access sources of liquidity to provide for their own cash needs;</w:t>
      </w:r>
    </w:p>
    <w:p w14:paraId="65531E88" w14:textId="77777777" w:rsidR="00000000" w:rsidRDefault="00EE5306">
      <w:pPr>
        <w:ind w:hanging="360"/>
        <w:jc w:val="both"/>
        <w:divId w:val="188492646"/>
        <w:rPr>
          <w:rFonts w:eastAsia="Times New Roman"/>
        </w:rPr>
      </w:pPr>
      <w:r>
        <w:rPr>
          <w:rFonts w:eastAsia="Times New Roman"/>
          <w:color w:val="000000"/>
          <w:sz w:val="20"/>
          <w:szCs w:val="20"/>
        </w:rPr>
        <w:t>•the impact to our business resulting from changes in consumers' ability, willingness, or preferences to purchase discretionary items and luxury retail products, which t</w:t>
      </w:r>
      <w:r>
        <w:rPr>
          <w:rFonts w:eastAsia="Times New Roman"/>
          <w:color w:val="000000"/>
          <w:sz w:val="20"/>
          <w:szCs w:val="20"/>
        </w:rPr>
        <w:t>ends to decline during recessionary periods, and our ability to accurately forecast consumer demand, the failure of which could result in either a build-up or shortage of inventory;</w:t>
      </w:r>
    </w:p>
    <w:p w14:paraId="40C726A4" w14:textId="77777777" w:rsidR="00000000" w:rsidRDefault="00EE5306">
      <w:pPr>
        <w:ind w:hanging="360"/>
        <w:jc w:val="both"/>
        <w:divId w:val="1782190406"/>
        <w:rPr>
          <w:rFonts w:eastAsia="Times New Roman"/>
        </w:rPr>
      </w:pPr>
      <w:r>
        <w:rPr>
          <w:rFonts w:eastAsia="Times New Roman"/>
          <w:color w:val="000000"/>
          <w:sz w:val="20"/>
          <w:szCs w:val="20"/>
        </w:rPr>
        <w:t>•the impact of economic, political, and other conditions on us, our custom</w:t>
      </w:r>
      <w:r>
        <w:rPr>
          <w:rFonts w:eastAsia="Times New Roman"/>
          <w:color w:val="000000"/>
          <w:sz w:val="20"/>
          <w:szCs w:val="20"/>
        </w:rPr>
        <w:t>ers, suppliers, vendors, and lenders, including business disruptions related to pandemic diseases such as COVID-19, civil and political unrest such as the recent protests in the U.S., and diplomatic tensions between the U.S. and China;</w:t>
      </w:r>
    </w:p>
    <w:p w14:paraId="33223640" w14:textId="77777777" w:rsidR="00000000" w:rsidRDefault="00EE5306">
      <w:pPr>
        <w:ind w:hanging="360"/>
        <w:jc w:val="both"/>
        <w:divId w:val="654605607"/>
        <w:rPr>
          <w:rFonts w:eastAsia="Times New Roman"/>
        </w:rPr>
      </w:pPr>
      <w:r>
        <w:rPr>
          <w:rFonts w:eastAsia="Times New Roman"/>
          <w:color w:val="000000"/>
          <w:sz w:val="20"/>
          <w:szCs w:val="20"/>
        </w:rPr>
        <w:t>•the potential impac</w:t>
      </w:r>
      <w:r>
        <w:rPr>
          <w:rFonts w:eastAsia="Times New Roman"/>
          <w:color w:val="000000"/>
          <w:sz w:val="20"/>
          <w:szCs w:val="20"/>
        </w:rPr>
        <w:t>t to our business resulting from the financial difficulties of certain of our large wholesale customers, which may result in consolidations, liquidations, restructurings, and other ownership changes in the retail industry, as well as other changes in the c</w:t>
      </w:r>
      <w:r>
        <w:rPr>
          <w:rFonts w:eastAsia="Times New Roman"/>
          <w:color w:val="000000"/>
          <w:sz w:val="20"/>
          <w:szCs w:val="20"/>
        </w:rPr>
        <w:t>ompetitive marketplace, including the introduction of new products or pricing changes by our competitors;</w:t>
      </w:r>
    </w:p>
    <w:p w14:paraId="4287F277" w14:textId="77777777" w:rsidR="00000000" w:rsidRDefault="00EE5306">
      <w:pPr>
        <w:ind w:hanging="360"/>
        <w:jc w:val="both"/>
        <w:divId w:val="2072531650"/>
        <w:rPr>
          <w:rFonts w:eastAsia="Times New Roman"/>
        </w:rPr>
      </w:pPr>
      <w:r>
        <w:rPr>
          <w:rFonts w:eastAsia="Times New Roman"/>
          <w:color w:val="000000"/>
          <w:sz w:val="20"/>
          <w:szCs w:val="20"/>
        </w:rPr>
        <w:t>•our ability to successfully implement our long-term growth strategy;</w:t>
      </w:r>
    </w:p>
    <w:p w14:paraId="746DA86D" w14:textId="77777777" w:rsidR="00000000" w:rsidRDefault="00EE5306">
      <w:pPr>
        <w:ind w:hanging="360"/>
        <w:jc w:val="both"/>
        <w:divId w:val="190262423"/>
        <w:rPr>
          <w:rFonts w:eastAsia="Times New Roman"/>
        </w:rPr>
      </w:pPr>
      <w:r>
        <w:rPr>
          <w:rFonts w:eastAsia="Times New Roman"/>
          <w:color w:val="000000"/>
          <w:sz w:val="20"/>
          <w:szCs w:val="20"/>
        </w:rPr>
        <w:t>•our ability to continue to expand and grow our business internationally and the</w:t>
      </w:r>
      <w:r>
        <w:rPr>
          <w:rFonts w:eastAsia="Times New Roman"/>
          <w:color w:val="000000"/>
          <w:sz w:val="20"/>
          <w:szCs w:val="20"/>
        </w:rPr>
        <w:t xml:space="preserve"> impact of related changes in our customer, channel, and geographic sales mix as a result, as well as our ability to accelerate growth in certain product categories;</w:t>
      </w:r>
    </w:p>
    <w:p w14:paraId="2DE35EB3" w14:textId="77777777" w:rsidR="00000000" w:rsidRDefault="00EE5306">
      <w:pPr>
        <w:ind w:hanging="360"/>
        <w:jc w:val="both"/>
        <w:divId w:val="1074814562"/>
        <w:rPr>
          <w:rFonts w:eastAsia="Times New Roman"/>
        </w:rPr>
      </w:pPr>
      <w:r>
        <w:rPr>
          <w:rFonts w:eastAsia="Times New Roman"/>
          <w:color w:val="000000"/>
          <w:sz w:val="20"/>
          <w:szCs w:val="20"/>
        </w:rPr>
        <w:t>•our ability to open new retail stores and concession shops, as well as enhance and expand</w:t>
      </w:r>
      <w:r>
        <w:rPr>
          <w:rFonts w:eastAsia="Times New Roman"/>
          <w:color w:val="000000"/>
          <w:sz w:val="20"/>
          <w:szCs w:val="20"/>
        </w:rPr>
        <w:t xml:space="preserve"> our digital footprint and capabilities, all in an effort to expand our direct-to-consumer presence;</w:t>
      </w:r>
    </w:p>
    <w:p w14:paraId="06B4D1AC" w14:textId="77777777" w:rsidR="00000000" w:rsidRDefault="00EE5306">
      <w:pPr>
        <w:ind w:hanging="360"/>
        <w:jc w:val="both"/>
        <w:divId w:val="4133687"/>
        <w:rPr>
          <w:rFonts w:eastAsia="Times New Roman"/>
        </w:rPr>
      </w:pPr>
      <w:r>
        <w:rPr>
          <w:rFonts w:eastAsia="Times New Roman"/>
          <w:color w:val="000000"/>
          <w:sz w:val="20"/>
          <w:szCs w:val="20"/>
        </w:rPr>
        <w:t>•our ability to respond to constantly changing fashion and retail trends and consumer demands in a timely manner, develop products that resonate with our e</w:t>
      </w:r>
      <w:r>
        <w:rPr>
          <w:rFonts w:eastAsia="Times New Roman"/>
          <w:color w:val="000000"/>
          <w:sz w:val="20"/>
          <w:szCs w:val="20"/>
        </w:rPr>
        <w:t>xisting customers and attract new customers, and execute marketing and advertising programs that appeal to consumers;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7036A17" w14:textId="77777777">
        <w:trPr>
          <w:divId w:val="2133748786"/>
          <w:jc w:val="center"/>
        </w:trPr>
        <w:tc>
          <w:tcPr>
            <w:tcW w:w="50" w:type="pct"/>
            <w:vAlign w:val="center"/>
            <w:hideMark/>
          </w:tcPr>
          <w:p w14:paraId="61DC6263" w14:textId="77777777" w:rsidR="00000000" w:rsidRDefault="00EE5306">
            <w:pPr>
              <w:ind w:hanging="360"/>
              <w:jc w:val="both"/>
              <w:rPr>
                <w:rFonts w:eastAsia="Times New Roman"/>
              </w:rPr>
            </w:pPr>
          </w:p>
        </w:tc>
        <w:tc>
          <w:tcPr>
            <w:tcW w:w="1699" w:type="pct"/>
            <w:vAlign w:val="center"/>
            <w:hideMark/>
          </w:tcPr>
          <w:p w14:paraId="5EB764ED" w14:textId="77777777" w:rsidR="00000000" w:rsidRDefault="00EE5306">
            <w:pPr>
              <w:spacing w:after="100"/>
              <w:rPr>
                <w:rFonts w:eastAsia="Times New Roman"/>
                <w:sz w:val="20"/>
                <w:szCs w:val="20"/>
              </w:rPr>
            </w:pPr>
          </w:p>
        </w:tc>
        <w:tc>
          <w:tcPr>
            <w:tcW w:w="5" w:type="pct"/>
            <w:vAlign w:val="center"/>
            <w:hideMark/>
          </w:tcPr>
          <w:p w14:paraId="3CA7C6B1" w14:textId="77777777" w:rsidR="00000000" w:rsidRDefault="00EE5306">
            <w:pPr>
              <w:spacing w:after="100"/>
              <w:rPr>
                <w:rFonts w:eastAsia="Times New Roman"/>
                <w:sz w:val="20"/>
                <w:szCs w:val="20"/>
              </w:rPr>
            </w:pPr>
          </w:p>
        </w:tc>
        <w:tc>
          <w:tcPr>
            <w:tcW w:w="50" w:type="pct"/>
            <w:vAlign w:val="center"/>
            <w:hideMark/>
          </w:tcPr>
          <w:p w14:paraId="0B7E520A" w14:textId="77777777" w:rsidR="00000000" w:rsidRDefault="00EE5306">
            <w:pPr>
              <w:spacing w:after="100"/>
              <w:rPr>
                <w:rFonts w:eastAsia="Times New Roman"/>
                <w:sz w:val="20"/>
                <w:szCs w:val="20"/>
              </w:rPr>
            </w:pPr>
          </w:p>
        </w:tc>
        <w:tc>
          <w:tcPr>
            <w:tcW w:w="1436" w:type="pct"/>
            <w:vAlign w:val="center"/>
            <w:hideMark/>
          </w:tcPr>
          <w:p w14:paraId="081E0607" w14:textId="77777777" w:rsidR="00000000" w:rsidRDefault="00EE5306">
            <w:pPr>
              <w:spacing w:after="100"/>
              <w:rPr>
                <w:rFonts w:eastAsia="Times New Roman"/>
                <w:sz w:val="20"/>
                <w:szCs w:val="20"/>
              </w:rPr>
            </w:pPr>
          </w:p>
        </w:tc>
        <w:tc>
          <w:tcPr>
            <w:tcW w:w="5" w:type="pct"/>
            <w:vAlign w:val="center"/>
            <w:hideMark/>
          </w:tcPr>
          <w:p w14:paraId="02D9FD75" w14:textId="77777777" w:rsidR="00000000" w:rsidRDefault="00EE5306">
            <w:pPr>
              <w:spacing w:after="100"/>
              <w:rPr>
                <w:rFonts w:eastAsia="Times New Roman"/>
                <w:sz w:val="20"/>
                <w:szCs w:val="20"/>
              </w:rPr>
            </w:pPr>
          </w:p>
        </w:tc>
        <w:tc>
          <w:tcPr>
            <w:tcW w:w="50" w:type="pct"/>
            <w:vAlign w:val="center"/>
            <w:hideMark/>
          </w:tcPr>
          <w:p w14:paraId="7FDD2CD8" w14:textId="77777777" w:rsidR="00000000" w:rsidRDefault="00EE5306">
            <w:pPr>
              <w:spacing w:after="100"/>
              <w:rPr>
                <w:rFonts w:eastAsia="Times New Roman"/>
                <w:sz w:val="20"/>
                <w:szCs w:val="20"/>
              </w:rPr>
            </w:pPr>
          </w:p>
        </w:tc>
        <w:tc>
          <w:tcPr>
            <w:tcW w:w="1699" w:type="pct"/>
            <w:vAlign w:val="center"/>
            <w:hideMark/>
          </w:tcPr>
          <w:p w14:paraId="630E5547" w14:textId="77777777" w:rsidR="00000000" w:rsidRDefault="00EE5306">
            <w:pPr>
              <w:spacing w:after="100"/>
              <w:rPr>
                <w:rFonts w:eastAsia="Times New Roman"/>
                <w:sz w:val="20"/>
                <w:szCs w:val="20"/>
              </w:rPr>
            </w:pPr>
          </w:p>
        </w:tc>
        <w:tc>
          <w:tcPr>
            <w:tcW w:w="5" w:type="pct"/>
            <w:vAlign w:val="center"/>
            <w:hideMark/>
          </w:tcPr>
          <w:p w14:paraId="37EA6A79" w14:textId="77777777" w:rsidR="00000000" w:rsidRDefault="00EE5306">
            <w:pPr>
              <w:spacing w:after="100"/>
              <w:rPr>
                <w:rFonts w:eastAsia="Times New Roman"/>
                <w:sz w:val="20"/>
                <w:szCs w:val="20"/>
              </w:rPr>
            </w:pPr>
          </w:p>
        </w:tc>
      </w:tr>
      <w:tr w:rsidR="00000000" w14:paraId="620DD432" w14:textId="77777777">
        <w:trPr>
          <w:divId w:val="2133748786"/>
          <w:jc w:val="center"/>
        </w:trPr>
        <w:tc>
          <w:tcPr>
            <w:tcW w:w="0" w:type="auto"/>
            <w:gridSpan w:val="3"/>
            <w:tcMar>
              <w:top w:w="0" w:type="dxa"/>
              <w:left w:w="20" w:type="dxa"/>
              <w:bottom w:w="0" w:type="dxa"/>
              <w:right w:w="20" w:type="dxa"/>
            </w:tcMar>
            <w:vAlign w:val="center"/>
            <w:hideMark/>
          </w:tcPr>
          <w:p w14:paraId="1909CEC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84F24CE" w14:textId="77777777" w:rsidR="00000000" w:rsidRDefault="00EE5306">
            <w:pPr>
              <w:spacing w:after="100"/>
              <w:jc w:val="center"/>
              <w:rPr>
                <w:rFonts w:eastAsia="Times New Roman"/>
              </w:rPr>
            </w:pPr>
            <w:r>
              <w:rPr>
                <w:rFonts w:eastAsia="Times New Roman"/>
                <w:color w:val="000000"/>
                <w:sz w:val="20"/>
                <w:szCs w:val="20"/>
              </w:rPr>
              <w:t>1</w:t>
            </w:r>
          </w:p>
        </w:tc>
        <w:tc>
          <w:tcPr>
            <w:tcW w:w="0" w:type="auto"/>
            <w:gridSpan w:val="3"/>
            <w:tcMar>
              <w:top w:w="0" w:type="dxa"/>
              <w:left w:w="20" w:type="dxa"/>
              <w:bottom w:w="0" w:type="dxa"/>
              <w:right w:w="20" w:type="dxa"/>
            </w:tcMar>
            <w:vAlign w:val="center"/>
            <w:hideMark/>
          </w:tcPr>
          <w:p w14:paraId="7F43AB41" w14:textId="77777777" w:rsidR="00000000" w:rsidRDefault="00EE5306">
            <w:pPr>
              <w:spacing w:after="100"/>
              <w:jc w:val="center"/>
              <w:rPr>
                <w:rFonts w:eastAsia="Times New Roman"/>
              </w:rPr>
            </w:pPr>
          </w:p>
        </w:tc>
      </w:tr>
    </w:tbl>
    <w:p w14:paraId="47927E78" w14:textId="77777777" w:rsidR="00000000" w:rsidRDefault="00EE5306">
      <w:pPr>
        <w:rPr>
          <w:rFonts w:eastAsia="Times New Roman"/>
        </w:rPr>
      </w:pPr>
      <w:r>
        <w:rPr>
          <w:rFonts w:eastAsia="Times New Roman"/>
        </w:rPr>
        <w:pict w14:anchorId="033F259F">
          <v:rect id="_x0000_i1026" style="width:0;height:1.5pt" o:hralign="center" o:hrstd="t" o:hr="t" fillcolor="#a0a0a0" stroked="f"/>
        </w:pict>
      </w:r>
    </w:p>
    <w:p w14:paraId="5A0AA88B" w14:textId="77777777" w:rsidR="00000000" w:rsidRDefault="00EE5306">
      <w:pPr>
        <w:divId w:val="671109197"/>
        <w:rPr>
          <w:rFonts w:eastAsia="Times New Roman"/>
        </w:rPr>
      </w:pPr>
    </w:p>
    <w:p w14:paraId="65F0CC5D" w14:textId="77777777" w:rsidR="00000000" w:rsidRDefault="00EE5306">
      <w:pPr>
        <w:ind w:hanging="360"/>
        <w:jc w:val="both"/>
        <w:divId w:val="302807493"/>
        <w:rPr>
          <w:rFonts w:eastAsia="Times New Roman"/>
        </w:rPr>
      </w:pPr>
      <w:r>
        <w:rPr>
          <w:rFonts w:eastAsia="Times New Roman"/>
          <w:color w:val="000000"/>
          <w:sz w:val="20"/>
          <w:szCs w:val="20"/>
        </w:rPr>
        <w:t>•our ability to effectively manage inventory levels and the increasing pressure on our margins in a highly promotional retail environment;</w:t>
      </w:r>
    </w:p>
    <w:p w14:paraId="61DCECE4" w14:textId="77777777" w:rsidR="00000000" w:rsidRDefault="00EE5306">
      <w:pPr>
        <w:ind w:hanging="360"/>
        <w:jc w:val="both"/>
        <w:divId w:val="372969558"/>
        <w:rPr>
          <w:rFonts w:eastAsia="Times New Roman"/>
        </w:rPr>
      </w:pPr>
      <w:r>
        <w:rPr>
          <w:rFonts w:eastAsia="Times New Roman"/>
          <w:color w:val="000000"/>
          <w:sz w:val="20"/>
          <w:szCs w:val="20"/>
        </w:rPr>
        <w:t>•our ability to continue to maintain our brand image and reputation and protect</w:t>
      </w:r>
      <w:r>
        <w:rPr>
          <w:rFonts w:eastAsia="Times New Roman"/>
          <w:color w:val="000000"/>
          <w:sz w:val="20"/>
          <w:szCs w:val="20"/>
        </w:rPr>
        <w:t xml:space="preserve"> our trademarks;</w:t>
      </w:r>
    </w:p>
    <w:p w14:paraId="7378D040" w14:textId="77777777" w:rsidR="00000000" w:rsidRDefault="00EE5306">
      <w:pPr>
        <w:ind w:hanging="360"/>
        <w:jc w:val="both"/>
        <w:divId w:val="797990490"/>
        <w:rPr>
          <w:rFonts w:eastAsia="Times New Roman"/>
        </w:rPr>
      </w:pPr>
      <w:r>
        <w:rPr>
          <w:rFonts w:eastAsia="Times New Roman"/>
          <w:color w:val="000000"/>
          <w:sz w:val="20"/>
          <w:szCs w:val="20"/>
        </w:rPr>
        <w:t>•our ability to competitively price our products and create an acceptable value proposition for consumers;</w:t>
      </w:r>
    </w:p>
    <w:p w14:paraId="7CDA16E4" w14:textId="77777777" w:rsidR="00000000" w:rsidRDefault="00EE5306">
      <w:pPr>
        <w:ind w:hanging="360"/>
        <w:jc w:val="both"/>
        <w:divId w:val="961114805"/>
        <w:rPr>
          <w:rFonts w:eastAsia="Times New Roman"/>
        </w:rPr>
      </w:pPr>
      <w:r>
        <w:rPr>
          <w:rFonts w:eastAsia="Times New Roman"/>
          <w:color w:val="000000"/>
          <w:sz w:val="20"/>
          <w:szCs w:val="20"/>
        </w:rPr>
        <w:t>•our ability to access capital markets and maintain compliance with covenants associated with our existing debt instruments;</w:t>
      </w:r>
    </w:p>
    <w:p w14:paraId="55AD1B8B" w14:textId="77777777" w:rsidR="00000000" w:rsidRDefault="00EE5306">
      <w:pPr>
        <w:ind w:hanging="360"/>
        <w:jc w:val="both"/>
        <w:divId w:val="822623737"/>
        <w:rPr>
          <w:rFonts w:eastAsia="Times New Roman"/>
        </w:rPr>
      </w:pPr>
      <w:r>
        <w:rPr>
          <w:rFonts w:eastAsia="Times New Roman"/>
          <w:color w:val="000000"/>
          <w:sz w:val="20"/>
          <w:szCs w:val="20"/>
        </w:rPr>
        <w:t>•a vari</w:t>
      </w:r>
      <w:r>
        <w:rPr>
          <w:rFonts w:eastAsia="Times New Roman"/>
          <w:color w:val="000000"/>
          <w:sz w:val="20"/>
          <w:szCs w:val="20"/>
        </w:rPr>
        <w:t>ety of legal, regulatory, tax, political, and economic risks, including risks related to the importation and exportation of products which our operations are currently subject to, or may become subject to as a result of potential changes in legislation, an</w:t>
      </w:r>
      <w:r>
        <w:rPr>
          <w:rFonts w:eastAsia="Times New Roman"/>
          <w:color w:val="000000"/>
          <w:sz w:val="20"/>
          <w:szCs w:val="20"/>
        </w:rPr>
        <w:t>d other risks associated with our international operations, such as compliance with the Foreign Corrupt Practices Act or violations of other anti-bribery and corruption laws prohibiting improper payments, and the burdens of complying with a variety of fore</w:t>
      </w:r>
      <w:r>
        <w:rPr>
          <w:rFonts w:eastAsia="Times New Roman"/>
          <w:color w:val="000000"/>
          <w:sz w:val="20"/>
          <w:szCs w:val="20"/>
        </w:rPr>
        <w:t>ign laws and regulations, including tax laws, trade and labor restrictions, and related laws that may reduce the flexibility of our business;</w:t>
      </w:r>
    </w:p>
    <w:p w14:paraId="6D0680EE" w14:textId="77777777" w:rsidR="00000000" w:rsidRDefault="00EE5306">
      <w:pPr>
        <w:ind w:hanging="360"/>
        <w:jc w:val="both"/>
        <w:divId w:val="535658485"/>
        <w:rPr>
          <w:rFonts w:eastAsia="Times New Roman"/>
        </w:rPr>
      </w:pPr>
      <w:r>
        <w:rPr>
          <w:rFonts w:eastAsia="Times New Roman"/>
          <w:color w:val="000000"/>
          <w:sz w:val="20"/>
          <w:szCs w:val="20"/>
        </w:rPr>
        <w:t>•the potential impact to our business resulting from the imposition of additional duties, tariffs, taxes, and othe</w:t>
      </w:r>
      <w:r>
        <w:rPr>
          <w:rFonts w:eastAsia="Times New Roman"/>
          <w:color w:val="000000"/>
          <w:sz w:val="20"/>
          <w:szCs w:val="20"/>
        </w:rPr>
        <w:t xml:space="preserve">r charges or barriers to trade, including those resulting from trade developments between the U.S. and China, as well as the trade agreement reached in December 2020 between the United Kingdom and the European Union, and any related impact to global stock </w:t>
      </w:r>
      <w:r>
        <w:rPr>
          <w:rFonts w:eastAsia="Times New Roman"/>
          <w:color w:val="000000"/>
          <w:sz w:val="20"/>
          <w:szCs w:val="20"/>
        </w:rPr>
        <w:t>markets, as well as our ability to implement mitigating sourcing strategies;</w:t>
      </w:r>
    </w:p>
    <w:p w14:paraId="2D8D17B5" w14:textId="77777777" w:rsidR="00000000" w:rsidRDefault="00EE5306">
      <w:pPr>
        <w:ind w:hanging="360"/>
        <w:jc w:val="both"/>
        <w:divId w:val="17432936"/>
        <w:rPr>
          <w:rFonts w:eastAsia="Times New Roman"/>
        </w:rPr>
      </w:pPr>
      <w:r>
        <w:rPr>
          <w:rFonts w:eastAsia="Times New Roman"/>
          <w:color w:val="000000"/>
          <w:sz w:val="20"/>
          <w:szCs w:val="20"/>
        </w:rPr>
        <w:t>•the impact to our business resulting from increases in the costs of raw materials, transportation, and labor, including wages, healthcare, and other benefit-related costs;</w:t>
      </w:r>
    </w:p>
    <w:p w14:paraId="18D34E4D" w14:textId="77777777" w:rsidR="00000000" w:rsidRDefault="00EE5306">
      <w:pPr>
        <w:ind w:hanging="360"/>
        <w:jc w:val="both"/>
        <w:divId w:val="36971795"/>
        <w:rPr>
          <w:rFonts w:eastAsia="Times New Roman"/>
        </w:rPr>
      </w:pPr>
      <w:r>
        <w:rPr>
          <w:rFonts w:eastAsia="Times New Roman"/>
          <w:color w:val="000000"/>
          <w:sz w:val="20"/>
          <w:szCs w:val="20"/>
        </w:rPr>
        <w:lastRenderedPageBreak/>
        <w:t>•our a</w:t>
      </w:r>
      <w:r>
        <w:rPr>
          <w:rFonts w:eastAsia="Times New Roman"/>
          <w:color w:val="000000"/>
          <w:sz w:val="20"/>
          <w:szCs w:val="20"/>
        </w:rPr>
        <w:t>bility and the ability of our third-party service providers to secure our respective facilities and systems from, among other things, cybersecurity breaches, acts of vandalism, computer viruses, ransomware, or similar Internet or email events;</w:t>
      </w:r>
    </w:p>
    <w:p w14:paraId="7D6FA7C0" w14:textId="77777777" w:rsidR="00000000" w:rsidRDefault="00EE5306">
      <w:pPr>
        <w:ind w:hanging="360"/>
        <w:jc w:val="both"/>
        <w:divId w:val="1268923985"/>
        <w:rPr>
          <w:rFonts w:eastAsia="Times New Roman"/>
        </w:rPr>
      </w:pPr>
      <w:r>
        <w:rPr>
          <w:rFonts w:eastAsia="Times New Roman"/>
          <w:color w:val="000000"/>
          <w:sz w:val="20"/>
          <w:szCs w:val="20"/>
        </w:rPr>
        <w:t>•our efforts</w:t>
      </w:r>
      <w:r>
        <w:rPr>
          <w:rFonts w:eastAsia="Times New Roman"/>
          <w:color w:val="000000"/>
          <w:sz w:val="20"/>
          <w:szCs w:val="20"/>
        </w:rPr>
        <w:t xml:space="preserve"> to successfully enhance, upgrade, and/or transition our global information technology systems and digital commerce platforms;</w:t>
      </w:r>
    </w:p>
    <w:p w14:paraId="3F837167" w14:textId="77777777" w:rsidR="00000000" w:rsidRDefault="00EE5306">
      <w:pPr>
        <w:ind w:hanging="360"/>
        <w:jc w:val="both"/>
        <w:divId w:val="1382367480"/>
        <w:rPr>
          <w:rFonts w:eastAsia="Times New Roman"/>
        </w:rPr>
      </w:pPr>
      <w:r>
        <w:rPr>
          <w:rFonts w:eastAsia="Times New Roman"/>
          <w:color w:val="000000"/>
          <w:sz w:val="20"/>
          <w:szCs w:val="20"/>
        </w:rPr>
        <w:t>•the potential impact to our business if any of our distribution centers were to become inoperable or inaccessible;</w:t>
      </w:r>
    </w:p>
    <w:p w14:paraId="30A2519D" w14:textId="77777777" w:rsidR="00000000" w:rsidRDefault="00EE5306">
      <w:pPr>
        <w:ind w:hanging="360"/>
        <w:jc w:val="both"/>
        <w:divId w:val="209804592"/>
        <w:rPr>
          <w:rFonts w:eastAsia="Times New Roman"/>
        </w:rPr>
      </w:pPr>
      <w:r>
        <w:rPr>
          <w:rFonts w:eastAsia="Times New Roman"/>
          <w:color w:val="000000"/>
          <w:sz w:val="20"/>
          <w:szCs w:val="20"/>
        </w:rPr>
        <w:t>•the potentia</w:t>
      </w:r>
      <w:r>
        <w:rPr>
          <w:rFonts w:eastAsia="Times New Roman"/>
          <w:color w:val="000000"/>
          <w:sz w:val="20"/>
          <w:szCs w:val="20"/>
        </w:rPr>
        <w:t xml:space="preserve">l impact on our operations and on our suppliers and customers resulting from man-made or natural disasters, including pandemic diseases such as COVID-19, severe weather, geological events, and other catastrophic events; </w:t>
      </w:r>
    </w:p>
    <w:p w14:paraId="5E21BBAA" w14:textId="77777777" w:rsidR="00000000" w:rsidRDefault="00EE5306">
      <w:pPr>
        <w:ind w:hanging="360"/>
        <w:jc w:val="both"/>
        <w:divId w:val="801654398"/>
        <w:rPr>
          <w:rFonts w:eastAsia="Times New Roman"/>
        </w:rPr>
      </w:pPr>
      <w:r>
        <w:rPr>
          <w:rFonts w:eastAsia="Times New Roman"/>
          <w:color w:val="000000"/>
          <w:sz w:val="20"/>
          <w:szCs w:val="20"/>
        </w:rPr>
        <w:t>•changes in our tax obligations and</w:t>
      </w:r>
      <w:r>
        <w:rPr>
          <w:rFonts w:eastAsia="Times New Roman"/>
          <w:color w:val="000000"/>
          <w:sz w:val="20"/>
          <w:szCs w:val="20"/>
        </w:rPr>
        <w:t xml:space="preserve"> effective tax rate due to a variety of factors, including potential changes in U.S. or foreign tax laws and regulations, accounting rules, or the mix and level of earnings by jurisdiction in future periods that are not currently known or anticipated;</w:t>
      </w:r>
    </w:p>
    <w:p w14:paraId="4F295B79" w14:textId="77777777" w:rsidR="00000000" w:rsidRDefault="00EE5306">
      <w:pPr>
        <w:ind w:hanging="360"/>
        <w:jc w:val="both"/>
        <w:divId w:val="1717117321"/>
        <w:rPr>
          <w:rFonts w:eastAsia="Times New Roman"/>
        </w:rPr>
      </w:pPr>
      <w:r>
        <w:rPr>
          <w:rFonts w:eastAsia="Times New Roman"/>
          <w:color w:val="000000"/>
          <w:sz w:val="20"/>
          <w:szCs w:val="20"/>
        </w:rPr>
        <w:t>•our</w:t>
      </w:r>
      <w:r>
        <w:rPr>
          <w:rFonts w:eastAsia="Times New Roman"/>
          <w:color w:val="000000"/>
          <w:sz w:val="20"/>
          <w:szCs w:val="20"/>
        </w:rPr>
        <w:t xml:space="preserve"> exposure to currency exchange rate fluctuations from both a transactional and translational perspective;</w:t>
      </w:r>
    </w:p>
    <w:p w14:paraId="00A70E52" w14:textId="77777777" w:rsidR="00000000" w:rsidRDefault="00EE5306">
      <w:pPr>
        <w:ind w:hanging="360"/>
        <w:jc w:val="both"/>
        <w:divId w:val="657348366"/>
        <w:rPr>
          <w:rFonts w:eastAsia="Times New Roman"/>
        </w:rPr>
      </w:pPr>
      <w:r>
        <w:rPr>
          <w:rFonts w:eastAsia="Times New Roman"/>
          <w:color w:val="000000"/>
          <w:sz w:val="20"/>
          <w:szCs w:val="20"/>
        </w:rPr>
        <w:t>•the impact to our business of events of unrest and instability that are currently taking place in certain parts of the world, as well as from any ter</w:t>
      </w:r>
      <w:r>
        <w:rPr>
          <w:rFonts w:eastAsia="Times New Roman"/>
          <w:color w:val="000000"/>
          <w:sz w:val="20"/>
          <w:szCs w:val="20"/>
        </w:rPr>
        <w:t>rorist action, retaliation, and the threat of further action or retaliation;</w:t>
      </w:r>
    </w:p>
    <w:p w14:paraId="23DD1FB4" w14:textId="77777777" w:rsidR="00000000" w:rsidRDefault="00EE5306">
      <w:pPr>
        <w:ind w:hanging="360"/>
        <w:jc w:val="both"/>
        <w:divId w:val="1147433752"/>
        <w:rPr>
          <w:rFonts w:eastAsia="Times New Roman"/>
        </w:rPr>
      </w:pPr>
      <w:r>
        <w:rPr>
          <w:rFonts w:eastAsia="Times New Roman"/>
          <w:color w:val="000000"/>
          <w:sz w:val="20"/>
          <w:szCs w:val="20"/>
        </w:rPr>
        <w:t>•the potential impact to the trading prices of our securities if our Class A common stock share repurchase activity and/or cash dividend payments differ from investors' expectatio</w:t>
      </w:r>
      <w:r>
        <w:rPr>
          <w:rFonts w:eastAsia="Times New Roman"/>
          <w:color w:val="000000"/>
          <w:sz w:val="20"/>
          <w:szCs w:val="20"/>
        </w:rPr>
        <w:t>ns;</w:t>
      </w:r>
    </w:p>
    <w:p w14:paraId="751613E8" w14:textId="77777777" w:rsidR="00000000" w:rsidRDefault="00EE5306">
      <w:pPr>
        <w:ind w:hanging="360"/>
        <w:jc w:val="both"/>
        <w:divId w:val="339628235"/>
        <w:rPr>
          <w:rFonts w:eastAsia="Times New Roman"/>
        </w:rPr>
      </w:pPr>
      <w:r>
        <w:rPr>
          <w:rFonts w:eastAsia="Times New Roman"/>
          <w:color w:val="000000"/>
          <w:sz w:val="20"/>
          <w:szCs w:val="20"/>
        </w:rPr>
        <w:t>•our ability to maintain our credit profile and ratings within the financial community;</w:t>
      </w:r>
    </w:p>
    <w:p w14:paraId="6B06969D" w14:textId="77777777" w:rsidR="00000000" w:rsidRDefault="00EE5306">
      <w:pPr>
        <w:ind w:hanging="360"/>
        <w:jc w:val="both"/>
        <w:divId w:val="387538834"/>
        <w:rPr>
          <w:rFonts w:eastAsia="Times New Roman"/>
        </w:rPr>
      </w:pPr>
      <w:r>
        <w:rPr>
          <w:rFonts w:eastAsia="Times New Roman"/>
          <w:color w:val="000000"/>
          <w:sz w:val="20"/>
          <w:szCs w:val="20"/>
        </w:rPr>
        <w:t>•</w:t>
      </w:r>
      <w:r>
        <w:rPr>
          <w:rFonts w:eastAsia="Times New Roman"/>
          <w:color w:val="000000"/>
          <w:sz w:val="20"/>
          <w:szCs w:val="20"/>
        </w:rPr>
        <w:t>our intention to introduce new products or brands, or enter into or renew alliances;</w:t>
      </w:r>
    </w:p>
    <w:p w14:paraId="76CCF9D8" w14:textId="77777777" w:rsidR="00000000" w:rsidRDefault="00EE5306">
      <w:pPr>
        <w:ind w:hanging="360"/>
        <w:jc w:val="both"/>
        <w:divId w:val="2085107029"/>
        <w:rPr>
          <w:rFonts w:eastAsia="Times New Roman"/>
        </w:rPr>
      </w:pPr>
      <w:r>
        <w:rPr>
          <w:rFonts w:eastAsia="Times New Roman"/>
          <w:color w:val="000000"/>
          <w:sz w:val="20"/>
          <w:szCs w:val="20"/>
        </w:rPr>
        <w:t>•changes in the business of, and our relationships with, major wholesale customers and licensing partners;</w:t>
      </w:r>
    </w:p>
    <w:p w14:paraId="3099DA91" w14:textId="77777777" w:rsidR="00000000" w:rsidRDefault="00EE5306">
      <w:pPr>
        <w:ind w:hanging="360"/>
        <w:jc w:val="both"/>
        <w:divId w:val="684358962"/>
        <w:rPr>
          <w:rFonts w:eastAsia="Times New Roman"/>
        </w:rPr>
      </w:pPr>
      <w:r>
        <w:rPr>
          <w:rFonts w:eastAsia="Times New Roman"/>
          <w:color w:val="000000"/>
          <w:sz w:val="20"/>
          <w:szCs w:val="20"/>
        </w:rPr>
        <w:t>•our ability to achieve our goals regarding environmental, socia</w:t>
      </w:r>
      <w:r>
        <w:rPr>
          <w:rFonts w:eastAsia="Times New Roman"/>
          <w:color w:val="000000"/>
          <w:sz w:val="20"/>
          <w:szCs w:val="20"/>
        </w:rPr>
        <w:t>l, and governance practices, including those related to our human capital; and</w:t>
      </w:r>
    </w:p>
    <w:p w14:paraId="1962B356" w14:textId="77777777" w:rsidR="00000000" w:rsidRDefault="00EE5306">
      <w:pPr>
        <w:ind w:hanging="360"/>
        <w:jc w:val="both"/>
        <w:divId w:val="447553329"/>
        <w:rPr>
          <w:rFonts w:eastAsia="Times New Roman"/>
        </w:rPr>
      </w:pPr>
      <w:r>
        <w:rPr>
          <w:rFonts w:eastAsia="Times New Roman"/>
          <w:color w:val="000000"/>
          <w:sz w:val="20"/>
          <w:szCs w:val="20"/>
        </w:rPr>
        <w:t>•our ability to make strategic acquisitions and successfully integrate the acquired businesses into our existing operations.</w:t>
      </w:r>
    </w:p>
    <w:p w14:paraId="7A86A8BB" w14:textId="77777777" w:rsidR="00000000" w:rsidRDefault="00EE5306">
      <w:pPr>
        <w:ind w:firstLine="540"/>
        <w:jc w:val="both"/>
        <w:divId w:val="905148280"/>
        <w:rPr>
          <w:rFonts w:eastAsia="Times New Roman"/>
        </w:rPr>
      </w:pPr>
      <w:r>
        <w:rPr>
          <w:rFonts w:eastAsia="Times New Roman"/>
          <w:color w:val="000000"/>
          <w:sz w:val="20"/>
          <w:szCs w:val="20"/>
        </w:rPr>
        <w:t>These forward-looking statements are based largely o</w:t>
      </w:r>
      <w:r>
        <w:rPr>
          <w:rFonts w:eastAsia="Times New Roman"/>
          <w:color w:val="000000"/>
          <w:sz w:val="20"/>
          <w:szCs w:val="20"/>
        </w:rPr>
        <w:t>n our expectations and judgments and are subject to a number of risks and uncertainties, many of which are unforeseeable and beyond our control. A detailed discussion of significant risk factors that have the potential to cause our actual results to differ</w:t>
      </w:r>
      <w:r>
        <w:rPr>
          <w:rFonts w:eastAsia="Times New Roman"/>
          <w:color w:val="000000"/>
          <w:sz w:val="20"/>
          <w:szCs w:val="20"/>
        </w:rPr>
        <w:t xml:space="preserve"> materially from our expectations is described in Part I of this Form 10-K under the heading of "Risk Factors." We undertake no obligation to publicly update or revise any forward-looking statements, whether as a result of new information, future events, o</w:t>
      </w:r>
      <w:r>
        <w:rPr>
          <w:rFonts w:eastAsia="Times New Roman"/>
          <w:color w:val="000000"/>
          <w:sz w:val="20"/>
          <w:szCs w:val="20"/>
        </w:rPr>
        <w:t>r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04AE14A" w14:textId="77777777">
        <w:trPr>
          <w:divId w:val="1194417388"/>
          <w:jc w:val="center"/>
        </w:trPr>
        <w:tc>
          <w:tcPr>
            <w:tcW w:w="50" w:type="pct"/>
            <w:vAlign w:val="center"/>
            <w:hideMark/>
          </w:tcPr>
          <w:p w14:paraId="1B03FA82" w14:textId="77777777" w:rsidR="00000000" w:rsidRDefault="00EE5306">
            <w:pPr>
              <w:ind w:firstLine="540"/>
              <w:jc w:val="both"/>
              <w:rPr>
                <w:rFonts w:eastAsia="Times New Roman"/>
              </w:rPr>
            </w:pPr>
          </w:p>
        </w:tc>
        <w:tc>
          <w:tcPr>
            <w:tcW w:w="1699" w:type="pct"/>
            <w:vAlign w:val="center"/>
            <w:hideMark/>
          </w:tcPr>
          <w:p w14:paraId="02AE0859" w14:textId="77777777" w:rsidR="00000000" w:rsidRDefault="00EE5306">
            <w:pPr>
              <w:spacing w:after="100"/>
              <w:rPr>
                <w:rFonts w:eastAsia="Times New Roman"/>
                <w:sz w:val="20"/>
                <w:szCs w:val="20"/>
              </w:rPr>
            </w:pPr>
          </w:p>
        </w:tc>
        <w:tc>
          <w:tcPr>
            <w:tcW w:w="5" w:type="pct"/>
            <w:vAlign w:val="center"/>
            <w:hideMark/>
          </w:tcPr>
          <w:p w14:paraId="6982FDDE" w14:textId="77777777" w:rsidR="00000000" w:rsidRDefault="00EE5306">
            <w:pPr>
              <w:spacing w:after="100"/>
              <w:rPr>
                <w:rFonts w:eastAsia="Times New Roman"/>
                <w:sz w:val="20"/>
                <w:szCs w:val="20"/>
              </w:rPr>
            </w:pPr>
          </w:p>
        </w:tc>
        <w:tc>
          <w:tcPr>
            <w:tcW w:w="50" w:type="pct"/>
            <w:vAlign w:val="center"/>
            <w:hideMark/>
          </w:tcPr>
          <w:p w14:paraId="61522F0D" w14:textId="77777777" w:rsidR="00000000" w:rsidRDefault="00EE5306">
            <w:pPr>
              <w:spacing w:after="100"/>
              <w:rPr>
                <w:rFonts w:eastAsia="Times New Roman"/>
                <w:sz w:val="20"/>
                <w:szCs w:val="20"/>
              </w:rPr>
            </w:pPr>
          </w:p>
        </w:tc>
        <w:tc>
          <w:tcPr>
            <w:tcW w:w="1436" w:type="pct"/>
            <w:vAlign w:val="center"/>
            <w:hideMark/>
          </w:tcPr>
          <w:p w14:paraId="28E3EACD" w14:textId="77777777" w:rsidR="00000000" w:rsidRDefault="00EE5306">
            <w:pPr>
              <w:spacing w:after="100"/>
              <w:rPr>
                <w:rFonts w:eastAsia="Times New Roman"/>
                <w:sz w:val="20"/>
                <w:szCs w:val="20"/>
              </w:rPr>
            </w:pPr>
          </w:p>
        </w:tc>
        <w:tc>
          <w:tcPr>
            <w:tcW w:w="5" w:type="pct"/>
            <w:vAlign w:val="center"/>
            <w:hideMark/>
          </w:tcPr>
          <w:p w14:paraId="4AB39596" w14:textId="77777777" w:rsidR="00000000" w:rsidRDefault="00EE5306">
            <w:pPr>
              <w:spacing w:after="100"/>
              <w:rPr>
                <w:rFonts w:eastAsia="Times New Roman"/>
                <w:sz w:val="20"/>
                <w:szCs w:val="20"/>
              </w:rPr>
            </w:pPr>
          </w:p>
        </w:tc>
        <w:tc>
          <w:tcPr>
            <w:tcW w:w="50" w:type="pct"/>
            <w:vAlign w:val="center"/>
            <w:hideMark/>
          </w:tcPr>
          <w:p w14:paraId="667E7089" w14:textId="77777777" w:rsidR="00000000" w:rsidRDefault="00EE5306">
            <w:pPr>
              <w:spacing w:after="100"/>
              <w:rPr>
                <w:rFonts w:eastAsia="Times New Roman"/>
                <w:sz w:val="20"/>
                <w:szCs w:val="20"/>
              </w:rPr>
            </w:pPr>
          </w:p>
        </w:tc>
        <w:tc>
          <w:tcPr>
            <w:tcW w:w="1699" w:type="pct"/>
            <w:vAlign w:val="center"/>
            <w:hideMark/>
          </w:tcPr>
          <w:p w14:paraId="1BB017D5" w14:textId="77777777" w:rsidR="00000000" w:rsidRDefault="00EE5306">
            <w:pPr>
              <w:spacing w:after="100"/>
              <w:rPr>
                <w:rFonts w:eastAsia="Times New Roman"/>
                <w:sz w:val="20"/>
                <w:szCs w:val="20"/>
              </w:rPr>
            </w:pPr>
          </w:p>
        </w:tc>
        <w:tc>
          <w:tcPr>
            <w:tcW w:w="5" w:type="pct"/>
            <w:vAlign w:val="center"/>
            <w:hideMark/>
          </w:tcPr>
          <w:p w14:paraId="4D8EF49C" w14:textId="77777777" w:rsidR="00000000" w:rsidRDefault="00EE5306">
            <w:pPr>
              <w:spacing w:after="100"/>
              <w:rPr>
                <w:rFonts w:eastAsia="Times New Roman"/>
                <w:sz w:val="20"/>
                <w:szCs w:val="20"/>
              </w:rPr>
            </w:pPr>
          </w:p>
        </w:tc>
      </w:tr>
      <w:tr w:rsidR="00000000" w14:paraId="4E41B478" w14:textId="77777777">
        <w:trPr>
          <w:divId w:val="1194417388"/>
          <w:jc w:val="center"/>
        </w:trPr>
        <w:tc>
          <w:tcPr>
            <w:tcW w:w="0" w:type="auto"/>
            <w:gridSpan w:val="3"/>
            <w:tcMar>
              <w:top w:w="0" w:type="dxa"/>
              <w:left w:w="20" w:type="dxa"/>
              <w:bottom w:w="0" w:type="dxa"/>
              <w:right w:w="20" w:type="dxa"/>
            </w:tcMar>
            <w:vAlign w:val="center"/>
            <w:hideMark/>
          </w:tcPr>
          <w:p w14:paraId="53B1747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9CE46AF" w14:textId="77777777" w:rsidR="00000000" w:rsidRDefault="00EE5306">
            <w:pPr>
              <w:spacing w:after="100"/>
              <w:jc w:val="center"/>
              <w:rPr>
                <w:rFonts w:eastAsia="Times New Roman"/>
              </w:rPr>
            </w:pPr>
            <w:r>
              <w:rPr>
                <w:rFonts w:eastAsia="Times New Roman"/>
                <w:color w:val="000000"/>
                <w:sz w:val="20"/>
                <w:szCs w:val="20"/>
              </w:rPr>
              <w:t>2</w:t>
            </w:r>
          </w:p>
        </w:tc>
        <w:tc>
          <w:tcPr>
            <w:tcW w:w="0" w:type="auto"/>
            <w:gridSpan w:val="3"/>
            <w:tcMar>
              <w:top w:w="0" w:type="dxa"/>
              <w:left w:w="20" w:type="dxa"/>
              <w:bottom w:w="0" w:type="dxa"/>
              <w:right w:w="20" w:type="dxa"/>
            </w:tcMar>
            <w:vAlign w:val="center"/>
            <w:hideMark/>
          </w:tcPr>
          <w:p w14:paraId="597A920C" w14:textId="77777777" w:rsidR="00000000" w:rsidRDefault="00EE5306">
            <w:pPr>
              <w:spacing w:after="100"/>
              <w:jc w:val="center"/>
              <w:rPr>
                <w:rFonts w:eastAsia="Times New Roman"/>
              </w:rPr>
            </w:pPr>
          </w:p>
        </w:tc>
      </w:tr>
    </w:tbl>
    <w:p w14:paraId="49B53ED4" w14:textId="77777777" w:rsidR="00000000" w:rsidRDefault="00EE5306">
      <w:pPr>
        <w:rPr>
          <w:rFonts w:eastAsia="Times New Roman"/>
        </w:rPr>
      </w:pPr>
      <w:r>
        <w:rPr>
          <w:rFonts w:eastAsia="Times New Roman"/>
        </w:rPr>
        <w:pict w14:anchorId="28930401">
          <v:rect id="_x0000_i1027" style="width:0;height:1.5pt" o:hralign="center" o:hrstd="t" o:hr="t" fillcolor="#a0a0a0" stroked="f"/>
        </w:pict>
      </w:r>
    </w:p>
    <w:p w14:paraId="49381FAF" w14:textId="77777777" w:rsidR="00000000" w:rsidRDefault="00EE5306">
      <w:pPr>
        <w:divId w:val="1595867202"/>
        <w:rPr>
          <w:rFonts w:eastAsia="Times New Roman"/>
        </w:rPr>
      </w:pPr>
    </w:p>
    <w:p w14:paraId="09246028" w14:textId="77777777" w:rsidR="00000000" w:rsidRDefault="00EE5306">
      <w:pPr>
        <w:jc w:val="center"/>
        <w:divId w:val="1856729230"/>
        <w:rPr>
          <w:rFonts w:eastAsia="Times New Roman"/>
        </w:rPr>
      </w:pPr>
      <w:r>
        <w:rPr>
          <w:rFonts w:eastAsia="Times New Roman"/>
          <w:b/>
          <w:bCs/>
          <w:color w:val="000000"/>
          <w:sz w:val="20"/>
          <w:szCs w:val="20"/>
        </w:rPr>
        <w:t>WEBSITE ACCESS TO COMPANY REPORTS AND OTHER INFORMATION</w:t>
      </w:r>
    </w:p>
    <w:p w14:paraId="5389A15E" w14:textId="77777777" w:rsidR="00000000" w:rsidRDefault="00EE5306">
      <w:pPr>
        <w:ind w:firstLine="540"/>
        <w:jc w:val="both"/>
        <w:divId w:val="586234150"/>
        <w:rPr>
          <w:rFonts w:eastAsia="Times New Roman"/>
        </w:rPr>
      </w:pPr>
      <w:r>
        <w:rPr>
          <w:rFonts w:eastAsia="Times New Roman"/>
          <w:color w:val="000000"/>
          <w:sz w:val="20"/>
          <w:szCs w:val="20"/>
        </w:rPr>
        <w:t>Our investor website is http://investor.ralphlauren.com. We were incorporated in June 1997 under the laws of the State of Delaware. Our Annual Reports on Form 10-K, Quarterly Reports on Form 10-Q, Current Reports on Form 8-K, and amendments to those report</w:t>
      </w:r>
      <w:r>
        <w:rPr>
          <w:rFonts w:eastAsia="Times New Roman"/>
          <w:color w:val="000000"/>
          <w:sz w:val="20"/>
          <w:szCs w:val="20"/>
        </w:rPr>
        <w:t>s filed with or furnished to the SEC pursuant to Section 13(a) or Section 15(d) of the Securities Exchange Act of 1934, are available free of charge at our investor website under the caption "SEC Filings" promptly after we electronically file such material</w:t>
      </w:r>
      <w:r>
        <w:rPr>
          <w:rFonts w:eastAsia="Times New Roman"/>
          <w:color w:val="000000"/>
          <w:sz w:val="20"/>
          <w:szCs w:val="20"/>
        </w:rPr>
        <w:t>s with or furnish such materials to the SEC. All such filings are also available on the SEC's website at https://www.sec.gov. Information relating to corporate governance at Ralph Lauren Corporation, including our Corporate Governance Policies, our Code of</w:t>
      </w:r>
      <w:r>
        <w:rPr>
          <w:rFonts w:eastAsia="Times New Roman"/>
          <w:color w:val="000000"/>
          <w:sz w:val="20"/>
          <w:szCs w:val="20"/>
        </w:rPr>
        <w:t xml:space="preserve"> Business Conduct and Ethics for all directors, officers, and employees, our Code of Ethics for Principal Executive Officers and Senior Financial Officers, and information concerning our directors, Committees of the Board of Directors, including Committee </w:t>
      </w:r>
      <w:r>
        <w:rPr>
          <w:rFonts w:eastAsia="Times New Roman"/>
          <w:color w:val="000000"/>
          <w:sz w:val="20"/>
          <w:szCs w:val="20"/>
        </w:rPr>
        <w:t>charters, and transactions involving Ralph Lauren Corporation securities by directors and executive officers, are available at our website under the captions "Corporate Governance" and "SEC Filings." Paper copies of these filings and corporate governance d</w:t>
      </w:r>
      <w:r>
        <w:rPr>
          <w:rFonts w:eastAsia="Times New Roman"/>
          <w:color w:val="000000"/>
          <w:sz w:val="20"/>
          <w:szCs w:val="20"/>
        </w:rPr>
        <w:t xml:space="preserve">ocuments are available to </w:t>
      </w:r>
      <w:r>
        <w:rPr>
          <w:rFonts w:eastAsia="Times New Roman"/>
          <w:color w:val="000000"/>
          <w:sz w:val="20"/>
          <w:szCs w:val="20"/>
        </w:rPr>
        <w:lastRenderedPageBreak/>
        <w:t>stockholders without charge by written request to Investor Relations, Ralph Lauren Corporation, 650 Madison Avenue, New York, New York 10022.</w:t>
      </w:r>
    </w:p>
    <w:p w14:paraId="62006DE3" w14:textId="77777777" w:rsidR="00000000" w:rsidRDefault="00EE5306">
      <w:pPr>
        <w:ind w:firstLine="540"/>
        <w:jc w:val="both"/>
        <w:divId w:val="1904682314"/>
        <w:rPr>
          <w:rFonts w:eastAsia="Times New Roman"/>
        </w:rPr>
      </w:pPr>
      <w:r>
        <w:rPr>
          <w:rFonts w:eastAsia="Times New Roman"/>
          <w:color w:val="000000"/>
          <w:sz w:val="20"/>
          <w:szCs w:val="20"/>
        </w:rPr>
        <w:t>In this Form 10-K, references to "Ralph Lauren," "ourselves," "we," "our," "us," and the</w:t>
      </w:r>
      <w:r>
        <w:rPr>
          <w:rFonts w:eastAsia="Times New Roman"/>
          <w:color w:val="000000"/>
          <w:sz w:val="20"/>
          <w:szCs w:val="20"/>
        </w:rPr>
        <w:t xml:space="preserve"> "Company" refer to Ralph Lauren Corporation and its subsidiaries, unless the context indicates otherwise. Due to the collaborative and ongoing nature of our relationships with our licensees, such licensees are sometimes referred to in this Form 10-K as "l</w:t>
      </w:r>
      <w:r>
        <w:rPr>
          <w:rFonts w:eastAsia="Times New Roman"/>
          <w:color w:val="000000"/>
          <w:sz w:val="20"/>
          <w:szCs w:val="20"/>
        </w:rPr>
        <w:t xml:space="preserve">icensing alliances." Our fiscal year ends on the Saturday immediately before or after March 31. All references to "Fiscal 2022" represent the 53-week fiscal year ending April 2, 2022. All references to "Fiscal 2021" represent the 52-week fiscal year ended </w:t>
      </w:r>
      <w:r>
        <w:rPr>
          <w:rFonts w:eastAsia="Times New Roman"/>
          <w:color w:val="000000"/>
          <w:sz w:val="20"/>
          <w:szCs w:val="20"/>
        </w:rPr>
        <w:t xml:space="preserve">March 27, 2021. All references to "Fiscal 2020" represent the 52-week fiscal year ended March 28, 2020. All references to "Fiscal 2019" represent the 52-week fiscal year ended March 30, 2019. </w:t>
      </w:r>
    </w:p>
    <w:p w14:paraId="45847608" w14:textId="77777777" w:rsidR="00000000" w:rsidRDefault="00EE5306">
      <w:pPr>
        <w:jc w:val="center"/>
        <w:divId w:val="212927232"/>
        <w:rPr>
          <w:rFonts w:eastAsia="Times New Roman"/>
        </w:rPr>
      </w:pPr>
      <w:r>
        <w:rPr>
          <w:rFonts w:eastAsia="Times New Roman"/>
          <w:b/>
          <w:bCs/>
          <w:color w:val="000000"/>
          <w:sz w:val="20"/>
          <w:szCs w:val="20"/>
        </w:rPr>
        <w:t>PART I</w:t>
      </w:r>
    </w:p>
    <w:p w14:paraId="05B0DF36" w14:textId="77777777" w:rsidR="00000000" w:rsidRDefault="00EE5306">
      <w:pPr>
        <w:ind w:hanging="900"/>
        <w:divId w:val="792098955"/>
        <w:rPr>
          <w:rFonts w:eastAsia="Times New Roman"/>
        </w:rPr>
      </w:pPr>
      <w:r>
        <w:rPr>
          <w:rFonts w:eastAsia="Times New Roman"/>
          <w:b/>
          <w:bCs/>
          <w:color w:val="000000"/>
          <w:sz w:val="20"/>
          <w:szCs w:val="20"/>
        </w:rPr>
        <w:t>Item 1.</w:t>
      </w:r>
      <w:r>
        <w:rPr>
          <w:rFonts w:eastAsia="Times New Roman"/>
          <w:b/>
          <w:bCs/>
          <w:i/>
          <w:iCs/>
          <w:color w:val="000000"/>
          <w:sz w:val="20"/>
          <w:szCs w:val="20"/>
        </w:rPr>
        <w:t>    Business.</w:t>
      </w:r>
    </w:p>
    <w:p w14:paraId="6D6FC6F9" w14:textId="77777777" w:rsidR="00000000" w:rsidRDefault="00EE5306">
      <w:pPr>
        <w:jc w:val="center"/>
        <w:divId w:val="527254176"/>
        <w:rPr>
          <w:rFonts w:eastAsia="Times New Roman"/>
        </w:rPr>
      </w:pPr>
      <w:r>
        <w:rPr>
          <w:rFonts w:eastAsia="Times New Roman"/>
          <w:b/>
          <w:bCs/>
          <w:color w:val="000000"/>
          <w:sz w:val="20"/>
          <w:szCs w:val="20"/>
        </w:rPr>
        <w:t>General</w:t>
      </w:r>
    </w:p>
    <w:p w14:paraId="74312CAC" w14:textId="77777777" w:rsidR="00000000" w:rsidRDefault="00EE5306">
      <w:pPr>
        <w:ind w:firstLine="540"/>
        <w:jc w:val="both"/>
        <w:divId w:val="128938543"/>
        <w:rPr>
          <w:rFonts w:eastAsia="Times New Roman"/>
        </w:rPr>
      </w:pPr>
      <w:r>
        <w:rPr>
          <w:rFonts w:eastAsia="Times New Roman"/>
          <w:color w:val="000000"/>
          <w:sz w:val="20"/>
          <w:szCs w:val="20"/>
        </w:rPr>
        <w:t>Founded in 1967 by Mr. Ralph Lauren, we are a global leader in the design, marketing, and distribution of premium lifestyle products, including apparel, footwear, accessories, home furnishings, fragrances and hospitality. Our long-standing reputation and d</w:t>
      </w:r>
      <w:r>
        <w:rPr>
          <w:rFonts w:eastAsia="Times New Roman"/>
          <w:color w:val="000000"/>
          <w:sz w:val="20"/>
          <w:szCs w:val="20"/>
        </w:rPr>
        <w:t>istinctive image have been developed across an expanding number of products, brands, sales channels, and international markets. We believe that our global reach, breadth of product offerings, and multi-channel distribution are unique among luxury and appar</w:t>
      </w:r>
      <w:r>
        <w:rPr>
          <w:rFonts w:eastAsia="Times New Roman"/>
          <w:color w:val="000000"/>
          <w:sz w:val="20"/>
          <w:szCs w:val="20"/>
        </w:rPr>
        <w:t>el companies.</w:t>
      </w:r>
    </w:p>
    <w:p w14:paraId="1D8BCA2F" w14:textId="77777777" w:rsidR="00000000" w:rsidRDefault="00EE5306">
      <w:pPr>
        <w:ind w:firstLine="540"/>
        <w:jc w:val="both"/>
        <w:divId w:val="825167077"/>
        <w:rPr>
          <w:rFonts w:eastAsia="Times New Roman"/>
        </w:rPr>
      </w:pPr>
      <w:r>
        <w:rPr>
          <w:rFonts w:eastAsia="Times New Roman"/>
          <w:color w:val="000000"/>
          <w:sz w:val="20"/>
          <w:szCs w:val="20"/>
        </w:rPr>
        <w:t xml:space="preserve">We diversify our business by geography (North America, Europe, and Asia, among other regions) and channel of distribution (retail, wholesale, and licensing). This allows us to maintain a dynamic balance as our operating results do not depend </w:t>
      </w:r>
      <w:r>
        <w:rPr>
          <w:rFonts w:eastAsia="Times New Roman"/>
          <w:color w:val="000000"/>
          <w:sz w:val="20"/>
          <w:szCs w:val="20"/>
        </w:rPr>
        <w:t>solely on the performance of any single geographic area or channel of distribution. We sell directly to consumers through our integrated retail channel, which includes our retail stores, concession-based shop-within-shops, and digital commerce operations a</w:t>
      </w:r>
      <w:r>
        <w:rPr>
          <w:rFonts w:eastAsia="Times New Roman"/>
          <w:color w:val="000000"/>
          <w:sz w:val="20"/>
          <w:szCs w:val="20"/>
        </w:rPr>
        <w:t>round the world. Our wholesale sales are made principally to major department stores, specialty stores, and third-party digital partners around the world, as well as to certain third-party-owned stores to which we have licensed the right to operate in defi</w:t>
      </w:r>
      <w:r>
        <w:rPr>
          <w:rFonts w:eastAsia="Times New Roman"/>
          <w:color w:val="000000"/>
          <w:sz w:val="20"/>
          <w:szCs w:val="20"/>
        </w:rPr>
        <w:t>ned geographic territories using our trademarks. In addition, we license to third parties for specified periods the right to access our various trademarks in connection with the licensees' manufacture and sale of designated products, such as certain appare</w:t>
      </w:r>
      <w:r>
        <w:rPr>
          <w:rFonts w:eastAsia="Times New Roman"/>
          <w:color w:val="000000"/>
          <w:sz w:val="20"/>
          <w:szCs w:val="20"/>
        </w:rPr>
        <w:t>l, eyewear, fragrances, and home furnishings.</w:t>
      </w:r>
    </w:p>
    <w:p w14:paraId="16D81EC1" w14:textId="77777777" w:rsidR="00000000" w:rsidRDefault="00EE5306">
      <w:pPr>
        <w:ind w:firstLine="540"/>
        <w:jc w:val="both"/>
        <w:divId w:val="1038317074"/>
        <w:rPr>
          <w:rFonts w:eastAsia="Times New Roman"/>
        </w:rPr>
      </w:pPr>
      <w:r>
        <w:rPr>
          <w:rFonts w:eastAsia="Times New Roman"/>
          <w:color w:val="000000"/>
          <w:sz w:val="20"/>
          <w:szCs w:val="20"/>
        </w:rPr>
        <w:t>We organize our business into the following three reportable segments: North America, Europe, and Asia. In addition to these reportable segments, we also have other non-reportable segments. See "</w:t>
      </w:r>
      <w:r>
        <w:rPr>
          <w:rFonts w:eastAsia="Times New Roman"/>
          <w:i/>
          <w:iCs/>
          <w:color w:val="000000"/>
          <w:sz w:val="20"/>
          <w:szCs w:val="20"/>
        </w:rPr>
        <w:t>Our Segments</w:t>
      </w:r>
      <w:r>
        <w:rPr>
          <w:rFonts w:eastAsia="Times New Roman"/>
          <w:color w:val="000000"/>
          <w:sz w:val="20"/>
          <w:szCs w:val="20"/>
        </w:rPr>
        <w:t>" f</w:t>
      </w:r>
      <w:r>
        <w:rPr>
          <w:rFonts w:eastAsia="Times New Roman"/>
          <w:color w:val="000000"/>
          <w:sz w:val="20"/>
          <w:szCs w:val="20"/>
        </w:rPr>
        <w:t>or further discussion of our segment reporting structure.</w:t>
      </w:r>
    </w:p>
    <w:p w14:paraId="7C2095FF" w14:textId="77777777" w:rsidR="00000000" w:rsidRDefault="00EE5306">
      <w:pPr>
        <w:ind w:firstLine="540"/>
        <w:jc w:val="both"/>
        <w:divId w:val="925574596"/>
        <w:rPr>
          <w:rFonts w:eastAsia="Times New Roman"/>
        </w:rPr>
      </w:pPr>
      <w:r>
        <w:rPr>
          <w:rFonts w:eastAsia="Times New Roman"/>
          <w:color w:val="000000"/>
          <w:sz w:val="20"/>
          <w:szCs w:val="20"/>
        </w:rPr>
        <w:t>Our global reach is extensive, as we sell directly to customers throughout the world via our 548 retail stores and 650 concession-based shop-within-shops, as well as through our own digital commerce</w:t>
      </w:r>
      <w:r>
        <w:rPr>
          <w:rFonts w:eastAsia="Times New Roman"/>
          <w:color w:val="000000"/>
          <w:sz w:val="20"/>
          <w:szCs w:val="20"/>
        </w:rPr>
        <w:t xml:space="preserve"> sites and those of various third-party digital partners. Merchandise is also available through our wholesale distribution channels at approximately 9,000 doors worldwide, the majority in specialty stores, as well as through the digital commerce sites of m</w:t>
      </w:r>
      <w:r>
        <w:rPr>
          <w:rFonts w:eastAsia="Times New Roman"/>
          <w:color w:val="000000"/>
          <w:sz w:val="20"/>
          <w:szCs w:val="20"/>
        </w:rPr>
        <w:t xml:space="preserve">any of our wholesale customers. In addition to our directly-operated stores and shops, our international licensing partners operate 139 Ralph Lauren stores and shops, and 143 Club Monaco stores and shops. As discussed in </w:t>
      </w:r>
      <w:r>
        <w:rPr>
          <w:rFonts w:eastAsia="Times New Roman"/>
          <w:i/>
          <w:iCs/>
          <w:color w:val="000000"/>
          <w:sz w:val="20"/>
          <w:szCs w:val="20"/>
        </w:rPr>
        <w:t>"Recent Developments,"</w:t>
      </w:r>
      <w:r>
        <w:rPr>
          <w:rFonts w:eastAsia="Times New Roman"/>
          <w:color w:val="000000"/>
          <w:sz w:val="20"/>
          <w:szCs w:val="20"/>
        </w:rPr>
        <w:t xml:space="preserve"> on May 13, 2</w:t>
      </w:r>
      <w:r>
        <w:rPr>
          <w:rFonts w:eastAsia="Times New Roman"/>
          <w:color w:val="000000"/>
          <w:sz w:val="20"/>
          <w:szCs w:val="20"/>
        </w:rPr>
        <w:t>021, we announced the anticipated sale of our Club Monaco business, which is expected to close by the end of the first quarter of Fiscal 2022.</w:t>
      </w:r>
    </w:p>
    <w:p w14:paraId="09274735" w14:textId="77777777" w:rsidR="00000000" w:rsidRDefault="00EE5306">
      <w:pPr>
        <w:ind w:firstLine="540"/>
        <w:jc w:val="both"/>
        <w:divId w:val="1982029887"/>
        <w:rPr>
          <w:rFonts w:eastAsia="Times New Roman"/>
        </w:rPr>
      </w:pPr>
      <w:r>
        <w:rPr>
          <w:rFonts w:eastAsia="Times New Roman"/>
          <w:color w:val="000000"/>
          <w:sz w:val="20"/>
          <w:szCs w:val="20"/>
        </w:rPr>
        <w:t>We have been controlled by the Lauren family since the founding of our Company. As of March 27, 2021, Mr. R. Laur</w:t>
      </w:r>
      <w:r>
        <w:rPr>
          <w:rFonts w:eastAsia="Times New Roman"/>
          <w:color w:val="000000"/>
          <w:sz w:val="20"/>
          <w:szCs w:val="20"/>
        </w:rPr>
        <w:t>en, or entities controlled by the Lauren family, held approximately 84% of the voting power of the Company's outstanding common stock.</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7429C3DF" w14:textId="77777777">
        <w:trPr>
          <w:divId w:val="915674497"/>
          <w:jc w:val="center"/>
        </w:trPr>
        <w:tc>
          <w:tcPr>
            <w:tcW w:w="50" w:type="pct"/>
            <w:vAlign w:val="center"/>
            <w:hideMark/>
          </w:tcPr>
          <w:p w14:paraId="42E38190" w14:textId="77777777" w:rsidR="00000000" w:rsidRDefault="00EE5306">
            <w:pPr>
              <w:ind w:firstLine="540"/>
              <w:jc w:val="both"/>
              <w:rPr>
                <w:rFonts w:eastAsia="Times New Roman"/>
              </w:rPr>
            </w:pPr>
          </w:p>
        </w:tc>
        <w:tc>
          <w:tcPr>
            <w:tcW w:w="1699" w:type="pct"/>
            <w:vAlign w:val="center"/>
            <w:hideMark/>
          </w:tcPr>
          <w:p w14:paraId="2CEE4BD4" w14:textId="77777777" w:rsidR="00000000" w:rsidRDefault="00EE5306">
            <w:pPr>
              <w:spacing w:after="100"/>
              <w:rPr>
                <w:rFonts w:eastAsia="Times New Roman"/>
                <w:sz w:val="20"/>
                <w:szCs w:val="20"/>
              </w:rPr>
            </w:pPr>
          </w:p>
        </w:tc>
        <w:tc>
          <w:tcPr>
            <w:tcW w:w="5" w:type="pct"/>
            <w:vAlign w:val="center"/>
            <w:hideMark/>
          </w:tcPr>
          <w:p w14:paraId="4CDFC7AD" w14:textId="77777777" w:rsidR="00000000" w:rsidRDefault="00EE5306">
            <w:pPr>
              <w:spacing w:after="100"/>
              <w:rPr>
                <w:rFonts w:eastAsia="Times New Roman"/>
                <w:sz w:val="20"/>
                <w:szCs w:val="20"/>
              </w:rPr>
            </w:pPr>
          </w:p>
        </w:tc>
        <w:tc>
          <w:tcPr>
            <w:tcW w:w="50" w:type="pct"/>
            <w:vAlign w:val="center"/>
            <w:hideMark/>
          </w:tcPr>
          <w:p w14:paraId="3FFC1283" w14:textId="77777777" w:rsidR="00000000" w:rsidRDefault="00EE5306">
            <w:pPr>
              <w:spacing w:after="100"/>
              <w:rPr>
                <w:rFonts w:eastAsia="Times New Roman"/>
                <w:sz w:val="20"/>
                <w:szCs w:val="20"/>
              </w:rPr>
            </w:pPr>
          </w:p>
        </w:tc>
        <w:tc>
          <w:tcPr>
            <w:tcW w:w="1436" w:type="pct"/>
            <w:vAlign w:val="center"/>
            <w:hideMark/>
          </w:tcPr>
          <w:p w14:paraId="445EFD30" w14:textId="77777777" w:rsidR="00000000" w:rsidRDefault="00EE5306">
            <w:pPr>
              <w:spacing w:after="100"/>
              <w:rPr>
                <w:rFonts w:eastAsia="Times New Roman"/>
                <w:sz w:val="20"/>
                <w:szCs w:val="20"/>
              </w:rPr>
            </w:pPr>
          </w:p>
        </w:tc>
        <w:tc>
          <w:tcPr>
            <w:tcW w:w="5" w:type="pct"/>
            <w:vAlign w:val="center"/>
            <w:hideMark/>
          </w:tcPr>
          <w:p w14:paraId="0B23ECDD" w14:textId="77777777" w:rsidR="00000000" w:rsidRDefault="00EE5306">
            <w:pPr>
              <w:spacing w:after="100"/>
              <w:rPr>
                <w:rFonts w:eastAsia="Times New Roman"/>
                <w:sz w:val="20"/>
                <w:szCs w:val="20"/>
              </w:rPr>
            </w:pPr>
          </w:p>
        </w:tc>
        <w:tc>
          <w:tcPr>
            <w:tcW w:w="50" w:type="pct"/>
            <w:vAlign w:val="center"/>
            <w:hideMark/>
          </w:tcPr>
          <w:p w14:paraId="7C428644" w14:textId="77777777" w:rsidR="00000000" w:rsidRDefault="00EE5306">
            <w:pPr>
              <w:spacing w:after="100"/>
              <w:rPr>
                <w:rFonts w:eastAsia="Times New Roman"/>
                <w:sz w:val="20"/>
                <w:szCs w:val="20"/>
              </w:rPr>
            </w:pPr>
          </w:p>
        </w:tc>
        <w:tc>
          <w:tcPr>
            <w:tcW w:w="1699" w:type="pct"/>
            <w:vAlign w:val="center"/>
            <w:hideMark/>
          </w:tcPr>
          <w:p w14:paraId="1F25D072" w14:textId="77777777" w:rsidR="00000000" w:rsidRDefault="00EE5306">
            <w:pPr>
              <w:spacing w:after="100"/>
              <w:rPr>
                <w:rFonts w:eastAsia="Times New Roman"/>
                <w:sz w:val="20"/>
                <w:szCs w:val="20"/>
              </w:rPr>
            </w:pPr>
          </w:p>
        </w:tc>
        <w:tc>
          <w:tcPr>
            <w:tcW w:w="5" w:type="pct"/>
            <w:vAlign w:val="center"/>
            <w:hideMark/>
          </w:tcPr>
          <w:p w14:paraId="08BA7511" w14:textId="77777777" w:rsidR="00000000" w:rsidRDefault="00EE5306">
            <w:pPr>
              <w:spacing w:after="100"/>
              <w:rPr>
                <w:rFonts w:eastAsia="Times New Roman"/>
                <w:sz w:val="20"/>
                <w:szCs w:val="20"/>
              </w:rPr>
            </w:pPr>
          </w:p>
        </w:tc>
      </w:tr>
      <w:tr w:rsidR="00000000" w14:paraId="5E986A42" w14:textId="77777777">
        <w:trPr>
          <w:divId w:val="915674497"/>
          <w:jc w:val="center"/>
        </w:trPr>
        <w:tc>
          <w:tcPr>
            <w:tcW w:w="0" w:type="auto"/>
            <w:gridSpan w:val="3"/>
            <w:tcMar>
              <w:top w:w="0" w:type="dxa"/>
              <w:left w:w="20" w:type="dxa"/>
              <w:bottom w:w="0" w:type="dxa"/>
              <w:right w:w="20" w:type="dxa"/>
            </w:tcMar>
            <w:vAlign w:val="center"/>
            <w:hideMark/>
          </w:tcPr>
          <w:p w14:paraId="014C32C8"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344E45E" w14:textId="77777777" w:rsidR="00000000" w:rsidRDefault="00EE5306">
            <w:pPr>
              <w:spacing w:after="100"/>
              <w:jc w:val="center"/>
              <w:rPr>
                <w:rFonts w:eastAsia="Times New Roman"/>
              </w:rPr>
            </w:pPr>
            <w:r>
              <w:rPr>
                <w:rFonts w:eastAsia="Times New Roman"/>
                <w:color w:val="000000"/>
                <w:sz w:val="20"/>
                <w:szCs w:val="20"/>
              </w:rPr>
              <w:t>3</w:t>
            </w:r>
          </w:p>
        </w:tc>
        <w:tc>
          <w:tcPr>
            <w:tcW w:w="0" w:type="auto"/>
            <w:gridSpan w:val="3"/>
            <w:tcMar>
              <w:top w:w="0" w:type="dxa"/>
              <w:left w:w="20" w:type="dxa"/>
              <w:bottom w:w="0" w:type="dxa"/>
              <w:right w:w="20" w:type="dxa"/>
            </w:tcMar>
            <w:vAlign w:val="center"/>
            <w:hideMark/>
          </w:tcPr>
          <w:p w14:paraId="64F9CF73" w14:textId="77777777" w:rsidR="00000000" w:rsidRDefault="00EE5306">
            <w:pPr>
              <w:spacing w:after="100"/>
              <w:jc w:val="center"/>
              <w:rPr>
                <w:rFonts w:eastAsia="Times New Roman"/>
              </w:rPr>
            </w:pPr>
          </w:p>
        </w:tc>
      </w:tr>
    </w:tbl>
    <w:p w14:paraId="18314D01" w14:textId="77777777" w:rsidR="00000000" w:rsidRDefault="00EE5306">
      <w:pPr>
        <w:rPr>
          <w:rFonts w:eastAsia="Times New Roman"/>
        </w:rPr>
      </w:pPr>
      <w:r>
        <w:rPr>
          <w:rFonts w:eastAsia="Times New Roman"/>
        </w:rPr>
        <w:pict w14:anchorId="2B0D5988">
          <v:rect id="_x0000_i1028" style="width:0;height:1.5pt" o:hralign="center" o:hrstd="t" o:hr="t" fillcolor="#a0a0a0" stroked="f"/>
        </w:pict>
      </w:r>
    </w:p>
    <w:p w14:paraId="3663EFD6" w14:textId="77777777" w:rsidR="00000000" w:rsidRDefault="00EE5306">
      <w:pPr>
        <w:divId w:val="573665547"/>
        <w:rPr>
          <w:rFonts w:eastAsia="Times New Roman"/>
        </w:rPr>
      </w:pPr>
    </w:p>
    <w:p w14:paraId="32F4C1BB" w14:textId="77777777" w:rsidR="00000000" w:rsidRDefault="00EE5306">
      <w:pPr>
        <w:jc w:val="center"/>
        <w:divId w:val="1943756671"/>
        <w:rPr>
          <w:rFonts w:eastAsia="Times New Roman"/>
        </w:rPr>
      </w:pPr>
      <w:r>
        <w:rPr>
          <w:rFonts w:eastAsia="Times New Roman"/>
          <w:b/>
          <w:bCs/>
          <w:color w:val="000000"/>
          <w:sz w:val="20"/>
          <w:szCs w:val="20"/>
        </w:rPr>
        <w:lastRenderedPageBreak/>
        <w:t>Objectives and Opportunities</w:t>
      </w:r>
    </w:p>
    <w:p w14:paraId="72B8E65E" w14:textId="77777777" w:rsidR="00000000" w:rsidRDefault="00EE5306">
      <w:pPr>
        <w:ind w:firstLine="540"/>
        <w:jc w:val="both"/>
        <w:divId w:val="715616597"/>
        <w:rPr>
          <w:rFonts w:eastAsia="Times New Roman"/>
        </w:rPr>
      </w:pPr>
      <w:r>
        <w:rPr>
          <w:rFonts w:eastAsia="Times New Roman"/>
          <w:color w:val="000000"/>
          <w:sz w:val="20"/>
          <w:szCs w:val="20"/>
        </w:rPr>
        <w:t>We believe that our size and the global scope of our operations provide us with design, sourcing, and distribution synergies across our different businesses. Our core strengths include a po</w:t>
      </w:r>
      <w:r>
        <w:rPr>
          <w:rFonts w:eastAsia="Times New Roman"/>
          <w:color w:val="000000"/>
          <w:sz w:val="20"/>
          <w:szCs w:val="20"/>
        </w:rPr>
        <w:t>rtfolio of global premium lifestyle brands, a well-diversified global multi-channel distribution network, an investment philosophy supported by a strong balance sheet, and an experienced management team. Despite the various risks and uncertainties associat</w:t>
      </w:r>
      <w:r>
        <w:rPr>
          <w:rFonts w:eastAsia="Times New Roman"/>
          <w:color w:val="000000"/>
          <w:sz w:val="20"/>
          <w:szCs w:val="20"/>
        </w:rPr>
        <w:t>ed with the current global economic environment, as discussed further in Item 7 — "</w:t>
      </w:r>
      <w:r>
        <w:rPr>
          <w:rFonts w:eastAsia="Times New Roman"/>
          <w:i/>
          <w:iCs/>
          <w:color w:val="000000"/>
          <w:sz w:val="20"/>
          <w:szCs w:val="20"/>
        </w:rPr>
        <w:t>Management's Discussion and Analysis of Financial Condition and Results of Operations — Global Economic Conditions and Industry Trends,</w:t>
      </w:r>
      <w:r>
        <w:rPr>
          <w:rFonts w:eastAsia="Times New Roman"/>
          <w:color w:val="000000"/>
          <w:sz w:val="20"/>
          <w:szCs w:val="20"/>
        </w:rPr>
        <w:t>" we believe our core strengths will a</w:t>
      </w:r>
      <w:r>
        <w:rPr>
          <w:rFonts w:eastAsia="Times New Roman"/>
          <w:color w:val="000000"/>
          <w:sz w:val="20"/>
          <w:szCs w:val="20"/>
        </w:rPr>
        <w:t>llow us to execute our long-term growth strategy.</w:t>
      </w:r>
    </w:p>
    <w:p w14:paraId="3A6A9045" w14:textId="77777777" w:rsidR="00000000" w:rsidRDefault="00EE5306">
      <w:pPr>
        <w:ind w:firstLine="540"/>
        <w:jc w:val="both"/>
        <w:divId w:val="1814063233"/>
        <w:rPr>
          <w:rFonts w:eastAsia="Times New Roman"/>
        </w:rPr>
      </w:pPr>
      <w:r>
        <w:rPr>
          <w:rFonts w:eastAsia="Times New Roman"/>
          <w:color w:val="000000"/>
          <w:sz w:val="20"/>
          <w:szCs w:val="20"/>
        </w:rPr>
        <w:t>An overview of our long-term growth strategy is presented below:</w:t>
      </w:r>
    </w:p>
    <w:p w14:paraId="252D851A" w14:textId="77777777" w:rsidR="00000000" w:rsidRDefault="00EE5306">
      <w:pPr>
        <w:spacing w:before="60"/>
        <w:ind w:firstLine="540"/>
        <w:jc w:val="center"/>
        <w:divId w:val="898249606"/>
        <w:rPr>
          <w:rFonts w:eastAsia="Times New Roman"/>
        </w:rPr>
      </w:pPr>
      <w:r>
        <w:rPr>
          <w:rFonts w:eastAsia="Times New Roman"/>
          <w:noProof/>
        </w:rPr>
        <w:drawing>
          <wp:inline distT="0" distB="0" distL="0" distR="0" wp14:anchorId="3A30859B" wp14:editId="728264EC">
            <wp:extent cx="3048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B0B1D52" w14:textId="77777777">
        <w:trPr>
          <w:divId w:val="1039008214"/>
          <w:jc w:val="center"/>
        </w:trPr>
        <w:tc>
          <w:tcPr>
            <w:tcW w:w="50" w:type="pct"/>
            <w:vAlign w:val="center"/>
            <w:hideMark/>
          </w:tcPr>
          <w:p w14:paraId="5E580EB6" w14:textId="77777777" w:rsidR="00000000" w:rsidRDefault="00EE5306">
            <w:pPr>
              <w:ind w:firstLine="540"/>
              <w:jc w:val="center"/>
              <w:rPr>
                <w:rFonts w:eastAsia="Times New Roman"/>
              </w:rPr>
            </w:pPr>
          </w:p>
        </w:tc>
        <w:tc>
          <w:tcPr>
            <w:tcW w:w="1699" w:type="pct"/>
            <w:vAlign w:val="center"/>
            <w:hideMark/>
          </w:tcPr>
          <w:p w14:paraId="733934E8" w14:textId="77777777" w:rsidR="00000000" w:rsidRDefault="00EE5306">
            <w:pPr>
              <w:spacing w:after="100"/>
              <w:rPr>
                <w:rFonts w:eastAsia="Times New Roman"/>
                <w:sz w:val="20"/>
                <w:szCs w:val="20"/>
              </w:rPr>
            </w:pPr>
          </w:p>
        </w:tc>
        <w:tc>
          <w:tcPr>
            <w:tcW w:w="5" w:type="pct"/>
            <w:vAlign w:val="center"/>
            <w:hideMark/>
          </w:tcPr>
          <w:p w14:paraId="74AF8B7C" w14:textId="77777777" w:rsidR="00000000" w:rsidRDefault="00EE5306">
            <w:pPr>
              <w:spacing w:after="100"/>
              <w:rPr>
                <w:rFonts w:eastAsia="Times New Roman"/>
                <w:sz w:val="20"/>
                <w:szCs w:val="20"/>
              </w:rPr>
            </w:pPr>
          </w:p>
        </w:tc>
        <w:tc>
          <w:tcPr>
            <w:tcW w:w="50" w:type="pct"/>
            <w:vAlign w:val="center"/>
            <w:hideMark/>
          </w:tcPr>
          <w:p w14:paraId="0D8700C5" w14:textId="77777777" w:rsidR="00000000" w:rsidRDefault="00EE5306">
            <w:pPr>
              <w:spacing w:after="100"/>
              <w:rPr>
                <w:rFonts w:eastAsia="Times New Roman"/>
                <w:sz w:val="20"/>
                <w:szCs w:val="20"/>
              </w:rPr>
            </w:pPr>
          </w:p>
        </w:tc>
        <w:tc>
          <w:tcPr>
            <w:tcW w:w="1436" w:type="pct"/>
            <w:vAlign w:val="center"/>
            <w:hideMark/>
          </w:tcPr>
          <w:p w14:paraId="0F354EA0" w14:textId="77777777" w:rsidR="00000000" w:rsidRDefault="00EE5306">
            <w:pPr>
              <w:spacing w:after="100"/>
              <w:rPr>
                <w:rFonts w:eastAsia="Times New Roman"/>
                <w:sz w:val="20"/>
                <w:szCs w:val="20"/>
              </w:rPr>
            </w:pPr>
          </w:p>
        </w:tc>
        <w:tc>
          <w:tcPr>
            <w:tcW w:w="5" w:type="pct"/>
            <w:vAlign w:val="center"/>
            <w:hideMark/>
          </w:tcPr>
          <w:p w14:paraId="0B16076D" w14:textId="77777777" w:rsidR="00000000" w:rsidRDefault="00EE5306">
            <w:pPr>
              <w:spacing w:after="100"/>
              <w:rPr>
                <w:rFonts w:eastAsia="Times New Roman"/>
                <w:sz w:val="20"/>
                <w:szCs w:val="20"/>
              </w:rPr>
            </w:pPr>
          </w:p>
        </w:tc>
        <w:tc>
          <w:tcPr>
            <w:tcW w:w="50" w:type="pct"/>
            <w:vAlign w:val="center"/>
            <w:hideMark/>
          </w:tcPr>
          <w:p w14:paraId="67279605" w14:textId="77777777" w:rsidR="00000000" w:rsidRDefault="00EE5306">
            <w:pPr>
              <w:spacing w:after="100"/>
              <w:rPr>
                <w:rFonts w:eastAsia="Times New Roman"/>
                <w:sz w:val="20"/>
                <w:szCs w:val="20"/>
              </w:rPr>
            </w:pPr>
          </w:p>
        </w:tc>
        <w:tc>
          <w:tcPr>
            <w:tcW w:w="1699" w:type="pct"/>
            <w:vAlign w:val="center"/>
            <w:hideMark/>
          </w:tcPr>
          <w:p w14:paraId="74B32B35" w14:textId="77777777" w:rsidR="00000000" w:rsidRDefault="00EE5306">
            <w:pPr>
              <w:spacing w:after="100"/>
              <w:rPr>
                <w:rFonts w:eastAsia="Times New Roman"/>
                <w:sz w:val="20"/>
                <w:szCs w:val="20"/>
              </w:rPr>
            </w:pPr>
          </w:p>
        </w:tc>
        <w:tc>
          <w:tcPr>
            <w:tcW w:w="5" w:type="pct"/>
            <w:vAlign w:val="center"/>
            <w:hideMark/>
          </w:tcPr>
          <w:p w14:paraId="188D97F4" w14:textId="77777777" w:rsidR="00000000" w:rsidRDefault="00EE5306">
            <w:pPr>
              <w:spacing w:after="100"/>
              <w:rPr>
                <w:rFonts w:eastAsia="Times New Roman"/>
                <w:sz w:val="20"/>
                <w:szCs w:val="20"/>
              </w:rPr>
            </w:pPr>
          </w:p>
        </w:tc>
      </w:tr>
      <w:tr w:rsidR="00000000" w14:paraId="41999756" w14:textId="77777777">
        <w:trPr>
          <w:divId w:val="1039008214"/>
          <w:jc w:val="center"/>
        </w:trPr>
        <w:tc>
          <w:tcPr>
            <w:tcW w:w="0" w:type="auto"/>
            <w:gridSpan w:val="3"/>
            <w:tcMar>
              <w:top w:w="0" w:type="dxa"/>
              <w:left w:w="20" w:type="dxa"/>
              <w:bottom w:w="0" w:type="dxa"/>
              <w:right w:w="20" w:type="dxa"/>
            </w:tcMar>
            <w:vAlign w:val="center"/>
            <w:hideMark/>
          </w:tcPr>
          <w:p w14:paraId="447096AD"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E51340E" w14:textId="77777777" w:rsidR="00000000" w:rsidRDefault="00EE5306">
            <w:pPr>
              <w:spacing w:after="100"/>
              <w:jc w:val="center"/>
              <w:rPr>
                <w:rFonts w:eastAsia="Times New Roman"/>
              </w:rPr>
            </w:pPr>
            <w:r>
              <w:rPr>
                <w:rFonts w:eastAsia="Times New Roman"/>
                <w:color w:val="000000"/>
                <w:sz w:val="20"/>
                <w:szCs w:val="20"/>
              </w:rPr>
              <w:t>4</w:t>
            </w:r>
          </w:p>
        </w:tc>
        <w:tc>
          <w:tcPr>
            <w:tcW w:w="0" w:type="auto"/>
            <w:gridSpan w:val="3"/>
            <w:tcMar>
              <w:top w:w="0" w:type="dxa"/>
              <w:left w:w="20" w:type="dxa"/>
              <w:bottom w:w="0" w:type="dxa"/>
              <w:right w:w="20" w:type="dxa"/>
            </w:tcMar>
            <w:vAlign w:val="center"/>
            <w:hideMark/>
          </w:tcPr>
          <w:p w14:paraId="7C46C251" w14:textId="77777777" w:rsidR="00000000" w:rsidRDefault="00EE5306">
            <w:pPr>
              <w:spacing w:after="100"/>
              <w:jc w:val="center"/>
              <w:rPr>
                <w:rFonts w:eastAsia="Times New Roman"/>
              </w:rPr>
            </w:pPr>
          </w:p>
        </w:tc>
      </w:tr>
    </w:tbl>
    <w:p w14:paraId="3C4F8619" w14:textId="77777777" w:rsidR="00000000" w:rsidRDefault="00EE5306">
      <w:pPr>
        <w:rPr>
          <w:rFonts w:eastAsia="Times New Roman"/>
        </w:rPr>
      </w:pPr>
      <w:r>
        <w:rPr>
          <w:rFonts w:eastAsia="Times New Roman"/>
        </w:rPr>
        <w:pict w14:anchorId="0F6694DE">
          <v:rect id="_x0000_i1030" style="width:0;height:1.5pt" o:hralign="center" o:hrstd="t" o:hr="t" fillcolor="#a0a0a0" stroked="f"/>
        </w:pict>
      </w:r>
    </w:p>
    <w:p w14:paraId="51D84E57" w14:textId="77777777" w:rsidR="00000000" w:rsidRDefault="00EE5306">
      <w:pPr>
        <w:divId w:val="1322923110"/>
        <w:rPr>
          <w:rFonts w:eastAsia="Times New Roman"/>
        </w:rPr>
      </w:pPr>
    </w:p>
    <w:p w14:paraId="7242309A" w14:textId="77777777" w:rsidR="00000000" w:rsidRDefault="00EE5306">
      <w:pPr>
        <w:jc w:val="center"/>
        <w:divId w:val="1875851965"/>
        <w:rPr>
          <w:rFonts w:eastAsia="Times New Roman"/>
        </w:rPr>
      </w:pPr>
      <w:r>
        <w:rPr>
          <w:rFonts w:eastAsia="Times New Roman"/>
          <w:b/>
          <w:bCs/>
          <w:color w:val="000000"/>
          <w:sz w:val="20"/>
          <w:szCs w:val="20"/>
        </w:rPr>
        <w:t>Global Citizenship and Sustainability</w:t>
      </w:r>
    </w:p>
    <w:p w14:paraId="704F6B58" w14:textId="77777777" w:rsidR="00000000" w:rsidRDefault="00EE5306">
      <w:pPr>
        <w:ind w:firstLine="540"/>
        <w:jc w:val="both"/>
        <w:divId w:val="1868374587"/>
        <w:rPr>
          <w:rFonts w:eastAsia="Times New Roman"/>
        </w:rPr>
      </w:pPr>
      <w:r>
        <w:rPr>
          <w:rFonts w:eastAsia="Times New Roman"/>
          <w:color w:val="000000"/>
          <w:sz w:val="20"/>
          <w:szCs w:val="20"/>
        </w:rPr>
        <w:t xml:space="preserve">Global citizenship and sustainability at Ralph Lauren Corporation is rooted in the heritage of our brand and our purpose to inspire the dream of a better life through authenticity </w:t>
      </w:r>
      <w:r>
        <w:rPr>
          <w:rFonts w:eastAsia="Times New Roman"/>
          <w:color w:val="000000"/>
          <w:sz w:val="20"/>
          <w:szCs w:val="20"/>
        </w:rPr>
        <w:t xml:space="preserve">and timeless style. We believe that delivering the next 50 years for Ralph Lauren means rethinking our impact on the environment and society and utilizing creativity, the power of design, and innovative technologies to drive meaningful change. We call our </w:t>
      </w:r>
      <w:r>
        <w:rPr>
          <w:rFonts w:eastAsia="Times New Roman"/>
          <w:color w:val="000000"/>
          <w:sz w:val="20"/>
          <w:szCs w:val="20"/>
        </w:rPr>
        <w:t>citizenship and sustainability plan "Design the Change," and through this strategy, we’re creating a more sustainable future in three key areas:</w:t>
      </w:r>
    </w:p>
    <w:p w14:paraId="31D60249" w14:textId="77777777" w:rsidR="00000000" w:rsidRDefault="00EE5306">
      <w:pPr>
        <w:ind w:hanging="360"/>
        <w:jc w:val="both"/>
        <w:divId w:val="1171259724"/>
        <w:rPr>
          <w:rFonts w:eastAsia="Times New Roman"/>
        </w:rPr>
      </w:pPr>
      <w:r>
        <w:rPr>
          <w:rFonts w:eastAsia="Times New Roman"/>
          <w:b/>
          <w:bCs/>
          <w:color w:val="000000"/>
          <w:sz w:val="20"/>
          <w:szCs w:val="20"/>
        </w:rPr>
        <w:t>1.Create Timeless Style</w:t>
      </w:r>
    </w:p>
    <w:p w14:paraId="7A2272F9" w14:textId="77777777" w:rsidR="00000000" w:rsidRDefault="00EE5306">
      <w:pPr>
        <w:ind w:hanging="360"/>
        <w:jc w:val="both"/>
        <w:divId w:val="1047069168"/>
        <w:rPr>
          <w:rFonts w:eastAsia="Times New Roman"/>
        </w:rPr>
      </w:pPr>
      <w:r>
        <w:rPr>
          <w:rFonts w:eastAsia="Times New Roman"/>
          <w:color w:val="000000"/>
          <w:sz w:val="20"/>
          <w:szCs w:val="20"/>
        </w:rPr>
        <w:t>•</w:t>
      </w:r>
      <w:r>
        <w:rPr>
          <w:rFonts w:eastAsia="Times New Roman"/>
          <w:i/>
          <w:iCs/>
          <w:color w:val="000000"/>
          <w:sz w:val="20"/>
          <w:szCs w:val="20"/>
        </w:rPr>
        <w:t>Responsible Design</w:t>
      </w:r>
      <w:r>
        <w:rPr>
          <w:rFonts w:eastAsia="Times New Roman"/>
          <w:color w:val="000000"/>
          <w:sz w:val="20"/>
          <w:szCs w:val="20"/>
        </w:rPr>
        <w:t xml:space="preserve"> — We commit to embedding sustainability, inclusivity, intention, an</w:t>
      </w:r>
      <w:r>
        <w:rPr>
          <w:rFonts w:eastAsia="Times New Roman"/>
          <w:color w:val="000000"/>
          <w:sz w:val="20"/>
          <w:szCs w:val="20"/>
        </w:rPr>
        <w:t xml:space="preserve">d celebration into the products and services we design. </w:t>
      </w:r>
    </w:p>
    <w:p w14:paraId="16A1AD1A" w14:textId="77777777" w:rsidR="00000000" w:rsidRDefault="00EE5306">
      <w:pPr>
        <w:ind w:hanging="360"/>
        <w:jc w:val="both"/>
        <w:divId w:val="1520503355"/>
        <w:rPr>
          <w:rFonts w:eastAsia="Times New Roman"/>
        </w:rPr>
      </w:pPr>
      <w:r>
        <w:rPr>
          <w:rFonts w:eastAsia="Times New Roman"/>
          <w:color w:val="000000"/>
          <w:sz w:val="20"/>
          <w:szCs w:val="20"/>
        </w:rPr>
        <w:t>•</w:t>
      </w:r>
      <w:r>
        <w:rPr>
          <w:rFonts w:eastAsia="Times New Roman"/>
          <w:i/>
          <w:iCs/>
          <w:color w:val="000000"/>
          <w:sz w:val="20"/>
          <w:szCs w:val="20"/>
        </w:rPr>
        <w:t xml:space="preserve">Circularity </w:t>
      </w:r>
      <w:r>
        <w:rPr>
          <w:rFonts w:eastAsia="Times New Roman"/>
          <w:color w:val="000000"/>
          <w:sz w:val="20"/>
          <w:szCs w:val="20"/>
        </w:rPr>
        <w:t>— We are committed to a comprehensive circular strategy, whereby we will inform our product development and support more circular systems in our industry by designing out waste and pollu</w:t>
      </w:r>
      <w:r>
        <w:rPr>
          <w:rFonts w:eastAsia="Times New Roman"/>
          <w:color w:val="000000"/>
          <w:sz w:val="20"/>
          <w:szCs w:val="20"/>
        </w:rPr>
        <w:t xml:space="preserve">tion, keeping products and materials in use, and regenerating natural systems. </w:t>
      </w:r>
    </w:p>
    <w:p w14:paraId="537A6EA0" w14:textId="77777777" w:rsidR="00000000" w:rsidRDefault="00EE5306">
      <w:pPr>
        <w:ind w:hanging="360"/>
        <w:jc w:val="both"/>
        <w:divId w:val="53041339"/>
        <w:rPr>
          <w:rFonts w:eastAsia="Times New Roman"/>
        </w:rPr>
      </w:pPr>
      <w:r>
        <w:rPr>
          <w:rFonts w:eastAsia="Times New Roman"/>
          <w:color w:val="000000"/>
          <w:sz w:val="20"/>
          <w:szCs w:val="20"/>
        </w:rPr>
        <w:t>•</w:t>
      </w:r>
      <w:r>
        <w:rPr>
          <w:rFonts w:eastAsia="Times New Roman"/>
          <w:i/>
          <w:iCs/>
          <w:color w:val="000000"/>
          <w:sz w:val="20"/>
          <w:szCs w:val="20"/>
        </w:rPr>
        <w:t xml:space="preserve">Sustainable Materials </w:t>
      </w:r>
      <w:r>
        <w:rPr>
          <w:rFonts w:eastAsia="Times New Roman"/>
          <w:color w:val="000000"/>
          <w:sz w:val="20"/>
          <w:szCs w:val="20"/>
        </w:rPr>
        <w:t xml:space="preserve">— We commit to using more materials in a way that results in positive social and environmental outcomes, protects biodiversity, advances animal welfare, </w:t>
      </w:r>
      <w:r>
        <w:rPr>
          <w:rFonts w:eastAsia="Times New Roman"/>
          <w:color w:val="000000"/>
          <w:sz w:val="20"/>
          <w:szCs w:val="20"/>
        </w:rPr>
        <w:t>and continuously improves traceability of our raw materials.</w:t>
      </w:r>
    </w:p>
    <w:p w14:paraId="1AF2C219" w14:textId="77777777" w:rsidR="00000000" w:rsidRDefault="00EE5306">
      <w:pPr>
        <w:ind w:hanging="360"/>
        <w:jc w:val="both"/>
        <w:divId w:val="787119546"/>
        <w:rPr>
          <w:rFonts w:eastAsia="Times New Roman"/>
        </w:rPr>
      </w:pPr>
      <w:r>
        <w:rPr>
          <w:rFonts w:eastAsia="Times New Roman"/>
          <w:color w:val="000000"/>
          <w:sz w:val="20"/>
          <w:szCs w:val="20"/>
        </w:rPr>
        <w:t>•</w:t>
      </w:r>
      <w:r>
        <w:rPr>
          <w:rFonts w:eastAsia="Times New Roman"/>
          <w:i/>
          <w:iCs/>
          <w:color w:val="000000"/>
          <w:sz w:val="20"/>
          <w:szCs w:val="20"/>
        </w:rPr>
        <w:t xml:space="preserve">Sustainable Spaces </w:t>
      </w:r>
      <w:r>
        <w:rPr>
          <w:rFonts w:eastAsia="Times New Roman"/>
          <w:color w:val="000000"/>
          <w:sz w:val="20"/>
          <w:szCs w:val="20"/>
        </w:rPr>
        <w:t>— We are committed to designing and building Ralph Lauren stores with materials that minimize environmental impact and maximize occupant health.</w:t>
      </w:r>
    </w:p>
    <w:p w14:paraId="6E0D07FB" w14:textId="77777777" w:rsidR="00000000" w:rsidRDefault="00EE5306">
      <w:pPr>
        <w:ind w:hanging="360"/>
        <w:jc w:val="both"/>
        <w:divId w:val="2134785561"/>
        <w:rPr>
          <w:rFonts w:eastAsia="Times New Roman"/>
        </w:rPr>
      </w:pPr>
      <w:r>
        <w:rPr>
          <w:rFonts w:eastAsia="Times New Roman"/>
          <w:color w:val="000000"/>
          <w:sz w:val="20"/>
          <w:szCs w:val="20"/>
        </w:rPr>
        <w:t>•</w:t>
      </w:r>
      <w:r>
        <w:rPr>
          <w:rFonts w:eastAsia="Times New Roman"/>
          <w:i/>
          <w:iCs/>
          <w:color w:val="000000"/>
          <w:sz w:val="20"/>
          <w:szCs w:val="20"/>
        </w:rPr>
        <w:t xml:space="preserve">Chemical Management </w:t>
      </w:r>
      <w:r>
        <w:rPr>
          <w:rFonts w:eastAsia="Times New Roman"/>
          <w:color w:val="000000"/>
          <w:sz w:val="20"/>
          <w:szCs w:val="20"/>
        </w:rPr>
        <w:t>— We comm</w:t>
      </w:r>
      <w:r>
        <w:rPr>
          <w:rFonts w:eastAsia="Times New Roman"/>
          <w:color w:val="000000"/>
          <w:sz w:val="20"/>
          <w:szCs w:val="20"/>
        </w:rPr>
        <w:t xml:space="preserve">it to monitor and reduce hazardous chemical use and discharge and we are working to eliminate all hazardous chemicals from our product manufacturing. </w:t>
      </w:r>
    </w:p>
    <w:p w14:paraId="04F80C4B" w14:textId="77777777" w:rsidR="00000000" w:rsidRDefault="00EE5306">
      <w:pPr>
        <w:ind w:hanging="360"/>
        <w:jc w:val="both"/>
        <w:divId w:val="1334139394"/>
        <w:rPr>
          <w:rFonts w:eastAsia="Times New Roman"/>
        </w:rPr>
      </w:pPr>
      <w:r>
        <w:rPr>
          <w:rFonts w:eastAsia="Times New Roman"/>
          <w:b/>
          <w:bCs/>
          <w:color w:val="000000"/>
          <w:sz w:val="20"/>
          <w:szCs w:val="20"/>
        </w:rPr>
        <w:t>2.Protect the Environment</w:t>
      </w:r>
    </w:p>
    <w:p w14:paraId="3AFC4022" w14:textId="77777777" w:rsidR="00000000" w:rsidRDefault="00EE5306">
      <w:pPr>
        <w:ind w:hanging="360"/>
        <w:jc w:val="both"/>
        <w:divId w:val="713894310"/>
        <w:rPr>
          <w:rFonts w:eastAsia="Times New Roman"/>
        </w:rPr>
      </w:pPr>
      <w:r>
        <w:rPr>
          <w:rFonts w:eastAsia="Times New Roman"/>
          <w:color w:val="000000"/>
          <w:sz w:val="20"/>
          <w:szCs w:val="20"/>
        </w:rPr>
        <w:t>•</w:t>
      </w:r>
      <w:r>
        <w:rPr>
          <w:rFonts w:eastAsia="Times New Roman"/>
          <w:i/>
          <w:iCs/>
          <w:color w:val="000000"/>
          <w:sz w:val="20"/>
          <w:szCs w:val="20"/>
        </w:rPr>
        <w:t>Carbon and Energy</w:t>
      </w:r>
      <w:r>
        <w:rPr>
          <w:rFonts w:eastAsia="Times New Roman"/>
          <w:color w:val="000000"/>
          <w:sz w:val="20"/>
          <w:szCs w:val="20"/>
        </w:rPr>
        <w:t xml:space="preserve"> — We are committed to playing our part to address the climat</w:t>
      </w:r>
      <w:r>
        <w:rPr>
          <w:rFonts w:eastAsia="Times New Roman"/>
          <w:color w:val="000000"/>
          <w:sz w:val="20"/>
          <w:szCs w:val="20"/>
        </w:rPr>
        <w:t>e crisis by reducing greenhouse gas emissions across our value chain and investing in credible emission removals.</w:t>
      </w:r>
    </w:p>
    <w:p w14:paraId="7A353C9A" w14:textId="77777777" w:rsidR="00000000" w:rsidRDefault="00EE5306">
      <w:pPr>
        <w:ind w:hanging="360"/>
        <w:jc w:val="both"/>
        <w:divId w:val="1286735621"/>
        <w:rPr>
          <w:rFonts w:eastAsia="Times New Roman"/>
        </w:rPr>
      </w:pPr>
      <w:r>
        <w:rPr>
          <w:rFonts w:eastAsia="Times New Roman"/>
          <w:color w:val="000000"/>
          <w:sz w:val="20"/>
          <w:szCs w:val="20"/>
        </w:rPr>
        <w:t>•</w:t>
      </w:r>
      <w:r>
        <w:rPr>
          <w:rFonts w:eastAsia="Times New Roman"/>
          <w:i/>
          <w:iCs/>
          <w:color w:val="000000"/>
          <w:sz w:val="20"/>
          <w:szCs w:val="20"/>
        </w:rPr>
        <w:t>Water Stewardship</w:t>
      </w:r>
      <w:r>
        <w:rPr>
          <w:rFonts w:eastAsia="Times New Roman"/>
          <w:color w:val="000000"/>
          <w:sz w:val="20"/>
          <w:szCs w:val="20"/>
        </w:rPr>
        <w:t xml:space="preserve"> — We commit to reducing water consumption across our value chain and to safeguarding and preserving water resources in our </w:t>
      </w:r>
      <w:r>
        <w:rPr>
          <w:rFonts w:eastAsia="Times New Roman"/>
          <w:color w:val="000000"/>
          <w:sz w:val="20"/>
          <w:szCs w:val="20"/>
        </w:rPr>
        <w:t>communities.</w:t>
      </w:r>
    </w:p>
    <w:p w14:paraId="6762E17F" w14:textId="77777777" w:rsidR="00000000" w:rsidRDefault="00EE5306">
      <w:pPr>
        <w:ind w:hanging="360"/>
        <w:jc w:val="both"/>
        <w:divId w:val="1682514742"/>
        <w:rPr>
          <w:rFonts w:eastAsia="Times New Roman"/>
        </w:rPr>
      </w:pPr>
      <w:r>
        <w:rPr>
          <w:rFonts w:eastAsia="Times New Roman"/>
          <w:color w:val="000000"/>
          <w:sz w:val="20"/>
          <w:szCs w:val="20"/>
        </w:rPr>
        <w:t>•</w:t>
      </w:r>
      <w:r>
        <w:rPr>
          <w:rFonts w:eastAsia="Times New Roman"/>
          <w:i/>
          <w:iCs/>
          <w:color w:val="000000"/>
          <w:sz w:val="20"/>
          <w:szCs w:val="20"/>
        </w:rPr>
        <w:t>Waste Management</w:t>
      </w:r>
      <w:r>
        <w:rPr>
          <w:rFonts w:eastAsia="Times New Roman"/>
          <w:color w:val="000000"/>
          <w:sz w:val="20"/>
          <w:szCs w:val="20"/>
        </w:rPr>
        <w:t xml:space="preserve"> — We commit to integrating zero-waste principles across our business, focusing on reducing waste at its source and diverting waste from landfill through increased recycling and upcycling.</w:t>
      </w:r>
    </w:p>
    <w:p w14:paraId="5771A139" w14:textId="77777777" w:rsidR="00000000" w:rsidRDefault="00EE5306">
      <w:pPr>
        <w:ind w:hanging="360"/>
        <w:jc w:val="both"/>
        <w:divId w:val="1353066809"/>
        <w:rPr>
          <w:rFonts w:eastAsia="Times New Roman"/>
        </w:rPr>
      </w:pPr>
      <w:r>
        <w:rPr>
          <w:rFonts w:eastAsia="Times New Roman"/>
          <w:color w:val="000000"/>
          <w:sz w:val="20"/>
          <w:szCs w:val="20"/>
        </w:rPr>
        <w:t>•</w:t>
      </w:r>
      <w:r>
        <w:rPr>
          <w:rFonts w:eastAsia="Times New Roman"/>
          <w:i/>
          <w:iCs/>
          <w:color w:val="000000"/>
          <w:sz w:val="20"/>
          <w:szCs w:val="20"/>
        </w:rPr>
        <w:t xml:space="preserve">Sustainable Packaging </w:t>
      </w:r>
      <w:r>
        <w:rPr>
          <w:rFonts w:eastAsia="Times New Roman"/>
          <w:color w:val="000000"/>
          <w:sz w:val="20"/>
          <w:szCs w:val="20"/>
        </w:rPr>
        <w:t>— We commit to</w:t>
      </w:r>
      <w:r>
        <w:rPr>
          <w:rFonts w:eastAsia="Times New Roman"/>
          <w:color w:val="000000"/>
          <w:sz w:val="20"/>
          <w:szCs w:val="20"/>
        </w:rPr>
        <w:t xml:space="preserve"> our packaging material being recyclable, reusable, or sustainably sourced. </w:t>
      </w:r>
    </w:p>
    <w:p w14:paraId="3D42EA9D" w14:textId="77777777" w:rsidR="00000000" w:rsidRDefault="00EE5306">
      <w:pPr>
        <w:ind w:hanging="360"/>
        <w:jc w:val="both"/>
        <w:divId w:val="31923386"/>
        <w:rPr>
          <w:rFonts w:eastAsia="Times New Roman"/>
        </w:rPr>
      </w:pPr>
      <w:r>
        <w:rPr>
          <w:rFonts w:eastAsia="Times New Roman"/>
          <w:b/>
          <w:bCs/>
          <w:color w:val="000000"/>
          <w:sz w:val="20"/>
          <w:szCs w:val="20"/>
        </w:rPr>
        <w:t>3.Champion Better Lives</w:t>
      </w:r>
    </w:p>
    <w:p w14:paraId="4B2F59E2" w14:textId="77777777" w:rsidR="00000000" w:rsidRDefault="00EE5306">
      <w:pPr>
        <w:ind w:hanging="360"/>
        <w:jc w:val="both"/>
        <w:divId w:val="255556425"/>
        <w:rPr>
          <w:rFonts w:eastAsia="Times New Roman"/>
        </w:rPr>
      </w:pPr>
      <w:r>
        <w:rPr>
          <w:rFonts w:eastAsia="Times New Roman"/>
          <w:color w:val="000000"/>
          <w:sz w:val="20"/>
          <w:szCs w:val="20"/>
        </w:rPr>
        <w:t>•</w:t>
      </w:r>
      <w:r>
        <w:rPr>
          <w:rFonts w:eastAsia="Times New Roman"/>
          <w:i/>
          <w:iCs/>
          <w:color w:val="000000"/>
          <w:sz w:val="20"/>
          <w:szCs w:val="20"/>
        </w:rPr>
        <w:t>Diversity and Inclusion</w:t>
      </w:r>
      <w:r>
        <w:rPr>
          <w:rFonts w:eastAsia="Times New Roman"/>
          <w:color w:val="000000"/>
          <w:sz w:val="20"/>
          <w:szCs w:val="20"/>
        </w:rPr>
        <w:t xml:space="preserve"> — </w:t>
      </w:r>
      <w:r>
        <w:rPr>
          <w:rFonts w:eastAsia="Times New Roman"/>
          <w:color w:val="000000"/>
          <w:sz w:val="20"/>
          <w:szCs w:val="20"/>
        </w:rPr>
        <w:t>We unite and inspire the communities within our Company, as well as those we serve, by amplifying voices and perspectives to create a culture of belonging, equality, inclusion, and fairness for all.</w:t>
      </w:r>
    </w:p>
    <w:p w14:paraId="72980C90" w14:textId="77777777" w:rsidR="00000000" w:rsidRDefault="00EE5306">
      <w:pPr>
        <w:ind w:hanging="360"/>
        <w:jc w:val="both"/>
        <w:divId w:val="970941903"/>
        <w:rPr>
          <w:rFonts w:eastAsia="Times New Roman"/>
        </w:rPr>
      </w:pPr>
      <w:r>
        <w:rPr>
          <w:rFonts w:eastAsia="Times New Roman"/>
          <w:color w:val="000000"/>
          <w:sz w:val="20"/>
          <w:szCs w:val="20"/>
        </w:rPr>
        <w:t>•</w:t>
      </w:r>
      <w:r>
        <w:rPr>
          <w:rFonts w:eastAsia="Times New Roman"/>
          <w:i/>
          <w:iCs/>
          <w:color w:val="000000"/>
          <w:sz w:val="20"/>
          <w:szCs w:val="20"/>
        </w:rPr>
        <w:t>Community Engagement and Philanthropy</w:t>
      </w:r>
      <w:r>
        <w:rPr>
          <w:rFonts w:eastAsia="Times New Roman"/>
          <w:color w:val="000000"/>
          <w:sz w:val="20"/>
          <w:szCs w:val="20"/>
        </w:rPr>
        <w:t xml:space="preserve"> — We commit to mak</w:t>
      </w:r>
      <w:r>
        <w:rPr>
          <w:rFonts w:eastAsia="Times New Roman"/>
          <w:color w:val="000000"/>
          <w:sz w:val="20"/>
          <w:szCs w:val="20"/>
        </w:rPr>
        <w:t>ing a meaningful difference in our communities through our global employee volunteerism and our dedication to social and environmental causes.</w:t>
      </w:r>
    </w:p>
    <w:p w14:paraId="4E26EBDE" w14:textId="77777777" w:rsidR="00000000" w:rsidRDefault="00EE5306">
      <w:pPr>
        <w:ind w:hanging="360"/>
        <w:jc w:val="both"/>
        <w:divId w:val="1696344687"/>
        <w:rPr>
          <w:rFonts w:eastAsia="Times New Roman"/>
        </w:rPr>
      </w:pPr>
      <w:r>
        <w:rPr>
          <w:rFonts w:eastAsia="Times New Roman"/>
          <w:color w:val="000000"/>
          <w:sz w:val="20"/>
          <w:szCs w:val="20"/>
        </w:rPr>
        <w:t>•</w:t>
      </w:r>
      <w:r>
        <w:rPr>
          <w:rFonts w:eastAsia="Times New Roman"/>
          <w:i/>
          <w:iCs/>
          <w:color w:val="000000"/>
          <w:sz w:val="20"/>
          <w:szCs w:val="20"/>
        </w:rPr>
        <w:t>Worker Empowerment and Well-being</w:t>
      </w:r>
      <w:r>
        <w:rPr>
          <w:rFonts w:eastAsia="Times New Roman"/>
          <w:color w:val="000000"/>
          <w:sz w:val="20"/>
          <w:szCs w:val="20"/>
        </w:rPr>
        <w:t xml:space="preserve"> — We are committed to conducting our global operations ethically and with resp</w:t>
      </w:r>
      <w:r>
        <w:rPr>
          <w:rFonts w:eastAsia="Times New Roman"/>
          <w:color w:val="000000"/>
          <w:sz w:val="20"/>
          <w:szCs w:val="20"/>
        </w:rPr>
        <w:t xml:space="preserve">ect for the dignity of all people who make our products. We aim to enrich the quality of work and life for everyone in our supply chain, ensuring they all have the opportunity to reach their full potential in a safe and inclusive environment. </w:t>
      </w:r>
    </w:p>
    <w:p w14:paraId="463391B8" w14:textId="77777777" w:rsidR="00000000" w:rsidRDefault="00EE5306">
      <w:pPr>
        <w:ind w:firstLine="540"/>
        <w:jc w:val="both"/>
        <w:divId w:val="175199328"/>
        <w:rPr>
          <w:rFonts w:eastAsia="Times New Roman"/>
        </w:rPr>
      </w:pPr>
      <w:r>
        <w:rPr>
          <w:rFonts w:eastAsia="Times New Roman"/>
          <w:color w:val="000000"/>
          <w:sz w:val="20"/>
          <w:szCs w:val="20"/>
        </w:rPr>
        <w:t>Additional i</w:t>
      </w:r>
      <w:r>
        <w:rPr>
          <w:rFonts w:eastAsia="Times New Roman"/>
          <w:color w:val="000000"/>
          <w:sz w:val="20"/>
          <w:szCs w:val="20"/>
        </w:rPr>
        <w:t>nformation relating to Design the Change can be found in our annual sustainability reports, which is available at our website at http://investor.ralphlauren.com under the caption "Global Citizenship &amp; Sustainability Report." Our 2021 Global Citizenship &amp; S</w:t>
      </w:r>
      <w:r>
        <w:rPr>
          <w:rFonts w:eastAsia="Times New Roman"/>
          <w:color w:val="000000"/>
          <w:sz w:val="20"/>
          <w:szCs w:val="20"/>
        </w:rPr>
        <w:t>ustainability Report is expected to be published in June 2021. The content of our sustainability reports is not incorporated by reference into this Annual Report on Form 10-K or in any other report or document we file with the SEC.</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9CEFD7E" w14:textId="77777777">
        <w:trPr>
          <w:divId w:val="835850902"/>
          <w:jc w:val="center"/>
        </w:trPr>
        <w:tc>
          <w:tcPr>
            <w:tcW w:w="50" w:type="pct"/>
            <w:vAlign w:val="center"/>
            <w:hideMark/>
          </w:tcPr>
          <w:p w14:paraId="436A132A" w14:textId="77777777" w:rsidR="00000000" w:rsidRDefault="00EE5306">
            <w:pPr>
              <w:ind w:firstLine="540"/>
              <w:jc w:val="both"/>
              <w:rPr>
                <w:rFonts w:eastAsia="Times New Roman"/>
              </w:rPr>
            </w:pPr>
          </w:p>
        </w:tc>
        <w:tc>
          <w:tcPr>
            <w:tcW w:w="1699" w:type="pct"/>
            <w:vAlign w:val="center"/>
            <w:hideMark/>
          </w:tcPr>
          <w:p w14:paraId="576E0B7F" w14:textId="77777777" w:rsidR="00000000" w:rsidRDefault="00EE5306">
            <w:pPr>
              <w:spacing w:after="100"/>
              <w:rPr>
                <w:rFonts w:eastAsia="Times New Roman"/>
                <w:sz w:val="20"/>
                <w:szCs w:val="20"/>
              </w:rPr>
            </w:pPr>
          </w:p>
        </w:tc>
        <w:tc>
          <w:tcPr>
            <w:tcW w:w="5" w:type="pct"/>
            <w:vAlign w:val="center"/>
            <w:hideMark/>
          </w:tcPr>
          <w:p w14:paraId="33BBEDCA" w14:textId="77777777" w:rsidR="00000000" w:rsidRDefault="00EE5306">
            <w:pPr>
              <w:spacing w:after="100"/>
              <w:rPr>
                <w:rFonts w:eastAsia="Times New Roman"/>
                <w:sz w:val="20"/>
                <w:szCs w:val="20"/>
              </w:rPr>
            </w:pPr>
          </w:p>
        </w:tc>
        <w:tc>
          <w:tcPr>
            <w:tcW w:w="50" w:type="pct"/>
            <w:vAlign w:val="center"/>
            <w:hideMark/>
          </w:tcPr>
          <w:p w14:paraId="4B9E3261" w14:textId="77777777" w:rsidR="00000000" w:rsidRDefault="00EE5306">
            <w:pPr>
              <w:spacing w:after="100"/>
              <w:rPr>
                <w:rFonts w:eastAsia="Times New Roman"/>
                <w:sz w:val="20"/>
                <w:szCs w:val="20"/>
              </w:rPr>
            </w:pPr>
          </w:p>
        </w:tc>
        <w:tc>
          <w:tcPr>
            <w:tcW w:w="1436" w:type="pct"/>
            <w:vAlign w:val="center"/>
            <w:hideMark/>
          </w:tcPr>
          <w:p w14:paraId="0EFF7E78" w14:textId="77777777" w:rsidR="00000000" w:rsidRDefault="00EE5306">
            <w:pPr>
              <w:spacing w:after="100"/>
              <w:rPr>
                <w:rFonts w:eastAsia="Times New Roman"/>
                <w:sz w:val="20"/>
                <w:szCs w:val="20"/>
              </w:rPr>
            </w:pPr>
          </w:p>
        </w:tc>
        <w:tc>
          <w:tcPr>
            <w:tcW w:w="5" w:type="pct"/>
            <w:vAlign w:val="center"/>
            <w:hideMark/>
          </w:tcPr>
          <w:p w14:paraId="7AA38327" w14:textId="77777777" w:rsidR="00000000" w:rsidRDefault="00EE5306">
            <w:pPr>
              <w:spacing w:after="100"/>
              <w:rPr>
                <w:rFonts w:eastAsia="Times New Roman"/>
                <w:sz w:val="20"/>
                <w:szCs w:val="20"/>
              </w:rPr>
            </w:pPr>
          </w:p>
        </w:tc>
        <w:tc>
          <w:tcPr>
            <w:tcW w:w="50" w:type="pct"/>
            <w:vAlign w:val="center"/>
            <w:hideMark/>
          </w:tcPr>
          <w:p w14:paraId="6DEB6CE5" w14:textId="77777777" w:rsidR="00000000" w:rsidRDefault="00EE5306">
            <w:pPr>
              <w:spacing w:after="100"/>
              <w:rPr>
                <w:rFonts w:eastAsia="Times New Roman"/>
                <w:sz w:val="20"/>
                <w:szCs w:val="20"/>
              </w:rPr>
            </w:pPr>
          </w:p>
        </w:tc>
        <w:tc>
          <w:tcPr>
            <w:tcW w:w="1699" w:type="pct"/>
            <w:vAlign w:val="center"/>
            <w:hideMark/>
          </w:tcPr>
          <w:p w14:paraId="7BBD8599" w14:textId="77777777" w:rsidR="00000000" w:rsidRDefault="00EE5306">
            <w:pPr>
              <w:spacing w:after="100"/>
              <w:rPr>
                <w:rFonts w:eastAsia="Times New Roman"/>
                <w:sz w:val="20"/>
                <w:szCs w:val="20"/>
              </w:rPr>
            </w:pPr>
          </w:p>
        </w:tc>
        <w:tc>
          <w:tcPr>
            <w:tcW w:w="5" w:type="pct"/>
            <w:vAlign w:val="center"/>
            <w:hideMark/>
          </w:tcPr>
          <w:p w14:paraId="30BB3AE4" w14:textId="77777777" w:rsidR="00000000" w:rsidRDefault="00EE5306">
            <w:pPr>
              <w:spacing w:after="100"/>
              <w:rPr>
                <w:rFonts w:eastAsia="Times New Roman"/>
                <w:sz w:val="20"/>
                <w:szCs w:val="20"/>
              </w:rPr>
            </w:pPr>
          </w:p>
        </w:tc>
      </w:tr>
      <w:tr w:rsidR="00000000" w14:paraId="0449F153" w14:textId="77777777">
        <w:trPr>
          <w:divId w:val="835850902"/>
          <w:jc w:val="center"/>
        </w:trPr>
        <w:tc>
          <w:tcPr>
            <w:tcW w:w="0" w:type="auto"/>
            <w:gridSpan w:val="3"/>
            <w:tcMar>
              <w:top w:w="0" w:type="dxa"/>
              <w:left w:w="20" w:type="dxa"/>
              <w:bottom w:w="0" w:type="dxa"/>
              <w:right w:w="20" w:type="dxa"/>
            </w:tcMar>
            <w:vAlign w:val="center"/>
            <w:hideMark/>
          </w:tcPr>
          <w:p w14:paraId="34DF9B3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1539CE0" w14:textId="77777777" w:rsidR="00000000" w:rsidRDefault="00EE5306">
            <w:pPr>
              <w:spacing w:after="100"/>
              <w:jc w:val="center"/>
              <w:rPr>
                <w:rFonts w:eastAsia="Times New Roman"/>
              </w:rPr>
            </w:pPr>
            <w:r>
              <w:rPr>
                <w:rFonts w:eastAsia="Times New Roman"/>
                <w:color w:val="000000"/>
                <w:sz w:val="20"/>
                <w:szCs w:val="20"/>
              </w:rPr>
              <w:t>5</w:t>
            </w:r>
          </w:p>
        </w:tc>
        <w:tc>
          <w:tcPr>
            <w:tcW w:w="0" w:type="auto"/>
            <w:gridSpan w:val="3"/>
            <w:tcMar>
              <w:top w:w="0" w:type="dxa"/>
              <w:left w:w="20" w:type="dxa"/>
              <w:bottom w:w="0" w:type="dxa"/>
              <w:right w:w="20" w:type="dxa"/>
            </w:tcMar>
            <w:vAlign w:val="center"/>
            <w:hideMark/>
          </w:tcPr>
          <w:p w14:paraId="7FB600CF" w14:textId="77777777" w:rsidR="00000000" w:rsidRDefault="00EE5306">
            <w:pPr>
              <w:spacing w:after="100"/>
              <w:jc w:val="center"/>
              <w:rPr>
                <w:rFonts w:eastAsia="Times New Roman"/>
              </w:rPr>
            </w:pPr>
          </w:p>
        </w:tc>
      </w:tr>
    </w:tbl>
    <w:p w14:paraId="23BBC05D" w14:textId="77777777" w:rsidR="00000000" w:rsidRDefault="00EE5306">
      <w:pPr>
        <w:rPr>
          <w:rFonts w:eastAsia="Times New Roman"/>
        </w:rPr>
      </w:pPr>
      <w:r>
        <w:rPr>
          <w:rFonts w:eastAsia="Times New Roman"/>
        </w:rPr>
        <w:pict w14:anchorId="6D69C81C">
          <v:rect id="_x0000_i1031" style="width:0;height:1.5pt" o:hralign="center" o:hrstd="t" o:hr="t" fillcolor="#a0a0a0" stroked="f"/>
        </w:pict>
      </w:r>
    </w:p>
    <w:p w14:paraId="74CF8700" w14:textId="77777777" w:rsidR="00000000" w:rsidRDefault="00EE5306">
      <w:pPr>
        <w:divId w:val="2109810749"/>
        <w:rPr>
          <w:rFonts w:eastAsia="Times New Roman"/>
        </w:rPr>
      </w:pPr>
    </w:p>
    <w:p w14:paraId="587AF552" w14:textId="77777777" w:rsidR="00000000" w:rsidRDefault="00EE5306">
      <w:pPr>
        <w:jc w:val="center"/>
        <w:divId w:val="867571281"/>
        <w:rPr>
          <w:rFonts w:eastAsia="Times New Roman"/>
        </w:rPr>
      </w:pPr>
      <w:r>
        <w:rPr>
          <w:rFonts w:eastAsia="Times New Roman"/>
          <w:b/>
          <w:bCs/>
          <w:color w:val="000000"/>
          <w:sz w:val="20"/>
          <w:szCs w:val="20"/>
        </w:rPr>
        <w:t>Recent Developments</w:t>
      </w:r>
    </w:p>
    <w:p w14:paraId="00224168" w14:textId="77777777" w:rsidR="00000000" w:rsidRDefault="00EE5306">
      <w:pPr>
        <w:ind w:firstLine="360"/>
        <w:jc w:val="both"/>
        <w:divId w:val="1089038192"/>
        <w:rPr>
          <w:rFonts w:eastAsia="Times New Roman"/>
        </w:rPr>
      </w:pPr>
      <w:r>
        <w:rPr>
          <w:rFonts w:eastAsia="Times New Roman"/>
          <w:b/>
          <w:bCs/>
          <w:i/>
          <w:iCs/>
          <w:color w:val="000000"/>
          <w:sz w:val="20"/>
          <w:szCs w:val="20"/>
        </w:rPr>
        <w:t>COVID-19 Pandemic</w:t>
      </w:r>
    </w:p>
    <w:p w14:paraId="3D33D480" w14:textId="77777777" w:rsidR="00000000" w:rsidRDefault="00EE5306">
      <w:pPr>
        <w:ind w:firstLine="540"/>
        <w:jc w:val="both"/>
        <w:divId w:val="1700667010"/>
        <w:rPr>
          <w:rFonts w:eastAsia="Times New Roman"/>
        </w:rPr>
      </w:pPr>
      <w:r>
        <w:rPr>
          <w:rFonts w:eastAsia="Times New Roman"/>
          <w:color w:val="000000"/>
          <w:sz w:val="20"/>
          <w:szCs w:val="20"/>
        </w:rPr>
        <w:t>Beginning in the fourth quarter of Fiscal 2020, a novel strain of coronavirus commonly referred to as COVID-19 emerged and spread rapidly across the globe, including throughout all major geographies in which we operate (North America, Europe, and Asia), re</w:t>
      </w:r>
      <w:r>
        <w:rPr>
          <w:rFonts w:eastAsia="Times New Roman"/>
          <w:color w:val="000000"/>
          <w:sz w:val="20"/>
          <w:szCs w:val="20"/>
        </w:rPr>
        <w:t>sulting in adverse economic conditions and business disruptions, as well as significant volatility in global financial markets. Governments worldwide have imposed varying degrees of preventative and protective actions, such as temporary travel bans, forced</w:t>
      </w:r>
      <w:r>
        <w:rPr>
          <w:rFonts w:eastAsia="Times New Roman"/>
          <w:color w:val="000000"/>
          <w:sz w:val="20"/>
          <w:szCs w:val="20"/>
        </w:rPr>
        <w:t xml:space="preserve"> business closures, and stay-at-home orders, all in an effort to reduce the spread of the virus. Such factors, among others, have resulted in a significant decline in retail traffic, tourism, and consumer spending on discretionary items. Additionally, duri</w:t>
      </w:r>
      <w:r>
        <w:rPr>
          <w:rFonts w:eastAsia="Times New Roman"/>
          <w:color w:val="000000"/>
          <w:sz w:val="20"/>
          <w:szCs w:val="20"/>
        </w:rPr>
        <w:t>ng this period of uncertainty, companies across a wide array of industries have implemented various initiatives to reduce operating expenses and preserve cash balances, including work furloughs, reduced pay, and severance actions, which could lower consume</w:t>
      </w:r>
      <w:r>
        <w:rPr>
          <w:rFonts w:eastAsia="Times New Roman"/>
          <w:color w:val="000000"/>
          <w:sz w:val="20"/>
          <w:szCs w:val="20"/>
        </w:rPr>
        <w:t>rs' disposable income levels or willingness to purchase discretionary items. Further, even after such government restrictions and company initiatives are lifted, consumer behavior, spending levels, and/or shopping preferences, such as willingness to congre</w:t>
      </w:r>
      <w:r>
        <w:rPr>
          <w:rFonts w:eastAsia="Times New Roman"/>
          <w:color w:val="000000"/>
          <w:sz w:val="20"/>
          <w:szCs w:val="20"/>
        </w:rPr>
        <w:t>gate in indoor shopping centers or other populated locations, could be adversely affected.</w:t>
      </w:r>
    </w:p>
    <w:p w14:paraId="086C024E" w14:textId="77777777" w:rsidR="00000000" w:rsidRDefault="00EE5306">
      <w:pPr>
        <w:ind w:firstLine="540"/>
        <w:jc w:val="both"/>
        <w:divId w:val="1736590740"/>
        <w:rPr>
          <w:rFonts w:eastAsia="Times New Roman"/>
        </w:rPr>
      </w:pPr>
      <w:r>
        <w:rPr>
          <w:rFonts w:eastAsia="Times New Roman"/>
          <w:color w:val="000000"/>
          <w:sz w:val="20"/>
          <w:szCs w:val="20"/>
        </w:rPr>
        <w:t>As a result of the COVID-19 pandemic, we have experienced varying degrees of business disruptions and periods of closure of our stores, distribution centers, and cor</w:t>
      </w:r>
      <w:r>
        <w:rPr>
          <w:rFonts w:eastAsia="Times New Roman"/>
          <w:color w:val="000000"/>
          <w:sz w:val="20"/>
          <w:szCs w:val="20"/>
        </w:rPr>
        <w:t>porate facilities, as have our wholesale customers, licensing partners, suppliers, and vendors. During the first quarter of Fiscal 2021, the majority of our stores in key markets were closed for an average of 8 to 10 weeks due to government-mandated lockdo</w:t>
      </w:r>
      <w:r>
        <w:rPr>
          <w:rFonts w:eastAsia="Times New Roman"/>
          <w:color w:val="000000"/>
          <w:sz w:val="20"/>
          <w:szCs w:val="20"/>
        </w:rPr>
        <w:t>wns and other restrictions, resulting in significant adverse impacts to our operating results. Resurgences in certain parts of the world resulted in further business disruptions periodically throughout Fiscal 2021, most notably in Europe where a significan</w:t>
      </w:r>
      <w:r>
        <w:rPr>
          <w:rFonts w:eastAsia="Times New Roman"/>
          <w:color w:val="000000"/>
          <w:sz w:val="20"/>
          <w:szCs w:val="20"/>
        </w:rPr>
        <w:t>t number of our stores were closed for approximately two to three months during the second half of Fiscal 2021, including during the holiday period, due to government-mandated lockdowns and other restrictions. Such disruptions have continued into the first</w:t>
      </w:r>
      <w:r>
        <w:rPr>
          <w:rFonts w:eastAsia="Times New Roman"/>
          <w:color w:val="000000"/>
          <w:sz w:val="20"/>
          <w:szCs w:val="20"/>
        </w:rPr>
        <w:t xml:space="preserve"> quarter of Fiscal 2022, impacting not only our businesses in Europe but also in other regions of the world (notably our retail operations in Japan and our sourcing operations in India). Further, the majority of our stores that are able to remain open have</w:t>
      </w:r>
      <w:r>
        <w:rPr>
          <w:rFonts w:eastAsia="Times New Roman"/>
          <w:color w:val="000000"/>
          <w:sz w:val="20"/>
          <w:szCs w:val="20"/>
        </w:rPr>
        <w:t xml:space="preserve"> periodically been subject to limited operating hours and/or customer capacity levels in accordance with local health guidelines, with traffic remaining challenged. Our wholesale and licensing businesses have also been adversely affected, particularly in N</w:t>
      </w:r>
      <w:r>
        <w:rPr>
          <w:rFonts w:eastAsia="Times New Roman"/>
          <w:color w:val="000000"/>
          <w:sz w:val="20"/>
          <w:szCs w:val="20"/>
        </w:rPr>
        <w:t xml:space="preserve">orth America and Europe, as a result of store closures and lower traffic and consumer demand. </w:t>
      </w:r>
    </w:p>
    <w:p w14:paraId="32A116FF" w14:textId="77777777" w:rsidR="00000000" w:rsidRDefault="00EE5306">
      <w:pPr>
        <w:ind w:firstLine="540"/>
        <w:jc w:val="both"/>
        <w:divId w:val="1286154546"/>
        <w:rPr>
          <w:rFonts w:eastAsia="Times New Roman"/>
        </w:rPr>
      </w:pPr>
      <w:r>
        <w:rPr>
          <w:rFonts w:eastAsia="Times New Roman"/>
          <w:color w:val="000000"/>
          <w:sz w:val="20"/>
          <w:szCs w:val="20"/>
        </w:rPr>
        <w:t>Throughout the pandemic, our priority has been to ensure the safety and well-being of our employees, customers, and the communities in which we operate around th</w:t>
      </w:r>
      <w:r>
        <w:rPr>
          <w:rFonts w:eastAsia="Times New Roman"/>
          <w:color w:val="000000"/>
          <w:sz w:val="20"/>
          <w:szCs w:val="20"/>
        </w:rPr>
        <w:t>e world. We continue to consider the guidance of local governments and global health organizations and have implemented new health and safety protocols in our stores, distribution centers, and corporate facilities. We have also taken various preemptive act</w:t>
      </w:r>
      <w:r>
        <w:rPr>
          <w:rFonts w:eastAsia="Times New Roman"/>
          <w:color w:val="000000"/>
          <w:sz w:val="20"/>
          <w:szCs w:val="20"/>
        </w:rPr>
        <w:t>ions to preserve cash and strengthen our liquidity position, including:</w:t>
      </w:r>
    </w:p>
    <w:p w14:paraId="68FBF200" w14:textId="77777777" w:rsidR="00000000" w:rsidRDefault="00EE5306">
      <w:pPr>
        <w:ind w:hanging="180"/>
        <w:jc w:val="both"/>
        <w:divId w:val="54745146"/>
        <w:rPr>
          <w:rFonts w:eastAsia="Times New Roman"/>
        </w:rPr>
      </w:pPr>
      <w:r>
        <w:rPr>
          <w:rFonts w:eastAsia="Times New Roman"/>
          <w:color w:val="000000"/>
          <w:sz w:val="20"/>
          <w:szCs w:val="20"/>
        </w:rPr>
        <w:t>•amending our Global Credit Facility in May 2020 to temporarily waive our leverage ratio requirement (see Note 11 to the accompanying consolidated financial statements);</w:t>
      </w:r>
    </w:p>
    <w:p w14:paraId="247FE123" w14:textId="77777777" w:rsidR="00000000" w:rsidRDefault="00EE5306">
      <w:pPr>
        <w:ind w:hanging="180"/>
        <w:jc w:val="both"/>
        <w:divId w:val="1062168673"/>
        <w:rPr>
          <w:rFonts w:eastAsia="Times New Roman"/>
        </w:rPr>
      </w:pPr>
      <w:r>
        <w:rPr>
          <w:rFonts w:eastAsia="Times New Roman"/>
          <w:color w:val="000000"/>
          <w:sz w:val="20"/>
          <w:szCs w:val="20"/>
        </w:rPr>
        <w:t>•</w:t>
      </w:r>
      <w:r>
        <w:rPr>
          <w:rFonts w:eastAsia="Times New Roman"/>
          <w:color w:val="000000"/>
          <w:sz w:val="20"/>
          <w:szCs w:val="20"/>
        </w:rPr>
        <w:t>issuing $1.250 billion of unsecured senior notes in June 2020, the proceeds of which are being used for general corporate purposes, including repayment of certain of our previously outstanding borrowings (see Note 11 to the accompanying consolidated financ</w:t>
      </w:r>
      <w:r>
        <w:rPr>
          <w:rFonts w:eastAsia="Times New Roman"/>
          <w:color w:val="000000"/>
          <w:sz w:val="20"/>
          <w:szCs w:val="20"/>
        </w:rPr>
        <w:t>ial statements);</w:t>
      </w:r>
    </w:p>
    <w:p w14:paraId="58ECCE36" w14:textId="77777777" w:rsidR="00000000" w:rsidRDefault="00EE5306">
      <w:pPr>
        <w:ind w:hanging="180"/>
        <w:jc w:val="both"/>
        <w:divId w:val="2135824836"/>
        <w:rPr>
          <w:rFonts w:eastAsia="Times New Roman"/>
        </w:rPr>
      </w:pPr>
      <w:r>
        <w:rPr>
          <w:rFonts w:eastAsia="Times New Roman"/>
          <w:color w:val="000000"/>
          <w:sz w:val="20"/>
          <w:szCs w:val="20"/>
        </w:rPr>
        <w:t>•temporarily suspending our quarterly cash dividend and common stock repurchase program, effective beginning in the first quarter of Fiscal 2021 (see Note 16 to the accompanying consolidated financial statements);</w:t>
      </w:r>
    </w:p>
    <w:p w14:paraId="0FAFC6EF" w14:textId="77777777" w:rsidR="00000000" w:rsidRDefault="00EE5306">
      <w:pPr>
        <w:ind w:hanging="180"/>
        <w:jc w:val="both"/>
        <w:divId w:val="24910025"/>
        <w:rPr>
          <w:rFonts w:eastAsia="Times New Roman"/>
        </w:rPr>
      </w:pPr>
      <w:r>
        <w:rPr>
          <w:rFonts w:eastAsia="Times New Roman"/>
          <w:color w:val="000000"/>
          <w:sz w:val="20"/>
          <w:szCs w:val="20"/>
        </w:rPr>
        <w:t>•temporarily reducing the</w:t>
      </w:r>
      <w:r>
        <w:rPr>
          <w:rFonts w:eastAsia="Times New Roman"/>
          <w:color w:val="000000"/>
          <w:sz w:val="20"/>
          <w:szCs w:val="20"/>
        </w:rPr>
        <w:t xml:space="preserve"> base compensation of our executives and senior management team, as well as our Board of Directors, for the first quarter of Fiscal 2021;</w:t>
      </w:r>
    </w:p>
    <w:p w14:paraId="656F8614" w14:textId="77777777" w:rsidR="00000000" w:rsidRDefault="00EE5306">
      <w:pPr>
        <w:ind w:hanging="180"/>
        <w:jc w:val="both"/>
        <w:divId w:val="1894736706"/>
        <w:rPr>
          <w:rFonts w:eastAsia="Times New Roman"/>
        </w:rPr>
      </w:pPr>
      <w:r>
        <w:rPr>
          <w:rFonts w:eastAsia="Times New Roman"/>
          <w:color w:val="000000"/>
          <w:sz w:val="20"/>
          <w:szCs w:val="20"/>
        </w:rPr>
        <w:t>•furloughing or reducing work hours for a significant portion of our employees during the first half of Fiscal 2021;</w:t>
      </w:r>
    </w:p>
    <w:p w14:paraId="0277A382" w14:textId="77777777" w:rsidR="00000000" w:rsidRDefault="00EE5306">
      <w:pPr>
        <w:ind w:hanging="180"/>
        <w:jc w:val="both"/>
        <w:divId w:val="2115787296"/>
        <w:rPr>
          <w:rFonts w:eastAsia="Times New Roman"/>
        </w:rPr>
      </w:pPr>
      <w:r>
        <w:rPr>
          <w:rFonts w:eastAsia="Times New Roman"/>
          <w:color w:val="000000"/>
          <w:sz w:val="20"/>
          <w:szCs w:val="20"/>
        </w:rPr>
        <w:t>•</w:t>
      </w:r>
      <w:r>
        <w:rPr>
          <w:rFonts w:eastAsia="Times New Roman"/>
          <w:color w:val="000000"/>
          <w:sz w:val="20"/>
          <w:szCs w:val="20"/>
        </w:rPr>
        <w:t>carefully managing our expense structure across all key areas of spend, including aligning inventory levels with anticipated demand, negotiating rent abatements with certain of our landlords, and postponing non-critical capital build-out and other investme</w:t>
      </w:r>
      <w:r>
        <w:rPr>
          <w:rFonts w:eastAsia="Times New Roman"/>
          <w:color w:val="000000"/>
          <w:sz w:val="20"/>
          <w:szCs w:val="20"/>
        </w:rPr>
        <w:t>nts and activities;</w:t>
      </w:r>
    </w:p>
    <w:p w14:paraId="42C85777" w14:textId="77777777" w:rsidR="00000000" w:rsidRDefault="00EE5306">
      <w:pPr>
        <w:ind w:hanging="180"/>
        <w:jc w:val="both"/>
        <w:divId w:val="471018299"/>
        <w:rPr>
          <w:rFonts w:eastAsia="Times New Roman"/>
        </w:rPr>
      </w:pPr>
      <w:r>
        <w:rPr>
          <w:rFonts w:eastAsia="Times New Roman"/>
          <w:color w:val="000000"/>
          <w:sz w:val="20"/>
          <w:szCs w:val="20"/>
        </w:rPr>
        <w:t>•pursuing relevant government subsidy programs related to COVID-19 business disruptions; and</w:t>
      </w:r>
    </w:p>
    <w:p w14:paraId="1AD054A4" w14:textId="77777777" w:rsidR="00000000" w:rsidRDefault="00EE5306">
      <w:pPr>
        <w:ind w:hanging="180"/>
        <w:jc w:val="both"/>
        <w:divId w:val="286592168"/>
        <w:rPr>
          <w:rFonts w:eastAsia="Times New Roman"/>
        </w:rPr>
      </w:pPr>
      <w:r>
        <w:rPr>
          <w:rFonts w:eastAsia="Times New Roman"/>
          <w:color w:val="000000"/>
          <w:sz w:val="20"/>
          <w:szCs w:val="20"/>
        </w:rPr>
        <w:t>•improving upon our cash conversion cycle largely driven by our accounts receivable collection efforts and extended vendor payment terms.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2EEFE0A" w14:textId="77777777">
        <w:trPr>
          <w:divId w:val="337971388"/>
          <w:jc w:val="center"/>
        </w:trPr>
        <w:tc>
          <w:tcPr>
            <w:tcW w:w="50" w:type="pct"/>
            <w:vAlign w:val="center"/>
            <w:hideMark/>
          </w:tcPr>
          <w:p w14:paraId="454BCAFB" w14:textId="77777777" w:rsidR="00000000" w:rsidRDefault="00EE5306">
            <w:pPr>
              <w:ind w:hanging="180"/>
              <w:jc w:val="both"/>
              <w:rPr>
                <w:rFonts w:eastAsia="Times New Roman"/>
              </w:rPr>
            </w:pPr>
          </w:p>
        </w:tc>
        <w:tc>
          <w:tcPr>
            <w:tcW w:w="1699" w:type="pct"/>
            <w:vAlign w:val="center"/>
            <w:hideMark/>
          </w:tcPr>
          <w:p w14:paraId="07B6C9E4" w14:textId="77777777" w:rsidR="00000000" w:rsidRDefault="00EE5306">
            <w:pPr>
              <w:spacing w:after="100"/>
              <w:rPr>
                <w:rFonts w:eastAsia="Times New Roman"/>
                <w:sz w:val="20"/>
                <w:szCs w:val="20"/>
              </w:rPr>
            </w:pPr>
          </w:p>
        </w:tc>
        <w:tc>
          <w:tcPr>
            <w:tcW w:w="5" w:type="pct"/>
            <w:vAlign w:val="center"/>
            <w:hideMark/>
          </w:tcPr>
          <w:p w14:paraId="0A6BE6FB" w14:textId="77777777" w:rsidR="00000000" w:rsidRDefault="00EE5306">
            <w:pPr>
              <w:spacing w:after="100"/>
              <w:rPr>
                <w:rFonts w:eastAsia="Times New Roman"/>
                <w:sz w:val="20"/>
                <w:szCs w:val="20"/>
              </w:rPr>
            </w:pPr>
          </w:p>
        </w:tc>
        <w:tc>
          <w:tcPr>
            <w:tcW w:w="50" w:type="pct"/>
            <w:vAlign w:val="center"/>
            <w:hideMark/>
          </w:tcPr>
          <w:p w14:paraId="6888D2AB" w14:textId="77777777" w:rsidR="00000000" w:rsidRDefault="00EE5306">
            <w:pPr>
              <w:spacing w:after="100"/>
              <w:rPr>
                <w:rFonts w:eastAsia="Times New Roman"/>
                <w:sz w:val="20"/>
                <w:szCs w:val="20"/>
              </w:rPr>
            </w:pPr>
          </w:p>
        </w:tc>
        <w:tc>
          <w:tcPr>
            <w:tcW w:w="1436" w:type="pct"/>
            <w:vAlign w:val="center"/>
            <w:hideMark/>
          </w:tcPr>
          <w:p w14:paraId="6406DFC2" w14:textId="77777777" w:rsidR="00000000" w:rsidRDefault="00EE5306">
            <w:pPr>
              <w:spacing w:after="100"/>
              <w:rPr>
                <w:rFonts w:eastAsia="Times New Roman"/>
                <w:sz w:val="20"/>
                <w:szCs w:val="20"/>
              </w:rPr>
            </w:pPr>
          </w:p>
        </w:tc>
        <w:tc>
          <w:tcPr>
            <w:tcW w:w="5" w:type="pct"/>
            <w:vAlign w:val="center"/>
            <w:hideMark/>
          </w:tcPr>
          <w:p w14:paraId="76C2F60E" w14:textId="77777777" w:rsidR="00000000" w:rsidRDefault="00EE5306">
            <w:pPr>
              <w:spacing w:after="100"/>
              <w:rPr>
                <w:rFonts w:eastAsia="Times New Roman"/>
                <w:sz w:val="20"/>
                <w:szCs w:val="20"/>
              </w:rPr>
            </w:pPr>
          </w:p>
        </w:tc>
        <w:tc>
          <w:tcPr>
            <w:tcW w:w="50" w:type="pct"/>
            <w:vAlign w:val="center"/>
            <w:hideMark/>
          </w:tcPr>
          <w:p w14:paraId="30667C76" w14:textId="77777777" w:rsidR="00000000" w:rsidRDefault="00EE5306">
            <w:pPr>
              <w:spacing w:after="100"/>
              <w:rPr>
                <w:rFonts w:eastAsia="Times New Roman"/>
                <w:sz w:val="20"/>
                <w:szCs w:val="20"/>
              </w:rPr>
            </w:pPr>
          </w:p>
        </w:tc>
        <w:tc>
          <w:tcPr>
            <w:tcW w:w="1699" w:type="pct"/>
            <w:vAlign w:val="center"/>
            <w:hideMark/>
          </w:tcPr>
          <w:p w14:paraId="66C17AA1" w14:textId="77777777" w:rsidR="00000000" w:rsidRDefault="00EE5306">
            <w:pPr>
              <w:spacing w:after="100"/>
              <w:rPr>
                <w:rFonts w:eastAsia="Times New Roman"/>
                <w:sz w:val="20"/>
                <w:szCs w:val="20"/>
              </w:rPr>
            </w:pPr>
          </w:p>
        </w:tc>
        <w:tc>
          <w:tcPr>
            <w:tcW w:w="5" w:type="pct"/>
            <w:vAlign w:val="center"/>
            <w:hideMark/>
          </w:tcPr>
          <w:p w14:paraId="278A626F" w14:textId="77777777" w:rsidR="00000000" w:rsidRDefault="00EE5306">
            <w:pPr>
              <w:spacing w:after="100"/>
              <w:rPr>
                <w:rFonts w:eastAsia="Times New Roman"/>
                <w:sz w:val="20"/>
                <w:szCs w:val="20"/>
              </w:rPr>
            </w:pPr>
          </w:p>
        </w:tc>
      </w:tr>
      <w:tr w:rsidR="00000000" w14:paraId="2ED3E078" w14:textId="77777777">
        <w:trPr>
          <w:divId w:val="337971388"/>
          <w:jc w:val="center"/>
        </w:trPr>
        <w:tc>
          <w:tcPr>
            <w:tcW w:w="0" w:type="auto"/>
            <w:gridSpan w:val="3"/>
            <w:tcMar>
              <w:top w:w="0" w:type="dxa"/>
              <w:left w:w="20" w:type="dxa"/>
              <w:bottom w:w="0" w:type="dxa"/>
              <w:right w:w="20" w:type="dxa"/>
            </w:tcMar>
            <w:vAlign w:val="center"/>
            <w:hideMark/>
          </w:tcPr>
          <w:p w14:paraId="2594849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DAEC50F" w14:textId="77777777" w:rsidR="00000000" w:rsidRDefault="00EE5306">
            <w:pPr>
              <w:spacing w:after="100"/>
              <w:jc w:val="center"/>
              <w:rPr>
                <w:rFonts w:eastAsia="Times New Roman"/>
              </w:rPr>
            </w:pPr>
            <w:r>
              <w:rPr>
                <w:rFonts w:eastAsia="Times New Roman"/>
                <w:color w:val="000000"/>
                <w:sz w:val="20"/>
                <w:szCs w:val="20"/>
              </w:rPr>
              <w:t>6</w:t>
            </w:r>
          </w:p>
        </w:tc>
        <w:tc>
          <w:tcPr>
            <w:tcW w:w="0" w:type="auto"/>
            <w:gridSpan w:val="3"/>
            <w:tcMar>
              <w:top w:w="0" w:type="dxa"/>
              <w:left w:w="20" w:type="dxa"/>
              <w:bottom w:w="0" w:type="dxa"/>
              <w:right w:w="20" w:type="dxa"/>
            </w:tcMar>
            <w:vAlign w:val="center"/>
            <w:hideMark/>
          </w:tcPr>
          <w:p w14:paraId="44CAB022" w14:textId="77777777" w:rsidR="00000000" w:rsidRDefault="00EE5306">
            <w:pPr>
              <w:spacing w:after="100"/>
              <w:jc w:val="center"/>
              <w:rPr>
                <w:rFonts w:eastAsia="Times New Roman"/>
              </w:rPr>
            </w:pPr>
          </w:p>
        </w:tc>
      </w:tr>
    </w:tbl>
    <w:p w14:paraId="11572673" w14:textId="77777777" w:rsidR="00000000" w:rsidRDefault="00EE5306">
      <w:pPr>
        <w:rPr>
          <w:rFonts w:eastAsia="Times New Roman"/>
        </w:rPr>
      </w:pPr>
      <w:r>
        <w:rPr>
          <w:rFonts w:eastAsia="Times New Roman"/>
        </w:rPr>
        <w:pict w14:anchorId="0E2ED49C">
          <v:rect id="_x0000_i1032" style="width:0;height:1.5pt" o:hralign="center" o:hrstd="t" o:hr="t" fillcolor="#a0a0a0" stroked="f"/>
        </w:pict>
      </w:r>
    </w:p>
    <w:p w14:paraId="576ACEDC" w14:textId="77777777" w:rsidR="00000000" w:rsidRDefault="00EE5306">
      <w:pPr>
        <w:divId w:val="693532185"/>
        <w:rPr>
          <w:rFonts w:eastAsia="Times New Roman"/>
        </w:rPr>
      </w:pPr>
    </w:p>
    <w:p w14:paraId="378EB9E5" w14:textId="77777777" w:rsidR="00000000" w:rsidRDefault="00EE5306">
      <w:pPr>
        <w:ind w:firstLine="540"/>
        <w:jc w:val="both"/>
        <w:divId w:val="387537310"/>
        <w:rPr>
          <w:rFonts w:eastAsia="Times New Roman"/>
        </w:rPr>
      </w:pPr>
      <w:r>
        <w:rPr>
          <w:rFonts w:eastAsia="Times New Roman"/>
          <w:color w:val="000000"/>
          <w:sz w:val="20"/>
          <w:szCs w:val="20"/>
        </w:rPr>
        <w:t>Despite the introduction of COVID-19 vaccines, the pandemic remains highly volatile and continues to evolve. Accordingly, we cannot predict for how long and to what extent the pandemic will impact our business operatio</w:t>
      </w:r>
      <w:r>
        <w:rPr>
          <w:rFonts w:eastAsia="Times New Roman"/>
          <w:color w:val="000000"/>
          <w:sz w:val="20"/>
          <w:szCs w:val="20"/>
        </w:rPr>
        <w:t>ns or the global economy as a whole. We will continue to assess our operations location-by-location, considering the guidance of local governments and global health organizations to determine when our operations can begin returning to normal levels of busi</w:t>
      </w:r>
      <w:r>
        <w:rPr>
          <w:rFonts w:eastAsia="Times New Roman"/>
          <w:color w:val="000000"/>
          <w:sz w:val="20"/>
          <w:szCs w:val="20"/>
        </w:rPr>
        <w:t>ness.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Macroeconomic Conditions</w:t>
      </w:r>
      <w:r>
        <w:rPr>
          <w:rFonts w:eastAsia="Times New Roman"/>
          <w:color w:val="000000"/>
          <w:sz w:val="20"/>
          <w:szCs w:val="20"/>
        </w:rPr>
        <w:t xml:space="preserve"> —</w:t>
      </w:r>
      <w:r>
        <w:rPr>
          <w:rFonts w:eastAsia="Times New Roman"/>
          <w:i/>
          <w:iCs/>
          <w:color w:val="000000"/>
          <w:sz w:val="20"/>
          <w:szCs w:val="20"/>
        </w:rPr>
        <w:t> Infectious disease outbreaks, such as the COVID-19 pandemic, could have a material adverse effect on our business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for additional discussion regarding risks to our business ass</w:t>
      </w:r>
      <w:r>
        <w:rPr>
          <w:rFonts w:eastAsia="Times New Roman"/>
          <w:color w:val="000000"/>
          <w:sz w:val="20"/>
          <w:szCs w:val="20"/>
        </w:rPr>
        <w:t>ociated with the COVID-19 pandemic.</w:t>
      </w:r>
    </w:p>
    <w:p w14:paraId="797E5636" w14:textId="77777777" w:rsidR="00000000" w:rsidRDefault="00EE5306">
      <w:pPr>
        <w:ind w:firstLine="360"/>
        <w:jc w:val="both"/>
        <w:divId w:val="811941773"/>
        <w:rPr>
          <w:rFonts w:eastAsia="Times New Roman"/>
        </w:rPr>
      </w:pPr>
      <w:r>
        <w:rPr>
          <w:rFonts w:eastAsia="Times New Roman"/>
          <w:b/>
          <w:bCs/>
          <w:i/>
          <w:iCs/>
          <w:color w:val="000000"/>
          <w:sz w:val="20"/>
          <w:szCs w:val="20"/>
        </w:rPr>
        <w:t>Fiscal 2021 Strategic Realignment Plan</w:t>
      </w:r>
    </w:p>
    <w:p w14:paraId="7EBE5584" w14:textId="77777777" w:rsidR="00000000" w:rsidRDefault="00EE5306">
      <w:pPr>
        <w:ind w:firstLine="540"/>
        <w:jc w:val="both"/>
        <w:divId w:val="434205446"/>
        <w:rPr>
          <w:rFonts w:eastAsia="Times New Roman"/>
        </w:rPr>
      </w:pPr>
      <w:r>
        <w:rPr>
          <w:rFonts w:eastAsia="Times New Roman"/>
          <w:color w:val="000000"/>
          <w:sz w:val="20"/>
          <w:szCs w:val="20"/>
        </w:rPr>
        <w:t>We have begun efforts to realign our resources to support future growth and profitability, and to create a sustainable cost structure. The key areas of our evaluation include our: (</w:t>
      </w:r>
      <w:r>
        <w:rPr>
          <w:rFonts w:eastAsia="Times New Roman"/>
          <w:color w:val="000000"/>
          <w:sz w:val="20"/>
          <w:szCs w:val="20"/>
        </w:rPr>
        <w:t>i) team organizational structures and ways of working; (ii) real estate footprint and related costs across corporate offices, distribution centers, and direct-to-consumer retail and wholesale doors; and (iii) brand portfolio.</w:t>
      </w:r>
    </w:p>
    <w:p w14:paraId="66E3AB8D" w14:textId="77777777" w:rsidR="00000000" w:rsidRDefault="00EE5306">
      <w:pPr>
        <w:ind w:firstLine="540"/>
        <w:jc w:val="both"/>
        <w:divId w:val="1586264846"/>
        <w:rPr>
          <w:rFonts w:eastAsia="Times New Roman"/>
        </w:rPr>
      </w:pPr>
      <w:r>
        <w:rPr>
          <w:rFonts w:eastAsia="Times New Roman"/>
          <w:color w:val="000000"/>
          <w:sz w:val="20"/>
          <w:szCs w:val="20"/>
        </w:rPr>
        <w:t>In connection with the first i</w:t>
      </w:r>
      <w:r>
        <w:rPr>
          <w:rFonts w:eastAsia="Times New Roman"/>
          <w:color w:val="000000"/>
          <w:sz w:val="20"/>
          <w:szCs w:val="20"/>
        </w:rPr>
        <w:t>nitiative, on September 17, 2020, our Board of Directors approved a restructuring plan (the "Fiscal 2021 Strategic Realignment Plan") to reduce our global workforce by the end of Fiscal 2021. Additionally, during our preliminary review of our store portfol</w:t>
      </w:r>
      <w:r>
        <w:rPr>
          <w:rFonts w:eastAsia="Times New Roman"/>
          <w:color w:val="000000"/>
          <w:sz w:val="20"/>
          <w:szCs w:val="20"/>
        </w:rPr>
        <w:t xml:space="preserve">io during the second quarter of Fiscal 2021, we made the decision to close our Polo store on Regent Street in London. </w:t>
      </w:r>
    </w:p>
    <w:p w14:paraId="47393124" w14:textId="77777777" w:rsidR="00000000" w:rsidRDefault="00EE5306">
      <w:pPr>
        <w:ind w:firstLine="540"/>
        <w:jc w:val="both"/>
        <w:divId w:val="21781826"/>
        <w:rPr>
          <w:rFonts w:eastAsia="Times New Roman"/>
        </w:rPr>
      </w:pPr>
      <w:r>
        <w:rPr>
          <w:rFonts w:eastAsia="Times New Roman"/>
          <w:color w:val="000000"/>
          <w:sz w:val="20"/>
          <w:szCs w:val="20"/>
        </w:rPr>
        <w:t>On October 29, 2020, we announced the planned transition of our Chaps brand to a fully licensed business model, consistent with our long-</w:t>
      </w:r>
      <w:r>
        <w:rPr>
          <w:rFonts w:eastAsia="Times New Roman"/>
          <w:color w:val="000000"/>
          <w:sz w:val="20"/>
          <w:szCs w:val="20"/>
        </w:rPr>
        <w:t>term brand elevation strategy in connection with our third initiative (see "</w:t>
      </w:r>
      <w:r>
        <w:rPr>
          <w:rFonts w:eastAsia="Times New Roman"/>
          <w:i/>
          <w:iCs/>
          <w:color w:val="000000"/>
          <w:sz w:val="20"/>
          <w:szCs w:val="20"/>
        </w:rPr>
        <w:t xml:space="preserve">Transition of Chaps Brand to a Licensing Model" </w:t>
      </w:r>
      <w:r>
        <w:rPr>
          <w:rFonts w:eastAsia="Times New Roman"/>
          <w:color w:val="000000"/>
          <w:sz w:val="20"/>
          <w:szCs w:val="20"/>
        </w:rPr>
        <w:t xml:space="preserve">further below for additional discussion). </w:t>
      </w:r>
    </w:p>
    <w:p w14:paraId="781F01A6" w14:textId="77777777" w:rsidR="00000000" w:rsidRDefault="00EE5306">
      <w:pPr>
        <w:ind w:firstLine="540"/>
        <w:jc w:val="both"/>
        <w:divId w:val="1373577868"/>
        <w:rPr>
          <w:rFonts w:eastAsia="Times New Roman"/>
        </w:rPr>
      </w:pPr>
      <w:r>
        <w:rPr>
          <w:rFonts w:eastAsia="Times New Roman"/>
          <w:color w:val="000000"/>
          <w:sz w:val="20"/>
          <w:szCs w:val="20"/>
        </w:rPr>
        <w:t>Additionally, on February 3, 2021, our Board of Directors approved additional realignment actions related to our real estate initiative. Specifically, we plan to further rightsize and consolidate our global corporate offices to better align with our curren</w:t>
      </w:r>
      <w:r>
        <w:rPr>
          <w:rFonts w:eastAsia="Times New Roman"/>
          <w:color w:val="000000"/>
          <w:sz w:val="20"/>
          <w:szCs w:val="20"/>
        </w:rPr>
        <w:t>t organizational profile and new ways of working. We also expect to close certain of our stores to improve overall profitability. Additionally, we plan to complete the consolidation of our existing North America distribution centers in order to drive great</w:t>
      </w:r>
      <w:r>
        <w:rPr>
          <w:rFonts w:eastAsia="Times New Roman"/>
          <w:color w:val="000000"/>
          <w:sz w:val="20"/>
          <w:szCs w:val="20"/>
        </w:rPr>
        <w:t>er efficiencies, improve sustainability, and deliver a better consumer experience.</w:t>
      </w:r>
    </w:p>
    <w:p w14:paraId="588F39C2" w14:textId="77777777" w:rsidR="00000000" w:rsidRDefault="00EE5306">
      <w:pPr>
        <w:ind w:firstLine="540"/>
        <w:jc w:val="both"/>
        <w:divId w:val="1644583690"/>
        <w:rPr>
          <w:rFonts w:eastAsia="Times New Roman"/>
        </w:rPr>
      </w:pPr>
      <w:r>
        <w:rPr>
          <w:rFonts w:eastAsia="Times New Roman"/>
          <w:color w:val="000000"/>
          <w:sz w:val="20"/>
          <w:szCs w:val="20"/>
        </w:rPr>
        <w:t xml:space="preserve">Finally, on May 13, 2021, in connection with our brand portfolio initiative, we announced that we have entered into an agreement to sell our Club Monaco business to Regent, </w:t>
      </w:r>
      <w:r>
        <w:rPr>
          <w:rFonts w:eastAsia="Times New Roman"/>
          <w:color w:val="000000"/>
          <w:sz w:val="20"/>
          <w:szCs w:val="20"/>
        </w:rPr>
        <w:t xml:space="preserve">L.P., a global private equity firm. The transaction is expected to close by the end of the first quarter of Fiscal 2022. </w:t>
      </w:r>
    </w:p>
    <w:p w14:paraId="09A7BC71" w14:textId="77777777" w:rsidR="00000000" w:rsidRDefault="00EE5306">
      <w:pPr>
        <w:ind w:firstLine="540"/>
        <w:jc w:val="both"/>
        <w:divId w:val="960189385"/>
        <w:rPr>
          <w:rFonts w:eastAsia="Times New Roman"/>
        </w:rPr>
      </w:pPr>
      <w:r>
        <w:rPr>
          <w:rFonts w:eastAsia="Times New Roman"/>
          <w:color w:val="000000"/>
          <w:sz w:val="20"/>
          <w:szCs w:val="20"/>
        </w:rPr>
        <w:t xml:space="preserve">In connection with these collective realignment initiatives, we expect to incur total estimated pre-tax charges of approximately $300 </w:t>
      </w:r>
      <w:r>
        <w:rPr>
          <w:rFonts w:eastAsia="Times New Roman"/>
          <w:color w:val="000000"/>
          <w:sz w:val="20"/>
          <w:szCs w:val="20"/>
        </w:rPr>
        <w:t>million to $350 million, of which $236.8 million was recorded during Fiscal 2021. Once substantially completed by the end of Fiscal 2022, these actions are expected to result in gross annualized pre-tax expense savings of approximately $200 million to $240</w:t>
      </w:r>
      <w:r>
        <w:rPr>
          <w:rFonts w:eastAsia="Times New Roman"/>
          <w:color w:val="000000"/>
          <w:sz w:val="20"/>
          <w:szCs w:val="20"/>
        </w:rPr>
        <w:t xml:space="preserve"> million, a portion of which will be reinvested back into the business. These estimated charges and expense savings are subject to change based upon the completion of the sale of our Club Monaco business.</w:t>
      </w:r>
    </w:p>
    <w:p w14:paraId="02F50349" w14:textId="77777777" w:rsidR="00000000" w:rsidRDefault="00EE5306">
      <w:pPr>
        <w:ind w:firstLine="540"/>
        <w:jc w:val="both"/>
        <w:divId w:val="1408722183"/>
        <w:rPr>
          <w:rFonts w:eastAsia="Times New Roman"/>
        </w:rPr>
      </w:pPr>
      <w:r>
        <w:rPr>
          <w:rFonts w:eastAsia="Times New Roman"/>
          <w:color w:val="000000"/>
          <w:sz w:val="20"/>
          <w:szCs w:val="20"/>
        </w:rPr>
        <w:t>See Note 9 to our accompanying consolidated financi</w:t>
      </w:r>
      <w:r>
        <w:rPr>
          <w:rFonts w:eastAsia="Times New Roman"/>
          <w:color w:val="000000"/>
          <w:sz w:val="20"/>
          <w:szCs w:val="20"/>
        </w:rPr>
        <w:t xml:space="preserve">al statements for additional discussion regarding charges recorded in connection with the Fiscal 2021 Strategic Restructuring Plan. </w:t>
      </w:r>
    </w:p>
    <w:p w14:paraId="0C8BBEE5" w14:textId="77777777" w:rsidR="00000000" w:rsidRDefault="00EE5306">
      <w:pPr>
        <w:ind w:firstLine="360"/>
        <w:jc w:val="both"/>
        <w:divId w:val="1596591608"/>
        <w:rPr>
          <w:rFonts w:eastAsia="Times New Roman"/>
        </w:rPr>
      </w:pPr>
      <w:r>
        <w:rPr>
          <w:rFonts w:eastAsia="Times New Roman"/>
          <w:b/>
          <w:bCs/>
          <w:i/>
          <w:iCs/>
          <w:color w:val="000000"/>
          <w:sz w:val="20"/>
          <w:szCs w:val="20"/>
        </w:rPr>
        <w:t>Transition of Chaps Brand to a Fully Licensed Business Model</w:t>
      </w:r>
    </w:p>
    <w:p w14:paraId="68271395" w14:textId="77777777" w:rsidR="00000000" w:rsidRDefault="00EE5306">
      <w:pPr>
        <w:ind w:firstLine="540"/>
        <w:jc w:val="both"/>
        <w:divId w:val="2012945274"/>
        <w:rPr>
          <w:rFonts w:eastAsia="Times New Roman"/>
        </w:rPr>
      </w:pPr>
      <w:r>
        <w:rPr>
          <w:rFonts w:eastAsia="Times New Roman"/>
          <w:color w:val="000000"/>
          <w:sz w:val="20"/>
          <w:szCs w:val="20"/>
        </w:rPr>
        <w:t>On October 29, 2020, we announced the planned transition of ou</w:t>
      </w:r>
      <w:r>
        <w:rPr>
          <w:rFonts w:eastAsia="Times New Roman"/>
          <w:color w:val="000000"/>
          <w:sz w:val="20"/>
          <w:szCs w:val="20"/>
        </w:rPr>
        <w:t>r Chaps brand to a fully licensed business model, consistent with our long-term brand elevation strategy. Specifically, we have entered into a multi-year licensing partnership, taking effect on August 1, 2021 after a transition period, with an affiliate of</w:t>
      </w:r>
      <w:r>
        <w:rPr>
          <w:rFonts w:eastAsia="Times New Roman"/>
          <w:color w:val="000000"/>
          <w:sz w:val="20"/>
          <w:szCs w:val="20"/>
        </w:rPr>
        <w:t xml:space="preserve"> 5 Star Apparel LLC, a division of the OVED Group, to manufacture, market, and distribute Chaps menswear and womenswear. The products will be sold at existing channels of distribution with opportunities for expansion into additional channels and markets gl</w:t>
      </w:r>
      <w:r>
        <w:rPr>
          <w:rFonts w:eastAsia="Times New Roman"/>
          <w:color w:val="000000"/>
          <w:sz w:val="20"/>
          <w:szCs w:val="20"/>
        </w:rPr>
        <w:t xml:space="preserve">obally. </w:t>
      </w:r>
    </w:p>
    <w:p w14:paraId="3E273B66" w14:textId="77777777" w:rsidR="00000000" w:rsidRDefault="00EE5306">
      <w:pPr>
        <w:ind w:firstLine="540"/>
        <w:jc w:val="both"/>
        <w:divId w:val="956369164"/>
        <w:rPr>
          <w:rFonts w:eastAsia="Times New Roman"/>
        </w:rPr>
      </w:pPr>
      <w:r>
        <w:rPr>
          <w:rFonts w:eastAsia="Times New Roman"/>
          <w:color w:val="000000"/>
          <w:sz w:val="20"/>
          <w:szCs w:val="20"/>
        </w:rPr>
        <w:t>This agreement is expected to create incremental value for the Company by enabling an even greater focus on elevating our core brands in the marketplace, reducing our direct exposure to the North America department store channel, and setting up Ch</w:t>
      </w:r>
      <w:r>
        <w:rPr>
          <w:rFonts w:eastAsia="Times New Roman"/>
          <w:color w:val="000000"/>
          <w:sz w:val="20"/>
          <w:szCs w:val="20"/>
        </w:rPr>
        <w:t>aps to deliver on its potential with an experienced partner that is focused on nurturing the brand.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4414052" w14:textId="77777777">
        <w:trPr>
          <w:divId w:val="898172897"/>
          <w:jc w:val="center"/>
        </w:trPr>
        <w:tc>
          <w:tcPr>
            <w:tcW w:w="50" w:type="pct"/>
            <w:vAlign w:val="center"/>
            <w:hideMark/>
          </w:tcPr>
          <w:p w14:paraId="021E816A" w14:textId="77777777" w:rsidR="00000000" w:rsidRDefault="00EE5306">
            <w:pPr>
              <w:ind w:firstLine="540"/>
              <w:jc w:val="both"/>
              <w:rPr>
                <w:rFonts w:eastAsia="Times New Roman"/>
              </w:rPr>
            </w:pPr>
          </w:p>
        </w:tc>
        <w:tc>
          <w:tcPr>
            <w:tcW w:w="1699" w:type="pct"/>
            <w:vAlign w:val="center"/>
            <w:hideMark/>
          </w:tcPr>
          <w:p w14:paraId="67576C50" w14:textId="77777777" w:rsidR="00000000" w:rsidRDefault="00EE5306">
            <w:pPr>
              <w:spacing w:after="100"/>
              <w:rPr>
                <w:rFonts w:eastAsia="Times New Roman"/>
                <w:sz w:val="20"/>
                <w:szCs w:val="20"/>
              </w:rPr>
            </w:pPr>
          </w:p>
        </w:tc>
        <w:tc>
          <w:tcPr>
            <w:tcW w:w="5" w:type="pct"/>
            <w:vAlign w:val="center"/>
            <w:hideMark/>
          </w:tcPr>
          <w:p w14:paraId="1FE32ABC" w14:textId="77777777" w:rsidR="00000000" w:rsidRDefault="00EE5306">
            <w:pPr>
              <w:spacing w:after="100"/>
              <w:rPr>
                <w:rFonts w:eastAsia="Times New Roman"/>
                <w:sz w:val="20"/>
                <w:szCs w:val="20"/>
              </w:rPr>
            </w:pPr>
          </w:p>
        </w:tc>
        <w:tc>
          <w:tcPr>
            <w:tcW w:w="50" w:type="pct"/>
            <w:vAlign w:val="center"/>
            <w:hideMark/>
          </w:tcPr>
          <w:p w14:paraId="68EB2777" w14:textId="77777777" w:rsidR="00000000" w:rsidRDefault="00EE5306">
            <w:pPr>
              <w:spacing w:after="100"/>
              <w:rPr>
                <w:rFonts w:eastAsia="Times New Roman"/>
                <w:sz w:val="20"/>
                <w:szCs w:val="20"/>
              </w:rPr>
            </w:pPr>
          </w:p>
        </w:tc>
        <w:tc>
          <w:tcPr>
            <w:tcW w:w="1436" w:type="pct"/>
            <w:vAlign w:val="center"/>
            <w:hideMark/>
          </w:tcPr>
          <w:p w14:paraId="2055F0C6" w14:textId="77777777" w:rsidR="00000000" w:rsidRDefault="00EE5306">
            <w:pPr>
              <w:spacing w:after="100"/>
              <w:rPr>
                <w:rFonts w:eastAsia="Times New Roman"/>
                <w:sz w:val="20"/>
                <w:szCs w:val="20"/>
              </w:rPr>
            </w:pPr>
          </w:p>
        </w:tc>
        <w:tc>
          <w:tcPr>
            <w:tcW w:w="5" w:type="pct"/>
            <w:vAlign w:val="center"/>
            <w:hideMark/>
          </w:tcPr>
          <w:p w14:paraId="1C02AF07" w14:textId="77777777" w:rsidR="00000000" w:rsidRDefault="00EE5306">
            <w:pPr>
              <w:spacing w:after="100"/>
              <w:rPr>
                <w:rFonts w:eastAsia="Times New Roman"/>
                <w:sz w:val="20"/>
                <w:szCs w:val="20"/>
              </w:rPr>
            </w:pPr>
          </w:p>
        </w:tc>
        <w:tc>
          <w:tcPr>
            <w:tcW w:w="50" w:type="pct"/>
            <w:vAlign w:val="center"/>
            <w:hideMark/>
          </w:tcPr>
          <w:p w14:paraId="2E0163E1" w14:textId="77777777" w:rsidR="00000000" w:rsidRDefault="00EE5306">
            <w:pPr>
              <w:spacing w:after="100"/>
              <w:rPr>
                <w:rFonts w:eastAsia="Times New Roman"/>
                <w:sz w:val="20"/>
                <w:szCs w:val="20"/>
              </w:rPr>
            </w:pPr>
          </w:p>
        </w:tc>
        <w:tc>
          <w:tcPr>
            <w:tcW w:w="1699" w:type="pct"/>
            <w:vAlign w:val="center"/>
            <w:hideMark/>
          </w:tcPr>
          <w:p w14:paraId="06617B65" w14:textId="77777777" w:rsidR="00000000" w:rsidRDefault="00EE5306">
            <w:pPr>
              <w:spacing w:after="100"/>
              <w:rPr>
                <w:rFonts w:eastAsia="Times New Roman"/>
                <w:sz w:val="20"/>
                <w:szCs w:val="20"/>
              </w:rPr>
            </w:pPr>
          </w:p>
        </w:tc>
        <w:tc>
          <w:tcPr>
            <w:tcW w:w="5" w:type="pct"/>
            <w:vAlign w:val="center"/>
            <w:hideMark/>
          </w:tcPr>
          <w:p w14:paraId="64C77E32" w14:textId="77777777" w:rsidR="00000000" w:rsidRDefault="00EE5306">
            <w:pPr>
              <w:spacing w:after="100"/>
              <w:rPr>
                <w:rFonts w:eastAsia="Times New Roman"/>
                <w:sz w:val="20"/>
                <w:szCs w:val="20"/>
              </w:rPr>
            </w:pPr>
          </w:p>
        </w:tc>
      </w:tr>
      <w:tr w:rsidR="00000000" w14:paraId="50F18383" w14:textId="77777777">
        <w:trPr>
          <w:divId w:val="898172897"/>
          <w:jc w:val="center"/>
        </w:trPr>
        <w:tc>
          <w:tcPr>
            <w:tcW w:w="0" w:type="auto"/>
            <w:gridSpan w:val="3"/>
            <w:tcMar>
              <w:top w:w="0" w:type="dxa"/>
              <w:left w:w="20" w:type="dxa"/>
              <w:bottom w:w="0" w:type="dxa"/>
              <w:right w:w="20" w:type="dxa"/>
            </w:tcMar>
            <w:vAlign w:val="center"/>
            <w:hideMark/>
          </w:tcPr>
          <w:p w14:paraId="664D62CD"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1D44A95" w14:textId="77777777" w:rsidR="00000000" w:rsidRDefault="00EE5306">
            <w:pPr>
              <w:spacing w:after="100"/>
              <w:jc w:val="center"/>
              <w:rPr>
                <w:rFonts w:eastAsia="Times New Roman"/>
              </w:rPr>
            </w:pPr>
            <w:r>
              <w:rPr>
                <w:rFonts w:eastAsia="Times New Roman"/>
                <w:color w:val="000000"/>
                <w:sz w:val="20"/>
                <w:szCs w:val="20"/>
              </w:rPr>
              <w:t>7</w:t>
            </w:r>
          </w:p>
        </w:tc>
        <w:tc>
          <w:tcPr>
            <w:tcW w:w="0" w:type="auto"/>
            <w:gridSpan w:val="3"/>
            <w:tcMar>
              <w:top w:w="0" w:type="dxa"/>
              <w:left w:w="20" w:type="dxa"/>
              <w:bottom w:w="0" w:type="dxa"/>
              <w:right w:w="20" w:type="dxa"/>
            </w:tcMar>
            <w:vAlign w:val="center"/>
            <w:hideMark/>
          </w:tcPr>
          <w:p w14:paraId="083E167E" w14:textId="77777777" w:rsidR="00000000" w:rsidRDefault="00EE5306">
            <w:pPr>
              <w:spacing w:after="100"/>
              <w:jc w:val="center"/>
              <w:rPr>
                <w:rFonts w:eastAsia="Times New Roman"/>
              </w:rPr>
            </w:pPr>
          </w:p>
        </w:tc>
      </w:tr>
    </w:tbl>
    <w:p w14:paraId="5C4F2B14" w14:textId="77777777" w:rsidR="00000000" w:rsidRDefault="00EE5306">
      <w:pPr>
        <w:rPr>
          <w:rFonts w:eastAsia="Times New Roman"/>
        </w:rPr>
      </w:pPr>
      <w:r>
        <w:rPr>
          <w:rFonts w:eastAsia="Times New Roman"/>
        </w:rPr>
        <w:pict w14:anchorId="359F10A8">
          <v:rect id="_x0000_i1033" style="width:0;height:1.5pt" o:hralign="center" o:hrstd="t" o:hr="t" fillcolor="#a0a0a0" stroked="f"/>
        </w:pict>
      </w:r>
    </w:p>
    <w:p w14:paraId="64348D15" w14:textId="77777777" w:rsidR="00000000" w:rsidRDefault="00EE5306">
      <w:pPr>
        <w:divId w:val="1860779628"/>
        <w:rPr>
          <w:rFonts w:eastAsia="Times New Roman"/>
        </w:rPr>
      </w:pPr>
    </w:p>
    <w:p w14:paraId="4F155145" w14:textId="77777777" w:rsidR="00000000" w:rsidRDefault="00EE5306">
      <w:pPr>
        <w:ind w:firstLine="360"/>
        <w:jc w:val="both"/>
        <w:divId w:val="1900549797"/>
        <w:rPr>
          <w:rFonts w:eastAsia="Times New Roman"/>
        </w:rPr>
      </w:pPr>
      <w:r>
        <w:rPr>
          <w:rFonts w:eastAsia="Times New Roman"/>
          <w:b/>
          <w:bCs/>
          <w:i/>
          <w:iCs/>
          <w:color w:val="000000"/>
          <w:sz w:val="20"/>
          <w:szCs w:val="20"/>
        </w:rPr>
        <w:t>Fiscal 2019 Restructuring Plan</w:t>
      </w:r>
    </w:p>
    <w:p w14:paraId="7FDB9A75" w14:textId="77777777" w:rsidR="00000000" w:rsidRDefault="00EE5306">
      <w:pPr>
        <w:ind w:firstLine="540"/>
        <w:jc w:val="both"/>
        <w:divId w:val="1501505090"/>
        <w:rPr>
          <w:rFonts w:eastAsia="Times New Roman"/>
        </w:rPr>
      </w:pPr>
      <w:r>
        <w:rPr>
          <w:rFonts w:eastAsia="Times New Roman"/>
          <w:color w:val="000000"/>
          <w:sz w:val="20"/>
          <w:szCs w:val="20"/>
        </w:rPr>
        <w:t>On June 4, 2018, our Board of Directors approved a restructuring plan associated with our strategic objective of operating with discipline to drive sustainable growth (the "Fiscal 2019 Re</w:t>
      </w:r>
      <w:r>
        <w:rPr>
          <w:rFonts w:eastAsia="Times New Roman"/>
          <w:color w:val="000000"/>
          <w:sz w:val="20"/>
          <w:szCs w:val="20"/>
        </w:rPr>
        <w:t>structuring Plan"). The Fiscal 2019 Restructuring Plan included the following activities: (i) rightsizing and consolidation of our global distribution network and corporate offices; (ii) targeted severance-related actions; and (iii) closure of certain of o</w:t>
      </w:r>
      <w:r>
        <w:rPr>
          <w:rFonts w:eastAsia="Times New Roman"/>
          <w:color w:val="000000"/>
          <w:sz w:val="20"/>
          <w:szCs w:val="20"/>
        </w:rPr>
        <w:t xml:space="preserve">ur stores and shop-within-shops. Actions associated with the Fiscal 2019 Restructuring Plan resulted in gross annualized expense savings of approximately $80 million. </w:t>
      </w:r>
    </w:p>
    <w:p w14:paraId="26C164E7" w14:textId="77777777" w:rsidR="00000000" w:rsidRDefault="00EE5306">
      <w:pPr>
        <w:ind w:firstLine="540"/>
        <w:jc w:val="both"/>
        <w:divId w:val="1458254618"/>
        <w:rPr>
          <w:rFonts w:eastAsia="Times New Roman"/>
        </w:rPr>
      </w:pPr>
      <w:r>
        <w:rPr>
          <w:rFonts w:eastAsia="Times New Roman"/>
          <w:color w:val="000000"/>
          <w:sz w:val="20"/>
          <w:szCs w:val="20"/>
        </w:rPr>
        <w:t>In connection with the Fiscal 2019 Restructuring Plan, we have recorded cumulative charg</w:t>
      </w:r>
      <w:r>
        <w:rPr>
          <w:rFonts w:eastAsia="Times New Roman"/>
          <w:color w:val="000000"/>
          <w:sz w:val="20"/>
          <w:szCs w:val="20"/>
        </w:rPr>
        <w:t>es of $145.8 million since its inception, of which $48.5 million and $97.3 million were recorded during Fiscal 2020 and Fiscal 2019, respectively. Actions associated with the Fiscal 2019 Restructuring Plan are complete and no additional charges are expecte</w:t>
      </w:r>
      <w:r>
        <w:rPr>
          <w:rFonts w:eastAsia="Times New Roman"/>
          <w:color w:val="000000"/>
          <w:sz w:val="20"/>
          <w:szCs w:val="20"/>
        </w:rPr>
        <w:t>d to be incurred in connection with this plan.</w:t>
      </w:r>
    </w:p>
    <w:p w14:paraId="6448C90F" w14:textId="77777777" w:rsidR="00000000" w:rsidRDefault="00EE5306">
      <w:pPr>
        <w:ind w:firstLine="540"/>
        <w:jc w:val="both"/>
        <w:divId w:val="178786017"/>
        <w:rPr>
          <w:rFonts w:eastAsia="Times New Roman"/>
        </w:rPr>
      </w:pPr>
      <w:r>
        <w:rPr>
          <w:rFonts w:eastAsia="Times New Roman"/>
          <w:color w:val="000000"/>
          <w:sz w:val="20"/>
          <w:szCs w:val="20"/>
        </w:rPr>
        <w:t>See Note 9 to our accompanying consolidated financial statements for additional discussion regarding charges recorded in connection with the Fiscal 2019 Restructuring Plan.</w:t>
      </w:r>
    </w:p>
    <w:p w14:paraId="575627CE" w14:textId="77777777" w:rsidR="00000000" w:rsidRDefault="00EE5306">
      <w:pPr>
        <w:jc w:val="center"/>
        <w:divId w:val="1518078124"/>
        <w:rPr>
          <w:rFonts w:eastAsia="Times New Roman"/>
        </w:rPr>
      </w:pPr>
      <w:r>
        <w:rPr>
          <w:rFonts w:eastAsia="Times New Roman"/>
          <w:b/>
          <w:bCs/>
          <w:color w:val="000000"/>
          <w:sz w:val="20"/>
          <w:szCs w:val="20"/>
        </w:rPr>
        <w:t>Our Brands and Products</w:t>
      </w:r>
    </w:p>
    <w:p w14:paraId="1F41DE22" w14:textId="77777777" w:rsidR="00000000" w:rsidRDefault="00EE5306">
      <w:pPr>
        <w:ind w:firstLine="540"/>
        <w:jc w:val="both"/>
        <w:divId w:val="733165641"/>
        <w:rPr>
          <w:rFonts w:eastAsia="Times New Roman"/>
        </w:rPr>
      </w:pPr>
      <w:r>
        <w:rPr>
          <w:rFonts w:eastAsia="Times New Roman"/>
          <w:color w:val="000000"/>
          <w:sz w:val="20"/>
          <w:szCs w:val="20"/>
        </w:rPr>
        <w:t>Our products, which include apparel, footwear, accessories,</w:t>
      </w:r>
      <w:r>
        <w:rPr>
          <w:rFonts w:eastAsia="Times New Roman"/>
          <w:color w:val="000000"/>
          <w:sz w:val="20"/>
          <w:szCs w:val="20"/>
        </w:rPr>
        <w:t xml:space="preserve"> and fragrance collections for men and women, as well as childrenswear and home furnishings, together with our hospitality portfolio, comprise one of the most widely recognized families of consumer brands. Reflecting a distinctive American perspective, we </w:t>
      </w:r>
      <w:r>
        <w:rPr>
          <w:rFonts w:eastAsia="Times New Roman"/>
          <w:color w:val="000000"/>
          <w:sz w:val="20"/>
          <w:szCs w:val="20"/>
        </w:rPr>
        <w:t>have been an innovator in aspirational lifestyle branding and believe that, under the direction of internationally renowned designer Mr. Ralph Lauren, we have had a considerable influence on the way people dress and the way that fashion is advertised throu</w:t>
      </w:r>
      <w:r>
        <w:rPr>
          <w:rFonts w:eastAsia="Times New Roman"/>
          <w:color w:val="000000"/>
          <w:sz w:val="20"/>
          <w:szCs w:val="20"/>
        </w:rPr>
        <w:t xml:space="preserve">ghout the world. </w:t>
      </w:r>
    </w:p>
    <w:p w14:paraId="3CF37F17" w14:textId="77777777" w:rsidR="00000000" w:rsidRDefault="00EE5306">
      <w:pPr>
        <w:ind w:firstLine="540"/>
        <w:jc w:val="both"/>
        <w:divId w:val="1877153520"/>
        <w:rPr>
          <w:rFonts w:eastAsia="Times New Roman"/>
        </w:rPr>
      </w:pPr>
      <w:r>
        <w:rPr>
          <w:rFonts w:eastAsia="Times New Roman"/>
          <w:color w:val="000000"/>
          <w:sz w:val="20"/>
          <w:szCs w:val="20"/>
        </w:rPr>
        <w:t>We combine consumer insight with our design, marketing, and imaging skills to offer, along with our licensing alliances, broad lifestyle product collections with a unified vision:</w:t>
      </w:r>
    </w:p>
    <w:p w14:paraId="645F6CCB" w14:textId="77777777" w:rsidR="00000000" w:rsidRDefault="00EE5306">
      <w:pPr>
        <w:ind w:hanging="360"/>
        <w:jc w:val="both"/>
        <w:divId w:val="376011954"/>
        <w:rPr>
          <w:rFonts w:eastAsia="Times New Roman"/>
        </w:rPr>
      </w:pPr>
      <w:r>
        <w:rPr>
          <w:rFonts w:eastAsia="Times New Roman"/>
          <w:color w:val="000000"/>
          <w:sz w:val="20"/>
          <w:szCs w:val="20"/>
        </w:rPr>
        <w:t>•</w:t>
      </w:r>
      <w:r>
        <w:rPr>
          <w:rFonts w:eastAsia="Times New Roman"/>
          <w:i/>
          <w:iCs/>
          <w:color w:val="000000"/>
          <w:sz w:val="20"/>
          <w:szCs w:val="20"/>
        </w:rPr>
        <w:t>Apparel </w:t>
      </w:r>
      <w:r>
        <w:rPr>
          <w:rFonts w:eastAsia="Times New Roman"/>
          <w:color w:val="000000"/>
          <w:sz w:val="20"/>
          <w:szCs w:val="20"/>
        </w:rPr>
        <w:t>— Our apparel products include extensive collecti</w:t>
      </w:r>
      <w:r>
        <w:rPr>
          <w:rFonts w:eastAsia="Times New Roman"/>
          <w:color w:val="000000"/>
          <w:sz w:val="20"/>
          <w:szCs w:val="20"/>
        </w:rPr>
        <w:t xml:space="preserve">ons of men's, women's, and children's clothing, which are sold under various brand names, including Ralph Lauren Collection, Ralph Lauren Purple Label, Polo Ralph Lauren, Double RL, Lauren Ralph Lauren, Polo Golf Ralph Lauren, Ralph Lauren Golf, RLX Ralph </w:t>
      </w:r>
      <w:r>
        <w:rPr>
          <w:rFonts w:eastAsia="Times New Roman"/>
          <w:color w:val="000000"/>
          <w:sz w:val="20"/>
          <w:szCs w:val="20"/>
        </w:rPr>
        <w:t>Lauren, Polo Ralph Lauren Children, Chaps, and Club Monaco, among others.</w:t>
      </w:r>
    </w:p>
    <w:p w14:paraId="3BDDA6FA" w14:textId="77777777" w:rsidR="00000000" w:rsidRDefault="00EE5306">
      <w:pPr>
        <w:ind w:hanging="360"/>
        <w:jc w:val="both"/>
        <w:divId w:val="1895507911"/>
        <w:rPr>
          <w:rFonts w:eastAsia="Times New Roman"/>
        </w:rPr>
      </w:pPr>
      <w:r>
        <w:rPr>
          <w:rFonts w:eastAsia="Times New Roman"/>
          <w:color w:val="000000"/>
          <w:sz w:val="20"/>
          <w:szCs w:val="20"/>
        </w:rPr>
        <w:t>•</w:t>
      </w:r>
      <w:r>
        <w:rPr>
          <w:rFonts w:eastAsia="Times New Roman"/>
          <w:i/>
          <w:iCs/>
          <w:color w:val="000000"/>
          <w:sz w:val="20"/>
          <w:szCs w:val="20"/>
        </w:rPr>
        <w:t>Footwear and Accessories </w:t>
      </w:r>
      <w:r>
        <w:rPr>
          <w:rFonts w:eastAsia="Times New Roman"/>
          <w:color w:val="000000"/>
          <w:sz w:val="20"/>
          <w:szCs w:val="20"/>
        </w:rPr>
        <w:t xml:space="preserve">— Our range of footwear and accessories encompasses men's, women's, and children's, including casual shoes, dress shoes, boots, sneakers, sandals, eyewear, </w:t>
      </w:r>
      <w:r>
        <w:rPr>
          <w:rFonts w:eastAsia="Times New Roman"/>
          <w:color w:val="000000"/>
          <w:sz w:val="20"/>
          <w:szCs w:val="20"/>
        </w:rPr>
        <w:t xml:space="preserve">watches, fashion and fine jewelry, scarves, hats, gloves, umbrellas, and leather goods, including handbags, luggage, small leather goods, and belts, which are sold under our Ralph Lauren Collection, Ralph Lauren Purple Label, Double RL, Polo Ralph Lauren, </w:t>
      </w:r>
      <w:r>
        <w:rPr>
          <w:rFonts w:eastAsia="Times New Roman"/>
          <w:color w:val="000000"/>
          <w:sz w:val="20"/>
          <w:szCs w:val="20"/>
        </w:rPr>
        <w:t>Lauren Ralph Lauren, Polo Ralph Lauren Children, Chaps, and Club Monaco brands.</w:t>
      </w:r>
    </w:p>
    <w:p w14:paraId="415B88A1" w14:textId="77777777" w:rsidR="00000000" w:rsidRDefault="00EE5306">
      <w:pPr>
        <w:ind w:hanging="360"/>
        <w:jc w:val="both"/>
        <w:divId w:val="2135901104"/>
        <w:rPr>
          <w:rFonts w:eastAsia="Times New Roman"/>
        </w:rPr>
      </w:pPr>
      <w:r>
        <w:rPr>
          <w:rFonts w:eastAsia="Times New Roman"/>
          <w:color w:val="000000"/>
          <w:sz w:val="20"/>
          <w:szCs w:val="20"/>
        </w:rPr>
        <w:t>•</w:t>
      </w:r>
      <w:r>
        <w:rPr>
          <w:rFonts w:eastAsia="Times New Roman"/>
          <w:i/>
          <w:iCs/>
          <w:color w:val="000000"/>
          <w:sz w:val="20"/>
          <w:szCs w:val="20"/>
        </w:rPr>
        <w:t>Fragrance </w:t>
      </w:r>
      <w:r>
        <w:rPr>
          <w:rFonts w:eastAsia="Times New Roman"/>
          <w:color w:val="000000"/>
          <w:sz w:val="20"/>
          <w:szCs w:val="20"/>
        </w:rPr>
        <w:t xml:space="preserve">— Our fragrance offerings capture the essence of Ralph Lauren's men's and women's brands with numerous labels, designed to appeal to a variety of audiences. Women's </w:t>
      </w:r>
      <w:r>
        <w:rPr>
          <w:rFonts w:eastAsia="Times New Roman"/>
          <w:color w:val="000000"/>
          <w:sz w:val="20"/>
          <w:szCs w:val="20"/>
        </w:rPr>
        <w:t>fragrance products are sold under our Ralph Lauren Collection, Woman by Ralph Lauren, Romance Collection, Ralph Collection, and Big Pony Women's brands. Men's fragrance products are sold under our Polo Blue, Safari, Purple Label, Polo Red, Polo Green, Polo</w:t>
      </w:r>
      <w:r>
        <w:rPr>
          <w:rFonts w:eastAsia="Times New Roman"/>
          <w:color w:val="000000"/>
          <w:sz w:val="20"/>
          <w:szCs w:val="20"/>
        </w:rPr>
        <w:t xml:space="preserve"> Black, Polo Supreme, Polo Sport, and Big Pony Men's brands.</w:t>
      </w:r>
    </w:p>
    <w:p w14:paraId="6F957116" w14:textId="77777777" w:rsidR="00000000" w:rsidRDefault="00EE5306">
      <w:pPr>
        <w:ind w:hanging="360"/>
        <w:jc w:val="both"/>
        <w:divId w:val="1475294053"/>
        <w:rPr>
          <w:rFonts w:eastAsia="Times New Roman"/>
        </w:rPr>
      </w:pPr>
      <w:r>
        <w:rPr>
          <w:rFonts w:eastAsia="Times New Roman"/>
          <w:color w:val="000000"/>
          <w:sz w:val="20"/>
          <w:szCs w:val="20"/>
        </w:rPr>
        <w:t>•</w:t>
      </w:r>
      <w:r>
        <w:rPr>
          <w:rFonts w:eastAsia="Times New Roman"/>
          <w:i/>
          <w:iCs/>
          <w:color w:val="000000"/>
          <w:sz w:val="20"/>
          <w:szCs w:val="20"/>
        </w:rPr>
        <w:t>Home </w:t>
      </w:r>
      <w:r>
        <w:rPr>
          <w:rFonts w:eastAsia="Times New Roman"/>
          <w:color w:val="000000"/>
          <w:sz w:val="20"/>
          <w:szCs w:val="20"/>
        </w:rPr>
        <w:t>— Our home collections, which are sold under our Ralph Lauren, Polo, Lauren by Ralph Lauren, and Chaps brands, reflect the spirit of the Ralph Lauren lifestyle. Our range of home products i</w:t>
      </w:r>
      <w:r>
        <w:rPr>
          <w:rFonts w:eastAsia="Times New Roman"/>
          <w:color w:val="000000"/>
          <w:sz w:val="20"/>
          <w:szCs w:val="20"/>
        </w:rPr>
        <w:t>ncludes bed and bath lines, furniture, fabric and wallcoverings, lighting, tabletop, floor coverings, and giftware.</w:t>
      </w:r>
    </w:p>
    <w:p w14:paraId="532048B6" w14:textId="77777777" w:rsidR="00000000" w:rsidRDefault="00EE5306">
      <w:pPr>
        <w:ind w:hanging="360"/>
        <w:jc w:val="both"/>
        <w:divId w:val="1246575008"/>
        <w:rPr>
          <w:rFonts w:eastAsia="Times New Roman"/>
        </w:rPr>
      </w:pPr>
      <w:r>
        <w:rPr>
          <w:rFonts w:eastAsia="Times New Roman"/>
          <w:color w:val="000000"/>
          <w:sz w:val="20"/>
          <w:szCs w:val="20"/>
        </w:rPr>
        <w:t>•</w:t>
      </w:r>
      <w:r>
        <w:rPr>
          <w:rFonts w:eastAsia="Times New Roman"/>
          <w:i/>
          <w:iCs/>
          <w:color w:val="000000"/>
          <w:sz w:val="20"/>
          <w:szCs w:val="20"/>
        </w:rPr>
        <w:t xml:space="preserve">Hospitality </w:t>
      </w:r>
      <w:r>
        <w:rPr>
          <w:rFonts w:eastAsia="Times New Roman"/>
          <w:color w:val="000000"/>
          <w:sz w:val="20"/>
          <w:szCs w:val="20"/>
        </w:rPr>
        <w:t>— Continuing to engage our consumers with experiential and unique expressions of the brand, our hospitality portfolio is a natu</w:t>
      </w:r>
      <w:r>
        <w:rPr>
          <w:rFonts w:eastAsia="Times New Roman"/>
          <w:color w:val="000000"/>
          <w:sz w:val="20"/>
          <w:szCs w:val="20"/>
        </w:rPr>
        <w:t xml:space="preserve">ral extension of the World of Ralph Lauren as expressed through the culinary arts. Ralph Lauren's global hospitality collection is comprised of our restaurants including </w:t>
      </w:r>
      <w:r>
        <w:rPr>
          <w:rFonts w:eastAsia="Times New Roman"/>
          <w:i/>
          <w:iCs/>
          <w:color w:val="000000"/>
          <w:sz w:val="20"/>
          <w:szCs w:val="20"/>
        </w:rPr>
        <w:t>The Polo Bar</w:t>
      </w:r>
      <w:r>
        <w:rPr>
          <w:rFonts w:eastAsia="Times New Roman"/>
          <w:color w:val="000000"/>
          <w:sz w:val="20"/>
          <w:szCs w:val="20"/>
        </w:rPr>
        <w:t xml:space="preserve"> in New York City, </w:t>
      </w:r>
      <w:r>
        <w:rPr>
          <w:rFonts w:eastAsia="Times New Roman"/>
          <w:i/>
          <w:iCs/>
          <w:color w:val="000000"/>
          <w:sz w:val="20"/>
          <w:szCs w:val="20"/>
        </w:rPr>
        <w:t>RL Restaurant</w:t>
      </w:r>
      <w:r>
        <w:rPr>
          <w:rFonts w:eastAsia="Times New Roman"/>
          <w:color w:val="000000"/>
          <w:sz w:val="20"/>
          <w:szCs w:val="20"/>
        </w:rPr>
        <w:t xml:space="preserve"> located in Chicago, </w:t>
      </w:r>
      <w:r>
        <w:rPr>
          <w:rFonts w:eastAsia="Times New Roman"/>
          <w:i/>
          <w:iCs/>
          <w:color w:val="000000"/>
          <w:sz w:val="20"/>
          <w:szCs w:val="20"/>
        </w:rPr>
        <w:t>Ralph's</w:t>
      </w:r>
      <w:r>
        <w:rPr>
          <w:rFonts w:eastAsia="Times New Roman"/>
          <w:color w:val="000000"/>
          <w:sz w:val="20"/>
          <w:szCs w:val="20"/>
        </w:rPr>
        <w:t xml:space="preserve"> located in Pa</w:t>
      </w:r>
      <w:r>
        <w:rPr>
          <w:rFonts w:eastAsia="Times New Roman"/>
          <w:color w:val="000000"/>
          <w:sz w:val="20"/>
          <w:szCs w:val="20"/>
        </w:rPr>
        <w:t xml:space="preserve">ris, and our </w:t>
      </w:r>
      <w:r>
        <w:rPr>
          <w:rFonts w:eastAsia="Times New Roman"/>
          <w:i/>
          <w:iCs/>
          <w:color w:val="000000"/>
          <w:sz w:val="20"/>
          <w:szCs w:val="20"/>
        </w:rPr>
        <w:t>Ralph's Coffee</w:t>
      </w:r>
      <w:r>
        <w:rPr>
          <w:rFonts w:eastAsia="Times New Roman"/>
          <w:color w:val="000000"/>
          <w:sz w:val="20"/>
          <w:szCs w:val="20"/>
        </w:rPr>
        <w:t xml:space="preserve"> concept in various cities around the world.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0FDA58B" w14:textId="77777777">
        <w:trPr>
          <w:divId w:val="1738092944"/>
          <w:jc w:val="center"/>
        </w:trPr>
        <w:tc>
          <w:tcPr>
            <w:tcW w:w="50" w:type="pct"/>
            <w:vAlign w:val="center"/>
            <w:hideMark/>
          </w:tcPr>
          <w:p w14:paraId="1892415E" w14:textId="77777777" w:rsidR="00000000" w:rsidRDefault="00EE5306">
            <w:pPr>
              <w:ind w:hanging="360"/>
              <w:jc w:val="both"/>
              <w:rPr>
                <w:rFonts w:eastAsia="Times New Roman"/>
              </w:rPr>
            </w:pPr>
          </w:p>
        </w:tc>
        <w:tc>
          <w:tcPr>
            <w:tcW w:w="1699" w:type="pct"/>
            <w:vAlign w:val="center"/>
            <w:hideMark/>
          </w:tcPr>
          <w:p w14:paraId="3DE25F0F" w14:textId="77777777" w:rsidR="00000000" w:rsidRDefault="00EE5306">
            <w:pPr>
              <w:spacing w:after="100"/>
              <w:rPr>
                <w:rFonts w:eastAsia="Times New Roman"/>
                <w:sz w:val="20"/>
                <w:szCs w:val="20"/>
              </w:rPr>
            </w:pPr>
          </w:p>
        </w:tc>
        <w:tc>
          <w:tcPr>
            <w:tcW w:w="5" w:type="pct"/>
            <w:vAlign w:val="center"/>
            <w:hideMark/>
          </w:tcPr>
          <w:p w14:paraId="306586DC" w14:textId="77777777" w:rsidR="00000000" w:rsidRDefault="00EE5306">
            <w:pPr>
              <w:spacing w:after="100"/>
              <w:rPr>
                <w:rFonts w:eastAsia="Times New Roman"/>
                <w:sz w:val="20"/>
                <w:szCs w:val="20"/>
              </w:rPr>
            </w:pPr>
          </w:p>
        </w:tc>
        <w:tc>
          <w:tcPr>
            <w:tcW w:w="50" w:type="pct"/>
            <w:vAlign w:val="center"/>
            <w:hideMark/>
          </w:tcPr>
          <w:p w14:paraId="41F3798B" w14:textId="77777777" w:rsidR="00000000" w:rsidRDefault="00EE5306">
            <w:pPr>
              <w:spacing w:after="100"/>
              <w:rPr>
                <w:rFonts w:eastAsia="Times New Roman"/>
                <w:sz w:val="20"/>
                <w:szCs w:val="20"/>
              </w:rPr>
            </w:pPr>
          </w:p>
        </w:tc>
        <w:tc>
          <w:tcPr>
            <w:tcW w:w="1436" w:type="pct"/>
            <w:vAlign w:val="center"/>
            <w:hideMark/>
          </w:tcPr>
          <w:p w14:paraId="348A983F" w14:textId="77777777" w:rsidR="00000000" w:rsidRDefault="00EE5306">
            <w:pPr>
              <w:spacing w:after="100"/>
              <w:rPr>
                <w:rFonts w:eastAsia="Times New Roman"/>
                <w:sz w:val="20"/>
                <w:szCs w:val="20"/>
              </w:rPr>
            </w:pPr>
          </w:p>
        </w:tc>
        <w:tc>
          <w:tcPr>
            <w:tcW w:w="5" w:type="pct"/>
            <w:vAlign w:val="center"/>
            <w:hideMark/>
          </w:tcPr>
          <w:p w14:paraId="43FF7F0E" w14:textId="77777777" w:rsidR="00000000" w:rsidRDefault="00EE5306">
            <w:pPr>
              <w:spacing w:after="100"/>
              <w:rPr>
                <w:rFonts w:eastAsia="Times New Roman"/>
                <w:sz w:val="20"/>
                <w:szCs w:val="20"/>
              </w:rPr>
            </w:pPr>
          </w:p>
        </w:tc>
        <w:tc>
          <w:tcPr>
            <w:tcW w:w="50" w:type="pct"/>
            <w:vAlign w:val="center"/>
            <w:hideMark/>
          </w:tcPr>
          <w:p w14:paraId="3BBA1194" w14:textId="77777777" w:rsidR="00000000" w:rsidRDefault="00EE5306">
            <w:pPr>
              <w:spacing w:after="100"/>
              <w:rPr>
                <w:rFonts w:eastAsia="Times New Roman"/>
                <w:sz w:val="20"/>
                <w:szCs w:val="20"/>
              </w:rPr>
            </w:pPr>
          </w:p>
        </w:tc>
        <w:tc>
          <w:tcPr>
            <w:tcW w:w="1699" w:type="pct"/>
            <w:vAlign w:val="center"/>
            <w:hideMark/>
          </w:tcPr>
          <w:p w14:paraId="6C413E45" w14:textId="77777777" w:rsidR="00000000" w:rsidRDefault="00EE5306">
            <w:pPr>
              <w:spacing w:after="100"/>
              <w:rPr>
                <w:rFonts w:eastAsia="Times New Roman"/>
                <w:sz w:val="20"/>
                <w:szCs w:val="20"/>
              </w:rPr>
            </w:pPr>
          </w:p>
        </w:tc>
        <w:tc>
          <w:tcPr>
            <w:tcW w:w="5" w:type="pct"/>
            <w:vAlign w:val="center"/>
            <w:hideMark/>
          </w:tcPr>
          <w:p w14:paraId="1DFEBF4D" w14:textId="77777777" w:rsidR="00000000" w:rsidRDefault="00EE5306">
            <w:pPr>
              <w:spacing w:after="100"/>
              <w:rPr>
                <w:rFonts w:eastAsia="Times New Roman"/>
                <w:sz w:val="20"/>
                <w:szCs w:val="20"/>
              </w:rPr>
            </w:pPr>
          </w:p>
        </w:tc>
      </w:tr>
      <w:tr w:rsidR="00000000" w14:paraId="1D8BC6AE" w14:textId="77777777">
        <w:trPr>
          <w:divId w:val="1738092944"/>
          <w:jc w:val="center"/>
        </w:trPr>
        <w:tc>
          <w:tcPr>
            <w:tcW w:w="0" w:type="auto"/>
            <w:gridSpan w:val="3"/>
            <w:tcMar>
              <w:top w:w="0" w:type="dxa"/>
              <w:left w:w="20" w:type="dxa"/>
              <w:bottom w:w="0" w:type="dxa"/>
              <w:right w:w="20" w:type="dxa"/>
            </w:tcMar>
            <w:vAlign w:val="center"/>
            <w:hideMark/>
          </w:tcPr>
          <w:p w14:paraId="2DC4A4A8"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BED8EBB" w14:textId="77777777" w:rsidR="00000000" w:rsidRDefault="00EE5306">
            <w:pPr>
              <w:spacing w:after="100"/>
              <w:jc w:val="center"/>
              <w:rPr>
                <w:rFonts w:eastAsia="Times New Roman"/>
              </w:rPr>
            </w:pPr>
            <w:r>
              <w:rPr>
                <w:rFonts w:eastAsia="Times New Roman"/>
                <w:color w:val="000000"/>
                <w:sz w:val="20"/>
                <w:szCs w:val="20"/>
              </w:rPr>
              <w:t>8</w:t>
            </w:r>
          </w:p>
        </w:tc>
        <w:tc>
          <w:tcPr>
            <w:tcW w:w="0" w:type="auto"/>
            <w:gridSpan w:val="3"/>
            <w:tcMar>
              <w:top w:w="0" w:type="dxa"/>
              <w:left w:w="20" w:type="dxa"/>
              <w:bottom w:w="0" w:type="dxa"/>
              <w:right w:w="20" w:type="dxa"/>
            </w:tcMar>
            <w:vAlign w:val="center"/>
            <w:hideMark/>
          </w:tcPr>
          <w:p w14:paraId="138983A3" w14:textId="77777777" w:rsidR="00000000" w:rsidRDefault="00EE5306">
            <w:pPr>
              <w:spacing w:after="100"/>
              <w:jc w:val="center"/>
              <w:rPr>
                <w:rFonts w:eastAsia="Times New Roman"/>
              </w:rPr>
            </w:pPr>
          </w:p>
        </w:tc>
      </w:tr>
    </w:tbl>
    <w:p w14:paraId="1651B91C" w14:textId="77777777" w:rsidR="00000000" w:rsidRDefault="00EE5306">
      <w:pPr>
        <w:rPr>
          <w:rFonts w:eastAsia="Times New Roman"/>
        </w:rPr>
      </w:pPr>
      <w:r>
        <w:rPr>
          <w:rFonts w:eastAsia="Times New Roman"/>
        </w:rPr>
        <w:pict w14:anchorId="324EC869">
          <v:rect id="_x0000_i1034" style="width:0;height:1.5pt" o:hralign="center" o:hrstd="t" o:hr="t" fillcolor="#a0a0a0" stroked="f"/>
        </w:pict>
      </w:r>
    </w:p>
    <w:p w14:paraId="58372DFA" w14:textId="77777777" w:rsidR="00000000" w:rsidRDefault="00EE5306">
      <w:pPr>
        <w:divId w:val="835463170"/>
        <w:rPr>
          <w:rFonts w:eastAsia="Times New Roman"/>
        </w:rPr>
      </w:pPr>
    </w:p>
    <w:p w14:paraId="57EBC29C" w14:textId="77777777" w:rsidR="00000000" w:rsidRDefault="00EE5306">
      <w:pPr>
        <w:ind w:firstLine="540"/>
        <w:jc w:val="both"/>
        <w:divId w:val="213273958"/>
        <w:rPr>
          <w:rFonts w:eastAsia="Times New Roman"/>
        </w:rPr>
      </w:pPr>
      <w:r>
        <w:rPr>
          <w:rFonts w:eastAsia="Times New Roman"/>
          <w:color w:val="000000"/>
          <w:sz w:val="20"/>
          <w:szCs w:val="20"/>
        </w:rPr>
        <w:t>Our lifestyle brand image is reinforced by our distribution through our stores and concession-based shop-within-shops, our wholesale channels of distribution, our global digital commerce sites, and our Ralph Lauren res</w:t>
      </w:r>
      <w:r>
        <w:rPr>
          <w:rFonts w:eastAsia="Times New Roman"/>
          <w:color w:val="000000"/>
          <w:sz w:val="20"/>
          <w:szCs w:val="20"/>
        </w:rPr>
        <w:t>taurants. We sell our products under the following key brand platforms:</w:t>
      </w:r>
    </w:p>
    <w:p w14:paraId="0A95BF01" w14:textId="77777777" w:rsidR="00000000" w:rsidRDefault="00EE5306">
      <w:pPr>
        <w:ind w:hanging="360"/>
        <w:jc w:val="both"/>
        <w:divId w:val="1835756701"/>
        <w:rPr>
          <w:rFonts w:eastAsia="Times New Roman"/>
        </w:rPr>
      </w:pPr>
      <w:r>
        <w:rPr>
          <w:rFonts w:eastAsia="Times New Roman"/>
          <w:b/>
          <w:bCs/>
          <w:color w:val="000000"/>
          <w:sz w:val="20"/>
          <w:szCs w:val="20"/>
        </w:rPr>
        <w:t>1.</w:t>
      </w:r>
      <w:r>
        <w:rPr>
          <w:rFonts w:eastAsia="Times New Roman"/>
          <w:b/>
          <w:bCs/>
          <w:i/>
          <w:iCs/>
          <w:color w:val="000000"/>
          <w:sz w:val="20"/>
          <w:szCs w:val="20"/>
        </w:rPr>
        <w:t xml:space="preserve">Ralph Lauren Luxury </w:t>
      </w:r>
      <w:r>
        <w:rPr>
          <w:rFonts w:eastAsia="Times New Roman"/>
          <w:color w:val="000000"/>
          <w:sz w:val="20"/>
          <w:szCs w:val="20"/>
        </w:rPr>
        <w:t>— Our Luxury group includes:</w:t>
      </w:r>
    </w:p>
    <w:p w14:paraId="2DCD4528" w14:textId="77777777" w:rsidR="00000000" w:rsidRDefault="00EE5306">
      <w:pPr>
        <w:ind w:firstLine="540"/>
        <w:jc w:val="both"/>
        <w:divId w:val="2035839804"/>
        <w:rPr>
          <w:rFonts w:eastAsia="Times New Roman"/>
        </w:rPr>
      </w:pPr>
      <w:r>
        <w:rPr>
          <w:rFonts w:eastAsia="Times New Roman"/>
          <w:i/>
          <w:iCs/>
          <w:color w:val="000000"/>
          <w:sz w:val="20"/>
          <w:szCs w:val="20"/>
        </w:rPr>
        <w:t xml:space="preserve">Ralph Lauren Collection and Ralph Lauren Purple Label. </w:t>
      </w:r>
      <w:r>
        <w:rPr>
          <w:rFonts w:eastAsia="Times New Roman"/>
          <w:color w:val="000000"/>
          <w:sz w:val="20"/>
          <w:szCs w:val="20"/>
        </w:rPr>
        <w:t>Ralph Lauren Collection embodies the highest expression of chic, feminine glamour. Each piece is inspired by a vision of timeless luxury and modern elegance, and is crafted with unparalleled passion and artistry. For men, Ralph Lauren Purple Label is the u</w:t>
      </w:r>
      <w:r>
        <w:rPr>
          <w:rFonts w:eastAsia="Times New Roman"/>
          <w:color w:val="000000"/>
          <w:sz w:val="20"/>
          <w:szCs w:val="20"/>
        </w:rPr>
        <w:t>ltimate expression of luxury for the modern gentleman. Refined suitings are hand-tailored, including custom made-to-measure suits crafted in the time-honored traditions of Savile Row. Purple Label's sophisticated sportswear is designed with a meticulous at</w:t>
      </w:r>
      <w:r>
        <w:rPr>
          <w:rFonts w:eastAsia="Times New Roman"/>
          <w:color w:val="000000"/>
          <w:sz w:val="20"/>
          <w:szCs w:val="20"/>
        </w:rPr>
        <w:t>tention to detail, capturing the elegance and ease of Ralph Lauren's signature, timeless style. Ralph Lauren Collection and Ralph Lauren Purple Label are available in Ralph Lauren stores around the world, an exclusive selection of the finest specialty stor</w:t>
      </w:r>
      <w:r>
        <w:rPr>
          <w:rFonts w:eastAsia="Times New Roman"/>
          <w:color w:val="000000"/>
          <w:sz w:val="20"/>
          <w:szCs w:val="20"/>
        </w:rPr>
        <w:t>es, and online at our Ralph Lauren digital commerce sites, including RalphLauren.com.</w:t>
      </w:r>
    </w:p>
    <w:p w14:paraId="36E2E76C" w14:textId="77777777" w:rsidR="00000000" w:rsidRDefault="00EE5306">
      <w:pPr>
        <w:ind w:firstLine="540"/>
        <w:jc w:val="both"/>
        <w:divId w:val="2131587429"/>
        <w:rPr>
          <w:rFonts w:eastAsia="Times New Roman"/>
        </w:rPr>
      </w:pPr>
      <w:r>
        <w:rPr>
          <w:rFonts w:eastAsia="Times New Roman"/>
          <w:i/>
          <w:iCs/>
          <w:color w:val="000000"/>
          <w:sz w:val="20"/>
          <w:szCs w:val="20"/>
        </w:rPr>
        <w:t xml:space="preserve">Double RL. </w:t>
      </w:r>
      <w:r>
        <w:rPr>
          <w:rFonts w:eastAsia="Times New Roman"/>
          <w:color w:val="000000"/>
          <w:sz w:val="20"/>
          <w:szCs w:val="20"/>
        </w:rPr>
        <w:t xml:space="preserve">Founded in 1993 and named after Ralph Lauren's working cattle ranch in Colorado, Double RL is a tribute to America's pioneering spirit and tradition of rugged </w:t>
      </w:r>
      <w:r>
        <w:rPr>
          <w:rFonts w:eastAsia="Times New Roman"/>
          <w:color w:val="000000"/>
          <w:sz w:val="20"/>
          <w:szCs w:val="20"/>
        </w:rPr>
        <w:t>independence. The foundation of Double RL lies in timeless wardrobe staples for men and women, including authentic American made selvedge denim, military-grade chinos, tube-knit t-shirts, thermals, and flannels. Beyond these iconic styles are added seasona</w:t>
      </w:r>
      <w:r>
        <w:rPr>
          <w:rFonts w:eastAsia="Times New Roman"/>
          <w:color w:val="000000"/>
          <w:sz w:val="20"/>
          <w:szCs w:val="20"/>
        </w:rPr>
        <w:t xml:space="preserve">l vintage-inspired collections, along with a full collection of footwear and accessories, including quality belts, bags, and leather goods. Double RL is available at Double RL stores, at select Ralph Lauren stores, and an exclusive selection of the finest </w:t>
      </w:r>
      <w:r>
        <w:rPr>
          <w:rFonts w:eastAsia="Times New Roman"/>
          <w:color w:val="000000"/>
          <w:sz w:val="20"/>
          <w:szCs w:val="20"/>
        </w:rPr>
        <w:t>specialty stores around the world, as well as online at our Ralph Lauren digital commerce sites, including RalphLauren.com.</w:t>
      </w:r>
    </w:p>
    <w:p w14:paraId="39D4F68C" w14:textId="77777777" w:rsidR="00000000" w:rsidRDefault="00EE5306">
      <w:pPr>
        <w:ind w:firstLine="540"/>
        <w:jc w:val="both"/>
        <w:divId w:val="1225071444"/>
        <w:rPr>
          <w:rFonts w:eastAsia="Times New Roman"/>
        </w:rPr>
      </w:pPr>
      <w:r>
        <w:rPr>
          <w:rFonts w:eastAsia="Times New Roman"/>
          <w:i/>
          <w:iCs/>
          <w:color w:val="000000"/>
          <w:sz w:val="20"/>
          <w:szCs w:val="20"/>
        </w:rPr>
        <w:t>Ralph Lauren Home.</w:t>
      </w:r>
      <w:r>
        <w:rPr>
          <w:rFonts w:eastAsia="Times New Roman"/>
          <w:b/>
          <w:bCs/>
          <w:i/>
          <w:iCs/>
          <w:color w:val="000000"/>
          <w:sz w:val="20"/>
          <w:szCs w:val="20"/>
        </w:rPr>
        <w:t xml:space="preserve"> </w:t>
      </w:r>
      <w:r>
        <w:rPr>
          <w:rFonts w:eastAsia="Times New Roman"/>
          <w:color w:val="000000"/>
          <w:sz w:val="20"/>
          <w:szCs w:val="20"/>
        </w:rPr>
        <w:t>Ralph Lauren Home represents a full expression of modern luxury — style is a life well-lived. Based on an immersi</w:t>
      </w:r>
      <w:r>
        <w:rPr>
          <w:rFonts w:eastAsia="Times New Roman"/>
          <w:color w:val="000000"/>
          <w:sz w:val="20"/>
          <w:szCs w:val="20"/>
        </w:rPr>
        <w:t>ve design ethos, the collection includes furniture, lighting, bed and bath linens, tabletop, decorative accessories and gifts, as well as fabric, wallcoverings, and floorcoverings. Each piece is crafted with the greatest attention to detail. Ralph Lauren H</w:t>
      </w:r>
      <w:r>
        <w:rPr>
          <w:rFonts w:eastAsia="Times New Roman"/>
          <w:color w:val="000000"/>
          <w:sz w:val="20"/>
          <w:szCs w:val="20"/>
        </w:rPr>
        <w:t>ome offers exclusive luxury goods at select Ralph Lauren stores, home specialty stores, trade showrooms, and online at our Ralph Lauren digital commerce sites, including RalphLauren.com. The complete world of Ralph Lauren Home can be explored online at Ral</w:t>
      </w:r>
      <w:r>
        <w:rPr>
          <w:rFonts w:eastAsia="Times New Roman"/>
          <w:color w:val="000000"/>
          <w:sz w:val="20"/>
          <w:szCs w:val="20"/>
        </w:rPr>
        <w:t>phLaurenHome.com.</w:t>
      </w:r>
    </w:p>
    <w:p w14:paraId="3A032A4F" w14:textId="77777777" w:rsidR="00000000" w:rsidRDefault="00EE5306">
      <w:pPr>
        <w:ind w:firstLine="540"/>
        <w:jc w:val="both"/>
        <w:divId w:val="1900745549"/>
        <w:rPr>
          <w:rFonts w:eastAsia="Times New Roman"/>
        </w:rPr>
      </w:pPr>
      <w:r>
        <w:rPr>
          <w:rFonts w:eastAsia="Times New Roman"/>
          <w:i/>
          <w:iCs/>
          <w:color w:val="000000"/>
          <w:sz w:val="20"/>
          <w:szCs w:val="20"/>
        </w:rPr>
        <w:t xml:space="preserve">Ralph Lauren Watches and Fine Jewelry. </w:t>
      </w:r>
      <w:r>
        <w:rPr>
          <w:rFonts w:eastAsia="Times New Roman"/>
          <w:color w:val="000000"/>
          <w:sz w:val="20"/>
          <w:szCs w:val="20"/>
        </w:rPr>
        <w:t>We offer a premier collection of timepieces, which embody Ralph Lauren's passion for impeccable quality and exquisite design. We also offer premium collections of fine jewelry, which capture the glamour and craftsmanship of Ralph Lauren's most luxurious de</w:t>
      </w:r>
      <w:r>
        <w:rPr>
          <w:rFonts w:eastAsia="Times New Roman"/>
          <w:color w:val="000000"/>
          <w:sz w:val="20"/>
          <w:szCs w:val="20"/>
        </w:rPr>
        <w:t>signs. Ralph Lauren watches and fine jewelry are available at select Ralph Lauren stores and flagship locations around the world. A selection of watches is also available online at RalphLauren.com and the finest watch retailers.</w:t>
      </w:r>
    </w:p>
    <w:p w14:paraId="267ADD30" w14:textId="77777777" w:rsidR="00000000" w:rsidRDefault="00EE5306">
      <w:pPr>
        <w:ind w:hanging="360"/>
        <w:jc w:val="both"/>
        <w:divId w:val="79300441"/>
        <w:rPr>
          <w:rFonts w:eastAsia="Times New Roman"/>
        </w:rPr>
      </w:pPr>
      <w:r>
        <w:rPr>
          <w:rFonts w:eastAsia="Times New Roman"/>
          <w:b/>
          <w:bCs/>
          <w:color w:val="000000"/>
          <w:sz w:val="20"/>
          <w:szCs w:val="20"/>
        </w:rPr>
        <w:t>2.</w:t>
      </w:r>
      <w:r>
        <w:rPr>
          <w:rFonts w:eastAsia="Times New Roman"/>
          <w:b/>
          <w:bCs/>
          <w:i/>
          <w:iCs/>
          <w:color w:val="000000"/>
          <w:sz w:val="20"/>
          <w:szCs w:val="20"/>
        </w:rPr>
        <w:t xml:space="preserve">Polo Ralph Lauren </w:t>
      </w:r>
      <w:r>
        <w:rPr>
          <w:rFonts w:eastAsia="Times New Roman"/>
          <w:color w:val="000000"/>
          <w:sz w:val="20"/>
          <w:szCs w:val="20"/>
        </w:rPr>
        <w:t>— The P</w:t>
      </w:r>
      <w:r>
        <w:rPr>
          <w:rFonts w:eastAsia="Times New Roman"/>
          <w:color w:val="000000"/>
          <w:sz w:val="20"/>
          <w:szCs w:val="20"/>
        </w:rPr>
        <w:t>olo Ralph Lauren group includes:</w:t>
      </w:r>
    </w:p>
    <w:p w14:paraId="52842EA9" w14:textId="77777777" w:rsidR="00000000" w:rsidRDefault="00EE5306">
      <w:pPr>
        <w:ind w:firstLine="540"/>
        <w:jc w:val="both"/>
        <w:divId w:val="2028629505"/>
        <w:rPr>
          <w:rFonts w:eastAsia="Times New Roman"/>
        </w:rPr>
      </w:pPr>
      <w:r>
        <w:rPr>
          <w:rFonts w:eastAsia="Times New Roman"/>
          <w:i/>
          <w:iCs/>
          <w:color w:val="000000"/>
          <w:sz w:val="20"/>
          <w:szCs w:val="20"/>
        </w:rPr>
        <w:t xml:space="preserve">Polo Ralph Lauren. </w:t>
      </w:r>
      <w:r>
        <w:rPr>
          <w:rFonts w:eastAsia="Times New Roman"/>
          <w:color w:val="000000"/>
          <w:sz w:val="20"/>
          <w:szCs w:val="20"/>
        </w:rPr>
        <w:t xml:space="preserve">Men's Polo combines Ivy League classics and time-honored English haberdashery with downtown styles and all-American sporting looks in sportswear and tailored clothing. Women's Polo represents the epitome </w:t>
      </w:r>
      <w:r>
        <w:rPr>
          <w:rFonts w:eastAsia="Times New Roman"/>
          <w:color w:val="000000"/>
          <w:sz w:val="20"/>
          <w:szCs w:val="20"/>
        </w:rPr>
        <w:t>of classic and iconic American style with a modern and cool twist. Polo's signature aesthetic includes our renowned polo player logo. Polo Sport reflects the active lifestyle and youthful energy of Polo’s sporting roots through Men’s and Women’s activewear</w:t>
      </w:r>
      <w:r>
        <w:rPr>
          <w:rFonts w:eastAsia="Times New Roman"/>
          <w:color w:val="000000"/>
          <w:sz w:val="20"/>
          <w:szCs w:val="20"/>
        </w:rPr>
        <w:t xml:space="preserve">. Men's and Women's Polo apparel, footwear, and accessories are available in Polo and Ralph Lauren stores around the world, better department and specialty stores, and online at our Ralph Lauren digital commerce sites, including RalphLauren.com. </w:t>
      </w:r>
    </w:p>
    <w:p w14:paraId="33FEFA63" w14:textId="77777777" w:rsidR="00000000" w:rsidRDefault="00EE5306">
      <w:pPr>
        <w:ind w:firstLine="540"/>
        <w:jc w:val="both"/>
        <w:divId w:val="1193224646"/>
        <w:rPr>
          <w:rFonts w:eastAsia="Times New Roman"/>
        </w:rPr>
      </w:pPr>
      <w:r>
        <w:rPr>
          <w:rFonts w:eastAsia="Times New Roman"/>
          <w:i/>
          <w:iCs/>
          <w:color w:val="000000"/>
          <w:sz w:val="20"/>
          <w:szCs w:val="20"/>
        </w:rPr>
        <w:t>Polo Ralp</w:t>
      </w:r>
      <w:r>
        <w:rPr>
          <w:rFonts w:eastAsia="Times New Roman"/>
          <w:i/>
          <w:iCs/>
          <w:color w:val="000000"/>
          <w:sz w:val="20"/>
          <w:szCs w:val="20"/>
        </w:rPr>
        <w:t xml:space="preserve">h Lauren Children. </w:t>
      </w:r>
      <w:r>
        <w:rPr>
          <w:rFonts w:eastAsia="Times New Roman"/>
          <w:color w:val="000000"/>
          <w:sz w:val="20"/>
          <w:szCs w:val="20"/>
        </w:rPr>
        <w:t>Polo Ralph Lauren Children is designed to reflect the timeless heritage and modern spirit of Ralph Lauren's collections for men and women. Signature classics include iconic polo knit shirts and luxurious cashmere cable-knit sweaters. Pol</w:t>
      </w:r>
      <w:r>
        <w:rPr>
          <w:rFonts w:eastAsia="Times New Roman"/>
          <w:color w:val="000000"/>
          <w:sz w:val="20"/>
          <w:szCs w:val="20"/>
        </w:rPr>
        <w:t xml:space="preserve">o Ralph Lauren Children is available in a full range of sizes, from baby to girls 2-16 and boys 2-20. Polo Ralph Lauren Children can be found in select Polo and Ralph Lauren stores around the world, better department stores, and online at our Ralph Lauren </w:t>
      </w:r>
      <w:r>
        <w:rPr>
          <w:rFonts w:eastAsia="Times New Roman"/>
          <w:color w:val="000000"/>
          <w:sz w:val="20"/>
          <w:szCs w:val="20"/>
        </w:rPr>
        <w:t>digital commerce sites, including RalphLauren.com, as well as certain of our retailer partner digital commerce sites.</w:t>
      </w:r>
    </w:p>
    <w:p w14:paraId="57D87E82" w14:textId="77777777" w:rsidR="00000000" w:rsidRDefault="00EE5306">
      <w:pPr>
        <w:ind w:firstLine="540"/>
        <w:jc w:val="both"/>
        <w:divId w:val="426081888"/>
        <w:rPr>
          <w:rFonts w:eastAsia="Times New Roman"/>
        </w:rPr>
      </w:pPr>
      <w:r>
        <w:rPr>
          <w:rFonts w:eastAsia="Times New Roman"/>
          <w:i/>
          <w:iCs/>
          <w:color w:val="000000"/>
          <w:sz w:val="20"/>
          <w:szCs w:val="20"/>
        </w:rPr>
        <w:t xml:space="preserve">RLX Ralph Lauren. </w:t>
      </w:r>
      <w:r>
        <w:rPr>
          <w:rFonts w:eastAsia="Times New Roman"/>
          <w:color w:val="000000"/>
          <w:sz w:val="20"/>
          <w:szCs w:val="20"/>
        </w:rPr>
        <w:t>RLX is the leading edge of Ralph Lauren’s performance and activewear. Comprised of functional apparel that address the p</w:t>
      </w:r>
      <w:r>
        <w:rPr>
          <w:rFonts w:eastAsia="Times New Roman"/>
          <w:color w:val="000000"/>
          <w:sz w:val="20"/>
          <w:szCs w:val="20"/>
        </w:rPr>
        <w:t xml:space="preserve">erformance needs of a modern active lifestyle, RLX includes men's and women's apparel and accessories that represent Ralph Lauren's belief that things that are purposefully designed and made of the highest quality achieve a timeless elegance.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7F23C60E" w14:textId="77777777">
        <w:trPr>
          <w:divId w:val="1105346569"/>
          <w:jc w:val="center"/>
        </w:trPr>
        <w:tc>
          <w:tcPr>
            <w:tcW w:w="50" w:type="pct"/>
            <w:vAlign w:val="center"/>
            <w:hideMark/>
          </w:tcPr>
          <w:p w14:paraId="277A1333" w14:textId="77777777" w:rsidR="00000000" w:rsidRDefault="00EE5306">
            <w:pPr>
              <w:ind w:firstLine="540"/>
              <w:jc w:val="both"/>
              <w:rPr>
                <w:rFonts w:eastAsia="Times New Roman"/>
              </w:rPr>
            </w:pPr>
          </w:p>
        </w:tc>
        <w:tc>
          <w:tcPr>
            <w:tcW w:w="1699" w:type="pct"/>
            <w:vAlign w:val="center"/>
            <w:hideMark/>
          </w:tcPr>
          <w:p w14:paraId="113F5A6E" w14:textId="77777777" w:rsidR="00000000" w:rsidRDefault="00EE5306">
            <w:pPr>
              <w:spacing w:after="100"/>
              <w:rPr>
                <w:rFonts w:eastAsia="Times New Roman"/>
                <w:sz w:val="20"/>
                <w:szCs w:val="20"/>
              </w:rPr>
            </w:pPr>
          </w:p>
        </w:tc>
        <w:tc>
          <w:tcPr>
            <w:tcW w:w="5" w:type="pct"/>
            <w:vAlign w:val="center"/>
            <w:hideMark/>
          </w:tcPr>
          <w:p w14:paraId="467CEBB4" w14:textId="77777777" w:rsidR="00000000" w:rsidRDefault="00EE5306">
            <w:pPr>
              <w:spacing w:after="100"/>
              <w:rPr>
                <w:rFonts w:eastAsia="Times New Roman"/>
                <w:sz w:val="20"/>
                <w:szCs w:val="20"/>
              </w:rPr>
            </w:pPr>
          </w:p>
        </w:tc>
        <w:tc>
          <w:tcPr>
            <w:tcW w:w="50" w:type="pct"/>
            <w:vAlign w:val="center"/>
            <w:hideMark/>
          </w:tcPr>
          <w:p w14:paraId="416B25A4" w14:textId="77777777" w:rsidR="00000000" w:rsidRDefault="00EE5306">
            <w:pPr>
              <w:spacing w:after="100"/>
              <w:rPr>
                <w:rFonts w:eastAsia="Times New Roman"/>
                <w:sz w:val="20"/>
                <w:szCs w:val="20"/>
              </w:rPr>
            </w:pPr>
          </w:p>
        </w:tc>
        <w:tc>
          <w:tcPr>
            <w:tcW w:w="1436" w:type="pct"/>
            <w:vAlign w:val="center"/>
            <w:hideMark/>
          </w:tcPr>
          <w:p w14:paraId="468FE8D5" w14:textId="77777777" w:rsidR="00000000" w:rsidRDefault="00EE5306">
            <w:pPr>
              <w:spacing w:after="100"/>
              <w:rPr>
                <w:rFonts w:eastAsia="Times New Roman"/>
                <w:sz w:val="20"/>
                <w:szCs w:val="20"/>
              </w:rPr>
            </w:pPr>
          </w:p>
        </w:tc>
        <w:tc>
          <w:tcPr>
            <w:tcW w:w="5" w:type="pct"/>
            <w:vAlign w:val="center"/>
            <w:hideMark/>
          </w:tcPr>
          <w:p w14:paraId="19E40E92" w14:textId="77777777" w:rsidR="00000000" w:rsidRDefault="00EE5306">
            <w:pPr>
              <w:spacing w:after="100"/>
              <w:rPr>
                <w:rFonts w:eastAsia="Times New Roman"/>
                <w:sz w:val="20"/>
                <w:szCs w:val="20"/>
              </w:rPr>
            </w:pPr>
          </w:p>
        </w:tc>
        <w:tc>
          <w:tcPr>
            <w:tcW w:w="50" w:type="pct"/>
            <w:vAlign w:val="center"/>
            <w:hideMark/>
          </w:tcPr>
          <w:p w14:paraId="5D0FACB0" w14:textId="77777777" w:rsidR="00000000" w:rsidRDefault="00EE5306">
            <w:pPr>
              <w:spacing w:after="100"/>
              <w:rPr>
                <w:rFonts w:eastAsia="Times New Roman"/>
                <w:sz w:val="20"/>
                <w:szCs w:val="20"/>
              </w:rPr>
            </w:pPr>
          </w:p>
        </w:tc>
        <w:tc>
          <w:tcPr>
            <w:tcW w:w="1699" w:type="pct"/>
            <w:vAlign w:val="center"/>
            <w:hideMark/>
          </w:tcPr>
          <w:p w14:paraId="3D60B7E0" w14:textId="77777777" w:rsidR="00000000" w:rsidRDefault="00EE5306">
            <w:pPr>
              <w:spacing w:after="100"/>
              <w:rPr>
                <w:rFonts w:eastAsia="Times New Roman"/>
                <w:sz w:val="20"/>
                <w:szCs w:val="20"/>
              </w:rPr>
            </w:pPr>
          </w:p>
        </w:tc>
        <w:tc>
          <w:tcPr>
            <w:tcW w:w="5" w:type="pct"/>
            <w:vAlign w:val="center"/>
            <w:hideMark/>
          </w:tcPr>
          <w:p w14:paraId="427AE158" w14:textId="77777777" w:rsidR="00000000" w:rsidRDefault="00EE5306">
            <w:pPr>
              <w:spacing w:after="100"/>
              <w:rPr>
                <w:rFonts w:eastAsia="Times New Roman"/>
                <w:sz w:val="20"/>
                <w:szCs w:val="20"/>
              </w:rPr>
            </w:pPr>
          </w:p>
        </w:tc>
      </w:tr>
      <w:tr w:rsidR="00000000" w14:paraId="389E7D01" w14:textId="77777777">
        <w:trPr>
          <w:divId w:val="1105346569"/>
          <w:jc w:val="center"/>
        </w:trPr>
        <w:tc>
          <w:tcPr>
            <w:tcW w:w="0" w:type="auto"/>
            <w:gridSpan w:val="3"/>
            <w:tcMar>
              <w:top w:w="0" w:type="dxa"/>
              <w:left w:w="20" w:type="dxa"/>
              <w:bottom w:w="0" w:type="dxa"/>
              <w:right w:w="20" w:type="dxa"/>
            </w:tcMar>
            <w:vAlign w:val="center"/>
            <w:hideMark/>
          </w:tcPr>
          <w:p w14:paraId="1A72062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63557F" w14:textId="77777777" w:rsidR="00000000" w:rsidRDefault="00EE5306">
            <w:pPr>
              <w:spacing w:after="100"/>
              <w:jc w:val="center"/>
              <w:rPr>
                <w:rFonts w:eastAsia="Times New Roman"/>
              </w:rPr>
            </w:pPr>
            <w:r>
              <w:rPr>
                <w:rFonts w:eastAsia="Times New Roman"/>
                <w:color w:val="000000"/>
                <w:sz w:val="20"/>
                <w:szCs w:val="20"/>
              </w:rPr>
              <w:t>9</w:t>
            </w:r>
          </w:p>
        </w:tc>
        <w:tc>
          <w:tcPr>
            <w:tcW w:w="0" w:type="auto"/>
            <w:gridSpan w:val="3"/>
            <w:tcMar>
              <w:top w:w="0" w:type="dxa"/>
              <w:left w:w="20" w:type="dxa"/>
              <w:bottom w:w="0" w:type="dxa"/>
              <w:right w:w="20" w:type="dxa"/>
            </w:tcMar>
            <w:vAlign w:val="center"/>
            <w:hideMark/>
          </w:tcPr>
          <w:p w14:paraId="34D3B39E" w14:textId="77777777" w:rsidR="00000000" w:rsidRDefault="00EE5306">
            <w:pPr>
              <w:spacing w:after="100"/>
              <w:jc w:val="center"/>
              <w:rPr>
                <w:rFonts w:eastAsia="Times New Roman"/>
              </w:rPr>
            </w:pPr>
          </w:p>
        </w:tc>
      </w:tr>
    </w:tbl>
    <w:p w14:paraId="332E6994" w14:textId="77777777" w:rsidR="00000000" w:rsidRDefault="00EE5306">
      <w:pPr>
        <w:rPr>
          <w:rFonts w:eastAsia="Times New Roman"/>
        </w:rPr>
      </w:pPr>
      <w:r>
        <w:rPr>
          <w:rFonts w:eastAsia="Times New Roman"/>
        </w:rPr>
        <w:pict w14:anchorId="136B33A6">
          <v:rect id="_x0000_i1035" style="width:0;height:1.5pt" o:hralign="center" o:hrstd="t" o:hr="t" fillcolor="#a0a0a0" stroked="f"/>
        </w:pict>
      </w:r>
    </w:p>
    <w:p w14:paraId="169520EB" w14:textId="77777777" w:rsidR="00000000" w:rsidRDefault="00EE5306">
      <w:pPr>
        <w:divId w:val="1407537741"/>
        <w:rPr>
          <w:rFonts w:eastAsia="Times New Roman"/>
        </w:rPr>
      </w:pPr>
    </w:p>
    <w:p w14:paraId="721C9C27" w14:textId="77777777" w:rsidR="00000000" w:rsidRDefault="00EE5306">
      <w:pPr>
        <w:ind w:firstLine="540"/>
        <w:jc w:val="both"/>
        <w:divId w:val="1591236096"/>
        <w:rPr>
          <w:rFonts w:eastAsia="Times New Roman"/>
        </w:rPr>
      </w:pPr>
      <w:r>
        <w:rPr>
          <w:rFonts w:eastAsia="Times New Roman"/>
          <w:i/>
          <w:iCs/>
          <w:color w:val="000000"/>
          <w:sz w:val="20"/>
          <w:szCs w:val="20"/>
        </w:rPr>
        <w:t xml:space="preserve">Polo Golf Ralph Lauren, Ralph Lauren Golf, and RLX Ralph Lauren Golf. </w:t>
      </w:r>
      <w:r>
        <w:rPr>
          <w:rFonts w:eastAsia="Times New Roman"/>
          <w:color w:val="000000"/>
          <w:sz w:val="20"/>
          <w:szCs w:val="20"/>
        </w:rPr>
        <w:t>Tested and worn by top-ranked professional golfers, Polo Golf Ralph Lauren, Ralph Lauren Golf, and RLX Ralph Lauren for men and women define excelle</w:t>
      </w:r>
      <w:r>
        <w:rPr>
          <w:rFonts w:eastAsia="Times New Roman"/>
          <w:color w:val="000000"/>
          <w:sz w:val="20"/>
          <w:szCs w:val="20"/>
        </w:rPr>
        <w:t>nce in the world of golf. With a sharpened focus on the needs of the modern player but rooted in the rich design tradition of Ralph Lauren, the Golf collections combine state-of-the-art performance wear with luxurious finishing touches. Our Golf collection</w:t>
      </w:r>
      <w:r>
        <w:rPr>
          <w:rFonts w:eastAsia="Times New Roman"/>
          <w:color w:val="000000"/>
          <w:sz w:val="20"/>
          <w:szCs w:val="20"/>
        </w:rPr>
        <w:t>s are available in select Polo stores, exclusive private clubs and resorts, and online at RalphLauren.com.</w:t>
      </w:r>
    </w:p>
    <w:p w14:paraId="4E9F7AA1" w14:textId="77777777" w:rsidR="00000000" w:rsidRDefault="00EE5306">
      <w:pPr>
        <w:ind w:firstLine="540"/>
        <w:jc w:val="both"/>
        <w:divId w:val="1339040442"/>
        <w:rPr>
          <w:rFonts w:eastAsia="Times New Roman"/>
        </w:rPr>
      </w:pPr>
      <w:r>
        <w:rPr>
          <w:rFonts w:eastAsia="Times New Roman"/>
          <w:i/>
          <w:iCs/>
          <w:color w:val="000000"/>
          <w:sz w:val="20"/>
          <w:szCs w:val="20"/>
        </w:rPr>
        <w:t xml:space="preserve">Pink Pony. </w:t>
      </w:r>
      <w:r>
        <w:rPr>
          <w:rFonts w:eastAsia="Times New Roman"/>
          <w:color w:val="000000"/>
          <w:sz w:val="20"/>
          <w:szCs w:val="20"/>
        </w:rPr>
        <w:t>Established in 2000, the Pink Pony campaign is our worldwide initiative in the fight against cancer. In the U.S., a percentage of sales fr</w:t>
      </w:r>
      <w:r>
        <w:rPr>
          <w:rFonts w:eastAsia="Times New Roman"/>
          <w:color w:val="000000"/>
          <w:sz w:val="20"/>
          <w:szCs w:val="20"/>
        </w:rPr>
        <w:t>om Pink Pony products benefit the Pink Pony Fund of the Ralph Lauren Corporate Foundation (formerly known as the Polo Ralph Lauren Foundation), which supports programs for early diagnosis, education, treatment, and research, and is dedicated to bringing pa</w:t>
      </w:r>
      <w:r>
        <w:rPr>
          <w:rFonts w:eastAsia="Times New Roman"/>
          <w:color w:val="000000"/>
          <w:sz w:val="20"/>
          <w:szCs w:val="20"/>
        </w:rPr>
        <w:t xml:space="preserve">tient navigation and quality cancer care to medically underserved communities. Internationally, a network of local cancer charities around the world benefit from the sale of Pink Pony products. Pink Pony consists of dual gender sportswear and accessories. </w:t>
      </w:r>
      <w:r>
        <w:rPr>
          <w:rFonts w:eastAsia="Times New Roman"/>
          <w:color w:val="000000"/>
          <w:sz w:val="20"/>
          <w:szCs w:val="20"/>
        </w:rPr>
        <w:t>Pink Pony items feature our iconic pink polo player – a symbol of our commitment to the fight against cancer. Pink Pony is available at select Polo and Ralph Lauren stores and online at our Ralph Lauren digital commerce sites, including RalphLauren.com. Pi</w:t>
      </w:r>
      <w:r>
        <w:rPr>
          <w:rFonts w:eastAsia="Times New Roman"/>
          <w:color w:val="000000"/>
          <w:sz w:val="20"/>
          <w:szCs w:val="20"/>
        </w:rPr>
        <w:t>nk Pony is also available at select Macy's stores and online at Macys.com.</w:t>
      </w:r>
    </w:p>
    <w:p w14:paraId="57305312" w14:textId="77777777" w:rsidR="00000000" w:rsidRDefault="00EE5306">
      <w:pPr>
        <w:ind w:hanging="360"/>
        <w:jc w:val="both"/>
        <w:divId w:val="1334141544"/>
        <w:rPr>
          <w:rFonts w:eastAsia="Times New Roman"/>
        </w:rPr>
      </w:pPr>
      <w:r>
        <w:rPr>
          <w:rFonts w:eastAsia="Times New Roman"/>
          <w:b/>
          <w:bCs/>
          <w:color w:val="000000"/>
          <w:sz w:val="20"/>
          <w:szCs w:val="20"/>
        </w:rPr>
        <w:t>3.</w:t>
      </w:r>
      <w:r>
        <w:rPr>
          <w:rFonts w:eastAsia="Times New Roman"/>
          <w:b/>
          <w:bCs/>
          <w:i/>
          <w:iCs/>
          <w:color w:val="000000"/>
          <w:sz w:val="20"/>
          <w:szCs w:val="20"/>
        </w:rPr>
        <w:t xml:space="preserve">Lauren Ralph Lauren </w:t>
      </w:r>
      <w:r>
        <w:rPr>
          <w:rFonts w:eastAsia="Times New Roman"/>
          <w:color w:val="000000"/>
          <w:sz w:val="20"/>
          <w:szCs w:val="20"/>
        </w:rPr>
        <w:t>— Our Lauren group includes:</w:t>
      </w:r>
    </w:p>
    <w:p w14:paraId="73EFB88C" w14:textId="77777777" w:rsidR="00000000" w:rsidRDefault="00EE5306">
      <w:pPr>
        <w:ind w:firstLine="540"/>
        <w:jc w:val="both"/>
        <w:divId w:val="1208029104"/>
        <w:rPr>
          <w:rFonts w:eastAsia="Times New Roman"/>
        </w:rPr>
      </w:pPr>
      <w:r>
        <w:rPr>
          <w:rFonts w:eastAsia="Times New Roman"/>
          <w:i/>
          <w:iCs/>
          <w:color w:val="000000"/>
          <w:sz w:val="20"/>
          <w:szCs w:val="20"/>
        </w:rPr>
        <w:t xml:space="preserve">Lauren Ralph Lauren. </w:t>
      </w:r>
      <w:r>
        <w:rPr>
          <w:rFonts w:eastAsia="Times New Roman"/>
          <w:color w:val="000000"/>
          <w:sz w:val="20"/>
          <w:szCs w:val="20"/>
        </w:rPr>
        <w:t>Lauren for women combines aspirational timeless style with modern femininity in a lifestyle collection of sportswear, denim, and dresses, as well as footwear and accessories. Lauren for women is available in select department stores around the world and on</w:t>
      </w:r>
      <w:r>
        <w:rPr>
          <w:rFonts w:eastAsia="Times New Roman"/>
          <w:color w:val="000000"/>
          <w:sz w:val="20"/>
          <w:szCs w:val="20"/>
        </w:rPr>
        <w:t>line at select digital commerce sites, including RalphLauren.com. Lauren for men offers a complete collection of men's tailored clothing, including suits, sport coats, dress shirts, dress pants, tuxedos, topcoats, and ties at a more accessible price point.</w:t>
      </w:r>
      <w:r>
        <w:rPr>
          <w:rFonts w:eastAsia="Times New Roman"/>
          <w:color w:val="000000"/>
          <w:sz w:val="20"/>
          <w:szCs w:val="20"/>
        </w:rPr>
        <w:t xml:space="preserve"> Lauren for men is available at select department stores in North America and Europe.</w:t>
      </w:r>
    </w:p>
    <w:p w14:paraId="4E87B8FC" w14:textId="77777777" w:rsidR="00000000" w:rsidRDefault="00EE5306">
      <w:pPr>
        <w:ind w:firstLine="540"/>
        <w:jc w:val="both"/>
        <w:divId w:val="1289556181"/>
        <w:rPr>
          <w:rFonts w:eastAsia="Times New Roman"/>
        </w:rPr>
      </w:pPr>
      <w:r>
        <w:rPr>
          <w:rFonts w:eastAsia="Times New Roman"/>
          <w:i/>
          <w:iCs/>
          <w:color w:val="000000"/>
          <w:sz w:val="20"/>
          <w:szCs w:val="20"/>
        </w:rPr>
        <w:t>Lauren Home.</w:t>
      </w:r>
      <w:r>
        <w:rPr>
          <w:rFonts w:eastAsia="Times New Roman"/>
          <w:color w:val="000000"/>
          <w:sz w:val="20"/>
          <w:szCs w:val="20"/>
        </w:rPr>
        <w:t xml:space="preserve"> Launched in 2017, the Lauren Home collection includes accessibly-priced, timeless bath and bedding designs, updated with a fresh, modern spirit. The collecti</w:t>
      </w:r>
      <w:r>
        <w:rPr>
          <w:rFonts w:eastAsia="Times New Roman"/>
          <w:color w:val="000000"/>
          <w:sz w:val="20"/>
          <w:szCs w:val="20"/>
        </w:rPr>
        <w:t>on is built upon an assortment of essentials that is designed to be periodically augmented with trend-relevant colors and patterns.</w:t>
      </w:r>
    </w:p>
    <w:p w14:paraId="47D08B91" w14:textId="77777777" w:rsidR="00000000" w:rsidRDefault="00EE5306">
      <w:pPr>
        <w:ind w:hanging="360"/>
        <w:jc w:val="both"/>
        <w:divId w:val="1290011824"/>
        <w:rPr>
          <w:rFonts w:eastAsia="Times New Roman"/>
        </w:rPr>
      </w:pPr>
      <w:r>
        <w:rPr>
          <w:rFonts w:eastAsia="Times New Roman"/>
          <w:b/>
          <w:bCs/>
          <w:color w:val="000000"/>
          <w:sz w:val="20"/>
          <w:szCs w:val="20"/>
        </w:rPr>
        <w:t>4.</w:t>
      </w:r>
      <w:r>
        <w:rPr>
          <w:rFonts w:eastAsia="Times New Roman"/>
          <w:b/>
          <w:bCs/>
          <w:i/>
          <w:iCs/>
          <w:color w:val="000000"/>
          <w:sz w:val="20"/>
          <w:szCs w:val="20"/>
        </w:rPr>
        <w:t xml:space="preserve">Chaps </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Launched in 1978, Chaps celebrates real American style, delivering classic collections updated for modern lifestyl</w:t>
      </w:r>
      <w:r>
        <w:rPr>
          <w:rFonts w:eastAsia="Times New Roman"/>
          <w:color w:val="000000"/>
          <w:sz w:val="20"/>
          <w:szCs w:val="20"/>
        </w:rPr>
        <w:t>es for men, women, children and home. The modern lifestyle collection offers versatile sportswear, workday essentials, tailored clothing, and occasion dresses that are wearable from season to season. Chaps is available in select department stores and retai</w:t>
      </w:r>
      <w:r>
        <w:rPr>
          <w:rFonts w:eastAsia="Times New Roman"/>
          <w:color w:val="000000"/>
          <w:sz w:val="20"/>
          <w:szCs w:val="20"/>
        </w:rPr>
        <w:t xml:space="preserve">l partner digital commerce sites across the U.S., Canada, Mexico, and China. Refer to </w:t>
      </w:r>
      <w:r>
        <w:rPr>
          <w:rFonts w:eastAsia="Times New Roman"/>
          <w:i/>
          <w:iCs/>
          <w:color w:val="000000"/>
          <w:sz w:val="20"/>
          <w:szCs w:val="20"/>
        </w:rPr>
        <w:t>"Recent Developments"</w:t>
      </w:r>
      <w:r>
        <w:rPr>
          <w:rFonts w:eastAsia="Times New Roman"/>
          <w:color w:val="000000"/>
          <w:sz w:val="20"/>
          <w:szCs w:val="20"/>
        </w:rPr>
        <w:t xml:space="preserve"> for discussion regarding the planned transition of our Chaps brand to a fully licensed business model. </w:t>
      </w:r>
    </w:p>
    <w:p w14:paraId="2687025C" w14:textId="77777777" w:rsidR="00000000" w:rsidRDefault="00EE5306">
      <w:pPr>
        <w:ind w:hanging="360"/>
        <w:jc w:val="both"/>
        <w:divId w:val="1252202121"/>
        <w:rPr>
          <w:rFonts w:eastAsia="Times New Roman"/>
        </w:rPr>
      </w:pPr>
      <w:r>
        <w:rPr>
          <w:rFonts w:eastAsia="Times New Roman"/>
          <w:b/>
          <w:bCs/>
          <w:color w:val="000000"/>
          <w:sz w:val="20"/>
          <w:szCs w:val="20"/>
        </w:rPr>
        <w:t>5.</w:t>
      </w:r>
      <w:r>
        <w:rPr>
          <w:rFonts w:eastAsia="Times New Roman"/>
          <w:b/>
          <w:bCs/>
          <w:i/>
          <w:iCs/>
          <w:color w:val="000000"/>
          <w:sz w:val="20"/>
          <w:szCs w:val="20"/>
        </w:rPr>
        <w:t xml:space="preserve">Club Monaco </w:t>
      </w:r>
      <w:r>
        <w:rPr>
          <w:rFonts w:eastAsia="Times New Roman"/>
          <w:color w:val="000000"/>
          <w:sz w:val="20"/>
          <w:szCs w:val="20"/>
        </w:rPr>
        <w:t>— Founded in 1985, Club Monaco</w:t>
      </w:r>
      <w:r>
        <w:rPr>
          <w:rFonts w:eastAsia="Times New Roman"/>
          <w:color w:val="000000"/>
          <w:sz w:val="20"/>
          <w:szCs w:val="20"/>
        </w:rPr>
        <w:t xml:space="preserve"> is a modern, urban-minded brand with an element of ease and a spark of entrepreneurship. The brand prides itself on creating elevated essentials recognized for their style, design, fit, and functionality with a relaxed, of-the-moment sensibility. Club Mon</w:t>
      </w:r>
      <w:r>
        <w:rPr>
          <w:rFonts w:eastAsia="Times New Roman"/>
          <w:color w:val="000000"/>
          <w:sz w:val="20"/>
          <w:szCs w:val="20"/>
        </w:rPr>
        <w:t xml:space="preserve">aco apparel, footwear, and accessories are available at Club Monaco stores and select department stores in North America and around the world, as well as online at ClubMonaco.com and ClubMonaco.ca. Refer to </w:t>
      </w:r>
      <w:r>
        <w:rPr>
          <w:rFonts w:eastAsia="Times New Roman"/>
          <w:i/>
          <w:iCs/>
          <w:color w:val="000000"/>
          <w:sz w:val="20"/>
          <w:szCs w:val="20"/>
        </w:rPr>
        <w:t>"Recent Developments"</w:t>
      </w:r>
      <w:r>
        <w:rPr>
          <w:rFonts w:eastAsia="Times New Roman"/>
          <w:color w:val="000000"/>
          <w:sz w:val="20"/>
          <w:szCs w:val="20"/>
        </w:rPr>
        <w:t xml:space="preserve"> for discussion regarding th</w:t>
      </w:r>
      <w:r>
        <w:rPr>
          <w:rFonts w:eastAsia="Times New Roman"/>
          <w:color w:val="000000"/>
          <w:sz w:val="20"/>
          <w:szCs w:val="20"/>
        </w:rPr>
        <w:t>e anticipated sale of our Club Monaco business, which is expected to close by the end of the first quarter of Fiscal 2022.</w:t>
      </w:r>
    </w:p>
    <w:p w14:paraId="24723E3E" w14:textId="77777777" w:rsidR="00000000" w:rsidRDefault="00EE5306">
      <w:pPr>
        <w:jc w:val="center"/>
        <w:divId w:val="298728773"/>
        <w:rPr>
          <w:rFonts w:eastAsia="Times New Roman"/>
        </w:rPr>
      </w:pPr>
      <w:r>
        <w:rPr>
          <w:rFonts w:eastAsia="Times New Roman"/>
          <w:b/>
          <w:bCs/>
          <w:color w:val="000000"/>
          <w:sz w:val="20"/>
          <w:szCs w:val="20"/>
        </w:rPr>
        <w:t>Our Segments</w:t>
      </w:r>
    </w:p>
    <w:p w14:paraId="4DCA9A8D" w14:textId="77777777" w:rsidR="00000000" w:rsidRDefault="00EE5306">
      <w:pPr>
        <w:ind w:firstLine="540"/>
        <w:jc w:val="both"/>
        <w:divId w:val="427192702"/>
        <w:rPr>
          <w:rFonts w:eastAsia="Times New Roman"/>
        </w:rPr>
      </w:pPr>
      <w:r>
        <w:rPr>
          <w:rFonts w:eastAsia="Times New Roman"/>
          <w:color w:val="000000"/>
          <w:sz w:val="20"/>
          <w:szCs w:val="20"/>
        </w:rPr>
        <w:t>We organize our business into the following three reportable segments:</w:t>
      </w:r>
    </w:p>
    <w:p w14:paraId="7097FEBE" w14:textId="77777777" w:rsidR="00000000" w:rsidRDefault="00EE5306">
      <w:pPr>
        <w:ind w:hanging="360"/>
        <w:jc w:val="both"/>
        <w:divId w:val="148182707"/>
        <w:rPr>
          <w:rFonts w:eastAsia="Times New Roman"/>
        </w:rPr>
      </w:pPr>
      <w:r>
        <w:rPr>
          <w:rFonts w:eastAsia="Times New Roman"/>
          <w:color w:val="000000"/>
          <w:sz w:val="20"/>
          <w:szCs w:val="20"/>
        </w:rPr>
        <w:t>•</w:t>
      </w:r>
      <w:r>
        <w:rPr>
          <w:rFonts w:eastAsia="Times New Roman"/>
          <w:i/>
          <w:iCs/>
          <w:color w:val="000000"/>
          <w:sz w:val="20"/>
          <w:szCs w:val="20"/>
        </w:rPr>
        <w:t>North America</w:t>
      </w:r>
      <w:r>
        <w:rPr>
          <w:rFonts w:eastAsia="Times New Roman"/>
          <w:color w:val="000000"/>
          <w:sz w:val="20"/>
          <w:szCs w:val="20"/>
        </w:rPr>
        <w:t xml:space="preserve"> — Our North America segment, repre</w:t>
      </w:r>
      <w:r>
        <w:rPr>
          <w:rFonts w:eastAsia="Times New Roman"/>
          <w:color w:val="000000"/>
          <w:sz w:val="20"/>
          <w:szCs w:val="20"/>
        </w:rPr>
        <w:t>senting approximately 45% of our Fiscal 2021 net revenues, primarily consists of sales of our Ralph Lauren branded apparel, footwear, accessories, home furnishings, and related products made through our retail and wholesale businesses in the U.S. and Canad</w:t>
      </w:r>
      <w:r>
        <w:rPr>
          <w:rFonts w:eastAsia="Times New Roman"/>
          <w:color w:val="000000"/>
          <w:sz w:val="20"/>
          <w:szCs w:val="20"/>
        </w:rPr>
        <w:t>a, excluding Club Monaco. In North America, our retail business is primarily comprised of our Ralph Lauren stores, our factory stores, and our digital commerce site, www.RalphLauren.com. Our wholesale business in North America is comprised primarily of sal</w:t>
      </w:r>
      <w:r>
        <w:rPr>
          <w:rFonts w:eastAsia="Times New Roman"/>
          <w:color w:val="000000"/>
          <w:sz w:val="20"/>
          <w:szCs w:val="20"/>
        </w:rPr>
        <w:t xml:space="preserve">es to department stores, and to a lesser extent, specialty stores. </w:t>
      </w:r>
    </w:p>
    <w:p w14:paraId="1214B1F7" w14:textId="77777777" w:rsidR="00000000" w:rsidRDefault="00EE5306">
      <w:pPr>
        <w:ind w:hanging="360"/>
        <w:jc w:val="both"/>
        <w:divId w:val="1381712140"/>
        <w:rPr>
          <w:rFonts w:eastAsia="Times New Roman"/>
        </w:rPr>
      </w:pPr>
      <w:r>
        <w:rPr>
          <w:rFonts w:eastAsia="Times New Roman"/>
          <w:i/>
          <w:iCs/>
          <w:color w:val="000000"/>
          <w:sz w:val="20"/>
          <w:szCs w:val="20"/>
        </w:rPr>
        <w:t xml:space="preserve">•Europe </w:t>
      </w:r>
      <w:r>
        <w:rPr>
          <w:rFonts w:eastAsia="Times New Roman"/>
          <w:color w:val="000000"/>
          <w:sz w:val="20"/>
          <w:szCs w:val="20"/>
        </w:rPr>
        <w:t>— Our Europe segment, representing approximately 27% of our Fiscal 2021 net revenues, primarily consists of sales of our Ralph Lauren branded apparel, footwear, accessories, home f</w:t>
      </w:r>
      <w:r>
        <w:rPr>
          <w:rFonts w:eastAsia="Times New Roman"/>
          <w:color w:val="000000"/>
          <w:sz w:val="20"/>
          <w:szCs w:val="20"/>
        </w:rPr>
        <w:t>urnishings, and related products made through our retail and wholesale businesses in Europe, the Middle East, and Latin America, excluding Club Monaco. In Europe, our retail business is primarily comprised of our Ralph Lauren stores, our factory stores, ou</w:t>
      </w:r>
      <w:r>
        <w:rPr>
          <w:rFonts w:eastAsia="Times New Roman"/>
          <w:color w:val="000000"/>
          <w:sz w:val="20"/>
          <w:szCs w:val="20"/>
        </w:rPr>
        <w:t xml:space="preserve">r concession-based shop-within-shops, and our various digital commerce sites. Our wholesale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650D67E" w14:textId="77777777">
        <w:trPr>
          <w:divId w:val="796144128"/>
          <w:jc w:val="center"/>
        </w:trPr>
        <w:tc>
          <w:tcPr>
            <w:tcW w:w="50" w:type="pct"/>
            <w:vAlign w:val="center"/>
            <w:hideMark/>
          </w:tcPr>
          <w:p w14:paraId="3EFC1CC8" w14:textId="77777777" w:rsidR="00000000" w:rsidRDefault="00EE5306">
            <w:pPr>
              <w:ind w:hanging="360"/>
              <w:jc w:val="both"/>
              <w:rPr>
                <w:rFonts w:eastAsia="Times New Roman"/>
              </w:rPr>
            </w:pPr>
          </w:p>
        </w:tc>
        <w:tc>
          <w:tcPr>
            <w:tcW w:w="1699" w:type="pct"/>
            <w:vAlign w:val="center"/>
            <w:hideMark/>
          </w:tcPr>
          <w:p w14:paraId="68E90C81" w14:textId="77777777" w:rsidR="00000000" w:rsidRDefault="00EE5306">
            <w:pPr>
              <w:spacing w:after="100"/>
              <w:rPr>
                <w:rFonts w:eastAsia="Times New Roman"/>
                <w:sz w:val="20"/>
                <w:szCs w:val="20"/>
              </w:rPr>
            </w:pPr>
          </w:p>
        </w:tc>
        <w:tc>
          <w:tcPr>
            <w:tcW w:w="5" w:type="pct"/>
            <w:vAlign w:val="center"/>
            <w:hideMark/>
          </w:tcPr>
          <w:p w14:paraId="4F91A7A0" w14:textId="77777777" w:rsidR="00000000" w:rsidRDefault="00EE5306">
            <w:pPr>
              <w:spacing w:after="100"/>
              <w:rPr>
                <w:rFonts w:eastAsia="Times New Roman"/>
                <w:sz w:val="20"/>
                <w:szCs w:val="20"/>
              </w:rPr>
            </w:pPr>
          </w:p>
        </w:tc>
        <w:tc>
          <w:tcPr>
            <w:tcW w:w="50" w:type="pct"/>
            <w:vAlign w:val="center"/>
            <w:hideMark/>
          </w:tcPr>
          <w:p w14:paraId="21D87B25" w14:textId="77777777" w:rsidR="00000000" w:rsidRDefault="00EE5306">
            <w:pPr>
              <w:spacing w:after="100"/>
              <w:rPr>
                <w:rFonts w:eastAsia="Times New Roman"/>
                <w:sz w:val="20"/>
                <w:szCs w:val="20"/>
              </w:rPr>
            </w:pPr>
          </w:p>
        </w:tc>
        <w:tc>
          <w:tcPr>
            <w:tcW w:w="1436" w:type="pct"/>
            <w:vAlign w:val="center"/>
            <w:hideMark/>
          </w:tcPr>
          <w:p w14:paraId="08F90200" w14:textId="77777777" w:rsidR="00000000" w:rsidRDefault="00EE5306">
            <w:pPr>
              <w:spacing w:after="100"/>
              <w:rPr>
                <w:rFonts w:eastAsia="Times New Roman"/>
                <w:sz w:val="20"/>
                <w:szCs w:val="20"/>
              </w:rPr>
            </w:pPr>
          </w:p>
        </w:tc>
        <w:tc>
          <w:tcPr>
            <w:tcW w:w="5" w:type="pct"/>
            <w:vAlign w:val="center"/>
            <w:hideMark/>
          </w:tcPr>
          <w:p w14:paraId="53CE7F62" w14:textId="77777777" w:rsidR="00000000" w:rsidRDefault="00EE5306">
            <w:pPr>
              <w:spacing w:after="100"/>
              <w:rPr>
                <w:rFonts w:eastAsia="Times New Roman"/>
                <w:sz w:val="20"/>
                <w:szCs w:val="20"/>
              </w:rPr>
            </w:pPr>
          </w:p>
        </w:tc>
        <w:tc>
          <w:tcPr>
            <w:tcW w:w="50" w:type="pct"/>
            <w:vAlign w:val="center"/>
            <w:hideMark/>
          </w:tcPr>
          <w:p w14:paraId="33F9B416" w14:textId="77777777" w:rsidR="00000000" w:rsidRDefault="00EE5306">
            <w:pPr>
              <w:spacing w:after="100"/>
              <w:rPr>
                <w:rFonts w:eastAsia="Times New Roman"/>
                <w:sz w:val="20"/>
                <w:szCs w:val="20"/>
              </w:rPr>
            </w:pPr>
          </w:p>
        </w:tc>
        <w:tc>
          <w:tcPr>
            <w:tcW w:w="1699" w:type="pct"/>
            <w:vAlign w:val="center"/>
            <w:hideMark/>
          </w:tcPr>
          <w:p w14:paraId="0D7E6F89" w14:textId="77777777" w:rsidR="00000000" w:rsidRDefault="00EE5306">
            <w:pPr>
              <w:spacing w:after="100"/>
              <w:rPr>
                <w:rFonts w:eastAsia="Times New Roman"/>
                <w:sz w:val="20"/>
                <w:szCs w:val="20"/>
              </w:rPr>
            </w:pPr>
          </w:p>
        </w:tc>
        <w:tc>
          <w:tcPr>
            <w:tcW w:w="5" w:type="pct"/>
            <w:vAlign w:val="center"/>
            <w:hideMark/>
          </w:tcPr>
          <w:p w14:paraId="46898F72" w14:textId="77777777" w:rsidR="00000000" w:rsidRDefault="00EE5306">
            <w:pPr>
              <w:spacing w:after="100"/>
              <w:rPr>
                <w:rFonts w:eastAsia="Times New Roman"/>
                <w:sz w:val="20"/>
                <w:szCs w:val="20"/>
              </w:rPr>
            </w:pPr>
          </w:p>
        </w:tc>
      </w:tr>
      <w:tr w:rsidR="00000000" w14:paraId="636117D4" w14:textId="77777777">
        <w:trPr>
          <w:divId w:val="796144128"/>
          <w:jc w:val="center"/>
        </w:trPr>
        <w:tc>
          <w:tcPr>
            <w:tcW w:w="0" w:type="auto"/>
            <w:gridSpan w:val="3"/>
            <w:tcMar>
              <w:top w:w="0" w:type="dxa"/>
              <w:left w:w="20" w:type="dxa"/>
              <w:bottom w:w="0" w:type="dxa"/>
              <w:right w:w="20" w:type="dxa"/>
            </w:tcMar>
            <w:vAlign w:val="center"/>
            <w:hideMark/>
          </w:tcPr>
          <w:p w14:paraId="06415D98"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4B03E14" w14:textId="77777777" w:rsidR="00000000" w:rsidRDefault="00EE5306">
            <w:pPr>
              <w:spacing w:after="100"/>
              <w:jc w:val="center"/>
              <w:rPr>
                <w:rFonts w:eastAsia="Times New Roman"/>
              </w:rPr>
            </w:pPr>
            <w:r>
              <w:rPr>
                <w:rFonts w:eastAsia="Times New Roman"/>
                <w:color w:val="000000"/>
                <w:sz w:val="20"/>
                <w:szCs w:val="20"/>
              </w:rPr>
              <w:t>10</w:t>
            </w:r>
          </w:p>
        </w:tc>
        <w:tc>
          <w:tcPr>
            <w:tcW w:w="0" w:type="auto"/>
            <w:gridSpan w:val="3"/>
            <w:tcMar>
              <w:top w:w="0" w:type="dxa"/>
              <w:left w:w="20" w:type="dxa"/>
              <w:bottom w:w="0" w:type="dxa"/>
              <w:right w:w="20" w:type="dxa"/>
            </w:tcMar>
            <w:vAlign w:val="center"/>
            <w:hideMark/>
          </w:tcPr>
          <w:p w14:paraId="484A3F09" w14:textId="77777777" w:rsidR="00000000" w:rsidRDefault="00EE5306">
            <w:pPr>
              <w:spacing w:after="100"/>
              <w:jc w:val="center"/>
              <w:rPr>
                <w:rFonts w:eastAsia="Times New Roman"/>
              </w:rPr>
            </w:pPr>
          </w:p>
        </w:tc>
      </w:tr>
    </w:tbl>
    <w:p w14:paraId="1EDC1EDF" w14:textId="77777777" w:rsidR="00000000" w:rsidRDefault="00EE5306">
      <w:pPr>
        <w:rPr>
          <w:rFonts w:eastAsia="Times New Roman"/>
        </w:rPr>
      </w:pPr>
      <w:r>
        <w:rPr>
          <w:rFonts w:eastAsia="Times New Roman"/>
        </w:rPr>
        <w:pict w14:anchorId="12A91012">
          <v:rect id="_x0000_i1036" style="width:0;height:1.5pt" o:hralign="center" o:hrstd="t" o:hr="t" fillcolor="#a0a0a0" stroked="f"/>
        </w:pict>
      </w:r>
    </w:p>
    <w:p w14:paraId="7D991857" w14:textId="77777777" w:rsidR="00000000" w:rsidRDefault="00EE5306">
      <w:pPr>
        <w:divId w:val="1780371583"/>
        <w:rPr>
          <w:rFonts w:eastAsia="Times New Roman"/>
        </w:rPr>
      </w:pPr>
    </w:p>
    <w:p w14:paraId="7547BECF" w14:textId="77777777" w:rsidR="00000000" w:rsidRDefault="00EE5306">
      <w:pPr>
        <w:jc w:val="both"/>
        <w:divId w:val="659116749"/>
        <w:rPr>
          <w:rFonts w:eastAsia="Times New Roman"/>
        </w:rPr>
      </w:pPr>
      <w:r>
        <w:rPr>
          <w:rFonts w:eastAsia="Times New Roman"/>
          <w:color w:val="000000"/>
          <w:sz w:val="20"/>
          <w:szCs w:val="20"/>
        </w:rPr>
        <w:t>business in Europe is comprised of a varying mix of sales to both department stores and specialty stores, depending on the country, as well as to various third-party digital partners.</w:t>
      </w:r>
    </w:p>
    <w:p w14:paraId="5C6FF91E" w14:textId="77777777" w:rsidR="00000000" w:rsidRDefault="00EE5306">
      <w:pPr>
        <w:ind w:hanging="360"/>
        <w:jc w:val="both"/>
        <w:divId w:val="295381234"/>
        <w:rPr>
          <w:rFonts w:eastAsia="Times New Roman"/>
        </w:rPr>
      </w:pPr>
      <w:r>
        <w:rPr>
          <w:rFonts w:eastAsia="Times New Roman"/>
          <w:color w:val="000000"/>
          <w:sz w:val="20"/>
          <w:szCs w:val="20"/>
        </w:rPr>
        <w:t>•</w:t>
      </w:r>
      <w:r>
        <w:rPr>
          <w:rFonts w:eastAsia="Times New Roman"/>
          <w:i/>
          <w:iCs/>
          <w:color w:val="000000"/>
          <w:sz w:val="20"/>
          <w:szCs w:val="20"/>
        </w:rPr>
        <w:t xml:space="preserve">Asia </w:t>
      </w:r>
      <w:r>
        <w:rPr>
          <w:rFonts w:eastAsia="Times New Roman"/>
          <w:color w:val="000000"/>
          <w:sz w:val="20"/>
          <w:szCs w:val="20"/>
        </w:rPr>
        <w:t xml:space="preserve">— </w:t>
      </w:r>
      <w:r>
        <w:rPr>
          <w:rFonts w:eastAsia="Times New Roman"/>
          <w:color w:val="000000"/>
          <w:sz w:val="20"/>
          <w:szCs w:val="20"/>
        </w:rPr>
        <w:t>Our Asia segment, representing approximately 23% of our Fiscal 2021 net revenues, primarily consists of sales of our Ralph Lauren branded apparel, footwear, accessories, home furnishings, and related products made through our retail and wholesale businesse</w:t>
      </w:r>
      <w:r>
        <w:rPr>
          <w:rFonts w:eastAsia="Times New Roman"/>
          <w:color w:val="000000"/>
          <w:sz w:val="20"/>
          <w:szCs w:val="20"/>
        </w:rPr>
        <w:t>s in Asia, Australia, and New Zealand. Our retail business in Asia is primarily comprised of our Ralph Lauren stores, our factory stores, our concession-based shop-within-shops, and our various digital commerce sites. In addition, we sell our products onli</w:t>
      </w:r>
      <w:r>
        <w:rPr>
          <w:rFonts w:eastAsia="Times New Roman"/>
          <w:color w:val="000000"/>
          <w:sz w:val="20"/>
          <w:szCs w:val="20"/>
        </w:rPr>
        <w:t>ne through various third-party digital partner commerce sites. In Asia, our wholesale business is comprised primarily of sales to department stores, with related products distributed through shop-within-shops.</w:t>
      </w:r>
    </w:p>
    <w:p w14:paraId="4EB4DFB8" w14:textId="77777777" w:rsidR="00000000" w:rsidRDefault="00EE5306">
      <w:pPr>
        <w:ind w:firstLine="540"/>
        <w:jc w:val="both"/>
        <w:divId w:val="1494834768"/>
        <w:rPr>
          <w:rFonts w:eastAsia="Times New Roman"/>
        </w:rPr>
      </w:pPr>
      <w:r>
        <w:rPr>
          <w:rFonts w:eastAsia="Times New Roman"/>
          <w:color w:val="000000"/>
          <w:sz w:val="20"/>
          <w:szCs w:val="20"/>
        </w:rPr>
        <w:t xml:space="preserve">No operating segments were aggregated to form </w:t>
      </w:r>
      <w:r>
        <w:rPr>
          <w:rFonts w:eastAsia="Times New Roman"/>
          <w:color w:val="000000"/>
          <w:sz w:val="20"/>
          <w:szCs w:val="20"/>
        </w:rPr>
        <w:t xml:space="preserve">our reportable segments. In addition to these reportable segments, we also have other non-reportable segments, representing approximately 5% of our Fiscal 2021 net revenues, which primarily consist of (i) sales of Club Monaco branded products made through </w:t>
      </w:r>
      <w:r>
        <w:rPr>
          <w:rFonts w:eastAsia="Times New Roman"/>
          <w:color w:val="000000"/>
          <w:sz w:val="20"/>
          <w:szCs w:val="20"/>
        </w:rPr>
        <w:t xml:space="preserve">our retail and wholesale businesses in the U.S., Canada, and Europe, and our licensing alliances in Europe and Asia, and (ii) royalty revenues earned through our global licensing alliances, excluding Club Monaco. As discussed in </w:t>
      </w:r>
      <w:r>
        <w:rPr>
          <w:rFonts w:eastAsia="Times New Roman"/>
          <w:i/>
          <w:iCs/>
          <w:color w:val="000000"/>
          <w:sz w:val="20"/>
          <w:szCs w:val="20"/>
        </w:rPr>
        <w:t>"Recent Developments,"</w:t>
      </w:r>
      <w:r>
        <w:rPr>
          <w:rFonts w:eastAsia="Times New Roman"/>
          <w:color w:val="000000"/>
          <w:sz w:val="20"/>
          <w:szCs w:val="20"/>
        </w:rPr>
        <w:t xml:space="preserve"> on M</w:t>
      </w:r>
      <w:r>
        <w:rPr>
          <w:rFonts w:eastAsia="Times New Roman"/>
          <w:color w:val="000000"/>
          <w:sz w:val="20"/>
          <w:szCs w:val="20"/>
        </w:rPr>
        <w:t>ay 13, 2021, we announced the anticipated sale of our Club Monaco business, which is expected to close by the end of the first quarter of Fiscal 2022.</w:t>
      </w:r>
    </w:p>
    <w:p w14:paraId="0BF77E4C" w14:textId="77777777" w:rsidR="00000000" w:rsidRDefault="00EE5306">
      <w:pPr>
        <w:ind w:firstLine="540"/>
        <w:jc w:val="both"/>
        <w:divId w:val="1218123775"/>
        <w:rPr>
          <w:rFonts w:eastAsia="Times New Roman"/>
        </w:rPr>
      </w:pPr>
      <w:r>
        <w:rPr>
          <w:rFonts w:eastAsia="Times New Roman"/>
          <w:color w:val="000000"/>
          <w:sz w:val="20"/>
          <w:szCs w:val="20"/>
        </w:rPr>
        <w:t>This segment structure is consistent with how we establish our overall business strategy, allocate resources, and assess performance of our Company.</w:t>
      </w:r>
    </w:p>
    <w:p w14:paraId="30B4E507" w14:textId="77777777" w:rsidR="00000000" w:rsidRDefault="00EE5306">
      <w:pPr>
        <w:ind w:firstLine="540"/>
        <w:jc w:val="both"/>
        <w:divId w:val="518737239"/>
        <w:rPr>
          <w:rFonts w:eastAsia="Times New Roman"/>
        </w:rPr>
      </w:pPr>
      <w:r>
        <w:rPr>
          <w:rFonts w:eastAsia="Times New Roman"/>
          <w:color w:val="000000"/>
          <w:sz w:val="20"/>
          <w:szCs w:val="20"/>
        </w:rPr>
        <w:t>Approximately 52% of our Fiscal 2021 net revenues were earned outside of the U.S. See Note 20 to the accomp</w:t>
      </w:r>
      <w:r>
        <w:rPr>
          <w:rFonts w:eastAsia="Times New Roman"/>
          <w:color w:val="000000"/>
          <w:sz w:val="20"/>
          <w:szCs w:val="20"/>
        </w:rPr>
        <w:t>anying consolidated financial statements for a summary of net revenues and operating income by segment, as well as net revenues and long-lived assets by geographic location.</w:t>
      </w:r>
    </w:p>
    <w:p w14:paraId="26C318F5" w14:textId="77777777" w:rsidR="00000000" w:rsidRDefault="00EE5306">
      <w:pPr>
        <w:jc w:val="center"/>
        <w:divId w:val="372196727"/>
        <w:rPr>
          <w:rFonts w:eastAsia="Times New Roman"/>
        </w:rPr>
      </w:pPr>
      <w:r>
        <w:rPr>
          <w:rFonts w:eastAsia="Times New Roman"/>
          <w:b/>
          <w:bCs/>
          <w:color w:val="000000"/>
          <w:sz w:val="20"/>
          <w:szCs w:val="20"/>
        </w:rPr>
        <w:t>Our Retail Business</w:t>
      </w:r>
    </w:p>
    <w:p w14:paraId="25A1398F" w14:textId="77777777" w:rsidR="00000000" w:rsidRDefault="00EE5306">
      <w:pPr>
        <w:ind w:firstLine="540"/>
        <w:jc w:val="both"/>
        <w:divId w:val="1970697988"/>
        <w:rPr>
          <w:rFonts w:eastAsia="Times New Roman"/>
        </w:rPr>
      </w:pPr>
      <w:r>
        <w:rPr>
          <w:rFonts w:eastAsia="Times New Roman"/>
          <w:color w:val="000000"/>
          <w:sz w:val="20"/>
          <w:szCs w:val="20"/>
        </w:rPr>
        <w:t>Our retail business sells directly to customers throughout the</w:t>
      </w:r>
      <w:r>
        <w:rPr>
          <w:rFonts w:eastAsia="Times New Roman"/>
          <w:color w:val="000000"/>
          <w:sz w:val="20"/>
          <w:szCs w:val="20"/>
        </w:rPr>
        <w:t xml:space="preserve"> world via our 548 retail stores and 650 concession-based shop-within-shops, totaling approximately 4.2 million and 0.7 million square feet, respectively, as well as through our own digital commerce sites and those of various third-party digital partners. </w:t>
      </w:r>
      <w:r>
        <w:rPr>
          <w:rFonts w:eastAsia="Times New Roman"/>
          <w:color w:val="000000"/>
          <w:sz w:val="20"/>
          <w:szCs w:val="20"/>
        </w:rPr>
        <w:t>We operate our business using a global omni-channel retailing strategy that seeks to deliver an integrated shopping experience with a consistent message of our brands and products to our customers, regardless of whether they are shopping for our products i</w:t>
      </w:r>
      <w:r>
        <w:rPr>
          <w:rFonts w:eastAsia="Times New Roman"/>
          <w:color w:val="000000"/>
          <w:sz w:val="20"/>
          <w:szCs w:val="20"/>
        </w:rPr>
        <w:t>n physical stores or online. We also continue to introduce new Connected Retail capabilities, such as virtual clienteling, Buy Online-Ship to Store, Buy Online-Pick Up in Store, curbside pickup, appointment scheduling, and mobile checkout, to further enhan</w:t>
      </w:r>
      <w:r>
        <w:rPr>
          <w:rFonts w:eastAsia="Times New Roman"/>
          <w:color w:val="000000"/>
          <w:sz w:val="20"/>
          <w:szCs w:val="20"/>
        </w:rPr>
        <w:t>ce our customers' shopping experience.</w:t>
      </w:r>
    </w:p>
    <w:p w14:paraId="3529F286" w14:textId="77777777" w:rsidR="00000000" w:rsidRDefault="00EE5306">
      <w:pPr>
        <w:ind w:firstLine="360"/>
        <w:jc w:val="both"/>
        <w:divId w:val="1864703898"/>
        <w:rPr>
          <w:rFonts w:eastAsia="Times New Roman"/>
        </w:rPr>
      </w:pPr>
      <w:r>
        <w:rPr>
          <w:rFonts w:eastAsia="Times New Roman"/>
          <w:b/>
          <w:bCs/>
          <w:i/>
          <w:iCs/>
          <w:color w:val="000000"/>
          <w:sz w:val="20"/>
          <w:szCs w:val="20"/>
        </w:rPr>
        <w:t>Ralph Lauren Stores</w:t>
      </w:r>
    </w:p>
    <w:p w14:paraId="2549D4C6" w14:textId="77777777" w:rsidR="00000000" w:rsidRDefault="00EE5306">
      <w:pPr>
        <w:ind w:firstLine="540"/>
        <w:jc w:val="both"/>
        <w:divId w:val="1713142618"/>
        <w:rPr>
          <w:rFonts w:eastAsia="Times New Roman"/>
        </w:rPr>
      </w:pPr>
      <w:r>
        <w:rPr>
          <w:rFonts w:eastAsia="Times New Roman"/>
          <w:color w:val="000000"/>
          <w:sz w:val="20"/>
          <w:szCs w:val="20"/>
        </w:rPr>
        <w:t xml:space="preserve">Our Ralph Lauren stores feature a broad range of apparel, footwear, accessories, watch and jewelry, fragrance, and home product assortments in an atmosphere reflecting the distinctive attitude and </w:t>
      </w:r>
      <w:r>
        <w:rPr>
          <w:rFonts w:eastAsia="Times New Roman"/>
          <w:color w:val="000000"/>
          <w:sz w:val="20"/>
          <w:szCs w:val="20"/>
        </w:rPr>
        <w:t>image of the Ralph Lauren, Polo, and Double RL brands, including exclusive merchandise that is not sold in department stores. During Fiscal 2021, we opened 24 new Ralph Lauren stores and closed 11 stores. Our Ralph Lauren stores are primarily situated in m</w:t>
      </w:r>
      <w:r>
        <w:rPr>
          <w:rFonts w:eastAsia="Times New Roman"/>
          <w:color w:val="000000"/>
          <w:sz w:val="20"/>
          <w:szCs w:val="20"/>
        </w:rPr>
        <w:t>ajor upscale street locations and upscale regional malls, generally in large urban markets.</w:t>
      </w:r>
    </w:p>
    <w:p w14:paraId="1C747E75" w14:textId="77777777" w:rsidR="00000000" w:rsidRDefault="00EE5306">
      <w:pPr>
        <w:ind w:firstLine="540"/>
        <w:jc w:val="both"/>
        <w:divId w:val="1425688372"/>
        <w:rPr>
          <w:rFonts w:eastAsia="Times New Roman"/>
        </w:rPr>
      </w:pPr>
      <w:r>
        <w:rPr>
          <w:rFonts w:eastAsia="Times New Roman"/>
          <w:color w:val="000000"/>
          <w:sz w:val="20"/>
          <w:szCs w:val="20"/>
        </w:rPr>
        <w:t>The following table presents the number of Ralph Lauren stores by segment as of March 27, 2021:</w:t>
      </w:r>
    </w:p>
    <w:tbl>
      <w:tblPr>
        <w:tblW w:w="4722" w:type="pct"/>
        <w:tblCellMar>
          <w:top w:w="15" w:type="dxa"/>
          <w:left w:w="15" w:type="dxa"/>
          <w:bottom w:w="15" w:type="dxa"/>
          <w:right w:w="15" w:type="dxa"/>
        </w:tblCellMar>
        <w:tblLook w:val="04A0" w:firstRow="1" w:lastRow="0" w:firstColumn="1" w:lastColumn="0" w:noHBand="0" w:noVBand="1"/>
      </w:tblPr>
      <w:tblGrid>
        <w:gridCol w:w="37"/>
        <w:gridCol w:w="5984"/>
        <w:gridCol w:w="36"/>
        <w:gridCol w:w="36"/>
        <w:gridCol w:w="36"/>
        <w:gridCol w:w="36"/>
        <w:gridCol w:w="89"/>
        <w:gridCol w:w="1554"/>
        <w:gridCol w:w="36"/>
      </w:tblGrid>
      <w:tr w:rsidR="00000000" w14:paraId="27E44BB6" w14:textId="77777777">
        <w:trPr>
          <w:divId w:val="542179742"/>
        </w:trPr>
        <w:tc>
          <w:tcPr>
            <w:tcW w:w="50" w:type="pct"/>
            <w:vAlign w:val="center"/>
            <w:hideMark/>
          </w:tcPr>
          <w:p w14:paraId="3C240FC4" w14:textId="77777777" w:rsidR="00000000" w:rsidRDefault="00EE5306">
            <w:pPr>
              <w:ind w:firstLine="540"/>
              <w:jc w:val="both"/>
              <w:rPr>
                <w:rFonts w:eastAsia="Times New Roman"/>
              </w:rPr>
            </w:pPr>
          </w:p>
        </w:tc>
        <w:tc>
          <w:tcPr>
            <w:tcW w:w="3977" w:type="pct"/>
            <w:vAlign w:val="center"/>
            <w:hideMark/>
          </w:tcPr>
          <w:p w14:paraId="4E7DB40F" w14:textId="77777777" w:rsidR="00000000" w:rsidRDefault="00EE5306">
            <w:pPr>
              <w:spacing w:after="100"/>
              <w:rPr>
                <w:rFonts w:eastAsia="Times New Roman"/>
                <w:sz w:val="20"/>
                <w:szCs w:val="20"/>
              </w:rPr>
            </w:pPr>
          </w:p>
        </w:tc>
        <w:tc>
          <w:tcPr>
            <w:tcW w:w="5" w:type="pct"/>
            <w:vAlign w:val="center"/>
            <w:hideMark/>
          </w:tcPr>
          <w:p w14:paraId="477185D4" w14:textId="77777777" w:rsidR="00000000" w:rsidRDefault="00EE5306">
            <w:pPr>
              <w:spacing w:after="100"/>
              <w:rPr>
                <w:rFonts w:eastAsia="Times New Roman"/>
                <w:sz w:val="20"/>
                <w:szCs w:val="20"/>
              </w:rPr>
            </w:pPr>
          </w:p>
        </w:tc>
        <w:tc>
          <w:tcPr>
            <w:tcW w:w="5" w:type="pct"/>
            <w:vAlign w:val="center"/>
            <w:hideMark/>
          </w:tcPr>
          <w:p w14:paraId="692802CF" w14:textId="77777777" w:rsidR="00000000" w:rsidRDefault="00EE5306">
            <w:pPr>
              <w:spacing w:after="100"/>
              <w:rPr>
                <w:rFonts w:eastAsia="Times New Roman"/>
                <w:sz w:val="20"/>
                <w:szCs w:val="20"/>
              </w:rPr>
            </w:pPr>
          </w:p>
        </w:tc>
        <w:tc>
          <w:tcPr>
            <w:tcW w:w="28" w:type="pct"/>
            <w:vAlign w:val="center"/>
            <w:hideMark/>
          </w:tcPr>
          <w:p w14:paraId="3F00B583" w14:textId="77777777" w:rsidR="00000000" w:rsidRDefault="00EE5306">
            <w:pPr>
              <w:spacing w:after="100"/>
              <w:rPr>
                <w:rFonts w:eastAsia="Times New Roman"/>
                <w:sz w:val="20"/>
                <w:szCs w:val="20"/>
              </w:rPr>
            </w:pPr>
          </w:p>
        </w:tc>
        <w:tc>
          <w:tcPr>
            <w:tcW w:w="5" w:type="pct"/>
            <w:vAlign w:val="center"/>
            <w:hideMark/>
          </w:tcPr>
          <w:p w14:paraId="1940352A" w14:textId="77777777" w:rsidR="00000000" w:rsidRDefault="00EE5306">
            <w:pPr>
              <w:spacing w:after="100"/>
              <w:rPr>
                <w:rFonts w:eastAsia="Times New Roman"/>
                <w:sz w:val="20"/>
                <w:szCs w:val="20"/>
              </w:rPr>
            </w:pPr>
          </w:p>
        </w:tc>
        <w:tc>
          <w:tcPr>
            <w:tcW w:w="50" w:type="pct"/>
            <w:vAlign w:val="center"/>
            <w:hideMark/>
          </w:tcPr>
          <w:p w14:paraId="4F44462D" w14:textId="77777777" w:rsidR="00000000" w:rsidRDefault="00EE5306">
            <w:pPr>
              <w:spacing w:after="100"/>
              <w:rPr>
                <w:rFonts w:eastAsia="Times New Roman"/>
                <w:sz w:val="20"/>
                <w:szCs w:val="20"/>
              </w:rPr>
            </w:pPr>
          </w:p>
        </w:tc>
        <w:tc>
          <w:tcPr>
            <w:tcW w:w="873" w:type="pct"/>
            <w:vAlign w:val="center"/>
            <w:hideMark/>
          </w:tcPr>
          <w:p w14:paraId="094515DA" w14:textId="77777777" w:rsidR="00000000" w:rsidRDefault="00EE5306">
            <w:pPr>
              <w:spacing w:after="100"/>
              <w:rPr>
                <w:rFonts w:eastAsia="Times New Roman"/>
                <w:sz w:val="20"/>
                <w:szCs w:val="20"/>
              </w:rPr>
            </w:pPr>
          </w:p>
        </w:tc>
        <w:tc>
          <w:tcPr>
            <w:tcW w:w="5" w:type="pct"/>
            <w:vAlign w:val="center"/>
            <w:hideMark/>
          </w:tcPr>
          <w:p w14:paraId="3A63F615" w14:textId="77777777" w:rsidR="00000000" w:rsidRDefault="00EE5306">
            <w:pPr>
              <w:spacing w:after="100"/>
              <w:rPr>
                <w:rFonts w:eastAsia="Times New Roman"/>
                <w:sz w:val="20"/>
                <w:szCs w:val="20"/>
              </w:rPr>
            </w:pPr>
          </w:p>
        </w:tc>
      </w:tr>
      <w:tr w:rsidR="00000000" w14:paraId="1B788338" w14:textId="77777777">
        <w:trPr>
          <w:divId w:val="542179742"/>
        </w:trPr>
        <w:tc>
          <w:tcPr>
            <w:tcW w:w="0" w:type="auto"/>
            <w:gridSpan w:val="3"/>
            <w:tcMar>
              <w:top w:w="0" w:type="dxa"/>
              <w:left w:w="20" w:type="dxa"/>
              <w:bottom w:w="0" w:type="dxa"/>
              <w:right w:w="20" w:type="dxa"/>
            </w:tcMar>
            <w:vAlign w:val="center"/>
            <w:hideMark/>
          </w:tcPr>
          <w:p w14:paraId="7C3954EA"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7B8001"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2EA8EE4" w14:textId="77777777" w:rsidR="00000000" w:rsidRDefault="00EE5306">
            <w:pPr>
              <w:spacing w:after="100"/>
              <w:jc w:val="center"/>
              <w:rPr>
                <w:rFonts w:eastAsia="Times New Roman"/>
              </w:rPr>
            </w:pPr>
            <w:r>
              <w:rPr>
                <w:rFonts w:eastAsia="Times New Roman"/>
                <w:b/>
                <w:bCs/>
                <w:color w:val="000000"/>
                <w:sz w:val="18"/>
                <w:szCs w:val="18"/>
              </w:rPr>
              <w:t>Ralph Lauren Stores</w:t>
            </w:r>
          </w:p>
        </w:tc>
      </w:tr>
      <w:tr w:rsidR="00000000" w14:paraId="63CAEB98" w14:textId="77777777">
        <w:trPr>
          <w:divId w:val="542179742"/>
        </w:trPr>
        <w:tc>
          <w:tcPr>
            <w:tcW w:w="0" w:type="auto"/>
            <w:gridSpan w:val="3"/>
            <w:shd w:val="clear" w:color="auto" w:fill="CCEEFF"/>
            <w:tcMar>
              <w:top w:w="30" w:type="dxa"/>
              <w:left w:w="20" w:type="dxa"/>
              <w:bottom w:w="30" w:type="dxa"/>
              <w:right w:w="20" w:type="dxa"/>
            </w:tcMar>
            <w:hideMark/>
          </w:tcPr>
          <w:p w14:paraId="794EAC45"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14:paraId="5A33C45B"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00C97A" w14:textId="77777777" w:rsidR="00000000" w:rsidRDefault="00EE5306">
            <w:pPr>
              <w:spacing w:after="100"/>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3E0ECF" w14:textId="77777777" w:rsidR="00000000" w:rsidRDefault="00EE5306">
            <w:pPr>
              <w:spacing w:after="100"/>
              <w:jc w:val="right"/>
              <w:rPr>
                <w:rFonts w:eastAsia="Times New Roman"/>
              </w:rPr>
            </w:pPr>
          </w:p>
        </w:tc>
      </w:tr>
      <w:tr w:rsidR="00000000" w14:paraId="2EF1A2F1" w14:textId="77777777">
        <w:trPr>
          <w:divId w:val="542179742"/>
        </w:trPr>
        <w:tc>
          <w:tcPr>
            <w:tcW w:w="0" w:type="auto"/>
            <w:gridSpan w:val="3"/>
            <w:shd w:val="clear" w:color="auto" w:fill="FFFFFF"/>
            <w:tcMar>
              <w:top w:w="30" w:type="dxa"/>
              <w:left w:w="20" w:type="dxa"/>
              <w:bottom w:w="30" w:type="dxa"/>
              <w:right w:w="20" w:type="dxa"/>
            </w:tcMar>
            <w:hideMark/>
          </w:tcPr>
          <w:p w14:paraId="7ABD2299"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14:paraId="44E5358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425B53" w14:textId="77777777" w:rsidR="00000000" w:rsidRDefault="00EE5306">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14B6413E" w14:textId="77777777" w:rsidR="00000000" w:rsidRDefault="00EE5306">
            <w:pPr>
              <w:spacing w:after="100"/>
              <w:jc w:val="right"/>
              <w:rPr>
                <w:rFonts w:eastAsia="Times New Roman"/>
              </w:rPr>
            </w:pPr>
          </w:p>
        </w:tc>
      </w:tr>
      <w:tr w:rsidR="00000000" w14:paraId="15342817" w14:textId="77777777">
        <w:trPr>
          <w:divId w:val="542179742"/>
        </w:trPr>
        <w:tc>
          <w:tcPr>
            <w:tcW w:w="0" w:type="auto"/>
            <w:gridSpan w:val="3"/>
            <w:shd w:val="clear" w:color="auto" w:fill="CCEEFF"/>
            <w:tcMar>
              <w:top w:w="30" w:type="dxa"/>
              <w:left w:w="20" w:type="dxa"/>
              <w:bottom w:w="30" w:type="dxa"/>
              <w:right w:w="20" w:type="dxa"/>
            </w:tcMar>
            <w:hideMark/>
          </w:tcPr>
          <w:p w14:paraId="0704D2F8"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14:paraId="5F1E184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967818" w14:textId="77777777" w:rsidR="00000000" w:rsidRDefault="00EE5306">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14:paraId="478A06D0" w14:textId="77777777" w:rsidR="00000000" w:rsidRDefault="00EE5306">
            <w:pPr>
              <w:spacing w:after="100"/>
              <w:jc w:val="right"/>
              <w:rPr>
                <w:rFonts w:eastAsia="Times New Roman"/>
              </w:rPr>
            </w:pPr>
          </w:p>
        </w:tc>
      </w:tr>
      <w:tr w:rsidR="00000000" w14:paraId="371FB87D" w14:textId="77777777">
        <w:trPr>
          <w:divId w:val="542179742"/>
        </w:trPr>
        <w:tc>
          <w:tcPr>
            <w:tcW w:w="0" w:type="auto"/>
            <w:gridSpan w:val="3"/>
            <w:shd w:val="clear" w:color="auto" w:fill="FFFFFF"/>
            <w:tcMar>
              <w:top w:w="30" w:type="dxa"/>
              <w:left w:w="155" w:type="dxa"/>
              <w:bottom w:w="30" w:type="dxa"/>
              <w:right w:w="20" w:type="dxa"/>
            </w:tcMar>
            <w:hideMark/>
          </w:tcPr>
          <w:p w14:paraId="0CF2BB9F" w14:textId="77777777" w:rsidR="00000000" w:rsidRDefault="00EE5306">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57147E41"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3C65FE" w14:textId="77777777" w:rsidR="00000000" w:rsidRDefault="00EE5306">
            <w:pPr>
              <w:spacing w:after="100"/>
              <w:jc w:val="right"/>
              <w:rPr>
                <w:rFonts w:eastAsia="Times New Roman"/>
              </w:rPr>
            </w:pPr>
            <w:r>
              <w:rPr>
                <w:rFonts w:eastAsia="Times New Roman"/>
                <w:color w:val="000000"/>
                <w:sz w:val="20"/>
                <w:szCs w:val="20"/>
              </w:rPr>
              <w:t>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21AE12" w14:textId="77777777" w:rsidR="00000000" w:rsidRDefault="00EE5306">
            <w:pPr>
              <w:spacing w:after="100"/>
              <w:jc w:val="right"/>
              <w:rPr>
                <w:rFonts w:eastAsia="Times New Roman"/>
              </w:rPr>
            </w:pPr>
          </w:p>
        </w:tc>
      </w:tr>
    </w:tbl>
    <w:p w14:paraId="56F565FB" w14:textId="77777777" w:rsidR="00000000" w:rsidRDefault="00EE5306">
      <w:pPr>
        <w:ind w:firstLine="540"/>
        <w:jc w:val="both"/>
        <w:divId w:val="394472746"/>
        <w:rPr>
          <w:rFonts w:eastAsia="Times New Roman"/>
        </w:rPr>
      </w:pPr>
      <w:r>
        <w:rPr>
          <w:rFonts w:eastAsia="Times New Roman"/>
          <w:color w:val="000000"/>
          <w:sz w:val="20"/>
          <w:szCs w:val="20"/>
        </w:rPr>
        <w:t>Our eight flagship Ralph Lauren regional store locations showcase our iconic styles and products and demonstrate our most refined merchandising techniques. In addition to generating sales of our products, our worldwide Ralph Lauren stores establish, reinfo</w:t>
      </w:r>
      <w:r>
        <w:rPr>
          <w:rFonts w:eastAsia="Times New Roman"/>
          <w:color w:val="000000"/>
          <w:sz w:val="20"/>
          <w:szCs w:val="20"/>
        </w:rPr>
        <w:t>rce, and capitalize on the image of our brands. Our Ralph Lauren stores range in size from approximately 500 to 37,900 square feet.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18C207E" w14:textId="77777777">
        <w:trPr>
          <w:divId w:val="693534620"/>
          <w:jc w:val="center"/>
        </w:trPr>
        <w:tc>
          <w:tcPr>
            <w:tcW w:w="50" w:type="pct"/>
            <w:vAlign w:val="center"/>
            <w:hideMark/>
          </w:tcPr>
          <w:p w14:paraId="1F562E78" w14:textId="77777777" w:rsidR="00000000" w:rsidRDefault="00EE5306">
            <w:pPr>
              <w:ind w:firstLine="540"/>
              <w:jc w:val="both"/>
              <w:rPr>
                <w:rFonts w:eastAsia="Times New Roman"/>
              </w:rPr>
            </w:pPr>
          </w:p>
        </w:tc>
        <w:tc>
          <w:tcPr>
            <w:tcW w:w="1699" w:type="pct"/>
            <w:vAlign w:val="center"/>
            <w:hideMark/>
          </w:tcPr>
          <w:p w14:paraId="484174BB" w14:textId="77777777" w:rsidR="00000000" w:rsidRDefault="00EE5306">
            <w:pPr>
              <w:spacing w:after="100"/>
              <w:rPr>
                <w:rFonts w:eastAsia="Times New Roman"/>
                <w:sz w:val="20"/>
                <w:szCs w:val="20"/>
              </w:rPr>
            </w:pPr>
          </w:p>
        </w:tc>
        <w:tc>
          <w:tcPr>
            <w:tcW w:w="5" w:type="pct"/>
            <w:vAlign w:val="center"/>
            <w:hideMark/>
          </w:tcPr>
          <w:p w14:paraId="1227FA2F" w14:textId="77777777" w:rsidR="00000000" w:rsidRDefault="00EE5306">
            <w:pPr>
              <w:spacing w:after="100"/>
              <w:rPr>
                <w:rFonts w:eastAsia="Times New Roman"/>
                <w:sz w:val="20"/>
                <w:szCs w:val="20"/>
              </w:rPr>
            </w:pPr>
          </w:p>
        </w:tc>
        <w:tc>
          <w:tcPr>
            <w:tcW w:w="50" w:type="pct"/>
            <w:vAlign w:val="center"/>
            <w:hideMark/>
          </w:tcPr>
          <w:p w14:paraId="22B5A528" w14:textId="77777777" w:rsidR="00000000" w:rsidRDefault="00EE5306">
            <w:pPr>
              <w:spacing w:after="100"/>
              <w:rPr>
                <w:rFonts w:eastAsia="Times New Roman"/>
                <w:sz w:val="20"/>
                <w:szCs w:val="20"/>
              </w:rPr>
            </w:pPr>
          </w:p>
        </w:tc>
        <w:tc>
          <w:tcPr>
            <w:tcW w:w="1436" w:type="pct"/>
            <w:vAlign w:val="center"/>
            <w:hideMark/>
          </w:tcPr>
          <w:p w14:paraId="2D8DBF55" w14:textId="77777777" w:rsidR="00000000" w:rsidRDefault="00EE5306">
            <w:pPr>
              <w:spacing w:after="100"/>
              <w:rPr>
                <w:rFonts w:eastAsia="Times New Roman"/>
                <w:sz w:val="20"/>
                <w:szCs w:val="20"/>
              </w:rPr>
            </w:pPr>
          </w:p>
        </w:tc>
        <w:tc>
          <w:tcPr>
            <w:tcW w:w="5" w:type="pct"/>
            <w:vAlign w:val="center"/>
            <w:hideMark/>
          </w:tcPr>
          <w:p w14:paraId="31F1E484" w14:textId="77777777" w:rsidR="00000000" w:rsidRDefault="00EE5306">
            <w:pPr>
              <w:spacing w:after="100"/>
              <w:rPr>
                <w:rFonts w:eastAsia="Times New Roman"/>
                <w:sz w:val="20"/>
                <w:szCs w:val="20"/>
              </w:rPr>
            </w:pPr>
          </w:p>
        </w:tc>
        <w:tc>
          <w:tcPr>
            <w:tcW w:w="50" w:type="pct"/>
            <w:vAlign w:val="center"/>
            <w:hideMark/>
          </w:tcPr>
          <w:p w14:paraId="27D85E1E" w14:textId="77777777" w:rsidR="00000000" w:rsidRDefault="00EE5306">
            <w:pPr>
              <w:spacing w:after="100"/>
              <w:rPr>
                <w:rFonts w:eastAsia="Times New Roman"/>
                <w:sz w:val="20"/>
                <w:szCs w:val="20"/>
              </w:rPr>
            </w:pPr>
          </w:p>
        </w:tc>
        <w:tc>
          <w:tcPr>
            <w:tcW w:w="1699" w:type="pct"/>
            <w:vAlign w:val="center"/>
            <w:hideMark/>
          </w:tcPr>
          <w:p w14:paraId="329F6749" w14:textId="77777777" w:rsidR="00000000" w:rsidRDefault="00EE5306">
            <w:pPr>
              <w:spacing w:after="100"/>
              <w:rPr>
                <w:rFonts w:eastAsia="Times New Roman"/>
                <w:sz w:val="20"/>
                <w:szCs w:val="20"/>
              </w:rPr>
            </w:pPr>
          </w:p>
        </w:tc>
        <w:tc>
          <w:tcPr>
            <w:tcW w:w="5" w:type="pct"/>
            <w:vAlign w:val="center"/>
            <w:hideMark/>
          </w:tcPr>
          <w:p w14:paraId="284A32D0" w14:textId="77777777" w:rsidR="00000000" w:rsidRDefault="00EE5306">
            <w:pPr>
              <w:spacing w:after="100"/>
              <w:rPr>
                <w:rFonts w:eastAsia="Times New Roman"/>
                <w:sz w:val="20"/>
                <w:szCs w:val="20"/>
              </w:rPr>
            </w:pPr>
          </w:p>
        </w:tc>
      </w:tr>
      <w:tr w:rsidR="00000000" w14:paraId="2C32086F" w14:textId="77777777">
        <w:trPr>
          <w:divId w:val="693534620"/>
          <w:jc w:val="center"/>
        </w:trPr>
        <w:tc>
          <w:tcPr>
            <w:tcW w:w="0" w:type="auto"/>
            <w:gridSpan w:val="3"/>
            <w:tcMar>
              <w:top w:w="0" w:type="dxa"/>
              <w:left w:w="20" w:type="dxa"/>
              <w:bottom w:w="0" w:type="dxa"/>
              <w:right w:w="20" w:type="dxa"/>
            </w:tcMar>
            <w:vAlign w:val="center"/>
            <w:hideMark/>
          </w:tcPr>
          <w:p w14:paraId="37C74DD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4017F80" w14:textId="77777777" w:rsidR="00000000" w:rsidRDefault="00EE5306">
            <w:pPr>
              <w:spacing w:after="100"/>
              <w:jc w:val="center"/>
              <w:rPr>
                <w:rFonts w:eastAsia="Times New Roman"/>
              </w:rPr>
            </w:pPr>
            <w:r>
              <w:rPr>
                <w:rFonts w:eastAsia="Times New Roman"/>
                <w:color w:val="000000"/>
                <w:sz w:val="20"/>
                <w:szCs w:val="20"/>
              </w:rPr>
              <w:t>11</w:t>
            </w:r>
          </w:p>
        </w:tc>
        <w:tc>
          <w:tcPr>
            <w:tcW w:w="0" w:type="auto"/>
            <w:gridSpan w:val="3"/>
            <w:tcMar>
              <w:top w:w="0" w:type="dxa"/>
              <w:left w:w="20" w:type="dxa"/>
              <w:bottom w:w="0" w:type="dxa"/>
              <w:right w:w="20" w:type="dxa"/>
            </w:tcMar>
            <w:vAlign w:val="center"/>
            <w:hideMark/>
          </w:tcPr>
          <w:p w14:paraId="78854842" w14:textId="77777777" w:rsidR="00000000" w:rsidRDefault="00EE5306">
            <w:pPr>
              <w:spacing w:after="100"/>
              <w:jc w:val="center"/>
              <w:rPr>
                <w:rFonts w:eastAsia="Times New Roman"/>
              </w:rPr>
            </w:pPr>
          </w:p>
        </w:tc>
      </w:tr>
    </w:tbl>
    <w:p w14:paraId="167A58ED" w14:textId="77777777" w:rsidR="00000000" w:rsidRDefault="00EE5306">
      <w:pPr>
        <w:rPr>
          <w:rFonts w:eastAsia="Times New Roman"/>
        </w:rPr>
      </w:pPr>
      <w:r>
        <w:rPr>
          <w:rFonts w:eastAsia="Times New Roman"/>
        </w:rPr>
        <w:pict w14:anchorId="7ADA2ED2">
          <v:rect id="_x0000_i1037" style="width:0;height:1.5pt" o:hralign="center" o:hrstd="t" o:hr="t" fillcolor="#a0a0a0" stroked="f"/>
        </w:pict>
      </w:r>
    </w:p>
    <w:p w14:paraId="6EB24453" w14:textId="77777777" w:rsidR="00000000" w:rsidRDefault="00EE5306">
      <w:pPr>
        <w:divId w:val="314532443"/>
        <w:rPr>
          <w:rFonts w:eastAsia="Times New Roman"/>
        </w:rPr>
      </w:pPr>
    </w:p>
    <w:p w14:paraId="47F42840" w14:textId="77777777" w:rsidR="00000000" w:rsidRDefault="00EE5306">
      <w:pPr>
        <w:ind w:firstLine="360"/>
        <w:jc w:val="both"/>
        <w:divId w:val="731464660"/>
        <w:rPr>
          <w:rFonts w:eastAsia="Times New Roman"/>
        </w:rPr>
      </w:pPr>
      <w:r>
        <w:rPr>
          <w:rFonts w:eastAsia="Times New Roman"/>
          <w:b/>
          <w:bCs/>
          <w:i/>
          <w:iCs/>
          <w:color w:val="000000"/>
          <w:sz w:val="20"/>
          <w:szCs w:val="20"/>
        </w:rPr>
        <w:t>Factory Stores</w:t>
      </w:r>
    </w:p>
    <w:p w14:paraId="7CB90214" w14:textId="77777777" w:rsidR="00000000" w:rsidRDefault="00EE5306">
      <w:pPr>
        <w:ind w:firstLine="540"/>
        <w:jc w:val="both"/>
        <w:divId w:val="719672977"/>
        <w:rPr>
          <w:rFonts w:eastAsia="Times New Roman"/>
        </w:rPr>
      </w:pPr>
      <w:r>
        <w:rPr>
          <w:rFonts w:eastAsia="Times New Roman"/>
          <w:color w:val="000000"/>
          <w:sz w:val="20"/>
          <w:szCs w:val="20"/>
        </w:rPr>
        <w:t>We extend our reach to additional consumer groups through our 325 factory stores worldwide, which are principally located in major outlet centers. Our worldwide factory stores offer selections of our app</w:t>
      </w:r>
      <w:r>
        <w:rPr>
          <w:rFonts w:eastAsia="Times New Roman"/>
          <w:color w:val="000000"/>
          <w:sz w:val="20"/>
          <w:szCs w:val="20"/>
        </w:rPr>
        <w:t>arel, footwear, accessories, and fragrances. In addition to these product offerings, certain of our factory stores in North America and Europe offer home furnishings. During Fiscal 2021, we opened 16 new factory stores and closed nine factory stores.</w:t>
      </w:r>
    </w:p>
    <w:p w14:paraId="6091A982" w14:textId="77777777" w:rsidR="00000000" w:rsidRDefault="00EE5306">
      <w:pPr>
        <w:ind w:firstLine="540"/>
        <w:jc w:val="both"/>
        <w:divId w:val="491871936"/>
        <w:rPr>
          <w:rFonts w:eastAsia="Times New Roman"/>
        </w:rPr>
      </w:pPr>
      <w:r>
        <w:rPr>
          <w:rFonts w:eastAsia="Times New Roman"/>
          <w:color w:val="000000"/>
          <w:sz w:val="20"/>
          <w:szCs w:val="20"/>
        </w:rPr>
        <w:t>The f</w:t>
      </w:r>
      <w:r>
        <w:rPr>
          <w:rFonts w:eastAsia="Times New Roman"/>
          <w:color w:val="000000"/>
          <w:sz w:val="20"/>
          <w:szCs w:val="20"/>
        </w:rPr>
        <w:t>ollowing table presents the number of factory stores by segment as of March 27, 2021:</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63"/>
        <w:gridCol w:w="1327"/>
        <w:gridCol w:w="36"/>
      </w:tblGrid>
      <w:tr w:rsidR="00000000" w14:paraId="5CB3CFC5" w14:textId="77777777">
        <w:trPr>
          <w:divId w:val="1266768841"/>
        </w:trPr>
        <w:tc>
          <w:tcPr>
            <w:tcW w:w="50" w:type="pct"/>
            <w:vAlign w:val="center"/>
            <w:hideMark/>
          </w:tcPr>
          <w:p w14:paraId="4F20BDF6" w14:textId="77777777" w:rsidR="00000000" w:rsidRDefault="00EE5306">
            <w:pPr>
              <w:ind w:firstLine="540"/>
              <w:jc w:val="both"/>
              <w:rPr>
                <w:rFonts w:eastAsia="Times New Roman"/>
              </w:rPr>
            </w:pPr>
          </w:p>
        </w:tc>
        <w:tc>
          <w:tcPr>
            <w:tcW w:w="3977" w:type="pct"/>
            <w:vAlign w:val="center"/>
            <w:hideMark/>
          </w:tcPr>
          <w:p w14:paraId="36246920" w14:textId="77777777" w:rsidR="00000000" w:rsidRDefault="00EE5306">
            <w:pPr>
              <w:spacing w:after="100"/>
              <w:rPr>
                <w:rFonts w:eastAsia="Times New Roman"/>
                <w:sz w:val="20"/>
                <w:szCs w:val="20"/>
              </w:rPr>
            </w:pPr>
          </w:p>
        </w:tc>
        <w:tc>
          <w:tcPr>
            <w:tcW w:w="5" w:type="pct"/>
            <w:vAlign w:val="center"/>
            <w:hideMark/>
          </w:tcPr>
          <w:p w14:paraId="2DE1B38A" w14:textId="77777777" w:rsidR="00000000" w:rsidRDefault="00EE5306">
            <w:pPr>
              <w:spacing w:after="100"/>
              <w:rPr>
                <w:rFonts w:eastAsia="Times New Roman"/>
                <w:sz w:val="20"/>
                <w:szCs w:val="20"/>
              </w:rPr>
            </w:pPr>
          </w:p>
        </w:tc>
        <w:tc>
          <w:tcPr>
            <w:tcW w:w="5" w:type="pct"/>
            <w:vAlign w:val="center"/>
            <w:hideMark/>
          </w:tcPr>
          <w:p w14:paraId="46B1707A" w14:textId="77777777" w:rsidR="00000000" w:rsidRDefault="00EE5306">
            <w:pPr>
              <w:spacing w:after="100"/>
              <w:rPr>
                <w:rFonts w:eastAsia="Times New Roman"/>
                <w:sz w:val="20"/>
                <w:szCs w:val="20"/>
              </w:rPr>
            </w:pPr>
          </w:p>
        </w:tc>
        <w:tc>
          <w:tcPr>
            <w:tcW w:w="28" w:type="pct"/>
            <w:vAlign w:val="center"/>
            <w:hideMark/>
          </w:tcPr>
          <w:p w14:paraId="2034CCC4" w14:textId="77777777" w:rsidR="00000000" w:rsidRDefault="00EE5306">
            <w:pPr>
              <w:spacing w:after="100"/>
              <w:rPr>
                <w:rFonts w:eastAsia="Times New Roman"/>
                <w:sz w:val="20"/>
                <w:szCs w:val="20"/>
              </w:rPr>
            </w:pPr>
          </w:p>
        </w:tc>
        <w:tc>
          <w:tcPr>
            <w:tcW w:w="5" w:type="pct"/>
            <w:vAlign w:val="center"/>
            <w:hideMark/>
          </w:tcPr>
          <w:p w14:paraId="24A049E1" w14:textId="77777777" w:rsidR="00000000" w:rsidRDefault="00EE5306">
            <w:pPr>
              <w:spacing w:after="100"/>
              <w:rPr>
                <w:rFonts w:eastAsia="Times New Roman"/>
                <w:sz w:val="20"/>
                <w:szCs w:val="20"/>
              </w:rPr>
            </w:pPr>
          </w:p>
        </w:tc>
        <w:tc>
          <w:tcPr>
            <w:tcW w:w="50" w:type="pct"/>
            <w:vAlign w:val="center"/>
            <w:hideMark/>
          </w:tcPr>
          <w:p w14:paraId="343F0BF0" w14:textId="77777777" w:rsidR="00000000" w:rsidRDefault="00EE5306">
            <w:pPr>
              <w:spacing w:after="100"/>
              <w:rPr>
                <w:rFonts w:eastAsia="Times New Roman"/>
                <w:sz w:val="20"/>
                <w:szCs w:val="20"/>
              </w:rPr>
            </w:pPr>
          </w:p>
        </w:tc>
        <w:tc>
          <w:tcPr>
            <w:tcW w:w="873" w:type="pct"/>
            <w:vAlign w:val="center"/>
            <w:hideMark/>
          </w:tcPr>
          <w:p w14:paraId="71B9CFCD" w14:textId="77777777" w:rsidR="00000000" w:rsidRDefault="00EE5306">
            <w:pPr>
              <w:spacing w:after="100"/>
              <w:rPr>
                <w:rFonts w:eastAsia="Times New Roman"/>
                <w:sz w:val="20"/>
                <w:szCs w:val="20"/>
              </w:rPr>
            </w:pPr>
          </w:p>
        </w:tc>
        <w:tc>
          <w:tcPr>
            <w:tcW w:w="5" w:type="pct"/>
            <w:vAlign w:val="center"/>
            <w:hideMark/>
          </w:tcPr>
          <w:p w14:paraId="0065CE9B" w14:textId="77777777" w:rsidR="00000000" w:rsidRDefault="00EE5306">
            <w:pPr>
              <w:spacing w:after="100"/>
              <w:rPr>
                <w:rFonts w:eastAsia="Times New Roman"/>
                <w:sz w:val="20"/>
                <w:szCs w:val="20"/>
              </w:rPr>
            </w:pPr>
          </w:p>
        </w:tc>
      </w:tr>
      <w:tr w:rsidR="00000000" w14:paraId="31D5EAB7" w14:textId="77777777">
        <w:trPr>
          <w:divId w:val="1266768841"/>
        </w:trPr>
        <w:tc>
          <w:tcPr>
            <w:tcW w:w="0" w:type="auto"/>
            <w:gridSpan w:val="3"/>
            <w:tcMar>
              <w:top w:w="0" w:type="dxa"/>
              <w:left w:w="20" w:type="dxa"/>
              <w:bottom w:w="0" w:type="dxa"/>
              <w:right w:w="20" w:type="dxa"/>
            </w:tcMar>
            <w:vAlign w:val="center"/>
            <w:hideMark/>
          </w:tcPr>
          <w:p w14:paraId="7936B2FF"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7DE79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32A1E36" w14:textId="77777777" w:rsidR="00000000" w:rsidRDefault="00EE5306">
            <w:pPr>
              <w:spacing w:after="100"/>
              <w:jc w:val="center"/>
              <w:rPr>
                <w:rFonts w:eastAsia="Times New Roman"/>
              </w:rPr>
            </w:pPr>
            <w:r>
              <w:rPr>
                <w:rFonts w:eastAsia="Times New Roman"/>
                <w:b/>
                <w:bCs/>
                <w:color w:val="000000"/>
                <w:sz w:val="18"/>
                <w:szCs w:val="18"/>
              </w:rPr>
              <w:t>Factory Stores</w:t>
            </w:r>
          </w:p>
        </w:tc>
      </w:tr>
      <w:tr w:rsidR="00000000" w14:paraId="3C4A570F" w14:textId="77777777">
        <w:trPr>
          <w:divId w:val="1266768841"/>
        </w:trPr>
        <w:tc>
          <w:tcPr>
            <w:tcW w:w="0" w:type="auto"/>
            <w:gridSpan w:val="3"/>
            <w:shd w:val="clear" w:color="auto" w:fill="CCEEFF"/>
            <w:tcMar>
              <w:top w:w="30" w:type="dxa"/>
              <w:left w:w="20" w:type="dxa"/>
              <w:bottom w:w="30" w:type="dxa"/>
              <w:right w:w="20" w:type="dxa"/>
            </w:tcMar>
            <w:hideMark/>
          </w:tcPr>
          <w:p w14:paraId="769A33F0"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14:paraId="14C766A4"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B95D25" w14:textId="77777777" w:rsidR="00000000" w:rsidRDefault="00EE5306">
            <w:pPr>
              <w:spacing w:after="100"/>
              <w:jc w:val="right"/>
              <w:rPr>
                <w:rFonts w:eastAsia="Times New Roman"/>
              </w:rPr>
            </w:pPr>
            <w:r>
              <w:rPr>
                <w:rFonts w:eastAsia="Times New Roman"/>
                <w:color w:val="000000"/>
                <w:sz w:val="20"/>
                <w:szCs w:val="20"/>
              </w:rPr>
              <w:t>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373DCB" w14:textId="77777777" w:rsidR="00000000" w:rsidRDefault="00EE5306">
            <w:pPr>
              <w:spacing w:after="100"/>
              <w:jc w:val="right"/>
              <w:rPr>
                <w:rFonts w:eastAsia="Times New Roman"/>
              </w:rPr>
            </w:pPr>
          </w:p>
        </w:tc>
      </w:tr>
      <w:tr w:rsidR="00000000" w14:paraId="4A006D40" w14:textId="77777777">
        <w:trPr>
          <w:divId w:val="1266768841"/>
        </w:trPr>
        <w:tc>
          <w:tcPr>
            <w:tcW w:w="0" w:type="auto"/>
            <w:gridSpan w:val="3"/>
            <w:shd w:val="clear" w:color="auto" w:fill="FFFFFF"/>
            <w:tcMar>
              <w:top w:w="30" w:type="dxa"/>
              <w:left w:w="20" w:type="dxa"/>
              <w:bottom w:w="30" w:type="dxa"/>
              <w:right w:w="20" w:type="dxa"/>
            </w:tcMar>
            <w:hideMark/>
          </w:tcPr>
          <w:p w14:paraId="0AFAAAC7"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14:paraId="4D763CF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0E34DC" w14:textId="77777777" w:rsidR="00000000" w:rsidRDefault="00EE5306">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580EC74B" w14:textId="77777777" w:rsidR="00000000" w:rsidRDefault="00EE5306">
            <w:pPr>
              <w:spacing w:after="100"/>
              <w:jc w:val="right"/>
              <w:rPr>
                <w:rFonts w:eastAsia="Times New Roman"/>
              </w:rPr>
            </w:pPr>
          </w:p>
        </w:tc>
      </w:tr>
      <w:tr w:rsidR="00000000" w14:paraId="0C37DC6F" w14:textId="77777777">
        <w:trPr>
          <w:divId w:val="1266768841"/>
        </w:trPr>
        <w:tc>
          <w:tcPr>
            <w:tcW w:w="0" w:type="auto"/>
            <w:gridSpan w:val="3"/>
            <w:shd w:val="clear" w:color="auto" w:fill="CCEEFF"/>
            <w:tcMar>
              <w:top w:w="30" w:type="dxa"/>
              <w:left w:w="20" w:type="dxa"/>
              <w:bottom w:w="30" w:type="dxa"/>
              <w:right w:w="20" w:type="dxa"/>
            </w:tcMar>
            <w:hideMark/>
          </w:tcPr>
          <w:p w14:paraId="0D6C0466"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14:paraId="03F16FD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5D043E" w14:textId="77777777" w:rsidR="00000000" w:rsidRDefault="00EE5306">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6B7896A3" w14:textId="77777777" w:rsidR="00000000" w:rsidRDefault="00EE5306">
            <w:pPr>
              <w:spacing w:after="100"/>
              <w:jc w:val="right"/>
              <w:rPr>
                <w:rFonts w:eastAsia="Times New Roman"/>
              </w:rPr>
            </w:pPr>
          </w:p>
        </w:tc>
      </w:tr>
      <w:tr w:rsidR="00000000" w14:paraId="627A0D24" w14:textId="77777777">
        <w:trPr>
          <w:divId w:val="1266768841"/>
        </w:trPr>
        <w:tc>
          <w:tcPr>
            <w:tcW w:w="0" w:type="auto"/>
            <w:gridSpan w:val="3"/>
            <w:shd w:val="clear" w:color="auto" w:fill="FFFFFF"/>
            <w:tcMar>
              <w:top w:w="30" w:type="dxa"/>
              <w:left w:w="155" w:type="dxa"/>
              <w:bottom w:w="30" w:type="dxa"/>
              <w:right w:w="20" w:type="dxa"/>
            </w:tcMar>
            <w:hideMark/>
          </w:tcPr>
          <w:p w14:paraId="5610537B" w14:textId="77777777" w:rsidR="00000000" w:rsidRDefault="00EE5306">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4B5F88A0"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092E07" w14:textId="77777777" w:rsidR="00000000" w:rsidRDefault="00EE5306">
            <w:pPr>
              <w:spacing w:after="100"/>
              <w:jc w:val="right"/>
              <w:rPr>
                <w:rFonts w:eastAsia="Times New Roman"/>
              </w:rPr>
            </w:pPr>
            <w:r>
              <w:rPr>
                <w:rFonts w:eastAsia="Times New Roman"/>
                <w:color w:val="000000"/>
                <w:sz w:val="20"/>
                <w:szCs w:val="20"/>
              </w:rPr>
              <w:t>325 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379C76" w14:textId="77777777" w:rsidR="00000000" w:rsidRDefault="00EE5306">
            <w:pPr>
              <w:spacing w:after="100"/>
              <w:jc w:val="right"/>
              <w:rPr>
                <w:rFonts w:eastAsia="Times New Roman"/>
              </w:rPr>
            </w:pPr>
          </w:p>
        </w:tc>
      </w:tr>
    </w:tbl>
    <w:p w14:paraId="7F5719B5" w14:textId="77777777" w:rsidR="00000000" w:rsidRDefault="00EE5306">
      <w:pPr>
        <w:ind w:firstLine="540"/>
        <w:jc w:val="both"/>
        <w:divId w:val="1157956930"/>
        <w:rPr>
          <w:rFonts w:eastAsia="Times New Roman"/>
        </w:rPr>
      </w:pPr>
      <w:r>
        <w:rPr>
          <w:rFonts w:eastAsia="Times New Roman"/>
          <w:color w:val="000000"/>
          <w:sz w:val="20"/>
          <w:szCs w:val="20"/>
        </w:rPr>
        <w:t>Our factory stores range in size from approximately 1,100 to 28,300 square feet. Factory stores obtain products from our suppliers, our product licensing partners, and our other retail stores and digital commerce operations, and also serve as a secondary d</w:t>
      </w:r>
      <w:r>
        <w:rPr>
          <w:rFonts w:eastAsia="Times New Roman"/>
          <w:color w:val="000000"/>
          <w:sz w:val="20"/>
          <w:szCs w:val="20"/>
        </w:rPr>
        <w:t>istribution channel for our excess and out-of-season products.</w:t>
      </w:r>
    </w:p>
    <w:p w14:paraId="4B8229B7" w14:textId="77777777" w:rsidR="00000000" w:rsidRDefault="00EE5306">
      <w:pPr>
        <w:ind w:firstLine="360"/>
        <w:jc w:val="both"/>
        <w:divId w:val="1231694705"/>
        <w:rPr>
          <w:rFonts w:eastAsia="Times New Roman"/>
        </w:rPr>
      </w:pPr>
      <w:r>
        <w:rPr>
          <w:rFonts w:eastAsia="Times New Roman"/>
          <w:b/>
          <w:bCs/>
          <w:i/>
          <w:iCs/>
          <w:color w:val="000000"/>
          <w:sz w:val="20"/>
          <w:szCs w:val="20"/>
        </w:rPr>
        <w:t>Concession-based Shop-within-Shops</w:t>
      </w:r>
    </w:p>
    <w:p w14:paraId="5B874026" w14:textId="77777777" w:rsidR="00000000" w:rsidRDefault="00EE5306">
      <w:pPr>
        <w:ind w:firstLine="540"/>
        <w:jc w:val="both"/>
        <w:divId w:val="775487937"/>
        <w:rPr>
          <w:rFonts w:eastAsia="Times New Roman"/>
        </w:rPr>
      </w:pPr>
      <w:r>
        <w:rPr>
          <w:rFonts w:eastAsia="Times New Roman"/>
          <w:color w:val="000000"/>
          <w:sz w:val="20"/>
          <w:szCs w:val="20"/>
        </w:rPr>
        <w:t>The terms of trade for shop-within-shops are largely conducted on a concession basis, whereby inventory continues to be owned by us (not the department store)</w:t>
      </w:r>
      <w:r>
        <w:rPr>
          <w:rFonts w:eastAsia="Times New Roman"/>
          <w:color w:val="000000"/>
          <w:sz w:val="20"/>
          <w:szCs w:val="20"/>
        </w:rPr>
        <w:t xml:space="preserve"> until ultimate sale to the end consumer. The salespeople involved in the sales transactions are generally our employees and not those of the department store.</w:t>
      </w:r>
    </w:p>
    <w:p w14:paraId="6EB4D681" w14:textId="77777777" w:rsidR="00000000" w:rsidRDefault="00EE5306">
      <w:pPr>
        <w:ind w:firstLine="540"/>
        <w:jc w:val="both"/>
        <w:divId w:val="1116409774"/>
        <w:rPr>
          <w:rFonts w:eastAsia="Times New Roman"/>
        </w:rPr>
      </w:pPr>
      <w:r>
        <w:rPr>
          <w:rFonts w:eastAsia="Times New Roman"/>
          <w:color w:val="000000"/>
          <w:sz w:val="20"/>
          <w:szCs w:val="20"/>
        </w:rPr>
        <w:t>The following table presents the number of concession-based shop-within-shops by segment as of M</w:t>
      </w:r>
      <w:r>
        <w:rPr>
          <w:rFonts w:eastAsia="Times New Roman"/>
          <w:color w:val="000000"/>
          <w:sz w:val="20"/>
          <w:szCs w:val="20"/>
        </w:rPr>
        <w:t>arch 27, 2021:</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7"/>
        <w:gridCol w:w="36"/>
        <w:gridCol w:w="36"/>
        <w:gridCol w:w="36"/>
        <w:gridCol w:w="52"/>
        <w:gridCol w:w="1337"/>
        <w:gridCol w:w="36"/>
      </w:tblGrid>
      <w:tr w:rsidR="00000000" w14:paraId="0ECF1068" w14:textId="77777777">
        <w:trPr>
          <w:divId w:val="1067916326"/>
        </w:trPr>
        <w:tc>
          <w:tcPr>
            <w:tcW w:w="50" w:type="pct"/>
            <w:vAlign w:val="center"/>
            <w:hideMark/>
          </w:tcPr>
          <w:p w14:paraId="2A9617DD" w14:textId="77777777" w:rsidR="00000000" w:rsidRDefault="00EE5306">
            <w:pPr>
              <w:ind w:firstLine="540"/>
              <w:jc w:val="both"/>
              <w:rPr>
                <w:rFonts w:eastAsia="Times New Roman"/>
              </w:rPr>
            </w:pPr>
          </w:p>
        </w:tc>
        <w:tc>
          <w:tcPr>
            <w:tcW w:w="3977" w:type="pct"/>
            <w:vAlign w:val="center"/>
            <w:hideMark/>
          </w:tcPr>
          <w:p w14:paraId="5B1E3CA5" w14:textId="77777777" w:rsidR="00000000" w:rsidRDefault="00EE5306">
            <w:pPr>
              <w:spacing w:after="100"/>
              <w:rPr>
                <w:rFonts w:eastAsia="Times New Roman"/>
                <w:sz w:val="20"/>
                <w:szCs w:val="20"/>
              </w:rPr>
            </w:pPr>
          </w:p>
        </w:tc>
        <w:tc>
          <w:tcPr>
            <w:tcW w:w="5" w:type="pct"/>
            <w:vAlign w:val="center"/>
            <w:hideMark/>
          </w:tcPr>
          <w:p w14:paraId="32096B19" w14:textId="77777777" w:rsidR="00000000" w:rsidRDefault="00EE5306">
            <w:pPr>
              <w:spacing w:after="100"/>
              <w:rPr>
                <w:rFonts w:eastAsia="Times New Roman"/>
                <w:sz w:val="20"/>
                <w:szCs w:val="20"/>
              </w:rPr>
            </w:pPr>
          </w:p>
        </w:tc>
        <w:tc>
          <w:tcPr>
            <w:tcW w:w="5" w:type="pct"/>
            <w:vAlign w:val="center"/>
            <w:hideMark/>
          </w:tcPr>
          <w:p w14:paraId="2E5E59CD" w14:textId="77777777" w:rsidR="00000000" w:rsidRDefault="00EE5306">
            <w:pPr>
              <w:spacing w:after="100"/>
              <w:rPr>
                <w:rFonts w:eastAsia="Times New Roman"/>
                <w:sz w:val="20"/>
                <w:szCs w:val="20"/>
              </w:rPr>
            </w:pPr>
          </w:p>
        </w:tc>
        <w:tc>
          <w:tcPr>
            <w:tcW w:w="28" w:type="pct"/>
            <w:vAlign w:val="center"/>
            <w:hideMark/>
          </w:tcPr>
          <w:p w14:paraId="74A7DE64" w14:textId="77777777" w:rsidR="00000000" w:rsidRDefault="00EE5306">
            <w:pPr>
              <w:spacing w:after="100"/>
              <w:rPr>
                <w:rFonts w:eastAsia="Times New Roman"/>
                <w:sz w:val="20"/>
                <w:szCs w:val="20"/>
              </w:rPr>
            </w:pPr>
          </w:p>
        </w:tc>
        <w:tc>
          <w:tcPr>
            <w:tcW w:w="5" w:type="pct"/>
            <w:vAlign w:val="center"/>
            <w:hideMark/>
          </w:tcPr>
          <w:p w14:paraId="670BA91F" w14:textId="77777777" w:rsidR="00000000" w:rsidRDefault="00EE5306">
            <w:pPr>
              <w:spacing w:after="100"/>
              <w:rPr>
                <w:rFonts w:eastAsia="Times New Roman"/>
                <w:sz w:val="20"/>
                <w:szCs w:val="20"/>
              </w:rPr>
            </w:pPr>
          </w:p>
        </w:tc>
        <w:tc>
          <w:tcPr>
            <w:tcW w:w="50" w:type="pct"/>
            <w:vAlign w:val="center"/>
            <w:hideMark/>
          </w:tcPr>
          <w:p w14:paraId="456401C6" w14:textId="77777777" w:rsidR="00000000" w:rsidRDefault="00EE5306">
            <w:pPr>
              <w:spacing w:after="100"/>
              <w:rPr>
                <w:rFonts w:eastAsia="Times New Roman"/>
                <w:sz w:val="20"/>
                <w:szCs w:val="20"/>
              </w:rPr>
            </w:pPr>
          </w:p>
        </w:tc>
        <w:tc>
          <w:tcPr>
            <w:tcW w:w="873" w:type="pct"/>
            <w:vAlign w:val="center"/>
            <w:hideMark/>
          </w:tcPr>
          <w:p w14:paraId="28A4D7E8" w14:textId="77777777" w:rsidR="00000000" w:rsidRDefault="00EE5306">
            <w:pPr>
              <w:spacing w:after="100"/>
              <w:rPr>
                <w:rFonts w:eastAsia="Times New Roman"/>
                <w:sz w:val="20"/>
                <w:szCs w:val="20"/>
              </w:rPr>
            </w:pPr>
          </w:p>
        </w:tc>
        <w:tc>
          <w:tcPr>
            <w:tcW w:w="5" w:type="pct"/>
            <w:vAlign w:val="center"/>
            <w:hideMark/>
          </w:tcPr>
          <w:p w14:paraId="56FBA3FD" w14:textId="77777777" w:rsidR="00000000" w:rsidRDefault="00EE5306">
            <w:pPr>
              <w:spacing w:after="100"/>
              <w:rPr>
                <w:rFonts w:eastAsia="Times New Roman"/>
                <w:sz w:val="20"/>
                <w:szCs w:val="20"/>
              </w:rPr>
            </w:pPr>
          </w:p>
        </w:tc>
      </w:tr>
      <w:tr w:rsidR="00000000" w14:paraId="31C56717" w14:textId="77777777">
        <w:trPr>
          <w:divId w:val="1067916326"/>
        </w:trPr>
        <w:tc>
          <w:tcPr>
            <w:tcW w:w="0" w:type="auto"/>
            <w:gridSpan w:val="3"/>
            <w:tcMar>
              <w:top w:w="0" w:type="dxa"/>
              <w:left w:w="20" w:type="dxa"/>
              <w:bottom w:w="0" w:type="dxa"/>
              <w:right w:w="20" w:type="dxa"/>
            </w:tcMar>
            <w:vAlign w:val="center"/>
            <w:hideMark/>
          </w:tcPr>
          <w:p w14:paraId="38B5240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34B80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984ABF3" w14:textId="77777777" w:rsidR="00000000" w:rsidRDefault="00EE5306">
            <w:pPr>
              <w:spacing w:after="100"/>
              <w:jc w:val="center"/>
              <w:rPr>
                <w:rFonts w:eastAsia="Times New Roman"/>
              </w:rPr>
            </w:pPr>
            <w:r>
              <w:rPr>
                <w:rFonts w:eastAsia="Times New Roman"/>
                <w:b/>
                <w:bCs/>
                <w:color w:val="000000"/>
                <w:sz w:val="18"/>
                <w:szCs w:val="18"/>
              </w:rPr>
              <w:t>Concession-based</w:t>
            </w:r>
            <w:r>
              <w:rPr>
                <w:rFonts w:eastAsia="Times New Roman"/>
                <w:b/>
                <w:bCs/>
                <w:color w:val="000000"/>
                <w:sz w:val="18"/>
                <w:szCs w:val="18"/>
              </w:rPr>
              <w:br/>
              <w:t>Shop-within-Shops</w:t>
            </w:r>
          </w:p>
        </w:tc>
      </w:tr>
      <w:tr w:rsidR="00000000" w14:paraId="3BFF849B" w14:textId="77777777">
        <w:trPr>
          <w:divId w:val="1067916326"/>
        </w:trPr>
        <w:tc>
          <w:tcPr>
            <w:tcW w:w="0" w:type="auto"/>
            <w:gridSpan w:val="3"/>
            <w:shd w:val="clear" w:color="auto" w:fill="CCEEFF"/>
            <w:tcMar>
              <w:top w:w="30" w:type="dxa"/>
              <w:left w:w="20" w:type="dxa"/>
              <w:bottom w:w="30" w:type="dxa"/>
              <w:right w:w="20" w:type="dxa"/>
            </w:tcMar>
            <w:hideMark/>
          </w:tcPr>
          <w:p w14:paraId="7D10A0B6"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14:paraId="01F271A3"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FE3615" w14:textId="77777777" w:rsidR="00000000" w:rsidRDefault="00EE5306">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6DA27D" w14:textId="77777777" w:rsidR="00000000" w:rsidRDefault="00EE5306">
            <w:pPr>
              <w:spacing w:after="100"/>
              <w:jc w:val="right"/>
              <w:rPr>
                <w:rFonts w:eastAsia="Times New Roman"/>
              </w:rPr>
            </w:pPr>
          </w:p>
        </w:tc>
      </w:tr>
      <w:tr w:rsidR="00000000" w14:paraId="75E16F96" w14:textId="77777777">
        <w:trPr>
          <w:divId w:val="1067916326"/>
        </w:trPr>
        <w:tc>
          <w:tcPr>
            <w:tcW w:w="0" w:type="auto"/>
            <w:gridSpan w:val="3"/>
            <w:shd w:val="clear" w:color="auto" w:fill="FFFFFF"/>
            <w:tcMar>
              <w:top w:w="30" w:type="dxa"/>
              <w:left w:w="20" w:type="dxa"/>
              <w:bottom w:w="30" w:type="dxa"/>
              <w:right w:w="20" w:type="dxa"/>
            </w:tcMar>
            <w:hideMark/>
          </w:tcPr>
          <w:p w14:paraId="548EF710"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14:paraId="0BA908F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C9B1A3" w14:textId="77777777" w:rsidR="00000000" w:rsidRDefault="00EE5306">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4AB0A61C" w14:textId="77777777" w:rsidR="00000000" w:rsidRDefault="00EE5306">
            <w:pPr>
              <w:spacing w:after="100"/>
              <w:jc w:val="right"/>
              <w:rPr>
                <w:rFonts w:eastAsia="Times New Roman"/>
              </w:rPr>
            </w:pPr>
          </w:p>
        </w:tc>
      </w:tr>
      <w:tr w:rsidR="00000000" w14:paraId="67C4633E" w14:textId="77777777">
        <w:trPr>
          <w:divId w:val="1067916326"/>
        </w:trPr>
        <w:tc>
          <w:tcPr>
            <w:tcW w:w="0" w:type="auto"/>
            <w:gridSpan w:val="3"/>
            <w:shd w:val="clear" w:color="auto" w:fill="CCEEFF"/>
            <w:tcMar>
              <w:top w:w="30" w:type="dxa"/>
              <w:left w:w="20" w:type="dxa"/>
              <w:bottom w:w="30" w:type="dxa"/>
              <w:right w:w="20" w:type="dxa"/>
            </w:tcMar>
            <w:hideMark/>
          </w:tcPr>
          <w:p w14:paraId="6482D184"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14:paraId="09AC90E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3F4FCC" w14:textId="77777777" w:rsidR="00000000" w:rsidRDefault="00EE5306">
            <w:pPr>
              <w:spacing w:after="100"/>
              <w:jc w:val="right"/>
              <w:rPr>
                <w:rFonts w:eastAsia="Times New Roman"/>
              </w:rPr>
            </w:pPr>
            <w:r>
              <w:rPr>
                <w:rFonts w:eastAsia="Times New Roman"/>
                <w:color w:val="000000"/>
                <w:sz w:val="20"/>
                <w:szCs w:val="20"/>
              </w:rPr>
              <w:t>616 </w:t>
            </w:r>
          </w:p>
        </w:tc>
        <w:tc>
          <w:tcPr>
            <w:tcW w:w="0" w:type="auto"/>
            <w:shd w:val="clear" w:color="auto" w:fill="CCEEFF"/>
            <w:tcMar>
              <w:top w:w="30" w:type="dxa"/>
              <w:left w:w="0" w:type="dxa"/>
              <w:bottom w:w="30" w:type="dxa"/>
              <w:right w:w="20" w:type="dxa"/>
            </w:tcMar>
            <w:vAlign w:val="bottom"/>
            <w:hideMark/>
          </w:tcPr>
          <w:p w14:paraId="63E51E32" w14:textId="77777777" w:rsidR="00000000" w:rsidRDefault="00EE5306">
            <w:pPr>
              <w:spacing w:after="100"/>
              <w:jc w:val="right"/>
              <w:rPr>
                <w:rFonts w:eastAsia="Times New Roman"/>
              </w:rPr>
            </w:pPr>
          </w:p>
        </w:tc>
      </w:tr>
      <w:tr w:rsidR="00000000" w14:paraId="5C54D036" w14:textId="77777777">
        <w:trPr>
          <w:divId w:val="1067916326"/>
        </w:trPr>
        <w:tc>
          <w:tcPr>
            <w:tcW w:w="0" w:type="auto"/>
            <w:gridSpan w:val="3"/>
            <w:shd w:val="clear" w:color="auto" w:fill="FFFFFF"/>
            <w:tcMar>
              <w:top w:w="30" w:type="dxa"/>
              <w:left w:w="20" w:type="dxa"/>
              <w:bottom w:w="30" w:type="dxa"/>
              <w:right w:w="20" w:type="dxa"/>
            </w:tcMar>
            <w:hideMark/>
          </w:tcPr>
          <w:p w14:paraId="74201DC2"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FFFFFF"/>
            <w:tcMar>
              <w:top w:w="0" w:type="dxa"/>
              <w:left w:w="20" w:type="dxa"/>
              <w:bottom w:w="0" w:type="dxa"/>
              <w:right w:w="20" w:type="dxa"/>
            </w:tcMar>
            <w:vAlign w:val="center"/>
            <w:hideMark/>
          </w:tcPr>
          <w:p w14:paraId="0F228C5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6DEE8C" w14:textId="77777777" w:rsidR="00000000" w:rsidRDefault="00EE5306">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036532A7" w14:textId="77777777" w:rsidR="00000000" w:rsidRDefault="00EE5306">
            <w:pPr>
              <w:spacing w:after="100"/>
              <w:jc w:val="right"/>
              <w:rPr>
                <w:rFonts w:eastAsia="Times New Roman"/>
              </w:rPr>
            </w:pPr>
          </w:p>
        </w:tc>
      </w:tr>
      <w:tr w:rsidR="00000000" w14:paraId="6B62D225" w14:textId="77777777">
        <w:trPr>
          <w:divId w:val="1067916326"/>
        </w:trPr>
        <w:tc>
          <w:tcPr>
            <w:tcW w:w="0" w:type="auto"/>
            <w:gridSpan w:val="3"/>
            <w:shd w:val="clear" w:color="auto" w:fill="CCEEFF"/>
            <w:tcMar>
              <w:top w:w="30" w:type="dxa"/>
              <w:left w:w="20" w:type="dxa"/>
              <w:bottom w:w="30" w:type="dxa"/>
              <w:right w:w="20" w:type="dxa"/>
            </w:tcMar>
            <w:hideMark/>
          </w:tcPr>
          <w:p w14:paraId="3CC49384" w14:textId="77777777" w:rsidR="00000000" w:rsidRDefault="00EE5306">
            <w:pPr>
              <w:spacing w:after="100"/>
              <w:divId w:val="100490054"/>
              <w:rPr>
                <w:rFonts w:eastAsia="Times New Roman"/>
              </w:rPr>
            </w:pPr>
            <w:r>
              <w:rPr>
                <w:rFonts w:eastAsia="Times New Roman"/>
                <w:color w:val="000000"/>
                <w:sz w:val="20"/>
                <w:szCs w:val="20"/>
              </w:rPr>
              <w:t>Tota</w:t>
            </w:r>
            <w:r>
              <w:rPr>
                <w:rFonts w:eastAsia="Times New Roman"/>
                <w:color w:val="000000"/>
                <w:sz w:val="20"/>
                <w:szCs w:val="20"/>
              </w:rPr>
              <w:t>l</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C5BF802"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464263" w14:textId="77777777" w:rsidR="00000000" w:rsidRDefault="00EE5306">
            <w:pPr>
              <w:spacing w:after="100"/>
              <w:jc w:val="right"/>
              <w:rPr>
                <w:rFonts w:eastAsia="Times New Roman"/>
              </w:rPr>
            </w:pPr>
            <w:r>
              <w:rPr>
                <w:rFonts w:eastAsia="Times New Roman"/>
                <w:color w:val="000000"/>
                <w:sz w:val="20"/>
                <w:szCs w:val="20"/>
              </w:rPr>
              <w:t>650 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6DABC0"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7D42A62C" w14:textId="77777777">
        <w:tc>
          <w:tcPr>
            <w:tcW w:w="50" w:type="pct"/>
            <w:vAlign w:val="center"/>
            <w:hideMark/>
          </w:tcPr>
          <w:p w14:paraId="4924B6C6" w14:textId="77777777" w:rsidR="00000000" w:rsidRDefault="00EE5306">
            <w:pPr>
              <w:rPr>
                <w:rFonts w:eastAsia="Times New Roman"/>
              </w:rPr>
            </w:pPr>
          </w:p>
        </w:tc>
        <w:tc>
          <w:tcPr>
            <w:tcW w:w="4945" w:type="pct"/>
            <w:vAlign w:val="center"/>
            <w:hideMark/>
          </w:tcPr>
          <w:p w14:paraId="2084A1F9" w14:textId="77777777" w:rsidR="00000000" w:rsidRDefault="00EE5306">
            <w:pPr>
              <w:spacing w:after="100"/>
              <w:rPr>
                <w:rFonts w:eastAsia="Times New Roman"/>
                <w:sz w:val="20"/>
                <w:szCs w:val="20"/>
              </w:rPr>
            </w:pPr>
          </w:p>
        </w:tc>
        <w:tc>
          <w:tcPr>
            <w:tcW w:w="5" w:type="pct"/>
            <w:vAlign w:val="center"/>
            <w:hideMark/>
          </w:tcPr>
          <w:p w14:paraId="1B469158" w14:textId="77777777" w:rsidR="00000000" w:rsidRDefault="00EE5306">
            <w:pPr>
              <w:spacing w:after="100"/>
              <w:rPr>
                <w:rFonts w:eastAsia="Times New Roman"/>
                <w:sz w:val="20"/>
                <w:szCs w:val="20"/>
              </w:rPr>
            </w:pPr>
          </w:p>
        </w:tc>
      </w:tr>
      <w:tr w:rsidR="00000000" w14:paraId="3E8E14AD"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00EDD196" w14:textId="77777777" w:rsidR="00000000" w:rsidRDefault="00EE5306">
            <w:pPr>
              <w:spacing w:after="100"/>
              <w:rPr>
                <w:rFonts w:eastAsia="Times New Roman"/>
                <w:sz w:val="20"/>
                <w:szCs w:val="20"/>
              </w:rPr>
            </w:pPr>
          </w:p>
        </w:tc>
      </w:tr>
    </w:tbl>
    <w:p w14:paraId="6BBBF8A1" w14:textId="77777777" w:rsidR="00000000" w:rsidRDefault="00EE5306">
      <w:pPr>
        <w:ind w:hanging="360"/>
        <w:jc w:val="both"/>
        <w:divId w:val="1329289117"/>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     </w:t>
      </w:r>
      <w:r>
        <w:rPr>
          <w:rFonts w:eastAsia="Times New Roman"/>
          <w:color w:val="000000"/>
          <w:sz w:val="20"/>
          <w:szCs w:val="20"/>
        </w:rPr>
        <w:t>Our concession-based shop-within-shops were located at approximately 300 retail locations.</w:t>
      </w:r>
    </w:p>
    <w:p w14:paraId="253E1E3E" w14:textId="77777777" w:rsidR="00000000" w:rsidRDefault="00EE5306">
      <w:pPr>
        <w:ind w:firstLine="540"/>
        <w:jc w:val="both"/>
        <w:divId w:val="1144857072"/>
        <w:rPr>
          <w:rFonts w:eastAsia="Times New Roman"/>
        </w:rPr>
      </w:pPr>
      <w:r>
        <w:rPr>
          <w:rFonts w:eastAsia="Times New Roman"/>
          <w:color w:val="000000"/>
          <w:sz w:val="20"/>
          <w:szCs w:val="20"/>
        </w:rPr>
        <w:t>The size of our concession-based shop-within-shops ranges from approximately 100 to 3,500 square feet. We may share in the cost of building out certain of these shop</w:t>
      </w:r>
      <w:r>
        <w:rPr>
          <w:rFonts w:eastAsia="Times New Roman"/>
          <w:color w:val="000000"/>
          <w:sz w:val="20"/>
          <w:szCs w:val="20"/>
        </w:rPr>
        <w:t>-within-shops with our department store partners.</w:t>
      </w:r>
    </w:p>
    <w:p w14:paraId="5B1AFDC6" w14:textId="77777777" w:rsidR="00000000" w:rsidRDefault="00EE5306">
      <w:pPr>
        <w:ind w:firstLine="360"/>
        <w:jc w:val="both"/>
        <w:divId w:val="231935330"/>
        <w:rPr>
          <w:rFonts w:eastAsia="Times New Roman"/>
        </w:rPr>
      </w:pPr>
      <w:r>
        <w:rPr>
          <w:rFonts w:eastAsia="Times New Roman"/>
          <w:b/>
          <w:bCs/>
          <w:i/>
          <w:iCs/>
          <w:color w:val="000000"/>
          <w:sz w:val="20"/>
          <w:szCs w:val="20"/>
        </w:rPr>
        <w:t>Club Monaco Stores</w:t>
      </w:r>
    </w:p>
    <w:p w14:paraId="3586792F" w14:textId="77777777" w:rsidR="00000000" w:rsidRDefault="00EE5306">
      <w:pPr>
        <w:ind w:firstLine="540"/>
        <w:jc w:val="both"/>
        <w:divId w:val="2030332288"/>
        <w:rPr>
          <w:rFonts w:eastAsia="Times New Roman"/>
        </w:rPr>
      </w:pPr>
      <w:r>
        <w:rPr>
          <w:rFonts w:eastAsia="Times New Roman"/>
          <w:color w:val="000000"/>
          <w:sz w:val="20"/>
          <w:szCs w:val="20"/>
        </w:rPr>
        <w:t>Our Club Monaco stores feature fashion apparel, footwear, and accessories for both men and women with clean and contemporary signature styles. During Fiscal 2021, we opened three new Club</w:t>
      </w:r>
      <w:r>
        <w:rPr>
          <w:rFonts w:eastAsia="Times New Roman"/>
          <w:color w:val="000000"/>
          <w:sz w:val="20"/>
          <w:szCs w:val="20"/>
        </w:rPr>
        <w:t xml:space="preserve"> Monaco store and closed five stores. Our Club Monaco stores range in size from approximately 1,200 to 17,200 square feet.</w:t>
      </w:r>
    </w:p>
    <w:p w14:paraId="02E3DB44" w14:textId="77777777" w:rsidR="00000000" w:rsidRDefault="00EE5306">
      <w:pPr>
        <w:ind w:firstLine="540"/>
        <w:jc w:val="both"/>
        <w:divId w:val="1770277499"/>
        <w:rPr>
          <w:rFonts w:eastAsia="Times New Roman"/>
        </w:rPr>
      </w:pPr>
      <w:r>
        <w:rPr>
          <w:rFonts w:eastAsia="Times New Roman"/>
          <w:color w:val="000000"/>
          <w:sz w:val="20"/>
          <w:szCs w:val="20"/>
        </w:rPr>
        <w:t>The following table presents the number of Club Monaco stores by geographic location as of March 27, 2021:</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64"/>
        <w:gridCol w:w="1326"/>
        <w:gridCol w:w="36"/>
      </w:tblGrid>
      <w:tr w:rsidR="00000000" w14:paraId="42496B51" w14:textId="77777777">
        <w:trPr>
          <w:divId w:val="2068644644"/>
        </w:trPr>
        <w:tc>
          <w:tcPr>
            <w:tcW w:w="50" w:type="pct"/>
            <w:vAlign w:val="center"/>
            <w:hideMark/>
          </w:tcPr>
          <w:p w14:paraId="7A5F7559" w14:textId="77777777" w:rsidR="00000000" w:rsidRDefault="00EE5306">
            <w:pPr>
              <w:ind w:firstLine="540"/>
              <w:jc w:val="both"/>
              <w:rPr>
                <w:rFonts w:eastAsia="Times New Roman"/>
              </w:rPr>
            </w:pPr>
          </w:p>
        </w:tc>
        <w:tc>
          <w:tcPr>
            <w:tcW w:w="3977" w:type="pct"/>
            <w:vAlign w:val="center"/>
            <w:hideMark/>
          </w:tcPr>
          <w:p w14:paraId="3B25D9A3" w14:textId="77777777" w:rsidR="00000000" w:rsidRDefault="00EE5306">
            <w:pPr>
              <w:spacing w:after="100"/>
              <w:rPr>
                <w:rFonts w:eastAsia="Times New Roman"/>
                <w:sz w:val="20"/>
                <w:szCs w:val="20"/>
              </w:rPr>
            </w:pPr>
          </w:p>
        </w:tc>
        <w:tc>
          <w:tcPr>
            <w:tcW w:w="5" w:type="pct"/>
            <w:vAlign w:val="center"/>
            <w:hideMark/>
          </w:tcPr>
          <w:p w14:paraId="361B07D3" w14:textId="77777777" w:rsidR="00000000" w:rsidRDefault="00EE5306">
            <w:pPr>
              <w:spacing w:after="100"/>
              <w:rPr>
                <w:rFonts w:eastAsia="Times New Roman"/>
                <w:sz w:val="20"/>
                <w:szCs w:val="20"/>
              </w:rPr>
            </w:pPr>
          </w:p>
        </w:tc>
        <w:tc>
          <w:tcPr>
            <w:tcW w:w="5" w:type="pct"/>
            <w:vAlign w:val="center"/>
            <w:hideMark/>
          </w:tcPr>
          <w:p w14:paraId="4607F9AD" w14:textId="77777777" w:rsidR="00000000" w:rsidRDefault="00EE5306">
            <w:pPr>
              <w:spacing w:after="100"/>
              <w:rPr>
                <w:rFonts w:eastAsia="Times New Roman"/>
                <w:sz w:val="20"/>
                <w:szCs w:val="20"/>
              </w:rPr>
            </w:pPr>
          </w:p>
        </w:tc>
        <w:tc>
          <w:tcPr>
            <w:tcW w:w="28" w:type="pct"/>
            <w:vAlign w:val="center"/>
            <w:hideMark/>
          </w:tcPr>
          <w:p w14:paraId="3B023B63" w14:textId="77777777" w:rsidR="00000000" w:rsidRDefault="00EE5306">
            <w:pPr>
              <w:spacing w:after="100"/>
              <w:rPr>
                <w:rFonts w:eastAsia="Times New Roman"/>
                <w:sz w:val="20"/>
                <w:szCs w:val="20"/>
              </w:rPr>
            </w:pPr>
          </w:p>
        </w:tc>
        <w:tc>
          <w:tcPr>
            <w:tcW w:w="5" w:type="pct"/>
            <w:vAlign w:val="center"/>
            <w:hideMark/>
          </w:tcPr>
          <w:p w14:paraId="5FAD2120" w14:textId="77777777" w:rsidR="00000000" w:rsidRDefault="00EE5306">
            <w:pPr>
              <w:spacing w:after="100"/>
              <w:rPr>
                <w:rFonts w:eastAsia="Times New Roman"/>
                <w:sz w:val="20"/>
                <w:szCs w:val="20"/>
              </w:rPr>
            </w:pPr>
          </w:p>
        </w:tc>
        <w:tc>
          <w:tcPr>
            <w:tcW w:w="50" w:type="pct"/>
            <w:vAlign w:val="center"/>
            <w:hideMark/>
          </w:tcPr>
          <w:p w14:paraId="0FDCB280" w14:textId="77777777" w:rsidR="00000000" w:rsidRDefault="00EE5306">
            <w:pPr>
              <w:spacing w:after="100"/>
              <w:rPr>
                <w:rFonts w:eastAsia="Times New Roman"/>
                <w:sz w:val="20"/>
                <w:szCs w:val="20"/>
              </w:rPr>
            </w:pPr>
          </w:p>
        </w:tc>
        <w:tc>
          <w:tcPr>
            <w:tcW w:w="873" w:type="pct"/>
            <w:vAlign w:val="center"/>
            <w:hideMark/>
          </w:tcPr>
          <w:p w14:paraId="20B8A53B" w14:textId="77777777" w:rsidR="00000000" w:rsidRDefault="00EE5306">
            <w:pPr>
              <w:spacing w:after="100"/>
              <w:rPr>
                <w:rFonts w:eastAsia="Times New Roman"/>
                <w:sz w:val="20"/>
                <w:szCs w:val="20"/>
              </w:rPr>
            </w:pPr>
          </w:p>
        </w:tc>
        <w:tc>
          <w:tcPr>
            <w:tcW w:w="5" w:type="pct"/>
            <w:vAlign w:val="center"/>
            <w:hideMark/>
          </w:tcPr>
          <w:p w14:paraId="66A77BE8" w14:textId="77777777" w:rsidR="00000000" w:rsidRDefault="00EE5306">
            <w:pPr>
              <w:spacing w:after="100"/>
              <w:rPr>
                <w:rFonts w:eastAsia="Times New Roman"/>
                <w:sz w:val="20"/>
                <w:szCs w:val="20"/>
              </w:rPr>
            </w:pPr>
          </w:p>
        </w:tc>
      </w:tr>
      <w:tr w:rsidR="00000000" w14:paraId="46C6C7B6" w14:textId="77777777">
        <w:trPr>
          <w:divId w:val="2068644644"/>
        </w:trPr>
        <w:tc>
          <w:tcPr>
            <w:tcW w:w="0" w:type="auto"/>
            <w:gridSpan w:val="3"/>
            <w:tcMar>
              <w:top w:w="0" w:type="dxa"/>
              <w:left w:w="20" w:type="dxa"/>
              <w:bottom w:w="0" w:type="dxa"/>
              <w:right w:w="20" w:type="dxa"/>
            </w:tcMar>
            <w:vAlign w:val="center"/>
            <w:hideMark/>
          </w:tcPr>
          <w:p w14:paraId="15A6DBD1"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4BAF2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B8B36EC" w14:textId="77777777" w:rsidR="00000000" w:rsidRDefault="00EE5306">
            <w:pPr>
              <w:spacing w:after="100"/>
              <w:jc w:val="center"/>
              <w:rPr>
                <w:rFonts w:eastAsia="Times New Roman"/>
              </w:rPr>
            </w:pPr>
            <w:r>
              <w:rPr>
                <w:rFonts w:eastAsia="Times New Roman"/>
                <w:b/>
                <w:bCs/>
                <w:color w:val="000000"/>
                <w:sz w:val="18"/>
                <w:szCs w:val="18"/>
              </w:rPr>
              <w:t>Club Monaco Stores</w:t>
            </w:r>
          </w:p>
        </w:tc>
      </w:tr>
      <w:tr w:rsidR="00000000" w14:paraId="134B4868" w14:textId="77777777">
        <w:trPr>
          <w:divId w:val="2068644644"/>
        </w:trPr>
        <w:tc>
          <w:tcPr>
            <w:tcW w:w="0" w:type="auto"/>
            <w:gridSpan w:val="3"/>
            <w:shd w:val="clear" w:color="auto" w:fill="CCEEFF"/>
            <w:tcMar>
              <w:top w:w="30" w:type="dxa"/>
              <w:left w:w="20" w:type="dxa"/>
              <w:bottom w:w="30" w:type="dxa"/>
              <w:right w:w="20" w:type="dxa"/>
            </w:tcMar>
            <w:hideMark/>
          </w:tcPr>
          <w:p w14:paraId="52E87200"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14:paraId="3A6A3E85"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ED49F6" w14:textId="77777777" w:rsidR="00000000" w:rsidRDefault="00EE5306">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3B2D72" w14:textId="77777777" w:rsidR="00000000" w:rsidRDefault="00EE5306">
            <w:pPr>
              <w:spacing w:after="100"/>
              <w:jc w:val="right"/>
              <w:rPr>
                <w:rFonts w:eastAsia="Times New Roman"/>
              </w:rPr>
            </w:pPr>
          </w:p>
        </w:tc>
      </w:tr>
      <w:tr w:rsidR="00000000" w14:paraId="31181AFF" w14:textId="77777777">
        <w:trPr>
          <w:divId w:val="2068644644"/>
        </w:trPr>
        <w:tc>
          <w:tcPr>
            <w:tcW w:w="0" w:type="auto"/>
            <w:gridSpan w:val="3"/>
            <w:shd w:val="clear" w:color="auto" w:fill="FFFFFF"/>
            <w:tcMar>
              <w:top w:w="30" w:type="dxa"/>
              <w:left w:w="20" w:type="dxa"/>
              <w:bottom w:w="30" w:type="dxa"/>
              <w:right w:w="20" w:type="dxa"/>
            </w:tcMar>
            <w:hideMark/>
          </w:tcPr>
          <w:p w14:paraId="4A257707"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14:paraId="1A5418B1"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440D47" w14:textId="77777777" w:rsidR="00000000" w:rsidRDefault="00EE5306">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8BE2180" w14:textId="77777777" w:rsidR="00000000" w:rsidRDefault="00EE5306">
            <w:pPr>
              <w:spacing w:after="100"/>
              <w:jc w:val="right"/>
              <w:rPr>
                <w:rFonts w:eastAsia="Times New Roman"/>
              </w:rPr>
            </w:pPr>
          </w:p>
        </w:tc>
      </w:tr>
      <w:tr w:rsidR="00000000" w14:paraId="68185282" w14:textId="77777777">
        <w:trPr>
          <w:divId w:val="2068644644"/>
        </w:trPr>
        <w:tc>
          <w:tcPr>
            <w:tcW w:w="0" w:type="auto"/>
            <w:gridSpan w:val="3"/>
            <w:shd w:val="clear" w:color="auto" w:fill="CCEEFF"/>
            <w:tcMar>
              <w:top w:w="30" w:type="dxa"/>
              <w:left w:w="20" w:type="dxa"/>
              <w:bottom w:w="30" w:type="dxa"/>
              <w:right w:w="20" w:type="dxa"/>
            </w:tcMar>
            <w:hideMark/>
          </w:tcPr>
          <w:p w14:paraId="04D066E8" w14:textId="77777777" w:rsidR="00000000" w:rsidRDefault="00EE5306">
            <w:pPr>
              <w:spacing w:after="100"/>
              <w:divId w:val="2084137879"/>
              <w:rPr>
                <w:rFonts w:eastAsia="Times New Roman"/>
              </w:rPr>
            </w:pPr>
            <w:r>
              <w:rPr>
                <w:rFonts w:eastAsia="Times New Roman"/>
                <w:color w:val="000000"/>
                <w:sz w:val="20"/>
                <w:szCs w:val="20"/>
              </w:rPr>
              <w:t>Tota</w:t>
            </w:r>
            <w:r>
              <w:rPr>
                <w:rFonts w:eastAsia="Times New Roman"/>
                <w:color w:val="000000"/>
                <w:sz w:val="20"/>
                <w:szCs w:val="20"/>
              </w:rPr>
              <w:t>l</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A088395"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ACD8E6" w14:textId="77777777" w:rsidR="00000000" w:rsidRDefault="00EE5306">
            <w:pPr>
              <w:spacing w:after="100"/>
              <w:jc w:val="right"/>
              <w:rPr>
                <w:rFonts w:eastAsia="Times New Roman"/>
              </w:rPr>
            </w:pPr>
            <w:r>
              <w:rPr>
                <w:rFonts w:eastAsia="Times New Roman"/>
                <w:color w:val="000000"/>
                <w:sz w:val="20"/>
                <w:szCs w:val="20"/>
              </w:rPr>
              <w:t>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09CD5D"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00236D8E" w14:textId="77777777">
        <w:tc>
          <w:tcPr>
            <w:tcW w:w="50" w:type="pct"/>
            <w:vAlign w:val="center"/>
            <w:hideMark/>
          </w:tcPr>
          <w:p w14:paraId="08222A62" w14:textId="77777777" w:rsidR="00000000" w:rsidRDefault="00EE5306">
            <w:pPr>
              <w:rPr>
                <w:rFonts w:eastAsia="Times New Roman"/>
              </w:rPr>
            </w:pPr>
          </w:p>
        </w:tc>
        <w:tc>
          <w:tcPr>
            <w:tcW w:w="4945" w:type="pct"/>
            <w:vAlign w:val="center"/>
            <w:hideMark/>
          </w:tcPr>
          <w:p w14:paraId="21C0AD52" w14:textId="77777777" w:rsidR="00000000" w:rsidRDefault="00EE5306">
            <w:pPr>
              <w:spacing w:after="100"/>
              <w:rPr>
                <w:rFonts w:eastAsia="Times New Roman"/>
                <w:sz w:val="20"/>
                <w:szCs w:val="20"/>
              </w:rPr>
            </w:pPr>
          </w:p>
        </w:tc>
        <w:tc>
          <w:tcPr>
            <w:tcW w:w="5" w:type="pct"/>
            <w:vAlign w:val="center"/>
            <w:hideMark/>
          </w:tcPr>
          <w:p w14:paraId="77C5F3B5" w14:textId="77777777" w:rsidR="00000000" w:rsidRDefault="00EE5306">
            <w:pPr>
              <w:spacing w:after="100"/>
              <w:rPr>
                <w:rFonts w:eastAsia="Times New Roman"/>
                <w:sz w:val="20"/>
                <w:szCs w:val="20"/>
              </w:rPr>
            </w:pPr>
          </w:p>
        </w:tc>
      </w:tr>
      <w:tr w:rsidR="00000000" w14:paraId="16A58A7E"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6A2E8B5E" w14:textId="77777777" w:rsidR="00000000" w:rsidRDefault="00EE5306">
            <w:pPr>
              <w:spacing w:after="100"/>
              <w:rPr>
                <w:rFonts w:eastAsia="Times New Roman"/>
                <w:sz w:val="20"/>
                <w:szCs w:val="20"/>
              </w:rPr>
            </w:pPr>
          </w:p>
        </w:tc>
      </w:tr>
    </w:tbl>
    <w:p w14:paraId="67BEB081" w14:textId="77777777" w:rsidR="00000000" w:rsidRDefault="00EE5306">
      <w:pPr>
        <w:ind w:hanging="360"/>
        <w:jc w:val="both"/>
        <w:divId w:val="565653536"/>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     </w:t>
      </w:r>
      <w:r>
        <w:rPr>
          <w:rFonts w:eastAsia="Times New Roman"/>
          <w:color w:val="000000"/>
          <w:sz w:val="20"/>
          <w:szCs w:val="20"/>
        </w:rPr>
        <w:t>Our Club Monaco business has been aggregated with other non-reportable segments.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7C0E989" w14:textId="77777777">
        <w:trPr>
          <w:divId w:val="1088310417"/>
          <w:jc w:val="center"/>
        </w:trPr>
        <w:tc>
          <w:tcPr>
            <w:tcW w:w="50" w:type="pct"/>
            <w:vAlign w:val="center"/>
            <w:hideMark/>
          </w:tcPr>
          <w:p w14:paraId="19862F90" w14:textId="77777777" w:rsidR="00000000" w:rsidRDefault="00EE5306">
            <w:pPr>
              <w:ind w:hanging="360"/>
              <w:jc w:val="both"/>
              <w:rPr>
                <w:rFonts w:eastAsia="Times New Roman"/>
              </w:rPr>
            </w:pPr>
          </w:p>
        </w:tc>
        <w:tc>
          <w:tcPr>
            <w:tcW w:w="1699" w:type="pct"/>
            <w:vAlign w:val="center"/>
            <w:hideMark/>
          </w:tcPr>
          <w:p w14:paraId="4BDB73F7" w14:textId="77777777" w:rsidR="00000000" w:rsidRDefault="00EE5306">
            <w:pPr>
              <w:spacing w:after="100"/>
              <w:rPr>
                <w:rFonts w:eastAsia="Times New Roman"/>
                <w:sz w:val="20"/>
                <w:szCs w:val="20"/>
              </w:rPr>
            </w:pPr>
          </w:p>
        </w:tc>
        <w:tc>
          <w:tcPr>
            <w:tcW w:w="5" w:type="pct"/>
            <w:vAlign w:val="center"/>
            <w:hideMark/>
          </w:tcPr>
          <w:p w14:paraId="3CFC9D9A" w14:textId="77777777" w:rsidR="00000000" w:rsidRDefault="00EE5306">
            <w:pPr>
              <w:spacing w:after="100"/>
              <w:rPr>
                <w:rFonts w:eastAsia="Times New Roman"/>
                <w:sz w:val="20"/>
                <w:szCs w:val="20"/>
              </w:rPr>
            </w:pPr>
          </w:p>
        </w:tc>
        <w:tc>
          <w:tcPr>
            <w:tcW w:w="50" w:type="pct"/>
            <w:vAlign w:val="center"/>
            <w:hideMark/>
          </w:tcPr>
          <w:p w14:paraId="4236F2BD" w14:textId="77777777" w:rsidR="00000000" w:rsidRDefault="00EE5306">
            <w:pPr>
              <w:spacing w:after="100"/>
              <w:rPr>
                <w:rFonts w:eastAsia="Times New Roman"/>
                <w:sz w:val="20"/>
                <w:szCs w:val="20"/>
              </w:rPr>
            </w:pPr>
          </w:p>
        </w:tc>
        <w:tc>
          <w:tcPr>
            <w:tcW w:w="1436" w:type="pct"/>
            <w:vAlign w:val="center"/>
            <w:hideMark/>
          </w:tcPr>
          <w:p w14:paraId="510B15AD" w14:textId="77777777" w:rsidR="00000000" w:rsidRDefault="00EE5306">
            <w:pPr>
              <w:spacing w:after="100"/>
              <w:rPr>
                <w:rFonts w:eastAsia="Times New Roman"/>
                <w:sz w:val="20"/>
                <w:szCs w:val="20"/>
              </w:rPr>
            </w:pPr>
          </w:p>
        </w:tc>
        <w:tc>
          <w:tcPr>
            <w:tcW w:w="5" w:type="pct"/>
            <w:vAlign w:val="center"/>
            <w:hideMark/>
          </w:tcPr>
          <w:p w14:paraId="314B5F98" w14:textId="77777777" w:rsidR="00000000" w:rsidRDefault="00EE5306">
            <w:pPr>
              <w:spacing w:after="100"/>
              <w:rPr>
                <w:rFonts w:eastAsia="Times New Roman"/>
                <w:sz w:val="20"/>
                <w:szCs w:val="20"/>
              </w:rPr>
            </w:pPr>
          </w:p>
        </w:tc>
        <w:tc>
          <w:tcPr>
            <w:tcW w:w="50" w:type="pct"/>
            <w:vAlign w:val="center"/>
            <w:hideMark/>
          </w:tcPr>
          <w:p w14:paraId="339F2A94" w14:textId="77777777" w:rsidR="00000000" w:rsidRDefault="00EE5306">
            <w:pPr>
              <w:spacing w:after="100"/>
              <w:rPr>
                <w:rFonts w:eastAsia="Times New Roman"/>
                <w:sz w:val="20"/>
                <w:szCs w:val="20"/>
              </w:rPr>
            </w:pPr>
          </w:p>
        </w:tc>
        <w:tc>
          <w:tcPr>
            <w:tcW w:w="1699" w:type="pct"/>
            <w:vAlign w:val="center"/>
            <w:hideMark/>
          </w:tcPr>
          <w:p w14:paraId="7C3139DE" w14:textId="77777777" w:rsidR="00000000" w:rsidRDefault="00EE5306">
            <w:pPr>
              <w:spacing w:after="100"/>
              <w:rPr>
                <w:rFonts w:eastAsia="Times New Roman"/>
                <w:sz w:val="20"/>
                <w:szCs w:val="20"/>
              </w:rPr>
            </w:pPr>
          </w:p>
        </w:tc>
        <w:tc>
          <w:tcPr>
            <w:tcW w:w="5" w:type="pct"/>
            <w:vAlign w:val="center"/>
            <w:hideMark/>
          </w:tcPr>
          <w:p w14:paraId="0785EC25" w14:textId="77777777" w:rsidR="00000000" w:rsidRDefault="00EE5306">
            <w:pPr>
              <w:spacing w:after="100"/>
              <w:rPr>
                <w:rFonts w:eastAsia="Times New Roman"/>
                <w:sz w:val="20"/>
                <w:szCs w:val="20"/>
              </w:rPr>
            </w:pPr>
          </w:p>
        </w:tc>
      </w:tr>
      <w:tr w:rsidR="00000000" w14:paraId="22F567E5" w14:textId="77777777">
        <w:trPr>
          <w:divId w:val="1088310417"/>
          <w:jc w:val="center"/>
        </w:trPr>
        <w:tc>
          <w:tcPr>
            <w:tcW w:w="0" w:type="auto"/>
            <w:gridSpan w:val="3"/>
            <w:tcMar>
              <w:top w:w="0" w:type="dxa"/>
              <w:left w:w="20" w:type="dxa"/>
              <w:bottom w:w="0" w:type="dxa"/>
              <w:right w:w="20" w:type="dxa"/>
            </w:tcMar>
            <w:vAlign w:val="center"/>
            <w:hideMark/>
          </w:tcPr>
          <w:p w14:paraId="7ECBF90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21E17C0" w14:textId="77777777" w:rsidR="00000000" w:rsidRDefault="00EE5306">
            <w:pPr>
              <w:spacing w:after="100"/>
              <w:jc w:val="center"/>
              <w:rPr>
                <w:rFonts w:eastAsia="Times New Roman"/>
              </w:rPr>
            </w:pPr>
            <w:r>
              <w:rPr>
                <w:rFonts w:eastAsia="Times New Roman"/>
                <w:color w:val="000000"/>
                <w:sz w:val="20"/>
                <w:szCs w:val="20"/>
              </w:rPr>
              <w:t>12</w:t>
            </w:r>
          </w:p>
        </w:tc>
        <w:tc>
          <w:tcPr>
            <w:tcW w:w="0" w:type="auto"/>
            <w:gridSpan w:val="3"/>
            <w:tcMar>
              <w:top w:w="0" w:type="dxa"/>
              <w:left w:w="20" w:type="dxa"/>
              <w:bottom w:w="0" w:type="dxa"/>
              <w:right w:w="20" w:type="dxa"/>
            </w:tcMar>
            <w:vAlign w:val="center"/>
            <w:hideMark/>
          </w:tcPr>
          <w:p w14:paraId="07820B3A" w14:textId="77777777" w:rsidR="00000000" w:rsidRDefault="00EE5306">
            <w:pPr>
              <w:spacing w:after="100"/>
              <w:jc w:val="center"/>
              <w:rPr>
                <w:rFonts w:eastAsia="Times New Roman"/>
              </w:rPr>
            </w:pPr>
          </w:p>
        </w:tc>
      </w:tr>
    </w:tbl>
    <w:p w14:paraId="3B9F7C08" w14:textId="77777777" w:rsidR="00000000" w:rsidRDefault="00EE5306">
      <w:pPr>
        <w:rPr>
          <w:rFonts w:eastAsia="Times New Roman"/>
        </w:rPr>
      </w:pPr>
      <w:r>
        <w:rPr>
          <w:rFonts w:eastAsia="Times New Roman"/>
        </w:rPr>
        <w:pict w14:anchorId="1F43158B">
          <v:rect id="_x0000_i1038" style="width:0;height:1.5pt" o:hralign="center" o:hrstd="t" o:hr="t" fillcolor="#a0a0a0" stroked="f"/>
        </w:pict>
      </w:r>
    </w:p>
    <w:p w14:paraId="70660F74" w14:textId="77777777" w:rsidR="00000000" w:rsidRDefault="00EE5306">
      <w:pPr>
        <w:divId w:val="1730415301"/>
        <w:rPr>
          <w:rFonts w:eastAsia="Times New Roman"/>
        </w:rPr>
      </w:pPr>
    </w:p>
    <w:p w14:paraId="166BB919" w14:textId="77777777" w:rsidR="00000000" w:rsidRDefault="00EE5306">
      <w:pPr>
        <w:ind w:firstLine="540"/>
        <w:jc w:val="both"/>
        <w:divId w:val="193884544"/>
        <w:rPr>
          <w:rFonts w:eastAsia="Times New Roman"/>
        </w:rPr>
      </w:pPr>
      <w:r>
        <w:rPr>
          <w:rFonts w:eastAsia="Times New Roman"/>
          <w:color w:val="000000"/>
          <w:sz w:val="20"/>
          <w:szCs w:val="20"/>
        </w:rPr>
        <w:t xml:space="preserve">As discussed in </w:t>
      </w:r>
      <w:r>
        <w:rPr>
          <w:rFonts w:eastAsia="Times New Roman"/>
          <w:i/>
          <w:iCs/>
          <w:color w:val="000000"/>
          <w:sz w:val="20"/>
          <w:szCs w:val="20"/>
        </w:rPr>
        <w:t>"Recent Developments,"</w:t>
      </w:r>
      <w:r>
        <w:rPr>
          <w:rFonts w:eastAsia="Times New Roman"/>
          <w:color w:val="000000"/>
          <w:sz w:val="20"/>
          <w:szCs w:val="20"/>
        </w:rPr>
        <w:t xml:space="preserve"> on May 13, 2021, we announced the anticipated sale of our Club Monaco business, which is expected to close by the end of the first quarter of Fiscal 2022.</w:t>
      </w:r>
    </w:p>
    <w:p w14:paraId="3DA8B38C" w14:textId="77777777" w:rsidR="00000000" w:rsidRDefault="00EE5306">
      <w:pPr>
        <w:ind w:firstLine="360"/>
        <w:jc w:val="both"/>
        <w:divId w:val="1674799664"/>
        <w:rPr>
          <w:rFonts w:eastAsia="Times New Roman"/>
        </w:rPr>
      </w:pPr>
      <w:r>
        <w:rPr>
          <w:rFonts w:eastAsia="Times New Roman"/>
          <w:b/>
          <w:bCs/>
          <w:i/>
          <w:iCs/>
          <w:color w:val="000000"/>
          <w:sz w:val="20"/>
          <w:szCs w:val="20"/>
        </w:rPr>
        <w:t>Directly-Operated Digita</w:t>
      </w:r>
      <w:r>
        <w:rPr>
          <w:rFonts w:eastAsia="Times New Roman"/>
          <w:b/>
          <w:bCs/>
          <w:i/>
          <w:iCs/>
          <w:color w:val="000000"/>
          <w:sz w:val="20"/>
          <w:szCs w:val="20"/>
        </w:rPr>
        <w:t>l Commerce Websites</w:t>
      </w:r>
    </w:p>
    <w:p w14:paraId="0BFCD5EF" w14:textId="77777777" w:rsidR="00000000" w:rsidRDefault="00EE5306">
      <w:pPr>
        <w:ind w:firstLine="540"/>
        <w:jc w:val="both"/>
        <w:divId w:val="1618876544"/>
        <w:rPr>
          <w:rFonts w:eastAsia="Times New Roman"/>
        </w:rPr>
      </w:pPr>
      <w:r>
        <w:rPr>
          <w:rFonts w:eastAsia="Times New Roman"/>
          <w:color w:val="000000"/>
          <w:sz w:val="20"/>
          <w:szCs w:val="20"/>
        </w:rPr>
        <w:t>In addition to our stores, our retail business sells products online in North America, Europe, and Asia through our various directly-operated digital commerce sites, which include www.RalphLauren.com, among others. Most recently, we add</w:t>
      </w:r>
      <w:r>
        <w:rPr>
          <w:rFonts w:eastAsia="Times New Roman"/>
          <w:color w:val="000000"/>
          <w:sz w:val="20"/>
          <w:szCs w:val="20"/>
        </w:rPr>
        <w:t>ed two new sites in Asia, www.RalphLauren.jp (launched in June 2020) and www.RalphLauren.hk (launched in October 2020), servicing Japan and Hong Kong, respectively. We also sell our products online through various third-party digital partner commerce sites</w:t>
      </w:r>
      <w:r>
        <w:rPr>
          <w:rFonts w:eastAsia="Times New Roman"/>
          <w:color w:val="000000"/>
          <w:sz w:val="20"/>
          <w:szCs w:val="20"/>
        </w:rPr>
        <w:t xml:space="preserve"> in Asia, as well as through our Polo mobile app in North America and the United Kingdom.</w:t>
      </w:r>
    </w:p>
    <w:p w14:paraId="7DA7DDA7" w14:textId="77777777" w:rsidR="00000000" w:rsidRDefault="00EE5306">
      <w:pPr>
        <w:ind w:firstLine="540"/>
        <w:jc w:val="both"/>
        <w:divId w:val="2135177468"/>
        <w:rPr>
          <w:rFonts w:eastAsia="Times New Roman"/>
        </w:rPr>
      </w:pPr>
      <w:r>
        <w:rPr>
          <w:rFonts w:eastAsia="Times New Roman"/>
          <w:color w:val="000000"/>
          <w:sz w:val="20"/>
          <w:szCs w:val="20"/>
        </w:rPr>
        <w:t>Our Ralph Lauren digital commerce sites offer our customers access to a broad array of Ralph Lauren, Polo, and Double RL apparel, footwear, accessories, watch and jew</w:t>
      </w:r>
      <w:r>
        <w:rPr>
          <w:rFonts w:eastAsia="Times New Roman"/>
          <w:color w:val="000000"/>
          <w:sz w:val="20"/>
          <w:szCs w:val="20"/>
        </w:rPr>
        <w:t>elry, fragrance, and home product assortments, and reinforce the luxury image of our brands. While investing in digital commerce operations remains a primary focus, it is an extension of our investment in the integrated omni-channel strategy used to operat</w:t>
      </w:r>
      <w:r>
        <w:rPr>
          <w:rFonts w:eastAsia="Times New Roman"/>
          <w:color w:val="000000"/>
          <w:sz w:val="20"/>
          <w:szCs w:val="20"/>
        </w:rPr>
        <w:t xml:space="preserve">e our overall retail business, in which our digital commerce operations are interdependent with our physical stores. </w:t>
      </w:r>
    </w:p>
    <w:p w14:paraId="2BEF59D6" w14:textId="77777777" w:rsidR="00000000" w:rsidRDefault="00EE5306">
      <w:pPr>
        <w:ind w:firstLine="540"/>
        <w:jc w:val="both"/>
        <w:divId w:val="822966387"/>
        <w:rPr>
          <w:rFonts w:eastAsia="Times New Roman"/>
        </w:rPr>
      </w:pPr>
      <w:r>
        <w:rPr>
          <w:rFonts w:eastAsia="Times New Roman"/>
          <w:color w:val="000000"/>
          <w:sz w:val="20"/>
          <w:szCs w:val="20"/>
        </w:rPr>
        <w:t>Our Club Monaco digital commerce sites offer our domestic and Canadian customers access to our global assortment of Club Monaco apparel, f</w:t>
      </w:r>
      <w:r>
        <w:rPr>
          <w:rFonts w:eastAsia="Times New Roman"/>
          <w:color w:val="000000"/>
          <w:sz w:val="20"/>
          <w:szCs w:val="20"/>
        </w:rPr>
        <w:t>ootwear, and accessories product lines, as well as select online exclusives.</w:t>
      </w:r>
    </w:p>
    <w:p w14:paraId="18563E7C" w14:textId="77777777" w:rsidR="00000000" w:rsidRDefault="00EE5306">
      <w:pPr>
        <w:jc w:val="center"/>
        <w:divId w:val="156649827"/>
        <w:rPr>
          <w:rFonts w:eastAsia="Times New Roman"/>
        </w:rPr>
      </w:pPr>
      <w:r>
        <w:rPr>
          <w:rFonts w:eastAsia="Times New Roman"/>
          <w:b/>
          <w:bCs/>
          <w:color w:val="000000"/>
          <w:sz w:val="20"/>
          <w:szCs w:val="20"/>
        </w:rPr>
        <w:t>Our Wholesale Business</w:t>
      </w:r>
    </w:p>
    <w:p w14:paraId="3FA7E96C" w14:textId="77777777" w:rsidR="00000000" w:rsidRDefault="00EE5306">
      <w:pPr>
        <w:ind w:firstLine="540"/>
        <w:jc w:val="both"/>
        <w:divId w:val="1970092058"/>
        <w:rPr>
          <w:rFonts w:eastAsia="Times New Roman"/>
        </w:rPr>
      </w:pPr>
      <w:r>
        <w:rPr>
          <w:rFonts w:eastAsia="Times New Roman"/>
          <w:color w:val="000000"/>
          <w:sz w:val="20"/>
          <w:szCs w:val="20"/>
        </w:rPr>
        <w:t>Our wholesale business sells our products globally to leading upscale and certain mid-tier department stores, specialty stores, and golf and pro shops, as w</w:t>
      </w:r>
      <w:r>
        <w:rPr>
          <w:rFonts w:eastAsia="Times New Roman"/>
          <w:color w:val="000000"/>
          <w:sz w:val="20"/>
          <w:szCs w:val="20"/>
        </w:rPr>
        <w:t>ell as to various third-party digital partners. We have continued to focus on elevating our brand by improving in-store product assortment and presentation, as well as full-price sell-throughs to consumers. As of the end of Fiscal 2021, our wholesale produ</w:t>
      </w:r>
      <w:r>
        <w:rPr>
          <w:rFonts w:eastAsia="Times New Roman"/>
          <w:color w:val="000000"/>
          <w:sz w:val="20"/>
          <w:szCs w:val="20"/>
        </w:rPr>
        <w:t>cts were sold through approximately 9,000 doors worldwide, with the majority in specialty stores. Our products are also increasingly being sold through the digital commerce sites of many of our traditional wholesale customers and our third-party digital pa</w:t>
      </w:r>
      <w:r>
        <w:rPr>
          <w:rFonts w:eastAsia="Times New Roman"/>
          <w:color w:val="000000"/>
          <w:sz w:val="20"/>
          <w:szCs w:val="20"/>
        </w:rPr>
        <w:t xml:space="preserve">rtners. </w:t>
      </w:r>
    </w:p>
    <w:p w14:paraId="27B2ADED" w14:textId="77777777" w:rsidR="00000000" w:rsidRDefault="00EE5306">
      <w:pPr>
        <w:ind w:firstLine="540"/>
        <w:jc w:val="both"/>
        <w:divId w:val="1126507700"/>
        <w:rPr>
          <w:rFonts w:eastAsia="Times New Roman"/>
        </w:rPr>
      </w:pPr>
      <w:r>
        <w:rPr>
          <w:rFonts w:eastAsia="Times New Roman"/>
          <w:color w:val="000000"/>
          <w:sz w:val="20"/>
          <w:szCs w:val="20"/>
        </w:rPr>
        <w:t>The primary product offerings sold through our wholesale channels of distribution include apparel, footwear, accessories, and home furnishings. Our luxury brands, including Ralph Lauren Collection and Ralph Lauren Purple Label, are distributed worldwide th</w:t>
      </w:r>
      <w:r>
        <w:rPr>
          <w:rFonts w:eastAsia="Times New Roman"/>
          <w:color w:val="000000"/>
          <w:sz w:val="20"/>
          <w:szCs w:val="20"/>
        </w:rPr>
        <w:t>rough a limited number of premier fashion retailers. In North America, our wholesale business is comprised primarily of sales to department stores, and to a lesser extent, specialty stores. In Europe, our wholesale business is comprised of a varying mix of</w:t>
      </w:r>
      <w:r>
        <w:rPr>
          <w:rFonts w:eastAsia="Times New Roman"/>
          <w:color w:val="000000"/>
          <w:sz w:val="20"/>
          <w:szCs w:val="20"/>
        </w:rPr>
        <w:t xml:space="preserve"> sales to both department stores and specialty stores, depending on the country, as well as to various third-party digital partners. In Asia, our wholesale business is comprised primarily of sales to department stores, with related products distributed thr</w:t>
      </w:r>
      <w:r>
        <w:rPr>
          <w:rFonts w:eastAsia="Times New Roman"/>
          <w:color w:val="000000"/>
          <w:sz w:val="20"/>
          <w:szCs w:val="20"/>
        </w:rPr>
        <w:t>ough shop-within-shops. We also distribute our wholesale products to certain licensed stores operated by our partners in Latin America, Asia, Europe, and the Middle East.</w:t>
      </w:r>
    </w:p>
    <w:p w14:paraId="0CC720D6" w14:textId="77777777" w:rsidR="00000000" w:rsidRDefault="00EE5306">
      <w:pPr>
        <w:ind w:firstLine="540"/>
        <w:jc w:val="both"/>
        <w:divId w:val="768038878"/>
        <w:rPr>
          <w:rFonts w:eastAsia="Times New Roman"/>
        </w:rPr>
      </w:pPr>
      <w:r>
        <w:rPr>
          <w:rFonts w:eastAsia="Times New Roman"/>
          <w:color w:val="000000"/>
          <w:sz w:val="20"/>
          <w:szCs w:val="20"/>
        </w:rPr>
        <w:t>We sell the majority of our excess and out-of-season products through secondary distr</w:t>
      </w:r>
      <w:r>
        <w:rPr>
          <w:rFonts w:eastAsia="Times New Roman"/>
          <w:color w:val="000000"/>
          <w:sz w:val="20"/>
          <w:szCs w:val="20"/>
        </w:rPr>
        <w:t>ibution channels worldwide, including our retail factory stores.</w:t>
      </w:r>
    </w:p>
    <w:p w14:paraId="4E436D03" w14:textId="77777777" w:rsidR="00000000" w:rsidRDefault="00EE5306">
      <w:pPr>
        <w:ind w:firstLine="360"/>
        <w:jc w:val="both"/>
        <w:divId w:val="1971549076"/>
        <w:rPr>
          <w:rFonts w:eastAsia="Times New Roman"/>
        </w:rPr>
      </w:pPr>
      <w:r>
        <w:rPr>
          <w:rFonts w:eastAsia="Times New Roman"/>
          <w:b/>
          <w:bCs/>
          <w:i/>
          <w:iCs/>
          <w:color w:val="000000"/>
          <w:sz w:val="20"/>
          <w:szCs w:val="20"/>
        </w:rPr>
        <w:t>Worldwide Wholesale Distribution Channels</w:t>
      </w:r>
    </w:p>
    <w:p w14:paraId="0BB9D992" w14:textId="77777777" w:rsidR="00000000" w:rsidRDefault="00EE5306">
      <w:pPr>
        <w:ind w:firstLine="540"/>
        <w:jc w:val="both"/>
        <w:divId w:val="785272476"/>
        <w:rPr>
          <w:rFonts w:eastAsia="Times New Roman"/>
        </w:rPr>
      </w:pPr>
      <w:r>
        <w:rPr>
          <w:rFonts w:eastAsia="Times New Roman"/>
          <w:color w:val="000000"/>
          <w:sz w:val="20"/>
          <w:szCs w:val="20"/>
        </w:rPr>
        <w:t>The following table presents by segment the number of wholesale doors in our primary channels of distribution as of March 27, 2021:</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42"/>
        <w:gridCol w:w="1348"/>
        <w:gridCol w:w="36"/>
      </w:tblGrid>
      <w:tr w:rsidR="00000000" w14:paraId="045B2572" w14:textId="77777777">
        <w:trPr>
          <w:divId w:val="154105185"/>
        </w:trPr>
        <w:tc>
          <w:tcPr>
            <w:tcW w:w="50" w:type="pct"/>
            <w:vAlign w:val="center"/>
            <w:hideMark/>
          </w:tcPr>
          <w:p w14:paraId="73DC6278" w14:textId="77777777" w:rsidR="00000000" w:rsidRDefault="00EE5306">
            <w:pPr>
              <w:ind w:firstLine="540"/>
              <w:jc w:val="both"/>
              <w:rPr>
                <w:rFonts w:eastAsia="Times New Roman"/>
              </w:rPr>
            </w:pPr>
          </w:p>
        </w:tc>
        <w:tc>
          <w:tcPr>
            <w:tcW w:w="3977" w:type="pct"/>
            <w:vAlign w:val="center"/>
            <w:hideMark/>
          </w:tcPr>
          <w:p w14:paraId="68BA8AC8" w14:textId="77777777" w:rsidR="00000000" w:rsidRDefault="00EE5306">
            <w:pPr>
              <w:spacing w:after="100"/>
              <w:rPr>
                <w:rFonts w:eastAsia="Times New Roman"/>
                <w:sz w:val="20"/>
                <w:szCs w:val="20"/>
              </w:rPr>
            </w:pPr>
          </w:p>
        </w:tc>
        <w:tc>
          <w:tcPr>
            <w:tcW w:w="5" w:type="pct"/>
            <w:vAlign w:val="center"/>
            <w:hideMark/>
          </w:tcPr>
          <w:p w14:paraId="576AF7CA" w14:textId="77777777" w:rsidR="00000000" w:rsidRDefault="00EE5306">
            <w:pPr>
              <w:spacing w:after="100"/>
              <w:rPr>
                <w:rFonts w:eastAsia="Times New Roman"/>
                <w:sz w:val="20"/>
                <w:szCs w:val="20"/>
              </w:rPr>
            </w:pPr>
          </w:p>
        </w:tc>
        <w:tc>
          <w:tcPr>
            <w:tcW w:w="5" w:type="pct"/>
            <w:vAlign w:val="center"/>
            <w:hideMark/>
          </w:tcPr>
          <w:p w14:paraId="3DB0F81E" w14:textId="77777777" w:rsidR="00000000" w:rsidRDefault="00EE5306">
            <w:pPr>
              <w:spacing w:after="100"/>
              <w:rPr>
                <w:rFonts w:eastAsia="Times New Roman"/>
                <w:sz w:val="20"/>
                <w:szCs w:val="20"/>
              </w:rPr>
            </w:pPr>
          </w:p>
        </w:tc>
        <w:tc>
          <w:tcPr>
            <w:tcW w:w="28" w:type="pct"/>
            <w:vAlign w:val="center"/>
            <w:hideMark/>
          </w:tcPr>
          <w:p w14:paraId="492B7AC7" w14:textId="77777777" w:rsidR="00000000" w:rsidRDefault="00EE5306">
            <w:pPr>
              <w:spacing w:after="100"/>
              <w:rPr>
                <w:rFonts w:eastAsia="Times New Roman"/>
                <w:sz w:val="20"/>
                <w:szCs w:val="20"/>
              </w:rPr>
            </w:pPr>
          </w:p>
        </w:tc>
        <w:tc>
          <w:tcPr>
            <w:tcW w:w="5" w:type="pct"/>
            <w:vAlign w:val="center"/>
            <w:hideMark/>
          </w:tcPr>
          <w:p w14:paraId="24120301" w14:textId="77777777" w:rsidR="00000000" w:rsidRDefault="00EE5306">
            <w:pPr>
              <w:spacing w:after="100"/>
              <w:rPr>
                <w:rFonts w:eastAsia="Times New Roman"/>
                <w:sz w:val="20"/>
                <w:szCs w:val="20"/>
              </w:rPr>
            </w:pPr>
          </w:p>
        </w:tc>
        <w:tc>
          <w:tcPr>
            <w:tcW w:w="50" w:type="pct"/>
            <w:vAlign w:val="center"/>
            <w:hideMark/>
          </w:tcPr>
          <w:p w14:paraId="620A079E" w14:textId="77777777" w:rsidR="00000000" w:rsidRDefault="00EE5306">
            <w:pPr>
              <w:spacing w:after="100"/>
              <w:rPr>
                <w:rFonts w:eastAsia="Times New Roman"/>
                <w:sz w:val="20"/>
                <w:szCs w:val="20"/>
              </w:rPr>
            </w:pPr>
          </w:p>
        </w:tc>
        <w:tc>
          <w:tcPr>
            <w:tcW w:w="873" w:type="pct"/>
            <w:vAlign w:val="center"/>
            <w:hideMark/>
          </w:tcPr>
          <w:p w14:paraId="35D31277" w14:textId="77777777" w:rsidR="00000000" w:rsidRDefault="00EE5306">
            <w:pPr>
              <w:spacing w:after="100"/>
              <w:rPr>
                <w:rFonts w:eastAsia="Times New Roman"/>
                <w:sz w:val="20"/>
                <w:szCs w:val="20"/>
              </w:rPr>
            </w:pPr>
          </w:p>
        </w:tc>
        <w:tc>
          <w:tcPr>
            <w:tcW w:w="5" w:type="pct"/>
            <w:vAlign w:val="center"/>
            <w:hideMark/>
          </w:tcPr>
          <w:p w14:paraId="7D781F71" w14:textId="77777777" w:rsidR="00000000" w:rsidRDefault="00EE5306">
            <w:pPr>
              <w:spacing w:after="100"/>
              <w:rPr>
                <w:rFonts w:eastAsia="Times New Roman"/>
                <w:sz w:val="20"/>
                <w:szCs w:val="20"/>
              </w:rPr>
            </w:pPr>
          </w:p>
        </w:tc>
      </w:tr>
      <w:tr w:rsidR="00000000" w14:paraId="7330A0AA" w14:textId="77777777">
        <w:trPr>
          <w:divId w:val="154105185"/>
        </w:trPr>
        <w:tc>
          <w:tcPr>
            <w:tcW w:w="0" w:type="auto"/>
            <w:gridSpan w:val="3"/>
            <w:tcMar>
              <w:top w:w="0" w:type="dxa"/>
              <w:left w:w="20" w:type="dxa"/>
              <w:bottom w:w="0" w:type="dxa"/>
              <w:right w:w="20" w:type="dxa"/>
            </w:tcMar>
            <w:vAlign w:val="center"/>
            <w:hideMark/>
          </w:tcPr>
          <w:p w14:paraId="37B82F67"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FF439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ED16C32" w14:textId="77777777" w:rsidR="00000000" w:rsidRDefault="00EE5306">
            <w:pPr>
              <w:spacing w:after="100"/>
              <w:jc w:val="center"/>
              <w:rPr>
                <w:rFonts w:eastAsia="Times New Roman"/>
              </w:rPr>
            </w:pPr>
            <w:r>
              <w:rPr>
                <w:rFonts w:eastAsia="Times New Roman"/>
                <w:b/>
                <w:bCs/>
                <w:color w:val="000000"/>
                <w:sz w:val="18"/>
                <w:szCs w:val="18"/>
              </w:rPr>
              <w:t>Doors</w:t>
            </w:r>
          </w:p>
        </w:tc>
      </w:tr>
      <w:tr w:rsidR="00000000" w14:paraId="56823152" w14:textId="77777777">
        <w:trPr>
          <w:divId w:val="154105185"/>
        </w:trPr>
        <w:tc>
          <w:tcPr>
            <w:tcW w:w="0" w:type="auto"/>
            <w:gridSpan w:val="3"/>
            <w:shd w:val="clear" w:color="auto" w:fill="CCEEFF"/>
            <w:tcMar>
              <w:top w:w="30" w:type="dxa"/>
              <w:left w:w="20" w:type="dxa"/>
              <w:bottom w:w="30" w:type="dxa"/>
              <w:right w:w="20" w:type="dxa"/>
            </w:tcMar>
            <w:hideMark/>
          </w:tcPr>
          <w:p w14:paraId="2B90862E"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14:paraId="62786641"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F7B9C2" w14:textId="77777777" w:rsidR="00000000" w:rsidRDefault="00EE5306">
            <w:pPr>
              <w:spacing w:after="100"/>
              <w:jc w:val="right"/>
              <w:rPr>
                <w:rFonts w:eastAsia="Times New Roman"/>
              </w:rPr>
            </w:pPr>
            <w:r>
              <w:rPr>
                <w:rFonts w:eastAsia="Times New Roman"/>
                <w:color w:val="000000"/>
                <w:sz w:val="20"/>
                <w:szCs w:val="20"/>
              </w:rPr>
              <w:t>4,404 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9E21C5" w14:textId="77777777" w:rsidR="00000000" w:rsidRDefault="00EE5306">
            <w:pPr>
              <w:spacing w:after="100"/>
              <w:jc w:val="right"/>
              <w:rPr>
                <w:rFonts w:eastAsia="Times New Roman"/>
              </w:rPr>
            </w:pPr>
          </w:p>
        </w:tc>
      </w:tr>
      <w:tr w:rsidR="00000000" w14:paraId="48E79A15" w14:textId="77777777">
        <w:trPr>
          <w:divId w:val="154105185"/>
        </w:trPr>
        <w:tc>
          <w:tcPr>
            <w:tcW w:w="0" w:type="auto"/>
            <w:gridSpan w:val="3"/>
            <w:shd w:val="clear" w:color="auto" w:fill="FFFFFF"/>
            <w:tcMar>
              <w:top w:w="30" w:type="dxa"/>
              <w:left w:w="20" w:type="dxa"/>
              <w:bottom w:w="30" w:type="dxa"/>
              <w:right w:w="20" w:type="dxa"/>
            </w:tcMar>
            <w:hideMark/>
          </w:tcPr>
          <w:p w14:paraId="5BAAFDD0"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14:paraId="49D80B6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3A250B" w14:textId="77777777" w:rsidR="00000000" w:rsidRDefault="00EE5306">
            <w:pPr>
              <w:spacing w:after="100"/>
              <w:jc w:val="right"/>
              <w:rPr>
                <w:rFonts w:eastAsia="Times New Roman"/>
              </w:rPr>
            </w:pPr>
            <w:r>
              <w:rPr>
                <w:rFonts w:eastAsia="Times New Roman"/>
                <w:color w:val="000000"/>
                <w:sz w:val="20"/>
                <w:szCs w:val="20"/>
              </w:rPr>
              <w:t>3,920 </w:t>
            </w:r>
          </w:p>
        </w:tc>
        <w:tc>
          <w:tcPr>
            <w:tcW w:w="0" w:type="auto"/>
            <w:shd w:val="clear" w:color="auto" w:fill="FFFFFF"/>
            <w:tcMar>
              <w:top w:w="30" w:type="dxa"/>
              <w:left w:w="0" w:type="dxa"/>
              <w:bottom w:w="30" w:type="dxa"/>
              <w:right w:w="20" w:type="dxa"/>
            </w:tcMar>
            <w:vAlign w:val="bottom"/>
            <w:hideMark/>
          </w:tcPr>
          <w:p w14:paraId="51ABDA6E" w14:textId="77777777" w:rsidR="00000000" w:rsidRDefault="00EE5306">
            <w:pPr>
              <w:spacing w:after="100"/>
              <w:jc w:val="right"/>
              <w:rPr>
                <w:rFonts w:eastAsia="Times New Roman"/>
              </w:rPr>
            </w:pPr>
          </w:p>
        </w:tc>
      </w:tr>
      <w:tr w:rsidR="00000000" w14:paraId="2627CF92" w14:textId="77777777">
        <w:trPr>
          <w:divId w:val="154105185"/>
        </w:trPr>
        <w:tc>
          <w:tcPr>
            <w:tcW w:w="0" w:type="auto"/>
            <w:gridSpan w:val="3"/>
            <w:shd w:val="clear" w:color="auto" w:fill="CCEEFF"/>
            <w:tcMar>
              <w:top w:w="30" w:type="dxa"/>
              <w:left w:w="20" w:type="dxa"/>
              <w:bottom w:w="30" w:type="dxa"/>
              <w:right w:w="20" w:type="dxa"/>
            </w:tcMar>
            <w:hideMark/>
          </w:tcPr>
          <w:p w14:paraId="780F03F9"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14:paraId="73185A5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4DE72A" w14:textId="77777777" w:rsidR="00000000" w:rsidRDefault="00EE5306">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14:paraId="2FA9F4F9" w14:textId="77777777" w:rsidR="00000000" w:rsidRDefault="00EE5306">
            <w:pPr>
              <w:spacing w:after="100"/>
              <w:jc w:val="right"/>
              <w:rPr>
                <w:rFonts w:eastAsia="Times New Roman"/>
              </w:rPr>
            </w:pPr>
          </w:p>
        </w:tc>
      </w:tr>
      <w:tr w:rsidR="00000000" w14:paraId="3E2832C6" w14:textId="77777777">
        <w:trPr>
          <w:divId w:val="154105185"/>
        </w:trPr>
        <w:tc>
          <w:tcPr>
            <w:tcW w:w="0" w:type="auto"/>
            <w:gridSpan w:val="3"/>
            <w:shd w:val="clear" w:color="auto" w:fill="FFFFFF"/>
            <w:tcMar>
              <w:top w:w="30" w:type="dxa"/>
              <w:left w:w="155" w:type="dxa"/>
              <w:bottom w:w="30" w:type="dxa"/>
              <w:right w:w="20" w:type="dxa"/>
            </w:tcMar>
            <w:hideMark/>
          </w:tcPr>
          <w:p w14:paraId="6052E915" w14:textId="77777777" w:rsidR="00000000" w:rsidRDefault="00EE5306">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67C4AAAF"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D4F687" w14:textId="77777777" w:rsidR="00000000" w:rsidRDefault="00EE5306">
            <w:pPr>
              <w:spacing w:after="100"/>
              <w:jc w:val="right"/>
              <w:rPr>
                <w:rFonts w:eastAsia="Times New Roman"/>
              </w:rPr>
            </w:pPr>
            <w:r>
              <w:rPr>
                <w:rFonts w:eastAsia="Times New Roman"/>
                <w:color w:val="000000"/>
                <w:sz w:val="20"/>
                <w:szCs w:val="20"/>
              </w:rPr>
              <w:t>8,824 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029C04" w14:textId="77777777" w:rsidR="00000000" w:rsidRDefault="00EE5306">
            <w:pPr>
              <w:spacing w:after="100"/>
              <w:jc w:val="right"/>
              <w:rPr>
                <w:rFonts w:eastAsia="Times New Roman"/>
              </w:rPr>
            </w:pPr>
          </w:p>
        </w:tc>
      </w:tr>
    </w:tbl>
    <w:p w14:paraId="2730B04C" w14:textId="77777777" w:rsidR="00000000" w:rsidRDefault="00EE5306">
      <w:pPr>
        <w:ind w:firstLine="540"/>
        <w:jc w:val="both"/>
        <w:divId w:val="1192182153"/>
        <w:rPr>
          <w:rFonts w:eastAsia="Times New Roman"/>
        </w:rPr>
      </w:pPr>
      <w:r>
        <w:rPr>
          <w:rFonts w:eastAsia="Times New Roman"/>
          <w:color w:val="000000"/>
          <w:sz w:val="20"/>
          <w:szCs w:val="20"/>
        </w:rPr>
        <w:t>In addition to our conventional wholesale doors, our products are increasingly being sold through the websites of many of our traditional wholesale customers, as well as those of our third-party digital partners. As of March 27, 2021, our wholesale busines</w:t>
      </w:r>
      <w:r>
        <w:rPr>
          <w:rFonts w:eastAsia="Times New Roman"/>
          <w:color w:val="000000"/>
          <w:sz w:val="20"/>
          <w:szCs w:val="20"/>
        </w:rPr>
        <w:t>s served approximately 100 third-party digital partners, primarily in Europe.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8D2D0AE" w14:textId="77777777">
        <w:trPr>
          <w:divId w:val="748191740"/>
          <w:jc w:val="center"/>
        </w:trPr>
        <w:tc>
          <w:tcPr>
            <w:tcW w:w="50" w:type="pct"/>
            <w:vAlign w:val="center"/>
            <w:hideMark/>
          </w:tcPr>
          <w:p w14:paraId="11E80956" w14:textId="77777777" w:rsidR="00000000" w:rsidRDefault="00EE5306">
            <w:pPr>
              <w:ind w:firstLine="540"/>
              <w:jc w:val="both"/>
              <w:rPr>
                <w:rFonts w:eastAsia="Times New Roman"/>
              </w:rPr>
            </w:pPr>
          </w:p>
        </w:tc>
        <w:tc>
          <w:tcPr>
            <w:tcW w:w="1699" w:type="pct"/>
            <w:vAlign w:val="center"/>
            <w:hideMark/>
          </w:tcPr>
          <w:p w14:paraId="0DBAE4CA" w14:textId="77777777" w:rsidR="00000000" w:rsidRDefault="00EE5306">
            <w:pPr>
              <w:spacing w:after="100"/>
              <w:rPr>
                <w:rFonts w:eastAsia="Times New Roman"/>
                <w:sz w:val="20"/>
                <w:szCs w:val="20"/>
              </w:rPr>
            </w:pPr>
          </w:p>
        </w:tc>
        <w:tc>
          <w:tcPr>
            <w:tcW w:w="5" w:type="pct"/>
            <w:vAlign w:val="center"/>
            <w:hideMark/>
          </w:tcPr>
          <w:p w14:paraId="55E7C3DE" w14:textId="77777777" w:rsidR="00000000" w:rsidRDefault="00EE5306">
            <w:pPr>
              <w:spacing w:after="100"/>
              <w:rPr>
                <w:rFonts w:eastAsia="Times New Roman"/>
                <w:sz w:val="20"/>
                <w:szCs w:val="20"/>
              </w:rPr>
            </w:pPr>
          </w:p>
        </w:tc>
        <w:tc>
          <w:tcPr>
            <w:tcW w:w="50" w:type="pct"/>
            <w:vAlign w:val="center"/>
            <w:hideMark/>
          </w:tcPr>
          <w:p w14:paraId="3751F51D" w14:textId="77777777" w:rsidR="00000000" w:rsidRDefault="00EE5306">
            <w:pPr>
              <w:spacing w:after="100"/>
              <w:rPr>
                <w:rFonts w:eastAsia="Times New Roman"/>
                <w:sz w:val="20"/>
                <w:szCs w:val="20"/>
              </w:rPr>
            </w:pPr>
          </w:p>
        </w:tc>
        <w:tc>
          <w:tcPr>
            <w:tcW w:w="1436" w:type="pct"/>
            <w:vAlign w:val="center"/>
            <w:hideMark/>
          </w:tcPr>
          <w:p w14:paraId="5E352EBA" w14:textId="77777777" w:rsidR="00000000" w:rsidRDefault="00EE5306">
            <w:pPr>
              <w:spacing w:after="100"/>
              <w:rPr>
                <w:rFonts w:eastAsia="Times New Roman"/>
                <w:sz w:val="20"/>
                <w:szCs w:val="20"/>
              </w:rPr>
            </w:pPr>
          </w:p>
        </w:tc>
        <w:tc>
          <w:tcPr>
            <w:tcW w:w="5" w:type="pct"/>
            <w:vAlign w:val="center"/>
            <w:hideMark/>
          </w:tcPr>
          <w:p w14:paraId="394E8391" w14:textId="77777777" w:rsidR="00000000" w:rsidRDefault="00EE5306">
            <w:pPr>
              <w:spacing w:after="100"/>
              <w:rPr>
                <w:rFonts w:eastAsia="Times New Roman"/>
                <w:sz w:val="20"/>
                <w:szCs w:val="20"/>
              </w:rPr>
            </w:pPr>
          </w:p>
        </w:tc>
        <w:tc>
          <w:tcPr>
            <w:tcW w:w="50" w:type="pct"/>
            <w:vAlign w:val="center"/>
            <w:hideMark/>
          </w:tcPr>
          <w:p w14:paraId="141A1E08" w14:textId="77777777" w:rsidR="00000000" w:rsidRDefault="00EE5306">
            <w:pPr>
              <w:spacing w:after="100"/>
              <w:rPr>
                <w:rFonts w:eastAsia="Times New Roman"/>
                <w:sz w:val="20"/>
                <w:szCs w:val="20"/>
              </w:rPr>
            </w:pPr>
          </w:p>
        </w:tc>
        <w:tc>
          <w:tcPr>
            <w:tcW w:w="1699" w:type="pct"/>
            <w:vAlign w:val="center"/>
            <w:hideMark/>
          </w:tcPr>
          <w:p w14:paraId="48FECFE7" w14:textId="77777777" w:rsidR="00000000" w:rsidRDefault="00EE5306">
            <w:pPr>
              <w:spacing w:after="100"/>
              <w:rPr>
                <w:rFonts w:eastAsia="Times New Roman"/>
                <w:sz w:val="20"/>
                <w:szCs w:val="20"/>
              </w:rPr>
            </w:pPr>
          </w:p>
        </w:tc>
        <w:tc>
          <w:tcPr>
            <w:tcW w:w="5" w:type="pct"/>
            <w:vAlign w:val="center"/>
            <w:hideMark/>
          </w:tcPr>
          <w:p w14:paraId="727AB731" w14:textId="77777777" w:rsidR="00000000" w:rsidRDefault="00EE5306">
            <w:pPr>
              <w:spacing w:after="100"/>
              <w:rPr>
                <w:rFonts w:eastAsia="Times New Roman"/>
                <w:sz w:val="20"/>
                <w:szCs w:val="20"/>
              </w:rPr>
            </w:pPr>
          </w:p>
        </w:tc>
      </w:tr>
      <w:tr w:rsidR="00000000" w14:paraId="3283A4D1" w14:textId="77777777">
        <w:trPr>
          <w:divId w:val="748191740"/>
          <w:jc w:val="center"/>
        </w:trPr>
        <w:tc>
          <w:tcPr>
            <w:tcW w:w="0" w:type="auto"/>
            <w:gridSpan w:val="3"/>
            <w:tcMar>
              <w:top w:w="0" w:type="dxa"/>
              <w:left w:w="20" w:type="dxa"/>
              <w:bottom w:w="0" w:type="dxa"/>
              <w:right w:w="20" w:type="dxa"/>
            </w:tcMar>
            <w:vAlign w:val="center"/>
            <w:hideMark/>
          </w:tcPr>
          <w:p w14:paraId="7A9C830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15C230C" w14:textId="77777777" w:rsidR="00000000" w:rsidRDefault="00EE5306">
            <w:pPr>
              <w:spacing w:after="100"/>
              <w:jc w:val="center"/>
              <w:rPr>
                <w:rFonts w:eastAsia="Times New Roman"/>
              </w:rPr>
            </w:pPr>
            <w:r>
              <w:rPr>
                <w:rFonts w:eastAsia="Times New Roman"/>
                <w:color w:val="000000"/>
                <w:sz w:val="20"/>
                <w:szCs w:val="20"/>
              </w:rPr>
              <w:t>13</w:t>
            </w:r>
          </w:p>
        </w:tc>
        <w:tc>
          <w:tcPr>
            <w:tcW w:w="0" w:type="auto"/>
            <w:gridSpan w:val="3"/>
            <w:tcMar>
              <w:top w:w="0" w:type="dxa"/>
              <w:left w:w="20" w:type="dxa"/>
              <w:bottom w:w="0" w:type="dxa"/>
              <w:right w:w="20" w:type="dxa"/>
            </w:tcMar>
            <w:vAlign w:val="center"/>
            <w:hideMark/>
          </w:tcPr>
          <w:p w14:paraId="26B96C7C" w14:textId="77777777" w:rsidR="00000000" w:rsidRDefault="00EE5306">
            <w:pPr>
              <w:spacing w:after="100"/>
              <w:jc w:val="center"/>
              <w:rPr>
                <w:rFonts w:eastAsia="Times New Roman"/>
              </w:rPr>
            </w:pPr>
          </w:p>
        </w:tc>
      </w:tr>
    </w:tbl>
    <w:p w14:paraId="7F56C29C" w14:textId="77777777" w:rsidR="00000000" w:rsidRDefault="00EE5306">
      <w:pPr>
        <w:rPr>
          <w:rFonts w:eastAsia="Times New Roman"/>
        </w:rPr>
      </w:pPr>
      <w:r>
        <w:rPr>
          <w:rFonts w:eastAsia="Times New Roman"/>
        </w:rPr>
        <w:pict w14:anchorId="6B9E34A9">
          <v:rect id="_x0000_i1039" style="width:0;height:1.5pt" o:hralign="center" o:hrstd="t" o:hr="t" fillcolor="#a0a0a0" stroked="f"/>
        </w:pict>
      </w:r>
    </w:p>
    <w:p w14:paraId="3E74CEF6" w14:textId="77777777" w:rsidR="00000000" w:rsidRDefault="00EE5306">
      <w:pPr>
        <w:divId w:val="1726293802"/>
        <w:rPr>
          <w:rFonts w:eastAsia="Times New Roman"/>
        </w:rPr>
      </w:pPr>
    </w:p>
    <w:p w14:paraId="2234899D" w14:textId="77777777" w:rsidR="00000000" w:rsidRDefault="00EE5306">
      <w:pPr>
        <w:ind w:firstLine="540"/>
        <w:jc w:val="both"/>
        <w:divId w:val="1683432442"/>
        <w:rPr>
          <w:rFonts w:eastAsia="Times New Roman"/>
        </w:rPr>
      </w:pPr>
      <w:r>
        <w:rPr>
          <w:rFonts w:eastAsia="Times New Roman"/>
          <w:color w:val="000000"/>
          <w:sz w:val="20"/>
          <w:szCs w:val="20"/>
        </w:rPr>
        <w:t xml:space="preserve">We have three key wholesale customers that generate significant sales volume. During Fiscal 2021, sales to our three largest wholesale customers accounted for approximately 14% of our total net revenues. Substantially </w:t>
      </w:r>
      <w:r>
        <w:rPr>
          <w:rFonts w:eastAsia="Times New Roman"/>
          <w:color w:val="000000"/>
          <w:sz w:val="20"/>
          <w:szCs w:val="20"/>
        </w:rPr>
        <w:t>all sales to our three largest wholesale customers related to our North America segment.</w:t>
      </w:r>
    </w:p>
    <w:p w14:paraId="54900222" w14:textId="77777777" w:rsidR="00000000" w:rsidRDefault="00EE5306">
      <w:pPr>
        <w:ind w:firstLine="540"/>
        <w:jc w:val="both"/>
        <w:divId w:val="1365061421"/>
        <w:rPr>
          <w:rFonts w:eastAsia="Times New Roman"/>
        </w:rPr>
      </w:pPr>
      <w:r>
        <w:rPr>
          <w:rFonts w:eastAsia="Times New Roman"/>
          <w:color w:val="000000"/>
          <w:sz w:val="20"/>
          <w:szCs w:val="20"/>
        </w:rPr>
        <w:t>Our products are sold primarily by our own sales forces. Our wholesale business maintains its primary showrooms in New York City, as well as regional showrooms in Lond</w:t>
      </w:r>
      <w:r>
        <w:rPr>
          <w:rFonts w:eastAsia="Times New Roman"/>
          <w:color w:val="000000"/>
          <w:sz w:val="20"/>
          <w:szCs w:val="20"/>
        </w:rPr>
        <w:t xml:space="preserve">on, Madrid, Milan, Munich, Paris, and Stockholm. In addition, we recently introduced virtual showrooms, allowing our customers to experience and discover our product assortments in a retail setting remotely. </w:t>
      </w:r>
    </w:p>
    <w:p w14:paraId="33AEB1BD" w14:textId="77777777" w:rsidR="00000000" w:rsidRDefault="00EE5306">
      <w:pPr>
        <w:ind w:firstLine="540"/>
        <w:jc w:val="both"/>
        <w:divId w:val="1776250916"/>
        <w:rPr>
          <w:rFonts w:eastAsia="Times New Roman"/>
        </w:rPr>
      </w:pPr>
      <w:r>
        <w:rPr>
          <w:rFonts w:eastAsia="Times New Roman"/>
          <w:b/>
          <w:bCs/>
          <w:i/>
          <w:iCs/>
          <w:color w:val="000000"/>
          <w:sz w:val="20"/>
          <w:szCs w:val="20"/>
        </w:rPr>
        <w:t>Shop-within-Shops.</w:t>
      </w:r>
      <w:r>
        <w:rPr>
          <w:rFonts w:eastAsia="Times New Roman"/>
          <w:color w:val="000000"/>
          <w:sz w:val="20"/>
          <w:szCs w:val="20"/>
        </w:rPr>
        <w:t xml:space="preserve">    As a critical element of </w:t>
      </w:r>
      <w:r>
        <w:rPr>
          <w:rFonts w:eastAsia="Times New Roman"/>
          <w:color w:val="000000"/>
          <w:sz w:val="20"/>
          <w:szCs w:val="20"/>
        </w:rPr>
        <w:t>our distribution to department stores, we and our licensing partners utilize shop-within-shops to enhance brand recognition, to permit more complete merchandising of our lines by the department stores, and to differentiate the presentation of our products.</w:t>
      </w:r>
      <w:r>
        <w:rPr>
          <w:rFonts w:eastAsia="Times New Roman"/>
          <w:color w:val="000000"/>
          <w:sz w:val="20"/>
          <w:szCs w:val="20"/>
        </w:rPr>
        <w:t xml:space="preserve"> </w:t>
      </w:r>
    </w:p>
    <w:p w14:paraId="4FE55BE7" w14:textId="77777777" w:rsidR="00000000" w:rsidRDefault="00EE5306">
      <w:pPr>
        <w:ind w:firstLine="540"/>
        <w:jc w:val="both"/>
        <w:divId w:val="871113698"/>
        <w:rPr>
          <w:rFonts w:eastAsia="Times New Roman"/>
        </w:rPr>
      </w:pPr>
      <w:r>
        <w:rPr>
          <w:rFonts w:eastAsia="Times New Roman"/>
          <w:color w:val="000000"/>
          <w:sz w:val="20"/>
          <w:szCs w:val="20"/>
        </w:rPr>
        <w:t>The following table presents by segment the number of shop-within-shops in our primary channels of distribution as of March 27, 2021:</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42"/>
        <w:gridCol w:w="1348"/>
        <w:gridCol w:w="36"/>
      </w:tblGrid>
      <w:tr w:rsidR="00000000" w14:paraId="16F10B11" w14:textId="77777777">
        <w:trPr>
          <w:divId w:val="424108047"/>
        </w:trPr>
        <w:tc>
          <w:tcPr>
            <w:tcW w:w="50" w:type="pct"/>
            <w:vAlign w:val="center"/>
            <w:hideMark/>
          </w:tcPr>
          <w:p w14:paraId="2D038842" w14:textId="77777777" w:rsidR="00000000" w:rsidRDefault="00EE5306">
            <w:pPr>
              <w:ind w:firstLine="540"/>
              <w:jc w:val="both"/>
              <w:rPr>
                <w:rFonts w:eastAsia="Times New Roman"/>
              </w:rPr>
            </w:pPr>
          </w:p>
        </w:tc>
        <w:tc>
          <w:tcPr>
            <w:tcW w:w="3977" w:type="pct"/>
            <w:vAlign w:val="center"/>
            <w:hideMark/>
          </w:tcPr>
          <w:p w14:paraId="7B8F0F8F" w14:textId="77777777" w:rsidR="00000000" w:rsidRDefault="00EE5306">
            <w:pPr>
              <w:spacing w:after="100"/>
              <w:rPr>
                <w:rFonts w:eastAsia="Times New Roman"/>
                <w:sz w:val="20"/>
                <w:szCs w:val="20"/>
              </w:rPr>
            </w:pPr>
          </w:p>
        </w:tc>
        <w:tc>
          <w:tcPr>
            <w:tcW w:w="5" w:type="pct"/>
            <w:vAlign w:val="center"/>
            <w:hideMark/>
          </w:tcPr>
          <w:p w14:paraId="3A54DB02" w14:textId="77777777" w:rsidR="00000000" w:rsidRDefault="00EE5306">
            <w:pPr>
              <w:spacing w:after="100"/>
              <w:rPr>
                <w:rFonts w:eastAsia="Times New Roman"/>
                <w:sz w:val="20"/>
                <w:szCs w:val="20"/>
              </w:rPr>
            </w:pPr>
          </w:p>
        </w:tc>
        <w:tc>
          <w:tcPr>
            <w:tcW w:w="5" w:type="pct"/>
            <w:vAlign w:val="center"/>
            <w:hideMark/>
          </w:tcPr>
          <w:p w14:paraId="6462B184" w14:textId="77777777" w:rsidR="00000000" w:rsidRDefault="00EE5306">
            <w:pPr>
              <w:spacing w:after="100"/>
              <w:rPr>
                <w:rFonts w:eastAsia="Times New Roman"/>
                <w:sz w:val="20"/>
                <w:szCs w:val="20"/>
              </w:rPr>
            </w:pPr>
          </w:p>
        </w:tc>
        <w:tc>
          <w:tcPr>
            <w:tcW w:w="28" w:type="pct"/>
            <w:vAlign w:val="center"/>
            <w:hideMark/>
          </w:tcPr>
          <w:p w14:paraId="39411455" w14:textId="77777777" w:rsidR="00000000" w:rsidRDefault="00EE5306">
            <w:pPr>
              <w:spacing w:after="100"/>
              <w:rPr>
                <w:rFonts w:eastAsia="Times New Roman"/>
                <w:sz w:val="20"/>
                <w:szCs w:val="20"/>
              </w:rPr>
            </w:pPr>
          </w:p>
        </w:tc>
        <w:tc>
          <w:tcPr>
            <w:tcW w:w="5" w:type="pct"/>
            <w:vAlign w:val="center"/>
            <w:hideMark/>
          </w:tcPr>
          <w:p w14:paraId="10B5D2A1" w14:textId="77777777" w:rsidR="00000000" w:rsidRDefault="00EE5306">
            <w:pPr>
              <w:spacing w:after="100"/>
              <w:rPr>
                <w:rFonts w:eastAsia="Times New Roman"/>
                <w:sz w:val="20"/>
                <w:szCs w:val="20"/>
              </w:rPr>
            </w:pPr>
          </w:p>
        </w:tc>
        <w:tc>
          <w:tcPr>
            <w:tcW w:w="50" w:type="pct"/>
            <w:vAlign w:val="center"/>
            <w:hideMark/>
          </w:tcPr>
          <w:p w14:paraId="2A5E247C" w14:textId="77777777" w:rsidR="00000000" w:rsidRDefault="00EE5306">
            <w:pPr>
              <w:spacing w:after="100"/>
              <w:rPr>
                <w:rFonts w:eastAsia="Times New Roman"/>
                <w:sz w:val="20"/>
                <w:szCs w:val="20"/>
              </w:rPr>
            </w:pPr>
          </w:p>
        </w:tc>
        <w:tc>
          <w:tcPr>
            <w:tcW w:w="873" w:type="pct"/>
            <w:vAlign w:val="center"/>
            <w:hideMark/>
          </w:tcPr>
          <w:p w14:paraId="78AA7326" w14:textId="77777777" w:rsidR="00000000" w:rsidRDefault="00EE5306">
            <w:pPr>
              <w:spacing w:after="100"/>
              <w:rPr>
                <w:rFonts w:eastAsia="Times New Roman"/>
                <w:sz w:val="20"/>
                <w:szCs w:val="20"/>
              </w:rPr>
            </w:pPr>
          </w:p>
        </w:tc>
        <w:tc>
          <w:tcPr>
            <w:tcW w:w="5" w:type="pct"/>
            <w:vAlign w:val="center"/>
            <w:hideMark/>
          </w:tcPr>
          <w:p w14:paraId="3E106B4C" w14:textId="77777777" w:rsidR="00000000" w:rsidRDefault="00EE5306">
            <w:pPr>
              <w:spacing w:after="100"/>
              <w:rPr>
                <w:rFonts w:eastAsia="Times New Roman"/>
                <w:sz w:val="20"/>
                <w:szCs w:val="20"/>
              </w:rPr>
            </w:pPr>
          </w:p>
        </w:tc>
      </w:tr>
      <w:tr w:rsidR="00000000" w14:paraId="6BBB9FFA" w14:textId="77777777">
        <w:trPr>
          <w:divId w:val="424108047"/>
        </w:trPr>
        <w:tc>
          <w:tcPr>
            <w:tcW w:w="0" w:type="auto"/>
            <w:gridSpan w:val="3"/>
            <w:tcMar>
              <w:top w:w="0" w:type="dxa"/>
              <w:left w:w="20" w:type="dxa"/>
              <w:bottom w:w="0" w:type="dxa"/>
              <w:right w:w="20" w:type="dxa"/>
            </w:tcMar>
            <w:vAlign w:val="center"/>
            <w:hideMark/>
          </w:tcPr>
          <w:p w14:paraId="3842577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21D388"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0BCF2CF" w14:textId="77777777" w:rsidR="00000000" w:rsidRDefault="00EE5306">
            <w:pPr>
              <w:spacing w:after="100"/>
              <w:jc w:val="center"/>
              <w:rPr>
                <w:rFonts w:eastAsia="Times New Roman"/>
              </w:rPr>
            </w:pPr>
            <w:r>
              <w:rPr>
                <w:rFonts w:eastAsia="Times New Roman"/>
                <w:b/>
                <w:bCs/>
                <w:color w:val="000000"/>
                <w:sz w:val="18"/>
                <w:szCs w:val="18"/>
              </w:rPr>
              <w:t>Shop-within-Shops</w:t>
            </w:r>
          </w:p>
        </w:tc>
      </w:tr>
      <w:tr w:rsidR="00000000" w14:paraId="31A571C3" w14:textId="77777777">
        <w:trPr>
          <w:divId w:val="424108047"/>
        </w:trPr>
        <w:tc>
          <w:tcPr>
            <w:tcW w:w="0" w:type="auto"/>
            <w:gridSpan w:val="3"/>
            <w:shd w:val="clear" w:color="auto" w:fill="CCEEFF"/>
            <w:tcMar>
              <w:top w:w="30" w:type="dxa"/>
              <w:left w:w="20" w:type="dxa"/>
              <w:bottom w:w="30" w:type="dxa"/>
              <w:right w:w="20" w:type="dxa"/>
            </w:tcMar>
            <w:hideMark/>
          </w:tcPr>
          <w:p w14:paraId="17F51D2E"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14:paraId="316D272F"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84F5C3" w14:textId="77777777" w:rsidR="00000000" w:rsidRDefault="00EE5306">
            <w:pPr>
              <w:spacing w:after="100"/>
              <w:jc w:val="right"/>
              <w:rPr>
                <w:rFonts w:eastAsia="Times New Roman"/>
              </w:rPr>
            </w:pPr>
            <w:r>
              <w:rPr>
                <w:rFonts w:eastAsia="Times New Roman"/>
                <w:color w:val="000000"/>
                <w:sz w:val="20"/>
                <w:szCs w:val="20"/>
              </w:rPr>
              <w:t>9,552 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D522D0" w14:textId="77777777" w:rsidR="00000000" w:rsidRDefault="00EE5306">
            <w:pPr>
              <w:spacing w:after="100"/>
              <w:jc w:val="right"/>
              <w:rPr>
                <w:rFonts w:eastAsia="Times New Roman"/>
              </w:rPr>
            </w:pPr>
          </w:p>
        </w:tc>
      </w:tr>
      <w:tr w:rsidR="00000000" w14:paraId="0E64F371" w14:textId="77777777">
        <w:trPr>
          <w:divId w:val="424108047"/>
        </w:trPr>
        <w:tc>
          <w:tcPr>
            <w:tcW w:w="0" w:type="auto"/>
            <w:gridSpan w:val="3"/>
            <w:shd w:val="clear" w:color="auto" w:fill="FFFFFF"/>
            <w:tcMar>
              <w:top w:w="30" w:type="dxa"/>
              <w:left w:w="20" w:type="dxa"/>
              <w:bottom w:w="30" w:type="dxa"/>
              <w:right w:w="20" w:type="dxa"/>
            </w:tcMar>
            <w:hideMark/>
          </w:tcPr>
          <w:p w14:paraId="330A0468"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14:paraId="2257D6F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DE524B" w14:textId="77777777" w:rsidR="00000000" w:rsidRDefault="00EE5306">
            <w:pPr>
              <w:spacing w:after="100"/>
              <w:jc w:val="right"/>
              <w:rPr>
                <w:rFonts w:eastAsia="Times New Roman"/>
              </w:rPr>
            </w:pPr>
            <w:r>
              <w:rPr>
                <w:rFonts w:eastAsia="Times New Roman"/>
                <w:color w:val="000000"/>
                <w:sz w:val="20"/>
                <w:szCs w:val="20"/>
              </w:rPr>
              <w:t>6,016 </w:t>
            </w:r>
          </w:p>
        </w:tc>
        <w:tc>
          <w:tcPr>
            <w:tcW w:w="0" w:type="auto"/>
            <w:shd w:val="clear" w:color="auto" w:fill="FFFFFF"/>
            <w:tcMar>
              <w:top w:w="30" w:type="dxa"/>
              <w:left w:w="0" w:type="dxa"/>
              <w:bottom w:w="30" w:type="dxa"/>
              <w:right w:w="20" w:type="dxa"/>
            </w:tcMar>
            <w:vAlign w:val="bottom"/>
            <w:hideMark/>
          </w:tcPr>
          <w:p w14:paraId="5207C031" w14:textId="77777777" w:rsidR="00000000" w:rsidRDefault="00EE5306">
            <w:pPr>
              <w:spacing w:after="100"/>
              <w:jc w:val="right"/>
              <w:rPr>
                <w:rFonts w:eastAsia="Times New Roman"/>
              </w:rPr>
            </w:pPr>
          </w:p>
        </w:tc>
      </w:tr>
      <w:tr w:rsidR="00000000" w14:paraId="7D525F95" w14:textId="77777777">
        <w:trPr>
          <w:divId w:val="424108047"/>
        </w:trPr>
        <w:tc>
          <w:tcPr>
            <w:tcW w:w="0" w:type="auto"/>
            <w:gridSpan w:val="3"/>
            <w:shd w:val="clear" w:color="auto" w:fill="CCEEFF"/>
            <w:tcMar>
              <w:top w:w="30" w:type="dxa"/>
              <w:left w:w="20" w:type="dxa"/>
              <w:bottom w:w="30" w:type="dxa"/>
              <w:right w:w="20" w:type="dxa"/>
            </w:tcMar>
            <w:hideMark/>
          </w:tcPr>
          <w:p w14:paraId="51DBEF25"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14:paraId="7D72480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4198AC" w14:textId="77777777" w:rsidR="00000000" w:rsidRDefault="00EE5306">
            <w:pPr>
              <w:spacing w:after="100"/>
              <w:jc w:val="right"/>
              <w:rPr>
                <w:rFonts w:eastAsia="Times New Roman"/>
              </w:rPr>
            </w:pPr>
            <w:r>
              <w:rPr>
                <w:rFonts w:eastAsia="Times New Roman"/>
                <w:color w:val="000000"/>
                <w:sz w:val="20"/>
                <w:szCs w:val="20"/>
              </w:rPr>
              <w:t>682 </w:t>
            </w:r>
          </w:p>
        </w:tc>
        <w:tc>
          <w:tcPr>
            <w:tcW w:w="0" w:type="auto"/>
            <w:shd w:val="clear" w:color="auto" w:fill="CCEEFF"/>
            <w:tcMar>
              <w:top w:w="30" w:type="dxa"/>
              <w:left w:w="0" w:type="dxa"/>
              <w:bottom w:w="30" w:type="dxa"/>
              <w:right w:w="20" w:type="dxa"/>
            </w:tcMar>
            <w:vAlign w:val="bottom"/>
            <w:hideMark/>
          </w:tcPr>
          <w:p w14:paraId="038AC273" w14:textId="77777777" w:rsidR="00000000" w:rsidRDefault="00EE5306">
            <w:pPr>
              <w:spacing w:after="100"/>
              <w:jc w:val="right"/>
              <w:rPr>
                <w:rFonts w:eastAsia="Times New Roman"/>
              </w:rPr>
            </w:pPr>
          </w:p>
        </w:tc>
      </w:tr>
      <w:tr w:rsidR="00000000" w14:paraId="7AE5BB73" w14:textId="77777777">
        <w:trPr>
          <w:divId w:val="424108047"/>
        </w:trPr>
        <w:tc>
          <w:tcPr>
            <w:tcW w:w="0" w:type="auto"/>
            <w:gridSpan w:val="3"/>
            <w:shd w:val="clear" w:color="auto" w:fill="FFFFFF"/>
            <w:tcMar>
              <w:top w:w="30" w:type="dxa"/>
              <w:left w:w="155" w:type="dxa"/>
              <w:bottom w:w="30" w:type="dxa"/>
              <w:right w:w="20" w:type="dxa"/>
            </w:tcMar>
            <w:hideMark/>
          </w:tcPr>
          <w:p w14:paraId="5C29E4F7" w14:textId="77777777" w:rsidR="00000000" w:rsidRDefault="00EE5306">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4E41D216"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258795" w14:textId="77777777" w:rsidR="00000000" w:rsidRDefault="00EE5306">
            <w:pPr>
              <w:spacing w:after="100"/>
              <w:jc w:val="right"/>
              <w:rPr>
                <w:rFonts w:eastAsia="Times New Roman"/>
              </w:rPr>
            </w:pPr>
            <w:r>
              <w:rPr>
                <w:rFonts w:eastAsia="Times New Roman"/>
                <w:color w:val="000000"/>
                <w:sz w:val="20"/>
                <w:szCs w:val="20"/>
              </w:rPr>
              <w:t>16,250 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CF470F" w14:textId="77777777" w:rsidR="00000000" w:rsidRDefault="00EE5306">
            <w:pPr>
              <w:spacing w:after="100"/>
              <w:jc w:val="right"/>
              <w:rPr>
                <w:rFonts w:eastAsia="Times New Roman"/>
              </w:rPr>
            </w:pPr>
          </w:p>
        </w:tc>
      </w:tr>
    </w:tbl>
    <w:p w14:paraId="5A552309" w14:textId="77777777" w:rsidR="00000000" w:rsidRDefault="00EE5306">
      <w:pPr>
        <w:ind w:firstLine="540"/>
        <w:jc w:val="both"/>
        <w:divId w:val="1153453304"/>
        <w:rPr>
          <w:rFonts w:eastAsia="Times New Roman"/>
        </w:rPr>
      </w:pPr>
      <w:r>
        <w:rPr>
          <w:rFonts w:eastAsia="Times New Roman"/>
          <w:color w:val="000000"/>
          <w:sz w:val="20"/>
          <w:szCs w:val="20"/>
        </w:rPr>
        <w:t>The size of our shop-within-shops ranges from approximately 85 to 9,200 </w:t>
      </w:r>
      <w:r>
        <w:rPr>
          <w:rFonts w:eastAsia="Times New Roman"/>
          <w:color w:val="000000"/>
          <w:sz w:val="20"/>
          <w:szCs w:val="20"/>
        </w:rPr>
        <w:t>square feet. Shop-within-shop fixed assets primarily include items such as customized freestanding fixtures, wall cases and components, decorative items, and flooring. We normally share in the cost of building out these shop-within-shops with our wholesale</w:t>
      </w:r>
      <w:r>
        <w:rPr>
          <w:rFonts w:eastAsia="Times New Roman"/>
          <w:color w:val="000000"/>
          <w:sz w:val="20"/>
          <w:szCs w:val="20"/>
        </w:rPr>
        <w:t xml:space="preserve"> customers. </w:t>
      </w:r>
    </w:p>
    <w:p w14:paraId="0F2DFEA4" w14:textId="77777777" w:rsidR="00000000" w:rsidRDefault="00EE5306">
      <w:pPr>
        <w:ind w:firstLine="495"/>
        <w:jc w:val="both"/>
        <w:divId w:val="1757899853"/>
        <w:rPr>
          <w:rFonts w:eastAsia="Times New Roman"/>
        </w:rPr>
      </w:pPr>
      <w:r>
        <w:rPr>
          <w:rFonts w:eastAsia="Times New Roman"/>
          <w:b/>
          <w:bCs/>
          <w:i/>
          <w:iCs/>
          <w:color w:val="000000"/>
          <w:sz w:val="20"/>
          <w:szCs w:val="20"/>
        </w:rPr>
        <w:t>Replenishment Program.</w:t>
      </w:r>
      <w:r>
        <w:rPr>
          <w:rFonts w:eastAsia="Times New Roman"/>
          <w:color w:val="000000"/>
          <w:sz w:val="20"/>
          <w:szCs w:val="20"/>
        </w:rPr>
        <w:t>    Core products such as knit shirts, chino pants, oxford cloth shirts, select footwear and accessories, and home products can be ordered by our wholesale customers at any time through our replenishment program. We gener</w:t>
      </w:r>
      <w:r>
        <w:rPr>
          <w:rFonts w:eastAsia="Times New Roman"/>
          <w:color w:val="000000"/>
          <w:sz w:val="20"/>
          <w:szCs w:val="20"/>
        </w:rPr>
        <w:t>ally ship these products within two to five days of order receipt.</w:t>
      </w:r>
    </w:p>
    <w:p w14:paraId="728EA268" w14:textId="77777777" w:rsidR="00000000" w:rsidRDefault="00EE5306">
      <w:pPr>
        <w:ind w:firstLine="495"/>
        <w:jc w:val="both"/>
        <w:divId w:val="1898281680"/>
        <w:rPr>
          <w:rFonts w:eastAsia="Times New Roman"/>
        </w:rPr>
      </w:pPr>
      <w:r>
        <w:rPr>
          <w:rFonts w:eastAsia="Times New Roman"/>
          <w:b/>
          <w:bCs/>
          <w:i/>
          <w:iCs/>
          <w:color w:val="000000"/>
          <w:sz w:val="20"/>
          <w:szCs w:val="20"/>
        </w:rPr>
        <w:t>Backlog.</w:t>
      </w:r>
      <w:r>
        <w:rPr>
          <w:rFonts w:eastAsia="Times New Roman"/>
          <w:color w:val="000000"/>
          <w:sz w:val="20"/>
          <w:szCs w:val="20"/>
        </w:rPr>
        <w:t>    We generally receive wholesale orders approximately three to five months prior to the time the products are delivered to customers, with the exception of orders received through</w:t>
      </w:r>
      <w:r>
        <w:rPr>
          <w:rFonts w:eastAsia="Times New Roman"/>
          <w:color w:val="000000"/>
          <w:sz w:val="20"/>
          <w:szCs w:val="20"/>
        </w:rPr>
        <w:t xml:space="preserve"> our replenishment program, which ship within two to five days of order receipt. Our wholesale orders are generally subject to broad cancellation rights. Further, the size of our order backlog depends upon a number of factors, including the timing of the m</w:t>
      </w:r>
      <w:r>
        <w:rPr>
          <w:rFonts w:eastAsia="Times New Roman"/>
          <w:color w:val="000000"/>
          <w:sz w:val="20"/>
          <w:szCs w:val="20"/>
        </w:rPr>
        <w:t>arket weeks for our particular lines during which a significant percentage of our orders are received and the timing of shipments, which varies from year-to-year with consideration for holidays, consumer trends, concept plans, and the replenishment program</w:t>
      </w:r>
      <w:r>
        <w:rPr>
          <w:rFonts w:eastAsia="Times New Roman"/>
          <w:color w:val="000000"/>
          <w:sz w:val="20"/>
          <w:szCs w:val="20"/>
        </w:rPr>
        <w:t>'s usage. Consequently, the dollar amount of our backlog as of any date may not be indicative of actual future shipments and therefore is not meaningful in understanding our business taken as a whole.</w:t>
      </w:r>
    </w:p>
    <w:p w14:paraId="64F95EE6" w14:textId="77777777" w:rsidR="00000000" w:rsidRDefault="00EE5306">
      <w:pPr>
        <w:jc w:val="center"/>
        <w:divId w:val="957957620"/>
        <w:rPr>
          <w:rFonts w:eastAsia="Times New Roman"/>
        </w:rPr>
      </w:pPr>
      <w:r>
        <w:rPr>
          <w:rFonts w:eastAsia="Times New Roman"/>
          <w:b/>
          <w:bCs/>
          <w:color w:val="000000"/>
          <w:sz w:val="20"/>
          <w:szCs w:val="20"/>
        </w:rPr>
        <w:t>Our Licensing Business</w:t>
      </w:r>
    </w:p>
    <w:p w14:paraId="4DBA85C8" w14:textId="77777777" w:rsidR="00000000" w:rsidRDefault="00EE5306">
      <w:pPr>
        <w:ind w:firstLine="540"/>
        <w:jc w:val="both"/>
        <w:divId w:val="869995989"/>
        <w:rPr>
          <w:rFonts w:eastAsia="Times New Roman"/>
        </w:rPr>
      </w:pPr>
      <w:r>
        <w:rPr>
          <w:rFonts w:eastAsia="Times New Roman"/>
          <w:color w:val="000000"/>
          <w:sz w:val="20"/>
          <w:szCs w:val="20"/>
        </w:rPr>
        <w:t xml:space="preserve">Through licensing alliances, we </w:t>
      </w:r>
      <w:r>
        <w:rPr>
          <w:rFonts w:eastAsia="Times New Roman"/>
          <w:color w:val="000000"/>
          <w:sz w:val="20"/>
          <w:szCs w:val="20"/>
        </w:rPr>
        <w:t>combine our consumer insight, design, and marketing skills with the specific product or geographic competencies of our licensing partners to create and build new businesses. We generally seek out licensing partners who are leaders in their respective marke</w:t>
      </w:r>
      <w:r>
        <w:rPr>
          <w:rFonts w:eastAsia="Times New Roman"/>
          <w:color w:val="000000"/>
          <w:sz w:val="20"/>
          <w:szCs w:val="20"/>
        </w:rPr>
        <w:t>ts, contribute the majority of product development costs, provide the operational infrastructure required to support the business, and own the inventory. Our licensing business has been aggregated with other non-reportable segments.</w:t>
      </w:r>
    </w:p>
    <w:p w14:paraId="07AB1689" w14:textId="77777777" w:rsidR="00000000" w:rsidRDefault="00EE5306">
      <w:pPr>
        <w:ind w:firstLine="360"/>
        <w:jc w:val="both"/>
        <w:divId w:val="275137926"/>
        <w:rPr>
          <w:rFonts w:eastAsia="Times New Roman"/>
        </w:rPr>
      </w:pPr>
      <w:r>
        <w:rPr>
          <w:rFonts w:eastAsia="Times New Roman"/>
          <w:i/>
          <w:iCs/>
          <w:color w:val="000000"/>
          <w:sz w:val="20"/>
          <w:szCs w:val="20"/>
        </w:rPr>
        <w:t>Product Licensing</w:t>
      </w:r>
    </w:p>
    <w:p w14:paraId="498C472F" w14:textId="77777777" w:rsidR="00000000" w:rsidRDefault="00EE5306">
      <w:pPr>
        <w:ind w:firstLine="540"/>
        <w:jc w:val="both"/>
        <w:divId w:val="1197041319"/>
        <w:rPr>
          <w:rFonts w:eastAsia="Times New Roman"/>
        </w:rPr>
      </w:pPr>
      <w:r>
        <w:rPr>
          <w:rFonts w:eastAsia="Times New Roman"/>
          <w:color w:val="000000"/>
          <w:sz w:val="20"/>
          <w:szCs w:val="20"/>
        </w:rPr>
        <w:t>We gr</w:t>
      </w:r>
      <w:r>
        <w:rPr>
          <w:rFonts w:eastAsia="Times New Roman"/>
          <w:color w:val="000000"/>
          <w:sz w:val="20"/>
          <w:szCs w:val="20"/>
        </w:rPr>
        <w:t>ant our product licensees the right to access our various trademarks in connection with the licensees' manufacture and sale of designated products, such as certain apparel, eyewear, fragrances, and home furnishings. Each product licensing partner pays us r</w:t>
      </w:r>
      <w:r>
        <w:rPr>
          <w:rFonts w:eastAsia="Times New Roman"/>
          <w:color w:val="000000"/>
          <w:sz w:val="20"/>
          <w:szCs w:val="20"/>
        </w:rPr>
        <w:t>oyalties based upon its sales of our products, generally subject to a minimum royalty requirement for the right to use our trademarks and design services. In addition, our licensing partners may be required to allocate a portion of their revenues to advert</w:t>
      </w:r>
      <w:r>
        <w:rPr>
          <w:rFonts w:eastAsia="Times New Roman"/>
          <w:color w:val="000000"/>
          <w:sz w:val="20"/>
          <w:szCs w:val="20"/>
        </w:rPr>
        <w:t>ising our products and sharing in the creative costs associated with these products. Larger allocations typically are required in connection with launches of new products or in new territories. Our license agreements generally have two to five-year terms a</w:t>
      </w:r>
      <w:r>
        <w:rPr>
          <w:rFonts w:eastAsia="Times New Roman"/>
          <w:color w:val="000000"/>
          <w:sz w:val="20"/>
          <w:szCs w:val="20"/>
        </w:rPr>
        <w:t>nd may grant the licensees conditional renewal options.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6808E06" w14:textId="77777777">
        <w:trPr>
          <w:divId w:val="2123453123"/>
          <w:jc w:val="center"/>
        </w:trPr>
        <w:tc>
          <w:tcPr>
            <w:tcW w:w="50" w:type="pct"/>
            <w:vAlign w:val="center"/>
            <w:hideMark/>
          </w:tcPr>
          <w:p w14:paraId="25939F82" w14:textId="77777777" w:rsidR="00000000" w:rsidRDefault="00EE5306">
            <w:pPr>
              <w:ind w:firstLine="540"/>
              <w:jc w:val="both"/>
              <w:rPr>
                <w:rFonts w:eastAsia="Times New Roman"/>
              </w:rPr>
            </w:pPr>
          </w:p>
        </w:tc>
        <w:tc>
          <w:tcPr>
            <w:tcW w:w="1699" w:type="pct"/>
            <w:vAlign w:val="center"/>
            <w:hideMark/>
          </w:tcPr>
          <w:p w14:paraId="2B5AF201" w14:textId="77777777" w:rsidR="00000000" w:rsidRDefault="00EE5306">
            <w:pPr>
              <w:spacing w:after="100"/>
              <w:rPr>
                <w:rFonts w:eastAsia="Times New Roman"/>
                <w:sz w:val="20"/>
                <w:szCs w:val="20"/>
              </w:rPr>
            </w:pPr>
          </w:p>
        </w:tc>
        <w:tc>
          <w:tcPr>
            <w:tcW w:w="5" w:type="pct"/>
            <w:vAlign w:val="center"/>
            <w:hideMark/>
          </w:tcPr>
          <w:p w14:paraId="5B02D78B" w14:textId="77777777" w:rsidR="00000000" w:rsidRDefault="00EE5306">
            <w:pPr>
              <w:spacing w:after="100"/>
              <w:rPr>
                <w:rFonts w:eastAsia="Times New Roman"/>
                <w:sz w:val="20"/>
                <w:szCs w:val="20"/>
              </w:rPr>
            </w:pPr>
          </w:p>
        </w:tc>
        <w:tc>
          <w:tcPr>
            <w:tcW w:w="50" w:type="pct"/>
            <w:vAlign w:val="center"/>
            <w:hideMark/>
          </w:tcPr>
          <w:p w14:paraId="1713DEC4" w14:textId="77777777" w:rsidR="00000000" w:rsidRDefault="00EE5306">
            <w:pPr>
              <w:spacing w:after="100"/>
              <w:rPr>
                <w:rFonts w:eastAsia="Times New Roman"/>
                <w:sz w:val="20"/>
                <w:szCs w:val="20"/>
              </w:rPr>
            </w:pPr>
          </w:p>
        </w:tc>
        <w:tc>
          <w:tcPr>
            <w:tcW w:w="1436" w:type="pct"/>
            <w:vAlign w:val="center"/>
            <w:hideMark/>
          </w:tcPr>
          <w:p w14:paraId="7055D4ED" w14:textId="77777777" w:rsidR="00000000" w:rsidRDefault="00EE5306">
            <w:pPr>
              <w:spacing w:after="100"/>
              <w:rPr>
                <w:rFonts w:eastAsia="Times New Roman"/>
                <w:sz w:val="20"/>
                <w:szCs w:val="20"/>
              </w:rPr>
            </w:pPr>
          </w:p>
        </w:tc>
        <w:tc>
          <w:tcPr>
            <w:tcW w:w="5" w:type="pct"/>
            <w:vAlign w:val="center"/>
            <w:hideMark/>
          </w:tcPr>
          <w:p w14:paraId="27D66C21" w14:textId="77777777" w:rsidR="00000000" w:rsidRDefault="00EE5306">
            <w:pPr>
              <w:spacing w:after="100"/>
              <w:rPr>
                <w:rFonts w:eastAsia="Times New Roman"/>
                <w:sz w:val="20"/>
                <w:szCs w:val="20"/>
              </w:rPr>
            </w:pPr>
          </w:p>
        </w:tc>
        <w:tc>
          <w:tcPr>
            <w:tcW w:w="50" w:type="pct"/>
            <w:vAlign w:val="center"/>
            <w:hideMark/>
          </w:tcPr>
          <w:p w14:paraId="67FEF458" w14:textId="77777777" w:rsidR="00000000" w:rsidRDefault="00EE5306">
            <w:pPr>
              <w:spacing w:after="100"/>
              <w:rPr>
                <w:rFonts w:eastAsia="Times New Roman"/>
                <w:sz w:val="20"/>
                <w:szCs w:val="20"/>
              </w:rPr>
            </w:pPr>
          </w:p>
        </w:tc>
        <w:tc>
          <w:tcPr>
            <w:tcW w:w="1699" w:type="pct"/>
            <w:vAlign w:val="center"/>
            <w:hideMark/>
          </w:tcPr>
          <w:p w14:paraId="3AF0C350" w14:textId="77777777" w:rsidR="00000000" w:rsidRDefault="00EE5306">
            <w:pPr>
              <w:spacing w:after="100"/>
              <w:rPr>
                <w:rFonts w:eastAsia="Times New Roman"/>
                <w:sz w:val="20"/>
                <w:szCs w:val="20"/>
              </w:rPr>
            </w:pPr>
          </w:p>
        </w:tc>
        <w:tc>
          <w:tcPr>
            <w:tcW w:w="5" w:type="pct"/>
            <w:vAlign w:val="center"/>
            <w:hideMark/>
          </w:tcPr>
          <w:p w14:paraId="4181AAC1" w14:textId="77777777" w:rsidR="00000000" w:rsidRDefault="00EE5306">
            <w:pPr>
              <w:spacing w:after="100"/>
              <w:rPr>
                <w:rFonts w:eastAsia="Times New Roman"/>
                <w:sz w:val="20"/>
                <w:szCs w:val="20"/>
              </w:rPr>
            </w:pPr>
          </w:p>
        </w:tc>
      </w:tr>
      <w:tr w:rsidR="00000000" w14:paraId="375A9DCA" w14:textId="77777777">
        <w:trPr>
          <w:divId w:val="2123453123"/>
          <w:jc w:val="center"/>
        </w:trPr>
        <w:tc>
          <w:tcPr>
            <w:tcW w:w="0" w:type="auto"/>
            <w:gridSpan w:val="3"/>
            <w:tcMar>
              <w:top w:w="0" w:type="dxa"/>
              <w:left w:w="20" w:type="dxa"/>
              <w:bottom w:w="0" w:type="dxa"/>
              <w:right w:w="20" w:type="dxa"/>
            </w:tcMar>
            <w:vAlign w:val="center"/>
            <w:hideMark/>
          </w:tcPr>
          <w:p w14:paraId="2CD542D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71F099" w14:textId="77777777" w:rsidR="00000000" w:rsidRDefault="00EE5306">
            <w:pPr>
              <w:spacing w:after="100"/>
              <w:jc w:val="center"/>
              <w:rPr>
                <w:rFonts w:eastAsia="Times New Roman"/>
              </w:rPr>
            </w:pPr>
            <w:r>
              <w:rPr>
                <w:rFonts w:eastAsia="Times New Roman"/>
                <w:color w:val="000000"/>
                <w:sz w:val="20"/>
                <w:szCs w:val="20"/>
              </w:rPr>
              <w:t>14</w:t>
            </w:r>
          </w:p>
        </w:tc>
        <w:tc>
          <w:tcPr>
            <w:tcW w:w="0" w:type="auto"/>
            <w:gridSpan w:val="3"/>
            <w:tcMar>
              <w:top w:w="0" w:type="dxa"/>
              <w:left w:w="20" w:type="dxa"/>
              <w:bottom w:w="0" w:type="dxa"/>
              <w:right w:w="20" w:type="dxa"/>
            </w:tcMar>
            <w:vAlign w:val="center"/>
            <w:hideMark/>
          </w:tcPr>
          <w:p w14:paraId="0A27E3CB" w14:textId="77777777" w:rsidR="00000000" w:rsidRDefault="00EE5306">
            <w:pPr>
              <w:spacing w:after="100"/>
              <w:jc w:val="center"/>
              <w:rPr>
                <w:rFonts w:eastAsia="Times New Roman"/>
              </w:rPr>
            </w:pPr>
          </w:p>
        </w:tc>
      </w:tr>
    </w:tbl>
    <w:p w14:paraId="2A642D52" w14:textId="77777777" w:rsidR="00000000" w:rsidRDefault="00EE5306">
      <w:pPr>
        <w:rPr>
          <w:rFonts w:eastAsia="Times New Roman"/>
        </w:rPr>
      </w:pPr>
      <w:r>
        <w:rPr>
          <w:rFonts w:eastAsia="Times New Roman"/>
        </w:rPr>
        <w:pict w14:anchorId="2F5715F5">
          <v:rect id="_x0000_i1040" style="width:0;height:1.5pt" o:hralign="center" o:hrstd="t" o:hr="t" fillcolor="#a0a0a0" stroked="f"/>
        </w:pict>
      </w:r>
    </w:p>
    <w:p w14:paraId="602B5B95" w14:textId="77777777" w:rsidR="00000000" w:rsidRDefault="00EE5306">
      <w:pPr>
        <w:divId w:val="1143890266"/>
        <w:rPr>
          <w:rFonts w:eastAsia="Times New Roman"/>
        </w:rPr>
      </w:pPr>
    </w:p>
    <w:p w14:paraId="7A655731" w14:textId="77777777" w:rsidR="00000000" w:rsidRDefault="00EE5306">
      <w:pPr>
        <w:ind w:firstLine="540"/>
        <w:jc w:val="both"/>
        <w:divId w:val="1561330033"/>
        <w:rPr>
          <w:rFonts w:eastAsia="Times New Roman"/>
        </w:rPr>
      </w:pPr>
      <w:r>
        <w:rPr>
          <w:rFonts w:eastAsia="Times New Roman"/>
          <w:color w:val="000000"/>
          <w:sz w:val="20"/>
          <w:szCs w:val="20"/>
        </w:rPr>
        <w:t>We work closely with all of our licensing partners to ensure that their products are developed, marketed, and distributed to reach the intended consumer and are presented consistently across product categories to conve</w:t>
      </w:r>
      <w:r>
        <w:rPr>
          <w:rFonts w:eastAsia="Times New Roman"/>
          <w:color w:val="000000"/>
          <w:sz w:val="20"/>
          <w:szCs w:val="20"/>
        </w:rPr>
        <w:t xml:space="preserve">y the distinctive identity and lifestyle associated with our brands. Virtually all aspects of the design, production quality, packaging, merchandising, distribution, advertising, and promotion of Ralph Lauren products are subject to our prior approval and </w:t>
      </w:r>
      <w:r>
        <w:rPr>
          <w:rFonts w:eastAsia="Times New Roman"/>
          <w:color w:val="000000"/>
          <w:sz w:val="20"/>
          <w:szCs w:val="20"/>
        </w:rPr>
        <w:t>continuing oversight. We perform a broader range of services for most of our Ralph Lauren Home licensing partners than we do for our other licensing partners, including design, operating showrooms, marketing, and advertising.</w:t>
      </w:r>
    </w:p>
    <w:p w14:paraId="1CCEDA81" w14:textId="77777777" w:rsidR="00000000" w:rsidRDefault="00EE5306">
      <w:pPr>
        <w:ind w:firstLine="540"/>
        <w:jc w:val="both"/>
        <w:divId w:val="1588032533"/>
        <w:rPr>
          <w:rFonts w:eastAsia="Times New Roman"/>
        </w:rPr>
      </w:pPr>
      <w:r>
        <w:rPr>
          <w:rFonts w:eastAsia="Times New Roman"/>
          <w:color w:val="000000"/>
          <w:sz w:val="20"/>
          <w:szCs w:val="20"/>
        </w:rPr>
        <w:t xml:space="preserve">The following table lists our </w:t>
      </w:r>
      <w:r>
        <w:rPr>
          <w:rFonts w:eastAsia="Times New Roman"/>
          <w:color w:val="000000"/>
          <w:sz w:val="20"/>
          <w:szCs w:val="20"/>
        </w:rPr>
        <w:t>largest licensing agreements as of March 27, 2021 for the product categories presented. Except as noted in the table, these product licenses cover North America only.</w:t>
      </w:r>
    </w:p>
    <w:tbl>
      <w:tblPr>
        <w:tblW w:w="4985" w:type="pct"/>
        <w:tblCellMar>
          <w:top w:w="15" w:type="dxa"/>
          <w:left w:w="15" w:type="dxa"/>
          <w:bottom w:w="15" w:type="dxa"/>
          <w:right w:w="15" w:type="dxa"/>
        </w:tblCellMar>
        <w:tblLook w:val="04A0" w:firstRow="1" w:lastRow="0" w:firstColumn="1" w:lastColumn="0" w:noHBand="0" w:noVBand="1"/>
      </w:tblPr>
      <w:tblGrid>
        <w:gridCol w:w="61"/>
        <w:gridCol w:w="1241"/>
        <w:gridCol w:w="38"/>
        <w:gridCol w:w="36"/>
        <w:gridCol w:w="66"/>
        <w:gridCol w:w="36"/>
        <w:gridCol w:w="58"/>
        <w:gridCol w:w="2897"/>
        <w:gridCol w:w="37"/>
        <w:gridCol w:w="36"/>
        <w:gridCol w:w="66"/>
        <w:gridCol w:w="36"/>
        <w:gridCol w:w="59"/>
        <w:gridCol w:w="3577"/>
        <w:gridCol w:w="37"/>
      </w:tblGrid>
      <w:tr w:rsidR="00000000" w14:paraId="24CC9398" w14:textId="77777777">
        <w:trPr>
          <w:divId w:val="187649227"/>
        </w:trPr>
        <w:tc>
          <w:tcPr>
            <w:tcW w:w="50" w:type="pct"/>
            <w:vAlign w:val="center"/>
            <w:hideMark/>
          </w:tcPr>
          <w:p w14:paraId="46A14953" w14:textId="77777777" w:rsidR="00000000" w:rsidRDefault="00EE5306">
            <w:pPr>
              <w:ind w:firstLine="540"/>
              <w:jc w:val="both"/>
              <w:rPr>
                <w:rFonts w:eastAsia="Times New Roman"/>
              </w:rPr>
            </w:pPr>
          </w:p>
        </w:tc>
        <w:tc>
          <w:tcPr>
            <w:tcW w:w="766" w:type="pct"/>
            <w:vAlign w:val="center"/>
            <w:hideMark/>
          </w:tcPr>
          <w:p w14:paraId="3486D36A" w14:textId="77777777" w:rsidR="00000000" w:rsidRDefault="00EE5306">
            <w:pPr>
              <w:spacing w:after="100"/>
              <w:rPr>
                <w:rFonts w:eastAsia="Times New Roman"/>
                <w:sz w:val="20"/>
                <w:szCs w:val="20"/>
              </w:rPr>
            </w:pPr>
          </w:p>
        </w:tc>
        <w:tc>
          <w:tcPr>
            <w:tcW w:w="5" w:type="pct"/>
            <w:vAlign w:val="center"/>
            <w:hideMark/>
          </w:tcPr>
          <w:p w14:paraId="33695051" w14:textId="77777777" w:rsidR="00000000" w:rsidRDefault="00EE5306">
            <w:pPr>
              <w:spacing w:after="100"/>
              <w:rPr>
                <w:rFonts w:eastAsia="Times New Roman"/>
                <w:sz w:val="20"/>
                <w:szCs w:val="20"/>
              </w:rPr>
            </w:pPr>
          </w:p>
        </w:tc>
        <w:tc>
          <w:tcPr>
            <w:tcW w:w="5" w:type="pct"/>
            <w:vAlign w:val="center"/>
            <w:hideMark/>
          </w:tcPr>
          <w:p w14:paraId="6A3AFFDA" w14:textId="77777777" w:rsidR="00000000" w:rsidRDefault="00EE5306">
            <w:pPr>
              <w:spacing w:after="100"/>
              <w:rPr>
                <w:rFonts w:eastAsia="Times New Roman"/>
                <w:sz w:val="20"/>
                <w:szCs w:val="20"/>
              </w:rPr>
            </w:pPr>
          </w:p>
        </w:tc>
        <w:tc>
          <w:tcPr>
            <w:tcW w:w="55" w:type="pct"/>
            <w:vAlign w:val="center"/>
            <w:hideMark/>
          </w:tcPr>
          <w:p w14:paraId="74763285" w14:textId="77777777" w:rsidR="00000000" w:rsidRDefault="00EE5306">
            <w:pPr>
              <w:spacing w:after="100"/>
              <w:rPr>
                <w:rFonts w:eastAsia="Times New Roman"/>
                <w:sz w:val="20"/>
                <w:szCs w:val="20"/>
              </w:rPr>
            </w:pPr>
          </w:p>
        </w:tc>
        <w:tc>
          <w:tcPr>
            <w:tcW w:w="5" w:type="pct"/>
            <w:vAlign w:val="center"/>
            <w:hideMark/>
          </w:tcPr>
          <w:p w14:paraId="757D20D5" w14:textId="77777777" w:rsidR="00000000" w:rsidRDefault="00EE5306">
            <w:pPr>
              <w:spacing w:after="100"/>
              <w:rPr>
                <w:rFonts w:eastAsia="Times New Roman"/>
                <w:sz w:val="20"/>
                <w:szCs w:val="20"/>
              </w:rPr>
            </w:pPr>
          </w:p>
        </w:tc>
        <w:tc>
          <w:tcPr>
            <w:tcW w:w="50" w:type="pct"/>
            <w:vAlign w:val="center"/>
            <w:hideMark/>
          </w:tcPr>
          <w:p w14:paraId="5C6189C8" w14:textId="77777777" w:rsidR="00000000" w:rsidRDefault="00EE5306">
            <w:pPr>
              <w:spacing w:after="100"/>
              <w:rPr>
                <w:rFonts w:eastAsia="Times New Roman"/>
                <w:sz w:val="20"/>
                <w:szCs w:val="20"/>
              </w:rPr>
            </w:pPr>
          </w:p>
        </w:tc>
        <w:tc>
          <w:tcPr>
            <w:tcW w:w="1763" w:type="pct"/>
            <w:vAlign w:val="center"/>
            <w:hideMark/>
          </w:tcPr>
          <w:p w14:paraId="24EFA7FB" w14:textId="77777777" w:rsidR="00000000" w:rsidRDefault="00EE5306">
            <w:pPr>
              <w:spacing w:after="100"/>
              <w:rPr>
                <w:rFonts w:eastAsia="Times New Roman"/>
                <w:sz w:val="20"/>
                <w:szCs w:val="20"/>
              </w:rPr>
            </w:pPr>
          </w:p>
        </w:tc>
        <w:tc>
          <w:tcPr>
            <w:tcW w:w="5" w:type="pct"/>
            <w:vAlign w:val="center"/>
            <w:hideMark/>
          </w:tcPr>
          <w:p w14:paraId="190C185C" w14:textId="77777777" w:rsidR="00000000" w:rsidRDefault="00EE5306">
            <w:pPr>
              <w:spacing w:after="100"/>
              <w:rPr>
                <w:rFonts w:eastAsia="Times New Roman"/>
                <w:sz w:val="20"/>
                <w:szCs w:val="20"/>
              </w:rPr>
            </w:pPr>
          </w:p>
        </w:tc>
        <w:tc>
          <w:tcPr>
            <w:tcW w:w="5" w:type="pct"/>
            <w:vAlign w:val="center"/>
            <w:hideMark/>
          </w:tcPr>
          <w:p w14:paraId="000F428A" w14:textId="77777777" w:rsidR="00000000" w:rsidRDefault="00EE5306">
            <w:pPr>
              <w:spacing w:after="100"/>
              <w:rPr>
                <w:rFonts w:eastAsia="Times New Roman"/>
                <w:sz w:val="20"/>
                <w:szCs w:val="20"/>
              </w:rPr>
            </w:pPr>
          </w:p>
        </w:tc>
        <w:tc>
          <w:tcPr>
            <w:tcW w:w="55" w:type="pct"/>
            <w:vAlign w:val="center"/>
            <w:hideMark/>
          </w:tcPr>
          <w:p w14:paraId="647855B0" w14:textId="77777777" w:rsidR="00000000" w:rsidRDefault="00EE5306">
            <w:pPr>
              <w:spacing w:after="100"/>
              <w:rPr>
                <w:rFonts w:eastAsia="Times New Roman"/>
                <w:sz w:val="20"/>
                <w:szCs w:val="20"/>
              </w:rPr>
            </w:pPr>
          </w:p>
        </w:tc>
        <w:tc>
          <w:tcPr>
            <w:tcW w:w="5" w:type="pct"/>
            <w:vAlign w:val="center"/>
            <w:hideMark/>
          </w:tcPr>
          <w:p w14:paraId="777C2B8F" w14:textId="77777777" w:rsidR="00000000" w:rsidRDefault="00EE5306">
            <w:pPr>
              <w:spacing w:after="100"/>
              <w:rPr>
                <w:rFonts w:eastAsia="Times New Roman"/>
                <w:sz w:val="20"/>
                <w:szCs w:val="20"/>
              </w:rPr>
            </w:pPr>
          </w:p>
        </w:tc>
        <w:tc>
          <w:tcPr>
            <w:tcW w:w="50" w:type="pct"/>
            <w:vAlign w:val="center"/>
            <w:hideMark/>
          </w:tcPr>
          <w:p w14:paraId="71A006A1" w14:textId="77777777" w:rsidR="00000000" w:rsidRDefault="00EE5306">
            <w:pPr>
              <w:spacing w:after="100"/>
              <w:rPr>
                <w:rFonts w:eastAsia="Times New Roman"/>
                <w:sz w:val="20"/>
                <w:szCs w:val="20"/>
              </w:rPr>
            </w:pPr>
          </w:p>
        </w:tc>
        <w:tc>
          <w:tcPr>
            <w:tcW w:w="2173" w:type="pct"/>
            <w:vAlign w:val="center"/>
            <w:hideMark/>
          </w:tcPr>
          <w:p w14:paraId="232B4E18" w14:textId="77777777" w:rsidR="00000000" w:rsidRDefault="00EE5306">
            <w:pPr>
              <w:spacing w:after="100"/>
              <w:rPr>
                <w:rFonts w:eastAsia="Times New Roman"/>
                <w:sz w:val="20"/>
                <w:szCs w:val="20"/>
              </w:rPr>
            </w:pPr>
          </w:p>
        </w:tc>
        <w:tc>
          <w:tcPr>
            <w:tcW w:w="5" w:type="pct"/>
            <w:vAlign w:val="center"/>
            <w:hideMark/>
          </w:tcPr>
          <w:p w14:paraId="4F5FAF15" w14:textId="77777777" w:rsidR="00000000" w:rsidRDefault="00EE5306">
            <w:pPr>
              <w:spacing w:after="100"/>
              <w:rPr>
                <w:rFonts w:eastAsia="Times New Roman"/>
                <w:sz w:val="20"/>
                <w:szCs w:val="20"/>
              </w:rPr>
            </w:pPr>
          </w:p>
        </w:tc>
      </w:tr>
      <w:tr w:rsidR="00000000" w14:paraId="6963D805" w14:textId="77777777">
        <w:trPr>
          <w:divId w:val="187649227"/>
        </w:trPr>
        <w:tc>
          <w:tcPr>
            <w:tcW w:w="0" w:type="auto"/>
            <w:gridSpan w:val="3"/>
            <w:tcMar>
              <w:top w:w="30" w:type="dxa"/>
              <w:left w:w="20" w:type="dxa"/>
              <w:bottom w:w="30" w:type="dxa"/>
              <w:right w:w="20" w:type="dxa"/>
            </w:tcMar>
            <w:vAlign w:val="bottom"/>
            <w:hideMark/>
          </w:tcPr>
          <w:p w14:paraId="5746F553" w14:textId="77777777" w:rsidR="00000000" w:rsidRDefault="00EE5306">
            <w:pPr>
              <w:spacing w:after="100"/>
              <w:jc w:val="center"/>
              <w:rPr>
                <w:rFonts w:eastAsia="Times New Roman"/>
              </w:rPr>
            </w:pPr>
            <w:r>
              <w:rPr>
                <w:rFonts w:eastAsia="Times New Roman"/>
                <w:b/>
                <w:bCs/>
                <w:color w:val="000000"/>
                <w:sz w:val="18"/>
                <w:szCs w:val="18"/>
              </w:rPr>
              <w:t>Category</w:t>
            </w:r>
          </w:p>
        </w:tc>
        <w:tc>
          <w:tcPr>
            <w:tcW w:w="0" w:type="auto"/>
            <w:gridSpan w:val="3"/>
            <w:tcMar>
              <w:top w:w="0" w:type="dxa"/>
              <w:left w:w="20" w:type="dxa"/>
              <w:bottom w:w="0" w:type="dxa"/>
              <w:right w:w="20" w:type="dxa"/>
            </w:tcMar>
            <w:vAlign w:val="center"/>
            <w:hideMark/>
          </w:tcPr>
          <w:p w14:paraId="583E5974"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FA8AFC" w14:textId="77777777" w:rsidR="00000000" w:rsidRDefault="00EE5306">
            <w:pPr>
              <w:spacing w:after="100"/>
              <w:jc w:val="center"/>
              <w:rPr>
                <w:rFonts w:eastAsia="Times New Roman"/>
              </w:rPr>
            </w:pPr>
            <w:r>
              <w:rPr>
                <w:rFonts w:eastAsia="Times New Roman"/>
                <w:b/>
                <w:bCs/>
                <w:color w:val="000000"/>
                <w:sz w:val="18"/>
                <w:szCs w:val="18"/>
              </w:rPr>
              <w:t xml:space="preserve">Licensed Products </w:t>
            </w:r>
          </w:p>
        </w:tc>
        <w:tc>
          <w:tcPr>
            <w:tcW w:w="0" w:type="auto"/>
            <w:gridSpan w:val="3"/>
            <w:tcMar>
              <w:top w:w="0" w:type="dxa"/>
              <w:left w:w="20" w:type="dxa"/>
              <w:bottom w:w="0" w:type="dxa"/>
              <w:right w:w="20" w:type="dxa"/>
            </w:tcMar>
            <w:vAlign w:val="center"/>
            <w:hideMark/>
          </w:tcPr>
          <w:p w14:paraId="28B2C934"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DD99D8" w14:textId="77777777" w:rsidR="00000000" w:rsidRDefault="00EE5306">
            <w:pPr>
              <w:spacing w:after="100"/>
              <w:jc w:val="center"/>
              <w:rPr>
                <w:rFonts w:eastAsia="Times New Roman"/>
              </w:rPr>
            </w:pPr>
            <w:r>
              <w:rPr>
                <w:rFonts w:eastAsia="Times New Roman"/>
                <w:b/>
                <w:bCs/>
                <w:color w:val="000000"/>
                <w:sz w:val="18"/>
                <w:szCs w:val="18"/>
              </w:rPr>
              <w:t>Licensing Partners</w:t>
            </w:r>
          </w:p>
        </w:tc>
      </w:tr>
      <w:tr w:rsidR="00000000" w14:paraId="7CD120DB" w14:textId="77777777">
        <w:trPr>
          <w:divId w:val="18764922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632F07" w14:textId="77777777" w:rsidR="00000000" w:rsidRDefault="00EE5306">
            <w:pPr>
              <w:spacing w:after="100"/>
              <w:rPr>
                <w:rFonts w:eastAsia="Times New Roman"/>
              </w:rPr>
            </w:pPr>
            <w:r>
              <w:rPr>
                <w:rFonts w:eastAsia="Times New Roman"/>
                <w:color w:val="000000"/>
                <w:sz w:val="20"/>
                <w:szCs w:val="20"/>
              </w:rPr>
              <w:t>Men's Apparel</w:t>
            </w:r>
          </w:p>
        </w:tc>
        <w:tc>
          <w:tcPr>
            <w:tcW w:w="0" w:type="auto"/>
            <w:gridSpan w:val="3"/>
            <w:shd w:val="clear" w:color="auto" w:fill="CCEEFF"/>
            <w:tcMar>
              <w:top w:w="0" w:type="dxa"/>
              <w:left w:w="20" w:type="dxa"/>
              <w:bottom w:w="0" w:type="dxa"/>
              <w:right w:w="20" w:type="dxa"/>
            </w:tcMar>
            <w:vAlign w:val="center"/>
            <w:hideMark/>
          </w:tcPr>
          <w:p w14:paraId="160FF903"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D096EB" w14:textId="77777777" w:rsidR="00000000" w:rsidRDefault="00EE5306">
            <w:pPr>
              <w:spacing w:after="100"/>
              <w:rPr>
                <w:rFonts w:eastAsia="Times New Roman"/>
              </w:rPr>
            </w:pPr>
            <w:r>
              <w:rPr>
                <w:rFonts w:eastAsia="Times New Roman"/>
                <w:color w:val="000000"/>
                <w:sz w:val="20"/>
                <w:szCs w:val="20"/>
              </w:rPr>
              <w:t>Underwear and Sleepwear</w:t>
            </w:r>
          </w:p>
        </w:tc>
        <w:tc>
          <w:tcPr>
            <w:tcW w:w="0" w:type="auto"/>
            <w:gridSpan w:val="3"/>
            <w:shd w:val="clear" w:color="auto" w:fill="CCEEFF"/>
            <w:tcMar>
              <w:top w:w="0" w:type="dxa"/>
              <w:left w:w="20" w:type="dxa"/>
              <w:bottom w:w="0" w:type="dxa"/>
              <w:right w:w="20" w:type="dxa"/>
            </w:tcMar>
            <w:vAlign w:val="center"/>
            <w:hideMark/>
          </w:tcPr>
          <w:p w14:paraId="463AA35E"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29A1980" w14:textId="77777777" w:rsidR="00000000" w:rsidRDefault="00EE5306">
            <w:pPr>
              <w:spacing w:after="100"/>
              <w:rPr>
                <w:rFonts w:eastAsia="Times New Roman"/>
              </w:rPr>
            </w:pPr>
            <w:r>
              <w:rPr>
                <w:rFonts w:eastAsia="Times New Roman"/>
                <w:color w:val="000000"/>
                <w:sz w:val="20"/>
                <w:szCs w:val="20"/>
              </w:rPr>
              <w:t>Hanesbrands, Inc. (includes Japan)</w:t>
            </w:r>
          </w:p>
        </w:tc>
      </w:tr>
      <w:tr w:rsidR="00000000" w14:paraId="79051B93" w14:textId="77777777">
        <w:trPr>
          <w:divId w:val="187649227"/>
        </w:trPr>
        <w:tc>
          <w:tcPr>
            <w:tcW w:w="0" w:type="auto"/>
            <w:gridSpan w:val="3"/>
            <w:shd w:val="clear" w:color="auto" w:fill="FFFFFF"/>
            <w:tcMar>
              <w:top w:w="0" w:type="dxa"/>
              <w:left w:w="20" w:type="dxa"/>
              <w:bottom w:w="0" w:type="dxa"/>
              <w:right w:w="20" w:type="dxa"/>
            </w:tcMar>
            <w:vAlign w:val="center"/>
            <w:hideMark/>
          </w:tcPr>
          <w:p w14:paraId="7DE67E32"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4421F" w14:textId="77777777" w:rsidR="00000000" w:rsidRDefault="00EE53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02E95FC7" w14:textId="77777777" w:rsidR="00000000" w:rsidRDefault="00EE5306">
            <w:pPr>
              <w:spacing w:after="100"/>
              <w:rPr>
                <w:rFonts w:eastAsia="Times New Roman"/>
              </w:rPr>
            </w:pPr>
            <w:r>
              <w:rPr>
                <w:rFonts w:eastAsia="Times New Roman"/>
                <w:color w:val="000000"/>
                <w:sz w:val="20"/>
                <w:szCs w:val="20"/>
              </w:rPr>
              <w:t>Chaps, Lauren, and Ralph Tailored Clothing</w:t>
            </w:r>
          </w:p>
        </w:tc>
        <w:tc>
          <w:tcPr>
            <w:tcW w:w="0" w:type="auto"/>
            <w:gridSpan w:val="3"/>
            <w:shd w:val="clear" w:color="auto" w:fill="FFFFFF"/>
            <w:tcMar>
              <w:top w:w="0" w:type="dxa"/>
              <w:left w:w="20" w:type="dxa"/>
              <w:bottom w:w="0" w:type="dxa"/>
              <w:right w:w="20" w:type="dxa"/>
            </w:tcMar>
            <w:vAlign w:val="center"/>
            <w:hideMark/>
          </w:tcPr>
          <w:p w14:paraId="4E0C17D4"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0FB053F" w14:textId="77777777" w:rsidR="00000000" w:rsidRDefault="00EE5306">
            <w:pPr>
              <w:spacing w:after="100"/>
              <w:rPr>
                <w:rFonts w:eastAsia="Times New Roman"/>
              </w:rPr>
            </w:pPr>
            <w:r>
              <w:rPr>
                <w:rFonts w:eastAsia="Times New Roman"/>
                <w:color w:val="000000"/>
                <w:sz w:val="20"/>
                <w:szCs w:val="20"/>
              </w:rPr>
              <w:t>Peerless Clothing International, Inc.</w:t>
            </w:r>
          </w:p>
        </w:tc>
      </w:tr>
      <w:tr w:rsidR="00000000" w14:paraId="4D525D1A" w14:textId="77777777">
        <w:trPr>
          <w:divId w:val="187649227"/>
          <w:trHeight w:val="120"/>
        </w:trPr>
        <w:tc>
          <w:tcPr>
            <w:tcW w:w="0" w:type="auto"/>
            <w:gridSpan w:val="3"/>
            <w:shd w:val="clear" w:color="auto" w:fill="CCEEFF"/>
            <w:tcMar>
              <w:top w:w="0" w:type="dxa"/>
              <w:left w:w="20" w:type="dxa"/>
              <w:bottom w:w="0" w:type="dxa"/>
              <w:right w:w="20" w:type="dxa"/>
            </w:tcMar>
            <w:vAlign w:val="center"/>
            <w:hideMark/>
          </w:tcPr>
          <w:p w14:paraId="53FFC080"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8D02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A575D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A618D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12B264" w14:textId="77777777" w:rsidR="00000000" w:rsidRDefault="00EE5306">
            <w:pPr>
              <w:spacing w:after="100"/>
              <w:rPr>
                <w:rFonts w:eastAsia="Times New Roman"/>
                <w:sz w:val="20"/>
                <w:szCs w:val="20"/>
              </w:rPr>
            </w:pPr>
          </w:p>
        </w:tc>
      </w:tr>
      <w:tr w:rsidR="00000000" w14:paraId="1CB88470" w14:textId="77777777">
        <w:trPr>
          <w:divId w:val="187649227"/>
        </w:trPr>
        <w:tc>
          <w:tcPr>
            <w:tcW w:w="0" w:type="auto"/>
            <w:gridSpan w:val="3"/>
            <w:shd w:val="clear" w:color="auto" w:fill="FFFFFF"/>
            <w:tcMar>
              <w:top w:w="30" w:type="dxa"/>
              <w:left w:w="20" w:type="dxa"/>
              <w:bottom w:w="30" w:type="dxa"/>
              <w:right w:w="20" w:type="dxa"/>
            </w:tcMar>
            <w:hideMark/>
          </w:tcPr>
          <w:p w14:paraId="6BCA7FD1" w14:textId="77777777" w:rsidR="00000000" w:rsidRDefault="00EE5306">
            <w:pPr>
              <w:spacing w:after="100"/>
              <w:rPr>
                <w:rFonts w:eastAsia="Times New Roman"/>
              </w:rPr>
            </w:pPr>
            <w:r>
              <w:rPr>
                <w:rFonts w:eastAsia="Times New Roman"/>
                <w:color w:val="000000"/>
                <w:sz w:val="20"/>
                <w:szCs w:val="20"/>
              </w:rPr>
              <w:t>Women's Apparel</w:t>
            </w:r>
          </w:p>
        </w:tc>
        <w:tc>
          <w:tcPr>
            <w:tcW w:w="0" w:type="auto"/>
            <w:gridSpan w:val="3"/>
            <w:shd w:val="clear" w:color="auto" w:fill="FFFFFF"/>
            <w:tcMar>
              <w:top w:w="0" w:type="dxa"/>
              <w:left w:w="20" w:type="dxa"/>
              <w:bottom w:w="0" w:type="dxa"/>
              <w:right w:w="20" w:type="dxa"/>
            </w:tcMar>
            <w:vAlign w:val="center"/>
            <w:hideMark/>
          </w:tcPr>
          <w:p w14:paraId="529658CE"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CD9B59E" w14:textId="77777777" w:rsidR="00000000" w:rsidRDefault="00EE5306">
            <w:pPr>
              <w:spacing w:after="100"/>
              <w:rPr>
                <w:rFonts w:eastAsia="Times New Roman"/>
              </w:rPr>
            </w:pPr>
            <w:r>
              <w:rPr>
                <w:rFonts w:eastAsia="Times New Roman"/>
                <w:color w:val="000000"/>
                <w:sz w:val="20"/>
                <w:szCs w:val="20"/>
              </w:rPr>
              <w:t>Outerwear</w:t>
            </w:r>
          </w:p>
        </w:tc>
        <w:tc>
          <w:tcPr>
            <w:tcW w:w="0" w:type="auto"/>
            <w:gridSpan w:val="3"/>
            <w:shd w:val="clear" w:color="auto" w:fill="FFFFFF"/>
            <w:tcMar>
              <w:top w:w="0" w:type="dxa"/>
              <w:left w:w="20" w:type="dxa"/>
              <w:bottom w:w="0" w:type="dxa"/>
              <w:right w:w="20" w:type="dxa"/>
            </w:tcMar>
            <w:vAlign w:val="center"/>
            <w:hideMark/>
          </w:tcPr>
          <w:p w14:paraId="771965FB"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46A4A7E" w14:textId="77777777" w:rsidR="00000000" w:rsidRDefault="00EE5306">
            <w:pPr>
              <w:spacing w:after="100"/>
              <w:rPr>
                <w:rFonts w:eastAsia="Times New Roman"/>
              </w:rPr>
            </w:pPr>
            <w:r>
              <w:rPr>
                <w:rFonts w:eastAsia="Times New Roman"/>
                <w:color w:val="000000"/>
                <w:sz w:val="20"/>
                <w:szCs w:val="20"/>
              </w:rPr>
              <w:t>S. Rothschild &amp; Co., Inc.</w:t>
            </w:r>
          </w:p>
        </w:tc>
      </w:tr>
      <w:tr w:rsidR="00000000" w14:paraId="708B18E1" w14:textId="77777777">
        <w:trPr>
          <w:divId w:val="187649227"/>
          <w:trHeight w:val="120"/>
        </w:trPr>
        <w:tc>
          <w:tcPr>
            <w:tcW w:w="0" w:type="auto"/>
            <w:gridSpan w:val="3"/>
            <w:shd w:val="clear" w:color="auto" w:fill="CCEEFF"/>
            <w:tcMar>
              <w:top w:w="0" w:type="dxa"/>
              <w:left w:w="20" w:type="dxa"/>
              <w:bottom w:w="0" w:type="dxa"/>
              <w:right w:w="20" w:type="dxa"/>
            </w:tcMar>
            <w:vAlign w:val="center"/>
            <w:hideMark/>
          </w:tcPr>
          <w:p w14:paraId="6DBD8D28"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DD3AE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28B39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7F5AC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C9C4AD" w14:textId="77777777" w:rsidR="00000000" w:rsidRDefault="00EE5306">
            <w:pPr>
              <w:spacing w:after="100"/>
              <w:rPr>
                <w:rFonts w:eastAsia="Times New Roman"/>
                <w:sz w:val="20"/>
                <w:szCs w:val="20"/>
              </w:rPr>
            </w:pPr>
          </w:p>
        </w:tc>
      </w:tr>
      <w:tr w:rsidR="00000000" w14:paraId="6B9C5EDC" w14:textId="77777777">
        <w:trPr>
          <w:divId w:val="187649227"/>
        </w:trPr>
        <w:tc>
          <w:tcPr>
            <w:tcW w:w="0" w:type="auto"/>
            <w:gridSpan w:val="3"/>
            <w:shd w:val="clear" w:color="auto" w:fill="FFFFFF"/>
            <w:tcMar>
              <w:top w:w="30" w:type="dxa"/>
              <w:left w:w="20" w:type="dxa"/>
              <w:bottom w:w="30" w:type="dxa"/>
              <w:right w:w="20" w:type="dxa"/>
            </w:tcMar>
            <w:hideMark/>
          </w:tcPr>
          <w:p w14:paraId="23466FA5" w14:textId="77777777" w:rsidR="00000000" w:rsidRDefault="00EE5306">
            <w:pPr>
              <w:spacing w:after="100"/>
              <w:rPr>
                <w:rFonts w:eastAsia="Times New Roman"/>
              </w:rPr>
            </w:pPr>
            <w:r>
              <w:rPr>
                <w:rFonts w:eastAsia="Times New Roman"/>
                <w:color w:val="000000"/>
                <w:sz w:val="20"/>
                <w:szCs w:val="20"/>
              </w:rPr>
              <w:t>Beauty Products</w:t>
            </w:r>
          </w:p>
        </w:tc>
        <w:tc>
          <w:tcPr>
            <w:tcW w:w="0" w:type="auto"/>
            <w:gridSpan w:val="3"/>
            <w:shd w:val="clear" w:color="auto" w:fill="FFFFFF"/>
            <w:tcMar>
              <w:top w:w="0" w:type="dxa"/>
              <w:left w:w="20" w:type="dxa"/>
              <w:bottom w:w="0" w:type="dxa"/>
              <w:right w:w="20" w:type="dxa"/>
            </w:tcMar>
            <w:vAlign w:val="center"/>
            <w:hideMark/>
          </w:tcPr>
          <w:p w14:paraId="6035C2D0"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97F9668" w14:textId="77777777" w:rsidR="00000000" w:rsidRDefault="00EE5306">
            <w:pPr>
              <w:spacing w:after="100"/>
              <w:rPr>
                <w:rFonts w:eastAsia="Times New Roman"/>
              </w:rPr>
            </w:pPr>
            <w:r>
              <w:rPr>
                <w:rFonts w:eastAsia="Times New Roman"/>
                <w:color w:val="000000"/>
                <w:sz w:val="20"/>
                <w:szCs w:val="20"/>
              </w:rPr>
              <w:t xml:space="preserve">Fragrances, Cosmetics, and Skin Care </w:t>
            </w:r>
          </w:p>
        </w:tc>
        <w:tc>
          <w:tcPr>
            <w:tcW w:w="0" w:type="auto"/>
            <w:gridSpan w:val="3"/>
            <w:shd w:val="clear" w:color="auto" w:fill="FFFFFF"/>
            <w:tcMar>
              <w:top w:w="0" w:type="dxa"/>
              <w:left w:w="20" w:type="dxa"/>
              <w:bottom w:w="0" w:type="dxa"/>
              <w:right w:w="20" w:type="dxa"/>
            </w:tcMar>
            <w:vAlign w:val="center"/>
            <w:hideMark/>
          </w:tcPr>
          <w:p w14:paraId="7EB9DC62"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B489C2E" w14:textId="77777777" w:rsidR="00000000" w:rsidRDefault="00EE5306">
            <w:pPr>
              <w:spacing w:after="100"/>
              <w:rPr>
                <w:rFonts w:eastAsia="Times New Roman"/>
              </w:rPr>
            </w:pPr>
            <w:r>
              <w:rPr>
                <w:rFonts w:eastAsia="Times New Roman"/>
                <w:color w:val="000000"/>
                <w:sz w:val="20"/>
                <w:szCs w:val="20"/>
              </w:rPr>
              <w:t>L'Oreal S.A. (global)</w:t>
            </w:r>
          </w:p>
        </w:tc>
      </w:tr>
      <w:tr w:rsidR="00000000" w14:paraId="088996A9" w14:textId="77777777">
        <w:trPr>
          <w:divId w:val="187649227"/>
          <w:trHeight w:val="120"/>
        </w:trPr>
        <w:tc>
          <w:tcPr>
            <w:tcW w:w="0" w:type="auto"/>
            <w:gridSpan w:val="3"/>
            <w:shd w:val="clear" w:color="auto" w:fill="CCEEFF"/>
            <w:tcMar>
              <w:top w:w="0" w:type="dxa"/>
              <w:left w:w="20" w:type="dxa"/>
              <w:bottom w:w="0" w:type="dxa"/>
              <w:right w:w="20" w:type="dxa"/>
            </w:tcMar>
            <w:vAlign w:val="center"/>
            <w:hideMark/>
          </w:tcPr>
          <w:p w14:paraId="68F00911"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8C7C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35587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8F9D0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88008A" w14:textId="77777777" w:rsidR="00000000" w:rsidRDefault="00EE5306">
            <w:pPr>
              <w:spacing w:after="100"/>
              <w:rPr>
                <w:rFonts w:eastAsia="Times New Roman"/>
                <w:sz w:val="20"/>
                <w:szCs w:val="20"/>
              </w:rPr>
            </w:pPr>
          </w:p>
        </w:tc>
      </w:tr>
      <w:tr w:rsidR="00000000" w14:paraId="546200BE" w14:textId="77777777">
        <w:trPr>
          <w:divId w:val="187649227"/>
        </w:trPr>
        <w:tc>
          <w:tcPr>
            <w:tcW w:w="0" w:type="auto"/>
            <w:gridSpan w:val="3"/>
            <w:shd w:val="clear" w:color="auto" w:fill="FFFFFF"/>
            <w:tcMar>
              <w:top w:w="30" w:type="dxa"/>
              <w:left w:w="20" w:type="dxa"/>
              <w:bottom w:w="30" w:type="dxa"/>
              <w:right w:w="20" w:type="dxa"/>
            </w:tcMar>
            <w:hideMark/>
          </w:tcPr>
          <w:p w14:paraId="216593DC" w14:textId="77777777" w:rsidR="00000000" w:rsidRDefault="00EE5306">
            <w:pPr>
              <w:spacing w:after="100"/>
              <w:rPr>
                <w:rFonts w:eastAsia="Times New Roman"/>
              </w:rPr>
            </w:pPr>
            <w:r>
              <w:rPr>
                <w:rFonts w:eastAsia="Times New Roman"/>
                <w:color w:val="000000"/>
                <w:sz w:val="20"/>
                <w:szCs w:val="20"/>
              </w:rPr>
              <w:t>Footwear</w:t>
            </w:r>
          </w:p>
        </w:tc>
        <w:tc>
          <w:tcPr>
            <w:tcW w:w="0" w:type="auto"/>
            <w:gridSpan w:val="3"/>
            <w:shd w:val="clear" w:color="auto" w:fill="FFFFFF"/>
            <w:tcMar>
              <w:top w:w="0" w:type="dxa"/>
              <w:left w:w="20" w:type="dxa"/>
              <w:bottom w:w="0" w:type="dxa"/>
              <w:right w:w="20" w:type="dxa"/>
            </w:tcMar>
            <w:vAlign w:val="center"/>
            <w:hideMark/>
          </w:tcPr>
          <w:p w14:paraId="50E616D1"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6063D19" w14:textId="77777777" w:rsidR="00000000" w:rsidRDefault="00EE5306">
            <w:pPr>
              <w:spacing w:after="100"/>
              <w:rPr>
                <w:rFonts w:eastAsia="Times New Roman"/>
              </w:rPr>
            </w:pPr>
            <w:r>
              <w:rPr>
                <w:rFonts w:eastAsia="Times New Roman"/>
                <w:color w:val="000000"/>
                <w:sz w:val="20"/>
                <w:szCs w:val="20"/>
              </w:rPr>
              <w:t>Men's and women's slippers and children's footwear</w:t>
            </w:r>
          </w:p>
        </w:tc>
        <w:tc>
          <w:tcPr>
            <w:tcW w:w="0" w:type="auto"/>
            <w:gridSpan w:val="3"/>
            <w:shd w:val="clear" w:color="auto" w:fill="FFFFFF"/>
            <w:tcMar>
              <w:top w:w="0" w:type="dxa"/>
              <w:left w:w="20" w:type="dxa"/>
              <w:bottom w:w="0" w:type="dxa"/>
              <w:right w:w="20" w:type="dxa"/>
            </w:tcMar>
            <w:vAlign w:val="center"/>
            <w:hideMark/>
          </w:tcPr>
          <w:p w14:paraId="5862B482"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DB3C38E" w14:textId="77777777" w:rsidR="00000000" w:rsidRDefault="00EE5306">
            <w:pPr>
              <w:spacing w:after="100"/>
              <w:rPr>
                <w:rFonts w:eastAsia="Times New Roman"/>
              </w:rPr>
            </w:pPr>
            <w:r>
              <w:rPr>
                <w:rFonts w:eastAsia="Times New Roman"/>
                <w:color w:val="000000"/>
                <w:sz w:val="20"/>
                <w:szCs w:val="20"/>
              </w:rPr>
              <w:t>BBC International LLC (global)</w:t>
            </w:r>
          </w:p>
        </w:tc>
      </w:tr>
      <w:tr w:rsidR="00000000" w14:paraId="4DDD2C09" w14:textId="77777777">
        <w:trPr>
          <w:divId w:val="187649227"/>
          <w:trHeight w:val="280"/>
        </w:trPr>
        <w:tc>
          <w:tcPr>
            <w:tcW w:w="0" w:type="auto"/>
            <w:gridSpan w:val="3"/>
            <w:shd w:val="clear" w:color="auto" w:fill="CCEEFF"/>
            <w:tcMar>
              <w:top w:w="0" w:type="dxa"/>
              <w:left w:w="20" w:type="dxa"/>
              <w:bottom w:w="0" w:type="dxa"/>
              <w:right w:w="20" w:type="dxa"/>
            </w:tcMar>
            <w:vAlign w:val="center"/>
            <w:hideMark/>
          </w:tcPr>
          <w:p w14:paraId="4EC350EA"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3FD5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1A043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215CA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EC0087" w14:textId="77777777" w:rsidR="00000000" w:rsidRDefault="00EE5306">
            <w:pPr>
              <w:spacing w:after="100"/>
              <w:rPr>
                <w:rFonts w:eastAsia="Times New Roman"/>
                <w:sz w:val="20"/>
                <w:szCs w:val="20"/>
              </w:rPr>
            </w:pPr>
          </w:p>
        </w:tc>
      </w:tr>
      <w:tr w:rsidR="00000000" w14:paraId="68D7A20A" w14:textId="77777777">
        <w:trPr>
          <w:divId w:val="187649227"/>
        </w:trPr>
        <w:tc>
          <w:tcPr>
            <w:tcW w:w="0" w:type="auto"/>
            <w:gridSpan w:val="3"/>
            <w:shd w:val="clear" w:color="auto" w:fill="FFFFFF"/>
            <w:tcMar>
              <w:top w:w="30" w:type="dxa"/>
              <w:left w:w="20" w:type="dxa"/>
              <w:bottom w:w="30" w:type="dxa"/>
              <w:right w:w="20" w:type="dxa"/>
            </w:tcMar>
            <w:hideMark/>
          </w:tcPr>
          <w:p w14:paraId="38EF2BD0" w14:textId="77777777" w:rsidR="00000000" w:rsidRDefault="00EE5306">
            <w:pPr>
              <w:spacing w:after="100"/>
              <w:rPr>
                <w:rFonts w:eastAsia="Times New Roman"/>
              </w:rPr>
            </w:pPr>
            <w:r>
              <w:rPr>
                <w:rFonts w:eastAsia="Times New Roman"/>
                <w:color w:val="000000"/>
                <w:sz w:val="20"/>
                <w:szCs w:val="20"/>
              </w:rPr>
              <w:t>Accessories</w:t>
            </w:r>
          </w:p>
        </w:tc>
        <w:tc>
          <w:tcPr>
            <w:tcW w:w="0" w:type="auto"/>
            <w:gridSpan w:val="3"/>
            <w:shd w:val="clear" w:color="auto" w:fill="FFFFFF"/>
            <w:tcMar>
              <w:top w:w="0" w:type="dxa"/>
              <w:left w:w="20" w:type="dxa"/>
              <w:bottom w:w="0" w:type="dxa"/>
              <w:right w:w="20" w:type="dxa"/>
            </w:tcMar>
            <w:vAlign w:val="center"/>
            <w:hideMark/>
          </w:tcPr>
          <w:p w14:paraId="4A709C89"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D3202AB" w14:textId="77777777" w:rsidR="00000000" w:rsidRDefault="00EE5306">
            <w:pPr>
              <w:spacing w:after="100"/>
              <w:rPr>
                <w:rFonts w:eastAsia="Times New Roman"/>
              </w:rPr>
            </w:pPr>
            <w:r>
              <w:rPr>
                <w:rFonts w:eastAsia="Times New Roman"/>
                <w:color w:val="000000"/>
                <w:sz w:val="20"/>
                <w:szCs w:val="20"/>
              </w:rPr>
              <w:t>Eyewear</w:t>
            </w:r>
          </w:p>
        </w:tc>
        <w:tc>
          <w:tcPr>
            <w:tcW w:w="0" w:type="auto"/>
            <w:gridSpan w:val="3"/>
            <w:shd w:val="clear" w:color="auto" w:fill="FFFFFF"/>
            <w:tcMar>
              <w:top w:w="0" w:type="dxa"/>
              <w:left w:w="20" w:type="dxa"/>
              <w:bottom w:w="0" w:type="dxa"/>
              <w:right w:w="20" w:type="dxa"/>
            </w:tcMar>
            <w:vAlign w:val="center"/>
            <w:hideMark/>
          </w:tcPr>
          <w:p w14:paraId="629D3E39"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5690452" w14:textId="77777777" w:rsidR="00000000" w:rsidRDefault="00EE5306">
            <w:pPr>
              <w:spacing w:after="100"/>
              <w:rPr>
                <w:rFonts w:eastAsia="Times New Roman"/>
              </w:rPr>
            </w:pPr>
            <w:r>
              <w:rPr>
                <w:rFonts w:eastAsia="Times New Roman"/>
                <w:color w:val="000000"/>
                <w:sz w:val="20"/>
                <w:szCs w:val="20"/>
              </w:rPr>
              <w:t>Luxottica Group S.p.A. (global)</w:t>
            </w:r>
          </w:p>
        </w:tc>
      </w:tr>
      <w:tr w:rsidR="00000000" w14:paraId="6943667A" w14:textId="77777777">
        <w:trPr>
          <w:divId w:val="187649227"/>
        </w:trPr>
        <w:tc>
          <w:tcPr>
            <w:tcW w:w="0" w:type="auto"/>
            <w:gridSpan w:val="3"/>
            <w:shd w:val="clear" w:color="auto" w:fill="CCEEFF"/>
            <w:tcMar>
              <w:top w:w="0" w:type="dxa"/>
              <w:left w:w="20" w:type="dxa"/>
              <w:bottom w:w="0" w:type="dxa"/>
              <w:right w:w="20" w:type="dxa"/>
            </w:tcMar>
            <w:vAlign w:val="center"/>
            <w:hideMark/>
          </w:tcPr>
          <w:p w14:paraId="33705B2F"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66F615" w14:textId="77777777" w:rsidR="00000000" w:rsidRDefault="00EE530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20FB85EE" w14:textId="77777777" w:rsidR="00000000" w:rsidRDefault="00EE5306">
            <w:pPr>
              <w:spacing w:after="100"/>
              <w:rPr>
                <w:rFonts w:eastAsia="Times New Roman"/>
              </w:rPr>
            </w:pPr>
            <w:r>
              <w:rPr>
                <w:rFonts w:eastAsia="Times New Roman"/>
                <w:color w:val="000000"/>
                <w:sz w:val="20"/>
                <w:szCs w:val="20"/>
              </w:rPr>
              <w:t>Socks and hosiery</w:t>
            </w:r>
          </w:p>
        </w:tc>
        <w:tc>
          <w:tcPr>
            <w:tcW w:w="0" w:type="auto"/>
            <w:gridSpan w:val="3"/>
            <w:shd w:val="clear" w:color="auto" w:fill="CCEEFF"/>
            <w:tcMar>
              <w:top w:w="0" w:type="dxa"/>
              <w:left w:w="20" w:type="dxa"/>
              <w:bottom w:w="0" w:type="dxa"/>
              <w:right w:w="20" w:type="dxa"/>
            </w:tcMar>
            <w:vAlign w:val="center"/>
            <w:hideMark/>
          </w:tcPr>
          <w:p w14:paraId="6C4DD081"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044C4ED" w14:textId="77777777" w:rsidR="00000000" w:rsidRDefault="00EE5306">
            <w:pPr>
              <w:spacing w:after="100"/>
              <w:rPr>
                <w:rFonts w:eastAsia="Times New Roman"/>
              </w:rPr>
            </w:pPr>
            <w:r>
              <w:rPr>
                <w:rFonts w:eastAsia="Times New Roman"/>
                <w:color w:val="000000"/>
                <w:sz w:val="20"/>
                <w:szCs w:val="20"/>
              </w:rPr>
              <w:t>Renfro Corporation</w:t>
            </w:r>
          </w:p>
        </w:tc>
      </w:tr>
      <w:tr w:rsidR="00000000" w14:paraId="094D75F3" w14:textId="77777777">
        <w:trPr>
          <w:divId w:val="187649227"/>
          <w:trHeight w:val="120"/>
        </w:trPr>
        <w:tc>
          <w:tcPr>
            <w:tcW w:w="0" w:type="auto"/>
            <w:gridSpan w:val="3"/>
            <w:shd w:val="clear" w:color="auto" w:fill="FFFFFF"/>
            <w:tcMar>
              <w:top w:w="0" w:type="dxa"/>
              <w:left w:w="20" w:type="dxa"/>
              <w:bottom w:w="0" w:type="dxa"/>
              <w:right w:w="20" w:type="dxa"/>
            </w:tcMar>
            <w:vAlign w:val="center"/>
            <w:hideMark/>
          </w:tcPr>
          <w:p w14:paraId="59BF40DE"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8781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94C6D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9D7CA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C2E164" w14:textId="77777777" w:rsidR="00000000" w:rsidRDefault="00EE5306">
            <w:pPr>
              <w:spacing w:after="100"/>
              <w:rPr>
                <w:rFonts w:eastAsia="Times New Roman"/>
                <w:sz w:val="20"/>
                <w:szCs w:val="20"/>
              </w:rPr>
            </w:pPr>
          </w:p>
        </w:tc>
      </w:tr>
      <w:tr w:rsidR="00000000" w14:paraId="7B2388A2" w14:textId="77777777">
        <w:trPr>
          <w:divId w:val="187649227"/>
        </w:trPr>
        <w:tc>
          <w:tcPr>
            <w:tcW w:w="0" w:type="auto"/>
            <w:gridSpan w:val="3"/>
            <w:shd w:val="clear" w:color="auto" w:fill="CCEEFF"/>
            <w:tcMar>
              <w:top w:w="30" w:type="dxa"/>
              <w:left w:w="20" w:type="dxa"/>
              <w:bottom w:w="30" w:type="dxa"/>
              <w:right w:w="20" w:type="dxa"/>
            </w:tcMar>
            <w:hideMark/>
          </w:tcPr>
          <w:p w14:paraId="7BB29CBB" w14:textId="77777777" w:rsidR="00000000" w:rsidRDefault="00EE5306">
            <w:pPr>
              <w:spacing w:after="100"/>
              <w:rPr>
                <w:rFonts w:eastAsia="Times New Roman"/>
              </w:rPr>
            </w:pPr>
            <w:r>
              <w:rPr>
                <w:rFonts w:eastAsia="Times New Roman"/>
                <w:color w:val="000000"/>
                <w:sz w:val="20"/>
                <w:szCs w:val="20"/>
              </w:rPr>
              <w:t>Home</w:t>
            </w:r>
          </w:p>
        </w:tc>
        <w:tc>
          <w:tcPr>
            <w:tcW w:w="0" w:type="auto"/>
            <w:gridSpan w:val="3"/>
            <w:shd w:val="clear" w:color="auto" w:fill="CCEEFF"/>
            <w:tcMar>
              <w:top w:w="0" w:type="dxa"/>
              <w:left w:w="20" w:type="dxa"/>
              <w:bottom w:w="0" w:type="dxa"/>
              <w:right w:w="20" w:type="dxa"/>
            </w:tcMar>
            <w:vAlign w:val="center"/>
            <w:hideMark/>
          </w:tcPr>
          <w:p w14:paraId="0E339E46"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D4BA0CB" w14:textId="77777777" w:rsidR="00000000" w:rsidRDefault="00EE5306">
            <w:pPr>
              <w:spacing w:after="100"/>
              <w:rPr>
                <w:rFonts w:eastAsia="Times New Roman"/>
              </w:rPr>
            </w:pPr>
            <w:r>
              <w:rPr>
                <w:rFonts w:eastAsia="Times New Roman"/>
                <w:color w:val="000000"/>
                <w:sz w:val="20"/>
                <w:szCs w:val="20"/>
              </w:rPr>
              <w:t>Bedding and Bath</w:t>
            </w:r>
          </w:p>
        </w:tc>
        <w:tc>
          <w:tcPr>
            <w:tcW w:w="0" w:type="auto"/>
            <w:gridSpan w:val="3"/>
            <w:shd w:val="clear" w:color="auto" w:fill="CCEEFF"/>
            <w:tcMar>
              <w:top w:w="0" w:type="dxa"/>
              <w:left w:w="20" w:type="dxa"/>
              <w:bottom w:w="0" w:type="dxa"/>
              <w:right w:w="20" w:type="dxa"/>
            </w:tcMar>
            <w:vAlign w:val="center"/>
            <w:hideMark/>
          </w:tcPr>
          <w:p w14:paraId="096482E3"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FFDEABF" w14:textId="77777777" w:rsidR="00000000" w:rsidRDefault="00EE5306">
            <w:pPr>
              <w:spacing w:after="100"/>
              <w:rPr>
                <w:rFonts w:eastAsia="Times New Roman"/>
              </w:rPr>
            </w:pPr>
            <w:r>
              <w:rPr>
                <w:rFonts w:eastAsia="Times New Roman"/>
                <w:color w:val="000000"/>
                <w:sz w:val="20"/>
                <w:szCs w:val="20"/>
              </w:rPr>
              <w:t>Ichida Co., Ltd. (Japan only)</w:t>
            </w:r>
          </w:p>
        </w:tc>
      </w:tr>
      <w:tr w:rsidR="00000000" w14:paraId="6A7AE9BD" w14:textId="77777777">
        <w:trPr>
          <w:divId w:val="187649227"/>
        </w:trPr>
        <w:tc>
          <w:tcPr>
            <w:tcW w:w="0" w:type="auto"/>
            <w:gridSpan w:val="3"/>
            <w:shd w:val="clear" w:color="auto" w:fill="FFFFFF"/>
            <w:tcMar>
              <w:top w:w="0" w:type="dxa"/>
              <w:left w:w="20" w:type="dxa"/>
              <w:bottom w:w="0" w:type="dxa"/>
              <w:right w:w="20" w:type="dxa"/>
            </w:tcMar>
            <w:vAlign w:val="center"/>
            <w:hideMark/>
          </w:tcPr>
          <w:p w14:paraId="1D3DBABF"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1E9A8" w14:textId="77777777" w:rsidR="00000000" w:rsidRDefault="00EE53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69DDBBAE" w14:textId="77777777" w:rsidR="00000000" w:rsidRDefault="00EE5306">
            <w:pPr>
              <w:spacing w:after="100"/>
              <w:rPr>
                <w:rFonts w:eastAsia="Times New Roman"/>
              </w:rPr>
            </w:pPr>
            <w:r>
              <w:rPr>
                <w:rFonts w:eastAsia="Times New Roman"/>
                <w:color w:val="000000"/>
                <w:sz w:val="20"/>
                <w:szCs w:val="20"/>
              </w:rPr>
              <w:t>Utility and Blankets</w:t>
            </w:r>
          </w:p>
        </w:tc>
        <w:tc>
          <w:tcPr>
            <w:tcW w:w="0" w:type="auto"/>
            <w:gridSpan w:val="3"/>
            <w:shd w:val="clear" w:color="auto" w:fill="FFFFFF"/>
            <w:tcMar>
              <w:top w:w="0" w:type="dxa"/>
              <w:left w:w="20" w:type="dxa"/>
              <w:bottom w:w="0" w:type="dxa"/>
              <w:right w:w="20" w:type="dxa"/>
            </w:tcMar>
            <w:vAlign w:val="center"/>
            <w:hideMark/>
          </w:tcPr>
          <w:p w14:paraId="7A75E064"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72E68E5" w14:textId="77777777" w:rsidR="00000000" w:rsidRDefault="00EE5306">
            <w:pPr>
              <w:spacing w:after="100"/>
              <w:rPr>
                <w:rFonts w:eastAsia="Times New Roman"/>
              </w:rPr>
            </w:pPr>
            <w:r>
              <w:rPr>
                <w:rFonts w:eastAsia="Times New Roman"/>
                <w:color w:val="000000"/>
                <w:sz w:val="20"/>
                <w:szCs w:val="20"/>
              </w:rPr>
              <w:t>Ichida Co., Ltd. (Japan only) and Hollander Sleep Products LLC</w:t>
            </w:r>
          </w:p>
        </w:tc>
      </w:tr>
    </w:tbl>
    <w:p w14:paraId="0865DB9E" w14:textId="77777777" w:rsidR="00000000" w:rsidRDefault="00EE5306">
      <w:pPr>
        <w:ind w:firstLine="540"/>
        <w:jc w:val="both"/>
        <w:divId w:val="391848826"/>
        <w:rPr>
          <w:rFonts w:eastAsia="Times New Roman"/>
        </w:rPr>
      </w:pPr>
      <w:r>
        <w:rPr>
          <w:rFonts w:eastAsia="Times New Roman"/>
          <w:color w:val="000000"/>
          <w:sz w:val="20"/>
          <w:szCs w:val="20"/>
        </w:rPr>
        <w:t>Additionally, on October 29, 2020, we announced the planned transition of our Chaps brand to a fully licensed business model, consistent with our long-term brand elevation strategy. Specifically, we have entered into a multi-year licensing partnership, tak</w:t>
      </w:r>
      <w:r>
        <w:rPr>
          <w:rFonts w:eastAsia="Times New Roman"/>
          <w:color w:val="000000"/>
          <w:sz w:val="20"/>
          <w:szCs w:val="20"/>
        </w:rPr>
        <w:t xml:space="preserve">ing effect on August 1, 2021 after a transition period, with an affiliate of 5 Star Apparel LLC, a division of the OVED Group, to manufacture, market, and distribute Chaps menswear and womenswear. See </w:t>
      </w:r>
      <w:r>
        <w:rPr>
          <w:rFonts w:eastAsia="Times New Roman"/>
          <w:i/>
          <w:iCs/>
          <w:color w:val="000000"/>
          <w:sz w:val="20"/>
          <w:szCs w:val="20"/>
        </w:rPr>
        <w:t>"Recent Developments"</w:t>
      </w:r>
      <w:r>
        <w:rPr>
          <w:rFonts w:eastAsia="Times New Roman"/>
          <w:color w:val="000000"/>
          <w:sz w:val="20"/>
          <w:szCs w:val="20"/>
        </w:rPr>
        <w:t xml:space="preserve"> for additional discussion.</w:t>
      </w:r>
    </w:p>
    <w:p w14:paraId="46A6FBB6" w14:textId="77777777" w:rsidR="00000000" w:rsidRDefault="00EE5306">
      <w:pPr>
        <w:ind w:firstLine="360"/>
        <w:jc w:val="both"/>
        <w:divId w:val="15618711"/>
        <w:rPr>
          <w:rFonts w:eastAsia="Times New Roman"/>
        </w:rPr>
      </w:pPr>
      <w:r>
        <w:rPr>
          <w:rFonts w:eastAsia="Times New Roman"/>
          <w:i/>
          <w:iCs/>
          <w:color w:val="000000"/>
          <w:sz w:val="20"/>
          <w:szCs w:val="20"/>
        </w:rPr>
        <w:t>Intern</w:t>
      </w:r>
      <w:r>
        <w:rPr>
          <w:rFonts w:eastAsia="Times New Roman"/>
          <w:i/>
          <w:iCs/>
          <w:color w:val="000000"/>
          <w:sz w:val="20"/>
          <w:szCs w:val="20"/>
        </w:rPr>
        <w:t>ational Licensing</w:t>
      </w:r>
    </w:p>
    <w:p w14:paraId="0F13619E" w14:textId="77777777" w:rsidR="00000000" w:rsidRDefault="00EE5306">
      <w:pPr>
        <w:ind w:firstLine="540"/>
        <w:jc w:val="both"/>
        <w:divId w:val="55320119"/>
        <w:rPr>
          <w:rFonts w:eastAsia="Times New Roman"/>
        </w:rPr>
      </w:pPr>
      <w:r>
        <w:rPr>
          <w:rFonts w:eastAsia="Times New Roman"/>
          <w:color w:val="000000"/>
          <w:sz w:val="20"/>
          <w:szCs w:val="20"/>
        </w:rPr>
        <w:t xml:space="preserve">Our international licensing partners acquire the right to sell, promote, market, and/or distribute various categories of our products in a given geographic area and source products from us, our product licensing partners, and independent </w:t>
      </w:r>
      <w:r>
        <w:rPr>
          <w:rFonts w:eastAsia="Times New Roman"/>
          <w:color w:val="000000"/>
          <w:sz w:val="20"/>
          <w:szCs w:val="20"/>
        </w:rPr>
        <w:t xml:space="preserve">sources. International licensees' rights may include the right to own and operate retail stores. As of March 27, 2021, our international licensing partners operated 139 Ralph Lauren stores and shops, and 143 Club Monaco stores and shops. As discussed in </w:t>
      </w:r>
      <w:r>
        <w:rPr>
          <w:rFonts w:eastAsia="Times New Roman"/>
          <w:i/>
          <w:iCs/>
          <w:color w:val="000000"/>
          <w:sz w:val="20"/>
          <w:szCs w:val="20"/>
        </w:rPr>
        <w:t>"R</w:t>
      </w:r>
      <w:r>
        <w:rPr>
          <w:rFonts w:eastAsia="Times New Roman"/>
          <w:i/>
          <w:iCs/>
          <w:color w:val="000000"/>
          <w:sz w:val="20"/>
          <w:szCs w:val="20"/>
        </w:rPr>
        <w:t>ecent Developments,"</w:t>
      </w:r>
      <w:r>
        <w:rPr>
          <w:rFonts w:eastAsia="Times New Roman"/>
          <w:color w:val="000000"/>
          <w:sz w:val="20"/>
          <w:szCs w:val="20"/>
        </w:rPr>
        <w:t xml:space="preserve"> on May 13, 2021, we announced the anticipated sale of our Club Monaco business, which is expected to close by the end of the first quarter of Fiscal 2022.</w:t>
      </w:r>
    </w:p>
    <w:p w14:paraId="75949E78" w14:textId="77777777" w:rsidR="00000000" w:rsidRDefault="00EE5306">
      <w:pPr>
        <w:jc w:val="center"/>
        <w:divId w:val="727732086"/>
        <w:rPr>
          <w:rFonts w:eastAsia="Times New Roman"/>
        </w:rPr>
      </w:pPr>
      <w:r>
        <w:rPr>
          <w:rFonts w:eastAsia="Times New Roman"/>
          <w:b/>
          <w:bCs/>
          <w:color w:val="000000"/>
          <w:sz w:val="20"/>
          <w:szCs w:val="20"/>
        </w:rPr>
        <w:t>Digital Ecosystem</w:t>
      </w:r>
    </w:p>
    <w:p w14:paraId="61906B03" w14:textId="77777777" w:rsidR="00000000" w:rsidRDefault="00EE5306">
      <w:pPr>
        <w:ind w:firstLine="540"/>
        <w:jc w:val="both"/>
        <w:divId w:val="2103795930"/>
        <w:rPr>
          <w:rFonts w:eastAsia="Times New Roman"/>
        </w:rPr>
      </w:pPr>
      <w:r>
        <w:rPr>
          <w:rFonts w:eastAsia="Times New Roman"/>
          <w:color w:val="000000"/>
          <w:sz w:val="20"/>
          <w:szCs w:val="20"/>
        </w:rPr>
        <w:t>Investing in our digital ecosystem remains a primary focus and</w:t>
      </w:r>
      <w:r>
        <w:rPr>
          <w:rFonts w:eastAsia="Times New Roman"/>
          <w:color w:val="000000"/>
          <w:sz w:val="20"/>
          <w:szCs w:val="20"/>
        </w:rPr>
        <w:t xml:space="preserve"> is a key component of our integrated global omni-channel strategy that spans across owned and partnered channels, both physical and digital. Our digital ecosystem is comprised of directly-operated platforms, wholesale partner websites, third-party digital</w:t>
      </w:r>
      <w:r>
        <w:rPr>
          <w:rFonts w:eastAsia="Times New Roman"/>
          <w:color w:val="000000"/>
          <w:sz w:val="20"/>
          <w:szCs w:val="20"/>
        </w:rPr>
        <w:t xml:space="preserve"> pure players, and social commerce.</w:t>
      </w:r>
    </w:p>
    <w:p w14:paraId="7C663105" w14:textId="77777777" w:rsidR="00000000" w:rsidRDefault="00EE5306">
      <w:pPr>
        <w:ind w:firstLine="540"/>
        <w:jc w:val="both"/>
        <w:divId w:val="1077291234"/>
        <w:rPr>
          <w:rFonts w:eastAsia="Times New Roman"/>
        </w:rPr>
      </w:pPr>
      <w:r>
        <w:rPr>
          <w:rFonts w:eastAsia="Times New Roman"/>
          <w:color w:val="000000"/>
          <w:sz w:val="20"/>
          <w:szCs w:val="20"/>
        </w:rPr>
        <w:t>Our directly-operated digital commerce sites represent our digital flagships, featuring the most elevated expression of our brands. The strategy for our digital flagships is to deliver distinct and immersive brand experi</w:t>
      </w:r>
      <w:r>
        <w:rPr>
          <w:rFonts w:eastAsia="Times New Roman"/>
          <w:color w:val="000000"/>
          <w:sz w:val="20"/>
          <w:szCs w:val="20"/>
        </w:rPr>
        <w:t xml:space="preserve">ences, continuously enhance consumer experience, and develop digital content that drives deeper consumer engagement and conversion. With the ongoing launch of our localized sites, including in Japan and Hong Kong this year, we continue to expand the reach </w:t>
      </w:r>
      <w:r>
        <w:rPr>
          <w:rFonts w:eastAsia="Times New Roman"/>
          <w:color w:val="000000"/>
          <w:sz w:val="20"/>
          <w:szCs w:val="20"/>
        </w:rPr>
        <w:t>of our digital flagship experience. We also brought our physical flagships to life in a digital format this year with the launch of our virtual store experience, allowing consumers to experience our brands and product assortments in a way that was previous</w:t>
      </w:r>
      <w:r>
        <w:rPr>
          <w:rFonts w:eastAsia="Times New Roman"/>
          <w:color w:val="000000"/>
          <w:sz w:val="20"/>
          <w:szCs w:val="20"/>
        </w:rPr>
        <w:t xml:space="preserve">ly only possible by walking into our stores. In connection with our long-term growth strategy, we are also working to broaden our omni-channel service offerings, such as Buy Online-Ship to Store and Buy Online-Pick Up in Store.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7AFB5663" w14:textId="77777777">
        <w:trPr>
          <w:divId w:val="909386580"/>
          <w:jc w:val="center"/>
        </w:trPr>
        <w:tc>
          <w:tcPr>
            <w:tcW w:w="50" w:type="pct"/>
            <w:vAlign w:val="center"/>
            <w:hideMark/>
          </w:tcPr>
          <w:p w14:paraId="77739256" w14:textId="77777777" w:rsidR="00000000" w:rsidRDefault="00EE5306">
            <w:pPr>
              <w:ind w:firstLine="540"/>
              <w:jc w:val="both"/>
              <w:rPr>
                <w:rFonts w:eastAsia="Times New Roman"/>
              </w:rPr>
            </w:pPr>
          </w:p>
        </w:tc>
        <w:tc>
          <w:tcPr>
            <w:tcW w:w="1699" w:type="pct"/>
            <w:vAlign w:val="center"/>
            <w:hideMark/>
          </w:tcPr>
          <w:p w14:paraId="27C1E175" w14:textId="77777777" w:rsidR="00000000" w:rsidRDefault="00EE5306">
            <w:pPr>
              <w:spacing w:after="100"/>
              <w:rPr>
                <w:rFonts w:eastAsia="Times New Roman"/>
                <w:sz w:val="20"/>
                <w:szCs w:val="20"/>
              </w:rPr>
            </w:pPr>
          </w:p>
        </w:tc>
        <w:tc>
          <w:tcPr>
            <w:tcW w:w="5" w:type="pct"/>
            <w:vAlign w:val="center"/>
            <w:hideMark/>
          </w:tcPr>
          <w:p w14:paraId="53F314DA" w14:textId="77777777" w:rsidR="00000000" w:rsidRDefault="00EE5306">
            <w:pPr>
              <w:spacing w:after="100"/>
              <w:rPr>
                <w:rFonts w:eastAsia="Times New Roman"/>
                <w:sz w:val="20"/>
                <w:szCs w:val="20"/>
              </w:rPr>
            </w:pPr>
          </w:p>
        </w:tc>
        <w:tc>
          <w:tcPr>
            <w:tcW w:w="50" w:type="pct"/>
            <w:vAlign w:val="center"/>
            <w:hideMark/>
          </w:tcPr>
          <w:p w14:paraId="2F73D6BF" w14:textId="77777777" w:rsidR="00000000" w:rsidRDefault="00EE5306">
            <w:pPr>
              <w:spacing w:after="100"/>
              <w:rPr>
                <w:rFonts w:eastAsia="Times New Roman"/>
                <w:sz w:val="20"/>
                <w:szCs w:val="20"/>
              </w:rPr>
            </w:pPr>
          </w:p>
        </w:tc>
        <w:tc>
          <w:tcPr>
            <w:tcW w:w="1436" w:type="pct"/>
            <w:vAlign w:val="center"/>
            <w:hideMark/>
          </w:tcPr>
          <w:p w14:paraId="0A023847" w14:textId="77777777" w:rsidR="00000000" w:rsidRDefault="00EE5306">
            <w:pPr>
              <w:spacing w:after="100"/>
              <w:rPr>
                <w:rFonts w:eastAsia="Times New Roman"/>
                <w:sz w:val="20"/>
                <w:szCs w:val="20"/>
              </w:rPr>
            </w:pPr>
          </w:p>
        </w:tc>
        <w:tc>
          <w:tcPr>
            <w:tcW w:w="5" w:type="pct"/>
            <w:vAlign w:val="center"/>
            <w:hideMark/>
          </w:tcPr>
          <w:p w14:paraId="1235BBEF" w14:textId="77777777" w:rsidR="00000000" w:rsidRDefault="00EE5306">
            <w:pPr>
              <w:spacing w:after="100"/>
              <w:rPr>
                <w:rFonts w:eastAsia="Times New Roman"/>
                <w:sz w:val="20"/>
                <w:szCs w:val="20"/>
              </w:rPr>
            </w:pPr>
          </w:p>
        </w:tc>
        <w:tc>
          <w:tcPr>
            <w:tcW w:w="50" w:type="pct"/>
            <w:vAlign w:val="center"/>
            <w:hideMark/>
          </w:tcPr>
          <w:p w14:paraId="327785E2" w14:textId="77777777" w:rsidR="00000000" w:rsidRDefault="00EE5306">
            <w:pPr>
              <w:spacing w:after="100"/>
              <w:rPr>
                <w:rFonts w:eastAsia="Times New Roman"/>
                <w:sz w:val="20"/>
                <w:szCs w:val="20"/>
              </w:rPr>
            </w:pPr>
          </w:p>
        </w:tc>
        <w:tc>
          <w:tcPr>
            <w:tcW w:w="1699" w:type="pct"/>
            <w:vAlign w:val="center"/>
            <w:hideMark/>
          </w:tcPr>
          <w:p w14:paraId="2E580293" w14:textId="77777777" w:rsidR="00000000" w:rsidRDefault="00EE5306">
            <w:pPr>
              <w:spacing w:after="100"/>
              <w:rPr>
                <w:rFonts w:eastAsia="Times New Roman"/>
                <w:sz w:val="20"/>
                <w:szCs w:val="20"/>
              </w:rPr>
            </w:pPr>
          </w:p>
        </w:tc>
        <w:tc>
          <w:tcPr>
            <w:tcW w:w="5" w:type="pct"/>
            <w:vAlign w:val="center"/>
            <w:hideMark/>
          </w:tcPr>
          <w:p w14:paraId="01678238" w14:textId="77777777" w:rsidR="00000000" w:rsidRDefault="00EE5306">
            <w:pPr>
              <w:spacing w:after="100"/>
              <w:rPr>
                <w:rFonts w:eastAsia="Times New Roman"/>
                <w:sz w:val="20"/>
                <w:szCs w:val="20"/>
              </w:rPr>
            </w:pPr>
          </w:p>
        </w:tc>
      </w:tr>
      <w:tr w:rsidR="00000000" w14:paraId="51A307B4" w14:textId="77777777">
        <w:trPr>
          <w:divId w:val="909386580"/>
          <w:jc w:val="center"/>
        </w:trPr>
        <w:tc>
          <w:tcPr>
            <w:tcW w:w="0" w:type="auto"/>
            <w:gridSpan w:val="3"/>
            <w:tcMar>
              <w:top w:w="0" w:type="dxa"/>
              <w:left w:w="20" w:type="dxa"/>
              <w:bottom w:w="0" w:type="dxa"/>
              <w:right w:w="20" w:type="dxa"/>
            </w:tcMar>
            <w:vAlign w:val="center"/>
            <w:hideMark/>
          </w:tcPr>
          <w:p w14:paraId="172E0F1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D051BB3" w14:textId="77777777" w:rsidR="00000000" w:rsidRDefault="00EE5306">
            <w:pPr>
              <w:spacing w:after="100"/>
              <w:jc w:val="center"/>
              <w:rPr>
                <w:rFonts w:eastAsia="Times New Roman"/>
              </w:rPr>
            </w:pPr>
            <w:r>
              <w:rPr>
                <w:rFonts w:eastAsia="Times New Roman"/>
                <w:color w:val="000000"/>
                <w:sz w:val="20"/>
                <w:szCs w:val="20"/>
              </w:rPr>
              <w:t>15</w:t>
            </w:r>
          </w:p>
        </w:tc>
        <w:tc>
          <w:tcPr>
            <w:tcW w:w="0" w:type="auto"/>
            <w:gridSpan w:val="3"/>
            <w:tcMar>
              <w:top w:w="0" w:type="dxa"/>
              <w:left w:w="20" w:type="dxa"/>
              <w:bottom w:w="0" w:type="dxa"/>
              <w:right w:w="20" w:type="dxa"/>
            </w:tcMar>
            <w:vAlign w:val="center"/>
            <w:hideMark/>
          </w:tcPr>
          <w:p w14:paraId="28048D07" w14:textId="77777777" w:rsidR="00000000" w:rsidRDefault="00EE5306">
            <w:pPr>
              <w:spacing w:after="100"/>
              <w:jc w:val="center"/>
              <w:rPr>
                <w:rFonts w:eastAsia="Times New Roman"/>
              </w:rPr>
            </w:pPr>
          </w:p>
        </w:tc>
      </w:tr>
    </w:tbl>
    <w:p w14:paraId="766B6D23" w14:textId="77777777" w:rsidR="00000000" w:rsidRDefault="00EE5306">
      <w:pPr>
        <w:rPr>
          <w:rFonts w:eastAsia="Times New Roman"/>
        </w:rPr>
      </w:pPr>
      <w:r>
        <w:rPr>
          <w:rFonts w:eastAsia="Times New Roman"/>
        </w:rPr>
        <w:pict w14:anchorId="3AF21479">
          <v:rect id="_x0000_i1041" style="width:0;height:1.5pt" o:hralign="center" o:hrstd="t" o:hr="t" fillcolor="#a0a0a0" stroked="f"/>
        </w:pict>
      </w:r>
    </w:p>
    <w:p w14:paraId="1246D55F" w14:textId="77777777" w:rsidR="00000000" w:rsidRDefault="00EE5306">
      <w:pPr>
        <w:divId w:val="1025055661"/>
        <w:rPr>
          <w:rFonts w:eastAsia="Times New Roman"/>
        </w:rPr>
      </w:pPr>
    </w:p>
    <w:p w14:paraId="42746884" w14:textId="77777777" w:rsidR="00000000" w:rsidRDefault="00EE5306">
      <w:pPr>
        <w:ind w:firstLine="540"/>
        <w:jc w:val="both"/>
        <w:divId w:val="1882473026"/>
        <w:rPr>
          <w:rFonts w:eastAsia="Times New Roman"/>
        </w:rPr>
      </w:pPr>
      <w:r>
        <w:rPr>
          <w:rFonts w:eastAsia="Times New Roman"/>
          <w:color w:val="000000"/>
          <w:sz w:val="20"/>
          <w:szCs w:val="20"/>
        </w:rPr>
        <w:t>Our products are also sold through the digital commerce sites of many of our wholesale customers across the globe. With all partners in our ecosystem, we seek to showcase the brand consistently with our values. We coll</w:t>
      </w:r>
      <w:r>
        <w:rPr>
          <w:rFonts w:eastAsia="Times New Roman"/>
          <w:color w:val="000000"/>
          <w:sz w:val="20"/>
          <w:szCs w:val="20"/>
        </w:rPr>
        <w:t>aborate with our key wholesale customers to deliver the right content to the right audience, and leverage consumer insights to develop a holistic, channel-agnostic view of our consumer.</w:t>
      </w:r>
    </w:p>
    <w:p w14:paraId="06DA62FA" w14:textId="77777777" w:rsidR="00000000" w:rsidRDefault="00EE5306">
      <w:pPr>
        <w:ind w:firstLine="540"/>
        <w:jc w:val="both"/>
        <w:divId w:val="1908300680"/>
        <w:rPr>
          <w:rFonts w:eastAsia="Times New Roman"/>
        </w:rPr>
      </w:pPr>
      <w:r>
        <w:rPr>
          <w:rFonts w:eastAsia="Times New Roman"/>
          <w:color w:val="000000"/>
          <w:sz w:val="20"/>
          <w:szCs w:val="20"/>
        </w:rPr>
        <w:t>We also sell our products online through various third-party digital p</w:t>
      </w:r>
      <w:r>
        <w:rPr>
          <w:rFonts w:eastAsia="Times New Roman"/>
          <w:color w:val="000000"/>
          <w:sz w:val="20"/>
          <w:szCs w:val="20"/>
        </w:rPr>
        <w:t>ure-play sites to reach younger consumers and amplify our brand messages. On many of these sites, we have created digital shop-in-shop environments with a consistent brand experience, tailored product stories, and an assortment that is carefully curated by</w:t>
      </w:r>
      <w:r>
        <w:rPr>
          <w:rFonts w:eastAsia="Times New Roman"/>
          <w:color w:val="000000"/>
          <w:sz w:val="20"/>
          <w:szCs w:val="20"/>
        </w:rPr>
        <w:t xml:space="preserve"> our merchants. We also partner closely with our pure-play customers on marketing content and events, as well as optimizing search and other data analyses to drive higher traffic and conversion for our brands. We also continue to tap into the social commer</w:t>
      </w:r>
      <w:r>
        <w:rPr>
          <w:rFonts w:eastAsia="Times New Roman"/>
          <w:color w:val="000000"/>
          <w:sz w:val="20"/>
          <w:szCs w:val="20"/>
        </w:rPr>
        <w:t>ce opportunity, such as our launch of Instagram Checkout this year.</w:t>
      </w:r>
    </w:p>
    <w:p w14:paraId="0313CE31" w14:textId="77777777" w:rsidR="00000000" w:rsidRDefault="00EE5306">
      <w:pPr>
        <w:ind w:firstLine="540"/>
        <w:jc w:val="both"/>
        <w:divId w:val="490870797"/>
        <w:rPr>
          <w:rFonts w:eastAsia="Times New Roman"/>
        </w:rPr>
      </w:pPr>
      <w:r>
        <w:rPr>
          <w:rFonts w:eastAsia="Times New Roman"/>
          <w:color w:val="000000"/>
          <w:sz w:val="20"/>
          <w:szCs w:val="20"/>
        </w:rPr>
        <w:t>In connection with our digital commerce operations, we engage consumers through various digital and social media platforms, which are supported through our collaboration with influencers w</w:t>
      </w:r>
      <w:r>
        <w:rPr>
          <w:rFonts w:eastAsia="Times New Roman"/>
          <w:color w:val="000000"/>
          <w:sz w:val="20"/>
          <w:szCs w:val="20"/>
        </w:rPr>
        <w:t>ho have an authentic connection to our brand.</w:t>
      </w:r>
    </w:p>
    <w:p w14:paraId="29D9D836" w14:textId="77777777" w:rsidR="00000000" w:rsidRDefault="00EE5306">
      <w:pPr>
        <w:jc w:val="center"/>
        <w:divId w:val="868955313"/>
        <w:rPr>
          <w:rFonts w:eastAsia="Times New Roman"/>
        </w:rPr>
      </w:pPr>
      <w:r>
        <w:rPr>
          <w:rFonts w:eastAsia="Times New Roman"/>
          <w:b/>
          <w:bCs/>
          <w:color w:val="000000"/>
          <w:sz w:val="20"/>
          <w:szCs w:val="20"/>
        </w:rPr>
        <w:t>Seasonality of Business</w:t>
      </w:r>
    </w:p>
    <w:p w14:paraId="2548621E" w14:textId="77777777" w:rsidR="00000000" w:rsidRDefault="00EE5306">
      <w:pPr>
        <w:ind w:firstLine="540"/>
        <w:jc w:val="both"/>
        <w:divId w:val="327485430"/>
        <w:rPr>
          <w:rFonts w:eastAsia="Times New Roman"/>
        </w:rPr>
      </w:pPr>
      <w:r>
        <w:rPr>
          <w:rFonts w:eastAsia="Times New Roman"/>
          <w:color w:val="000000"/>
          <w:sz w:val="20"/>
          <w:szCs w:val="20"/>
        </w:rPr>
        <w:t>Our business is typically affected by seasonal trends, with higher levels of retail sales in our second and third fiscal quarters and higher wholesale sales in our second and fourth fisc</w:t>
      </w:r>
      <w:r>
        <w:rPr>
          <w:rFonts w:eastAsia="Times New Roman"/>
          <w:color w:val="000000"/>
          <w:sz w:val="20"/>
          <w:szCs w:val="20"/>
        </w:rPr>
        <w:t>al quarters. These trends result primarily from the timing of key vacation travel, back-to-school, and holiday shopping periods impacting our retail business and timing of seasonal wholesale shipments. As a result of changes in our business, consumer spend</w:t>
      </w:r>
      <w:r>
        <w:rPr>
          <w:rFonts w:eastAsia="Times New Roman"/>
          <w:color w:val="000000"/>
          <w:sz w:val="20"/>
          <w:szCs w:val="20"/>
        </w:rPr>
        <w:t>ing patterns, and the macroeconomic environment, including those resulting from pandemic diseases and other catastrophic events, historical quarterly operating trends and working capital requirements may not be indicative of our future performance. In addi</w:t>
      </w:r>
      <w:r>
        <w:rPr>
          <w:rFonts w:eastAsia="Times New Roman"/>
          <w:color w:val="000000"/>
          <w:sz w:val="20"/>
          <w:szCs w:val="20"/>
        </w:rPr>
        <w:t>tion, fluctuations in sales, operating income, and cash flows in any fiscal quarter may be affected by other events affecting retail sales, such as changes in weather patterns.</w:t>
      </w:r>
    </w:p>
    <w:p w14:paraId="64E8E2DA" w14:textId="77777777" w:rsidR="00000000" w:rsidRDefault="00EE5306">
      <w:pPr>
        <w:ind w:firstLine="540"/>
        <w:jc w:val="both"/>
        <w:divId w:val="2118720676"/>
        <w:rPr>
          <w:rFonts w:eastAsia="Times New Roman"/>
        </w:rPr>
      </w:pPr>
      <w:r>
        <w:rPr>
          <w:rFonts w:eastAsia="Times New Roman"/>
          <w:color w:val="000000"/>
          <w:sz w:val="20"/>
          <w:szCs w:val="20"/>
        </w:rPr>
        <w:t>Working capital requirements vary throughout the year. Working capital requirements typically increase during the first half of the fiscal year as inventory builds to support peak shipping/selling periods and, accordingly, typically decrease during the sec</w:t>
      </w:r>
      <w:r>
        <w:rPr>
          <w:rFonts w:eastAsia="Times New Roman"/>
          <w:color w:val="000000"/>
          <w:sz w:val="20"/>
          <w:szCs w:val="20"/>
        </w:rPr>
        <w:t>ond half of the fiscal year as inventory is shipped/sold. Cash provided by operating activities is typically higher in the second half of the fiscal year due to reduced working capital requirements during that period.</w:t>
      </w:r>
    </w:p>
    <w:p w14:paraId="5553A9C0" w14:textId="77777777" w:rsidR="00000000" w:rsidRDefault="00EE5306">
      <w:pPr>
        <w:jc w:val="center"/>
        <w:divId w:val="1162163165"/>
        <w:rPr>
          <w:rFonts w:eastAsia="Times New Roman"/>
        </w:rPr>
      </w:pPr>
      <w:r>
        <w:rPr>
          <w:rFonts w:eastAsia="Times New Roman"/>
          <w:b/>
          <w:bCs/>
          <w:color w:val="000000"/>
          <w:sz w:val="20"/>
          <w:szCs w:val="20"/>
        </w:rPr>
        <w:t>Product Design</w:t>
      </w:r>
    </w:p>
    <w:p w14:paraId="05A3FB74" w14:textId="77777777" w:rsidR="00000000" w:rsidRDefault="00EE5306">
      <w:pPr>
        <w:ind w:firstLine="540"/>
        <w:jc w:val="both"/>
        <w:divId w:val="1183668917"/>
        <w:rPr>
          <w:rFonts w:eastAsia="Times New Roman"/>
        </w:rPr>
      </w:pPr>
      <w:r>
        <w:rPr>
          <w:rFonts w:eastAsia="Times New Roman"/>
          <w:color w:val="000000"/>
          <w:sz w:val="20"/>
          <w:szCs w:val="20"/>
        </w:rPr>
        <w:t xml:space="preserve">Our products reflect a </w:t>
      </w:r>
      <w:r>
        <w:rPr>
          <w:rFonts w:eastAsia="Times New Roman"/>
          <w:color w:val="000000"/>
          <w:sz w:val="20"/>
          <w:szCs w:val="20"/>
        </w:rPr>
        <w:t>timeless and innovative interpretation of American style with a strong international appeal. Our consistent emphasis on new and distinctive design has been an important contributor to the prominence, strength, and reputation of the Ralph Lauren brands.</w:t>
      </w:r>
    </w:p>
    <w:p w14:paraId="7EF2364D" w14:textId="77777777" w:rsidR="00000000" w:rsidRDefault="00EE5306">
      <w:pPr>
        <w:ind w:firstLine="540"/>
        <w:jc w:val="both"/>
        <w:divId w:val="1905987251"/>
        <w:rPr>
          <w:rFonts w:eastAsia="Times New Roman"/>
        </w:rPr>
      </w:pPr>
      <w:r>
        <w:rPr>
          <w:rFonts w:eastAsia="Times New Roman"/>
          <w:color w:val="000000"/>
          <w:sz w:val="20"/>
          <w:szCs w:val="20"/>
        </w:rPr>
        <w:t>Our</w:t>
      </w:r>
      <w:r>
        <w:rPr>
          <w:rFonts w:eastAsia="Times New Roman"/>
          <w:color w:val="000000"/>
          <w:sz w:val="20"/>
          <w:szCs w:val="20"/>
        </w:rPr>
        <w:t xml:space="preserve"> Ralph Lauren products are designed by, and under the direction of, Mr. Ralph Lauren and our design staff. We form design teams around our brands and product categories to develop concepts, themes, and products for each brand and category. Through close co</w:t>
      </w:r>
      <w:r>
        <w:rPr>
          <w:rFonts w:eastAsia="Times New Roman"/>
          <w:color w:val="000000"/>
          <w:sz w:val="20"/>
          <w:szCs w:val="20"/>
        </w:rPr>
        <w:t>llaboration with merchandising, sales, and product management staff, these teams support all of our businesses in order to gain market information and other valuable input.</w:t>
      </w:r>
    </w:p>
    <w:p w14:paraId="2D1A2BC6" w14:textId="77777777" w:rsidR="00000000" w:rsidRDefault="00EE5306">
      <w:pPr>
        <w:jc w:val="center"/>
        <w:divId w:val="2132044539"/>
        <w:rPr>
          <w:rFonts w:eastAsia="Times New Roman"/>
        </w:rPr>
      </w:pPr>
      <w:r>
        <w:rPr>
          <w:rFonts w:eastAsia="Times New Roman"/>
          <w:b/>
          <w:bCs/>
          <w:color w:val="000000"/>
          <w:sz w:val="20"/>
          <w:szCs w:val="20"/>
        </w:rPr>
        <w:t>Marketing and Advertising</w:t>
      </w:r>
    </w:p>
    <w:p w14:paraId="600E11E3" w14:textId="77777777" w:rsidR="00000000" w:rsidRDefault="00EE5306">
      <w:pPr>
        <w:ind w:firstLine="540"/>
        <w:jc w:val="both"/>
        <w:divId w:val="1512641821"/>
        <w:rPr>
          <w:rFonts w:eastAsia="Times New Roman"/>
        </w:rPr>
      </w:pPr>
      <w:r>
        <w:rPr>
          <w:rFonts w:eastAsia="Times New Roman"/>
          <w:color w:val="000000"/>
          <w:sz w:val="20"/>
          <w:szCs w:val="20"/>
        </w:rPr>
        <w:t>Our marketing and advertising programs communicate the th</w:t>
      </w:r>
      <w:r>
        <w:rPr>
          <w:rFonts w:eastAsia="Times New Roman"/>
          <w:color w:val="000000"/>
          <w:sz w:val="20"/>
          <w:szCs w:val="20"/>
        </w:rPr>
        <w:t>emes and images of our brands and are integral to the success of our product offerings. The majority of our advertising programs are created and executed by our in-house creative and advertising agency to ensure consistency of presentation, which is comple</w:t>
      </w:r>
      <w:r>
        <w:rPr>
          <w:rFonts w:eastAsia="Times New Roman"/>
          <w:color w:val="000000"/>
          <w:sz w:val="20"/>
          <w:szCs w:val="20"/>
        </w:rPr>
        <w:t>mented by our marketing experts in each region who help to execute our international strategies.</w:t>
      </w:r>
    </w:p>
    <w:p w14:paraId="16D10BD5" w14:textId="77777777" w:rsidR="00000000" w:rsidRDefault="00EE5306">
      <w:pPr>
        <w:ind w:firstLine="540"/>
        <w:jc w:val="both"/>
        <w:divId w:val="326829297"/>
        <w:rPr>
          <w:rFonts w:eastAsia="Times New Roman"/>
        </w:rPr>
      </w:pPr>
      <w:r>
        <w:rPr>
          <w:rFonts w:eastAsia="Times New Roman"/>
          <w:color w:val="000000"/>
          <w:sz w:val="20"/>
          <w:szCs w:val="20"/>
        </w:rPr>
        <w:t xml:space="preserve">We create distinctive image advertising for our brands, conveying the particular message of each one within the context of the overall Ralph Lauren aesthetic. </w:t>
      </w:r>
      <w:r>
        <w:rPr>
          <w:rFonts w:eastAsia="Times New Roman"/>
          <w:color w:val="000000"/>
          <w:sz w:val="20"/>
          <w:szCs w:val="20"/>
        </w:rPr>
        <w:t>Advertisements generally portray a lifestyle rather than a specific item and include a variety of products offered by us and, in some cases, our licensing partners. Our communication campaigns are increasingly being executed through digital and social medi</w:t>
      </w:r>
      <w:r>
        <w:rPr>
          <w:rFonts w:eastAsia="Times New Roman"/>
          <w:color w:val="000000"/>
          <w:sz w:val="20"/>
          <w:szCs w:val="20"/>
        </w:rPr>
        <w:t>a platforms to drive further engagement with the younger consumer. With regard to influencers, we believe in fostering long-term relationships with those who have an authentic connection to our brand and influence the areas of culture that matter most to o</w:t>
      </w:r>
      <w:r>
        <w:rPr>
          <w:rFonts w:eastAsia="Times New Roman"/>
          <w:color w:val="000000"/>
          <w:sz w:val="20"/>
          <w:szCs w:val="20"/>
        </w:rPr>
        <w:t xml:space="preserve">ur audiences. We also continue to advertise through print and outdoor media, and, to a lesser extent, through television and cinema.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AC08E72" w14:textId="77777777">
        <w:trPr>
          <w:divId w:val="1442915953"/>
          <w:jc w:val="center"/>
        </w:trPr>
        <w:tc>
          <w:tcPr>
            <w:tcW w:w="50" w:type="pct"/>
            <w:vAlign w:val="center"/>
            <w:hideMark/>
          </w:tcPr>
          <w:p w14:paraId="6CBFA01A" w14:textId="77777777" w:rsidR="00000000" w:rsidRDefault="00EE5306">
            <w:pPr>
              <w:ind w:firstLine="540"/>
              <w:jc w:val="both"/>
              <w:rPr>
                <w:rFonts w:eastAsia="Times New Roman"/>
              </w:rPr>
            </w:pPr>
          </w:p>
        </w:tc>
        <w:tc>
          <w:tcPr>
            <w:tcW w:w="1699" w:type="pct"/>
            <w:vAlign w:val="center"/>
            <w:hideMark/>
          </w:tcPr>
          <w:p w14:paraId="0E6DE85B" w14:textId="77777777" w:rsidR="00000000" w:rsidRDefault="00EE5306">
            <w:pPr>
              <w:spacing w:after="100"/>
              <w:rPr>
                <w:rFonts w:eastAsia="Times New Roman"/>
                <w:sz w:val="20"/>
                <w:szCs w:val="20"/>
              </w:rPr>
            </w:pPr>
          </w:p>
        </w:tc>
        <w:tc>
          <w:tcPr>
            <w:tcW w:w="5" w:type="pct"/>
            <w:vAlign w:val="center"/>
            <w:hideMark/>
          </w:tcPr>
          <w:p w14:paraId="2977958B" w14:textId="77777777" w:rsidR="00000000" w:rsidRDefault="00EE5306">
            <w:pPr>
              <w:spacing w:after="100"/>
              <w:rPr>
                <w:rFonts w:eastAsia="Times New Roman"/>
                <w:sz w:val="20"/>
                <w:szCs w:val="20"/>
              </w:rPr>
            </w:pPr>
          </w:p>
        </w:tc>
        <w:tc>
          <w:tcPr>
            <w:tcW w:w="50" w:type="pct"/>
            <w:vAlign w:val="center"/>
            <w:hideMark/>
          </w:tcPr>
          <w:p w14:paraId="6BB0CEF5" w14:textId="77777777" w:rsidR="00000000" w:rsidRDefault="00EE5306">
            <w:pPr>
              <w:spacing w:after="100"/>
              <w:rPr>
                <w:rFonts w:eastAsia="Times New Roman"/>
                <w:sz w:val="20"/>
                <w:szCs w:val="20"/>
              </w:rPr>
            </w:pPr>
          </w:p>
        </w:tc>
        <w:tc>
          <w:tcPr>
            <w:tcW w:w="1436" w:type="pct"/>
            <w:vAlign w:val="center"/>
            <w:hideMark/>
          </w:tcPr>
          <w:p w14:paraId="7900888F" w14:textId="77777777" w:rsidR="00000000" w:rsidRDefault="00EE5306">
            <w:pPr>
              <w:spacing w:after="100"/>
              <w:rPr>
                <w:rFonts w:eastAsia="Times New Roman"/>
                <w:sz w:val="20"/>
                <w:szCs w:val="20"/>
              </w:rPr>
            </w:pPr>
          </w:p>
        </w:tc>
        <w:tc>
          <w:tcPr>
            <w:tcW w:w="5" w:type="pct"/>
            <w:vAlign w:val="center"/>
            <w:hideMark/>
          </w:tcPr>
          <w:p w14:paraId="2483C405" w14:textId="77777777" w:rsidR="00000000" w:rsidRDefault="00EE5306">
            <w:pPr>
              <w:spacing w:after="100"/>
              <w:rPr>
                <w:rFonts w:eastAsia="Times New Roman"/>
                <w:sz w:val="20"/>
                <w:szCs w:val="20"/>
              </w:rPr>
            </w:pPr>
          </w:p>
        </w:tc>
        <w:tc>
          <w:tcPr>
            <w:tcW w:w="50" w:type="pct"/>
            <w:vAlign w:val="center"/>
            <w:hideMark/>
          </w:tcPr>
          <w:p w14:paraId="6E03C736" w14:textId="77777777" w:rsidR="00000000" w:rsidRDefault="00EE5306">
            <w:pPr>
              <w:spacing w:after="100"/>
              <w:rPr>
                <w:rFonts w:eastAsia="Times New Roman"/>
                <w:sz w:val="20"/>
                <w:szCs w:val="20"/>
              </w:rPr>
            </w:pPr>
          </w:p>
        </w:tc>
        <w:tc>
          <w:tcPr>
            <w:tcW w:w="1699" w:type="pct"/>
            <w:vAlign w:val="center"/>
            <w:hideMark/>
          </w:tcPr>
          <w:p w14:paraId="21FE42D4" w14:textId="77777777" w:rsidR="00000000" w:rsidRDefault="00EE5306">
            <w:pPr>
              <w:spacing w:after="100"/>
              <w:rPr>
                <w:rFonts w:eastAsia="Times New Roman"/>
                <w:sz w:val="20"/>
                <w:szCs w:val="20"/>
              </w:rPr>
            </w:pPr>
          </w:p>
        </w:tc>
        <w:tc>
          <w:tcPr>
            <w:tcW w:w="5" w:type="pct"/>
            <w:vAlign w:val="center"/>
            <w:hideMark/>
          </w:tcPr>
          <w:p w14:paraId="32567B2F" w14:textId="77777777" w:rsidR="00000000" w:rsidRDefault="00EE5306">
            <w:pPr>
              <w:spacing w:after="100"/>
              <w:rPr>
                <w:rFonts w:eastAsia="Times New Roman"/>
                <w:sz w:val="20"/>
                <w:szCs w:val="20"/>
              </w:rPr>
            </w:pPr>
          </w:p>
        </w:tc>
      </w:tr>
      <w:tr w:rsidR="00000000" w14:paraId="1172CCCE" w14:textId="77777777">
        <w:trPr>
          <w:divId w:val="1442915953"/>
          <w:jc w:val="center"/>
        </w:trPr>
        <w:tc>
          <w:tcPr>
            <w:tcW w:w="0" w:type="auto"/>
            <w:gridSpan w:val="3"/>
            <w:tcMar>
              <w:top w:w="0" w:type="dxa"/>
              <w:left w:w="20" w:type="dxa"/>
              <w:bottom w:w="0" w:type="dxa"/>
              <w:right w:w="20" w:type="dxa"/>
            </w:tcMar>
            <w:vAlign w:val="center"/>
            <w:hideMark/>
          </w:tcPr>
          <w:p w14:paraId="08257320"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FBE3F96" w14:textId="77777777" w:rsidR="00000000" w:rsidRDefault="00EE5306">
            <w:pPr>
              <w:spacing w:after="100"/>
              <w:jc w:val="center"/>
              <w:rPr>
                <w:rFonts w:eastAsia="Times New Roman"/>
              </w:rPr>
            </w:pPr>
            <w:r>
              <w:rPr>
                <w:rFonts w:eastAsia="Times New Roman"/>
                <w:color w:val="000000"/>
                <w:sz w:val="20"/>
                <w:szCs w:val="20"/>
              </w:rPr>
              <w:t>16</w:t>
            </w:r>
          </w:p>
        </w:tc>
        <w:tc>
          <w:tcPr>
            <w:tcW w:w="0" w:type="auto"/>
            <w:gridSpan w:val="3"/>
            <w:tcMar>
              <w:top w:w="0" w:type="dxa"/>
              <w:left w:w="20" w:type="dxa"/>
              <w:bottom w:w="0" w:type="dxa"/>
              <w:right w:w="20" w:type="dxa"/>
            </w:tcMar>
            <w:vAlign w:val="center"/>
            <w:hideMark/>
          </w:tcPr>
          <w:p w14:paraId="609A105E" w14:textId="77777777" w:rsidR="00000000" w:rsidRDefault="00EE5306">
            <w:pPr>
              <w:spacing w:after="100"/>
              <w:jc w:val="center"/>
              <w:rPr>
                <w:rFonts w:eastAsia="Times New Roman"/>
              </w:rPr>
            </w:pPr>
          </w:p>
        </w:tc>
      </w:tr>
    </w:tbl>
    <w:p w14:paraId="7C27A877" w14:textId="77777777" w:rsidR="00000000" w:rsidRDefault="00EE5306">
      <w:pPr>
        <w:rPr>
          <w:rFonts w:eastAsia="Times New Roman"/>
        </w:rPr>
      </w:pPr>
      <w:r>
        <w:rPr>
          <w:rFonts w:eastAsia="Times New Roman"/>
        </w:rPr>
        <w:pict w14:anchorId="74082FD5">
          <v:rect id="_x0000_i1042" style="width:0;height:1.5pt" o:hralign="center" o:hrstd="t" o:hr="t" fillcolor="#a0a0a0" stroked="f"/>
        </w:pict>
      </w:r>
    </w:p>
    <w:p w14:paraId="1876CED3" w14:textId="77777777" w:rsidR="00000000" w:rsidRDefault="00EE5306">
      <w:pPr>
        <w:divId w:val="65421953"/>
        <w:rPr>
          <w:rFonts w:eastAsia="Times New Roman"/>
        </w:rPr>
      </w:pPr>
    </w:p>
    <w:p w14:paraId="20E93638" w14:textId="77777777" w:rsidR="00000000" w:rsidRDefault="00EE5306">
      <w:pPr>
        <w:ind w:firstLine="540"/>
        <w:jc w:val="both"/>
        <w:divId w:val="1456220571"/>
        <w:rPr>
          <w:rFonts w:eastAsia="Times New Roman"/>
        </w:rPr>
      </w:pPr>
      <w:r>
        <w:rPr>
          <w:rFonts w:eastAsia="Times New Roman"/>
          <w:color w:val="000000"/>
          <w:sz w:val="20"/>
          <w:szCs w:val="20"/>
        </w:rPr>
        <w:t xml:space="preserve">Our digital advertising programs focus on high impact and innovative digital media outlets, which allow us to convey our key brand messages and lifestyle positioning. We also develop digital editorial initiatives that </w:t>
      </w:r>
      <w:r>
        <w:rPr>
          <w:rFonts w:eastAsia="Times New Roman"/>
          <w:color w:val="000000"/>
          <w:sz w:val="20"/>
          <w:szCs w:val="20"/>
        </w:rPr>
        <w:t>allow for deeper education and engagement around the Ralph Lauren lifestyle. We deploy these marketing and advertising initiatives through online, mobile, video, email, and social media. Our digital commerce sites present the Ralph Lauren lifestyle online,</w:t>
      </w:r>
      <w:r>
        <w:rPr>
          <w:rFonts w:eastAsia="Times New Roman"/>
          <w:color w:val="000000"/>
          <w:sz w:val="20"/>
          <w:szCs w:val="20"/>
        </w:rPr>
        <w:t xml:space="preserve"> while offering a broad array of our apparel, footwear, accessories, and home product lines.</w:t>
      </w:r>
    </w:p>
    <w:p w14:paraId="2DD1B359" w14:textId="77777777" w:rsidR="00000000" w:rsidRDefault="00EE5306">
      <w:pPr>
        <w:ind w:firstLine="540"/>
        <w:jc w:val="both"/>
        <w:divId w:val="1075976319"/>
        <w:rPr>
          <w:rFonts w:eastAsia="Times New Roman"/>
        </w:rPr>
      </w:pPr>
      <w:r>
        <w:rPr>
          <w:rFonts w:eastAsia="Times New Roman"/>
          <w:color w:val="000000"/>
          <w:sz w:val="20"/>
          <w:szCs w:val="20"/>
        </w:rPr>
        <w:t>Additionally, we advertise in consumer and trade publications, and participate in cooperative advertising on a shared cost basis with some of our retail and licens</w:t>
      </w:r>
      <w:r>
        <w:rPr>
          <w:rFonts w:eastAsia="Times New Roman"/>
          <w:color w:val="000000"/>
          <w:sz w:val="20"/>
          <w:szCs w:val="20"/>
        </w:rPr>
        <w:t>ing partners. We have outdoor advertising placements in key cities as well, focusing on impact and reach. We also provide point-of-sale fixtures and signage to our wholesale customers to enhance the presentation of our products at their retail locations. I</w:t>
      </w:r>
      <w:r>
        <w:rPr>
          <w:rFonts w:eastAsia="Times New Roman"/>
          <w:color w:val="000000"/>
          <w:sz w:val="20"/>
          <w:szCs w:val="20"/>
        </w:rPr>
        <w:t>n addition, when our licensing partners are required to spend an amount equal to a percentage of their licensed product sales on advertising, in certain cases we coordinate the advertising placement on their behalf. We believe our investments in shop-withi</w:t>
      </w:r>
      <w:r>
        <w:rPr>
          <w:rFonts w:eastAsia="Times New Roman"/>
          <w:color w:val="000000"/>
          <w:sz w:val="20"/>
          <w:szCs w:val="20"/>
        </w:rPr>
        <w:t>n-shop environments and retail stores, including our global flagship locations, contribute to and enhance the themes of our brands to consumers.</w:t>
      </w:r>
    </w:p>
    <w:p w14:paraId="60DA2F3A" w14:textId="77777777" w:rsidR="00000000" w:rsidRDefault="00EE5306">
      <w:pPr>
        <w:ind w:firstLine="540"/>
        <w:jc w:val="both"/>
        <w:divId w:val="1158494450"/>
        <w:rPr>
          <w:rFonts w:eastAsia="Times New Roman"/>
        </w:rPr>
      </w:pPr>
      <w:r>
        <w:rPr>
          <w:rFonts w:eastAsia="Times New Roman"/>
          <w:color w:val="000000"/>
          <w:sz w:val="20"/>
          <w:szCs w:val="20"/>
        </w:rPr>
        <w:t>We also conduct a variety of public relations activities. For example, we typically introduce each of our sprin</w:t>
      </w:r>
      <w:r>
        <w:rPr>
          <w:rFonts w:eastAsia="Times New Roman"/>
          <w:color w:val="000000"/>
          <w:sz w:val="20"/>
          <w:szCs w:val="20"/>
        </w:rPr>
        <w:t xml:space="preserve">g and fall menswear and womenswear collections at press presentations in major cities such as New York City and Milan. Such fashion events, in addition to celebrity red carpet dressing moments and events hosted in our stores and restaurants, including The </w:t>
      </w:r>
      <w:r>
        <w:rPr>
          <w:rFonts w:eastAsia="Times New Roman"/>
          <w:i/>
          <w:iCs/>
          <w:color w:val="000000"/>
          <w:sz w:val="20"/>
          <w:szCs w:val="20"/>
        </w:rPr>
        <w:t>Polo Bar</w:t>
      </w:r>
      <w:r>
        <w:rPr>
          <w:rFonts w:eastAsia="Times New Roman"/>
          <w:color w:val="000000"/>
          <w:sz w:val="20"/>
          <w:szCs w:val="20"/>
        </w:rPr>
        <w:t xml:space="preserve"> in New York City, generate extensive domestic and international media and social coverage.</w:t>
      </w:r>
    </w:p>
    <w:p w14:paraId="2D52B25E" w14:textId="77777777" w:rsidR="00000000" w:rsidRDefault="00EE5306">
      <w:pPr>
        <w:ind w:firstLine="540"/>
        <w:jc w:val="both"/>
        <w:divId w:val="858347970"/>
        <w:rPr>
          <w:rFonts w:eastAsia="Times New Roman"/>
        </w:rPr>
      </w:pPr>
      <w:r>
        <w:rPr>
          <w:rFonts w:eastAsia="Times New Roman"/>
          <w:color w:val="000000"/>
          <w:sz w:val="20"/>
          <w:szCs w:val="20"/>
        </w:rPr>
        <w:t>We continue to be the official outfitter for all on-court officials at both the Wimbledon and the U.S. Open tennis tournaments. Both tournaments provide wor</w:t>
      </w:r>
      <w:r>
        <w:rPr>
          <w:rFonts w:eastAsia="Times New Roman"/>
          <w:color w:val="000000"/>
          <w:sz w:val="20"/>
          <w:szCs w:val="20"/>
        </w:rPr>
        <w:t>ldwide exposure for our brand in a relevant lifestyle environment. We also continue to be the exclusive Official Parade Outfitter for the U.S. Olympic and Paralympic Teams, with the right to manufacture, distribute, advertise, promote, and sell products in</w:t>
      </w:r>
      <w:r>
        <w:rPr>
          <w:rFonts w:eastAsia="Times New Roman"/>
          <w:color w:val="000000"/>
          <w:sz w:val="20"/>
          <w:szCs w:val="20"/>
        </w:rPr>
        <w:t xml:space="preserve"> the U.S. which replicate the Parade Outfits and associated leisure wear. We will be dressing the team for the upcoming Summer Olympic Games in Tokyo, Japan in July and August 2021. As part of our involvement with Team U.S.A., we have established a partner</w:t>
      </w:r>
      <w:r>
        <w:rPr>
          <w:rFonts w:eastAsia="Times New Roman"/>
          <w:color w:val="000000"/>
          <w:sz w:val="20"/>
          <w:szCs w:val="20"/>
        </w:rPr>
        <w:t>ship with athletes serving as brand ambassadors and as the faces of our advertising, marketing, and public relations campaigns. We are also the official apparel outfitter for the Professional Golfers' Association ("PGA") of America, the PGA Championship, t</w:t>
      </w:r>
      <w:r>
        <w:rPr>
          <w:rFonts w:eastAsia="Times New Roman"/>
          <w:color w:val="000000"/>
          <w:sz w:val="20"/>
          <w:szCs w:val="20"/>
        </w:rPr>
        <w:t xml:space="preserve">he U.S. Golf Association, and the U.S. Ryder Cup Team, as well as a partner of the American Junior Golf Association. We sponsor a roster of professional golfers, including Billy Horschel, Davis Love III, Doc Redman, Nick Watney, and Tom Watson. </w:t>
      </w:r>
    </w:p>
    <w:p w14:paraId="58918202" w14:textId="77777777" w:rsidR="00000000" w:rsidRDefault="00EE5306">
      <w:pPr>
        <w:ind w:firstLine="540"/>
        <w:jc w:val="both"/>
        <w:divId w:val="2116434637"/>
        <w:rPr>
          <w:rFonts w:eastAsia="Times New Roman"/>
        </w:rPr>
      </w:pPr>
      <w:r>
        <w:rPr>
          <w:rFonts w:eastAsia="Times New Roman"/>
          <w:color w:val="000000"/>
          <w:sz w:val="20"/>
          <w:szCs w:val="20"/>
        </w:rPr>
        <w:t>We believe</w:t>
      </w:r>
      <w:r>
        <w:rPr>
          <w:rFonts w:eastAsia="Times New Roman"/>
          <w:color w:val="000000"/>
          <w:sz w:val="20"/>
          <w:szCs w:val="20"/>
        </w:rPr>
        <w:t xml:space="preserve"> our partnerships with such prestigious global athletic events reinforce our brand's sporting heritage in a truly authentic way and serve to connect our Company and brands to our consumers through their individual areas of passion.</w:t>
      </w:r>
    </w:p>
    <w:p w14:paraId="613579F7" w14:textId="77777777" w:rsidR="00000000" w:rsidRDefault="00EE5306">
      <w:pPr>
        <w:jc w:val="center"/>
        <w:divId w:val="1964801663"/>
        <w:rPr>
          <w:rFonts w:eastAsia="Times New Roman"/>
        </w:rPr>
      </w:pPr>
      <w:r>
        <w:rPr>
          <w:rFonts w:eastAsia="Times New Roman"/>
          <w:b/>
          <w:bCs/>
          <w:color w:val="000000"/>
          <w:sz w:val="20"/>
          <w:szCs w:val="20"/>
        </w:rPr>
        <w:t>Sourcing, Production and</w:t>
      </w:r>
      <w:r>
        <w:rPr>
          <w:rFonts w:eastAsia="Times New Roman"/>
          <w:b/>
          <w:bCs/>
          <w:color w:val="000000"/>
          <w:sz w:val="20"/>
          <w:szCs w:val="20"/>
        </w:rPr>
        <w:t xml:space="preserve"> Quality</w:t>
      </w:r>
    </w:p>
    <w:p w14:paraId="5B94E081" w14:textId="77777777" w:rsidR="00000000" w:rsidRDefault="00EE5306">
      <w:pPr>
        <w:ind w:firstLine="540"/>
        <w:jc w:val="both"/>
        <w:divId w:val="1906066079"/>
        <w:rPr>
          <w:rFonts w:eastAsia="Times New Roman"/>
        </w:rPr>
      </w:pPr>
      <w:r>
        <w:rPr>
          <w:rFonts w:eastAsia="Times New Roman"/>
          <w:color w:val="000000"/>
          <w:sz w:val="20"/>
          <w:szCs w:val="20"/>
        </w:rPr>
        <w:t xml:space="preserve">We contract for the manufacture of our products and do not own or operate any production facilities. Over 300 different manufacturers worldwide produce our apparel, footwear, accessories, and home products, with no one manufacturer providing more </w:t>
      </w:r>
      <w:r>
        <w:rPr>
          <w:rFonts w:eastAsia="Times New Roman"/>
          <w:color w:val="000000"/>
          <w:sz w:val="20"/>
          <w:szCs w:val="20"/>
        </w:rPr>
        <w:t xml:space="preserve">than 6% of our total production during Fiscal 2021. We source both finished products and raw materials. Raw materials include fabric, buttons, and other trim. Finished products consist of manufactured and fully assembled products ready for shipment to our </w:t>
      </w:r>
      <w:r>
        <w:rPr>
          <w:rFonts w:eastAsia="Times New Roman"/>
          <w:color w:val="000000"/>
          <w:sz w:val="20"/>
          <w:szCs w:val="20"/>
        </w:rPr>
        <w:t>customers. In Fiscal 2021, approximately 97% of our products (by dollar value) were produced outside of the U.S., primarily in Asia, Europe, and Latin America, with approximately 20% of our products sourced from China and another 20% from Vietnam. See "</w:t>
      </w:r>
      <w:r>
        <w:rPr>
          <w:rFonts w:eastAsia="Times New Roman"/>
          <w:i/>
          <w:iCs/>
          <w:color w:val="000000"/>
          <w:sz w:val="20"/>
          <w:szCs w:val="20"/>
        </w:rPr>
        <w:t>Imp</w:t>
      </w:r>
      <w:r>
        <w:rPr>
          <w:rFonts w:eastAsia="Times New Roman"/>
          <w:i/>
          <w:iCs/>
          <w:color w:val="000000"/>
          <w:sz w:val="20"/>
          <w:szCs w:val="20"/>
        </w:rPr>
        <w:t>ort Restrictions and Other Government Regulations,</w:t>
      </w:r>
      <w:r>
        <w:rPr>
          <w:rFonts w:eastAsia="Times New Roman"/>
          <w:color w:val="000000"/>
          <w:sz w:val="20"/>
          <w:szCs w:val="20"/>
        </w:rPr>
        <w:t>"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Macroeconomic Conditions — Economic conditions could have a negative impact on our major customers, suppliers, vendors, and lenders, which in turn could material</w:t>
      </w:r>
      <w:r>
        <w:rPr>
          <w:rFonts w:eastAsia="Times New Roman"/>
          <w:i/>
          <w:iCs/>
          <w:color w:val="000000"/>
          <w:sz w:val="20"/>
          <w:szCs w:val="20"/>
        </w:rPr>
        <w:t xml:space="preserve">ly adversely affect our business," </w:t>
      </w:r>
      <w:r>
        <w:rPr>
          <w:rFonts w:eastAsia="Times New Roman"/>
          <w:color w:val="000000"/>
          <w:sz w:val="20"/>
          <w:szCs w:val="20"/>
        </w:rPr>
        <w:t>and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our Business and Operations — Our business is subject to risks associated with importing products and the ability of our manufacturers to produce our goods on time and to our</w:t>
      </w:r>
      <w:r>
        <w:rPr>
          <w:rFonts w:eastAsia="Times New Roman"/>
          <w:i/>
          <w:iCs/>
          <w:color w:val="000000"/>
          <w:sz w:val="20"/>
          <w:szCs w:val="20"/>
        </w:rPr>
        <w:t xml:space="preserve"> specifications</w:t>
      </w:r>
      <w:r>
        <w:rPr>
          <w:rFonts w:eastAsia="Times New Roman"/>
          <w:color w:val="000000"/>
          <w:sz w:val="20"/>
          <w:szCs w:val="20"/>
        </w:rPr>
        <w:t>."</w:t>
      </w:r>
    </w:p>
    <w:p w14:paraId="7975A4A7" w14:textId="77777777" w:rsidR="00000000" w:rsidRDefault="00EE5306">
      <w:pPr>
        <w:ind w:firstLine="540"/>
        <w:jc w:val="both"/>
        <w:divId w:val="1605528114"/>
        <w:rPr>
          <w:rFonts w:eastAsia="Times New Roman"/>
        </w:rPr>
      </w:pPr>
      <w:r>
        <w:rPr>
          <w:rFonts w:eastAsia="Times New Roman"/>
          <w:color w:val="000000"/>
          <w:sz w:val="20"/>
          <w:szCs w:val="20"/>
        </w:rPr>
        <w:t>Most of our businesses must commit to the manufacturing of our garments before we sell finished goods, whether to wholly-owned retail stores or to wholesale customers. We also must commit to the purchase of fabric from mills well in advan</w:t>
      </w:r>
      <w:r>
        <w:rPr>
          <w:rFonts w:eastAsia="Times New Roman"/>
          <w:color w:val="000000"/>
          <w:sz w:val="20"/>
          <w:szCs w:val="20"/>
        </w:rPr>
        <w:t>ce of our sales. If we overestimate our primary customers' demand for a particular product or the need for a particular fabric or yarn, we primarily sell the excess products or garments made from such fabric or yarn in our factory stores or through other s</w:t>
      </w:r>
      <w:r>
        <w:rPr>
          <w:rFonts w:eastAsia="Times New Roman"/>
          <w:color w:val="000000"/>
          <w:sz w:val="20"/>
          <w:szCs w:val="20"/>
        </w:rPr>
        <w:t>econdary distribution channels.</w:t>
      </w:r>
    </w:p>
    <w:p w14:paraId="313A9B2C" w14:textId="77777777" w:rsidR="00000000" w:rsidRDefault="00EE5306">
      <w:pPr>
        <w:ind w:firstLine="540"/>
        <w:jc w:val="both"/>
        <w:divId w:val="887423381"/>
        <w:rPr>
          <w:rFonts w:eastAsia="Times New Roman"/>
        </w:rPr>
      </w:pPr>
      <w:r>
        <w:rPr>
          <w:rFonts w:eastAsia="Times New Roman"/>
          <w:color w:val="000000"/>
          <w:sz w:val="20"/>
          <w:szCs w:val="20"/>
        </w:rPr>
        <w:t>Suppliers operate under the close supervision of our global manufacturing division and buying agents headquartered in Asia, the Americas, the Middle East, and Europe. All products are produced according to our specifications</w:t>
      </w:r>
      <w:r>
        <w:rPr>
          <w:rFonts w:eastAsia="Times New Roman"/>
          <w:color w:val="000000"/>
          <w:sz w:val="20"/>
          <w:szCs w:val="20"/>
        </w:rPr>
        <w:t xml:space="preserve"> and standards. Production and quality control staff in Asia, the Americas, the Middle East, and Europe monitor manufacturing at supplier facilities in order to correct problems prior to shipment of the final product. Procedures have been implemented under</w:t>
      </w:r>
      <w:r>
        <w:rPr>
          <w:rFonts w:eastAsia="Times New Roman"/>
          <w:color w:val="000000"/>
          <w:sz w:val="20"/>
          <w:szCs w:val="20"/>
        </w:rPr>
        <w:t xml:space="preserve"> our vendor certification and compliance programs so that quality assurance is reviewed early in the production process, allowing merchandise to be received at the distribution facilities and shipped to customers with minimal interruption.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B0617B1" w14:textId="77777777">
        <w:trPr>
          <w:divId w:val="376318426"/>
          <w:jc w:val="center"/>
        </w:trPr>
        <w:tc>
          <w:tcPr>
            <w:tcW w:w="50" w:type="pct"/>
            <w:vAlign w:val="center"/>
            <w:hideMark/>
          </w:tcPr>
          <w:p w14:paraId="305FAE3E" w14:textId="77777777" w:rsidR="00000000" w:rsidRDefault="00EE5306">
            <w:pPr>
              <w:ind w:firstLine="540"/>
              <w:jc w:val="both"/>
              <w:rPr>
                <w:rFonts w:eastAsia="Times New Roman"/>
              </w:rPr>
            </w:pPr>
          </w:p>
        </w:tc>
        <w:tc>
          <w:tcPr>
            <w:tcW w:w="1699" w:type="pct"/>
            <w:vAlign w:val="center"/>
            <w:hideMark/>
          </w:tcPr>
          <w:p w14:paraId="61AC5065" w14:textId="77777777" w:rsidR="00000000" w:rsidRDefault="00EE5306">
            <w:pPr>
              <w:spacing w:after="100"/>
              <w:rPr>
                <w:rFonts w:eastAsia="Times New Roman"/>
                <w:sz w:val="20"/>
                <w:szCs w:val="20"/>
              </w:rPr>
            </w:pPr>
          </w:p>
        </w:tc>
        <w:tc>
          <w:tcPr>
            <w:tcW w:w="5" w:type="pct"/>
            <w:vAlign w:val="center"/>
            <w:hideMark/>
          </w:tcPr>
          <w:p w14:paraId="2A9524A9" w14:textId="77777777" w:rsidR="00000000" w:rsidRDefault="00EE5306">
            <w:pPr>
              <w:spacing w:after="100"/>
              <w:rPr>
                <w:rFonts w:eastAsia="Times New Roman"/>
                <w:sz w:val="20"/>
                <w:szCs w:val="20"/>
              </w:rPr>
            </w:pPr>
          </w:p>
        </w:tc>
        <w:tc>
          <w:tcPr>
            <w:tcW w:w="50" w:type="pct"/>
            <w:vAlign w:val="center"/>
            <w:hideMark/>
          </w:tcPr>
          <w:p w14:paraId="36AC2570" w14:textId="77777777" w:rsidR="00000000" w:rsidRDefault="00EE5306">
            <w:pPr>
              <w:spacing w:after="100"/>
              <w:rPr>
                <w:rFonts w:eastAsia="Times New Roman"/>
                <w:sz w:val="20"/>
                <w:szCs w:val="20"/>
              </w:rPr>
            </w:pPr>
          </w:p>
        </w:tc>
        <w:tc>
          <w:tcPr>
            <w:tcW w:w="1436" w:type="pct"/>
            <w:vAlign w:val="center"/>
            <w:hideMark/>
          </w:tcPr>
          <w:p w14:paraId="0524FC74" w14:textId="77777777" w:rsidR="00000000" w:rsidRDefault="00EE5306">
            <w:pPr>
              <w:spacing w:after="100"/>
              <w:rPr>
                <w:rFonts w:eastAsia="Times New Roman"/>
                <w:sz w:val="20"/>
                <w:szCs w:val="20"/>
              </w:rPr>
            </w:pPr>
          </w:p>
        </w:tc>
        <w:tc>
          <w:tcPr>
            <w:tcW w:w="5" w:type="pct"/>
            <w:vAlign w:val="center"/>
            <w:hideMark/>
          </w:tcPr>
          <w:p w14:paraId="76F59B8B" w14:textId="77777777" w:rsidR="00000000" w:rsidRDefault="00EE5306">
            <w:pPr>
              <w:spacing w:after="100"/>
              <w:rPr>
                <w:rFonts w:eastAsia="Times New Roman"/>
                <w:sz w:val="20"/>
                <w:szCs w:val="20"/>
              </w:rPr>
            </w:pPr>
          </w:p>
        </w:tc>
        <w:tc>
          <w:tcPr>
            <w:tcW w:w="50" w:type="pct"/>
            <w:vAlign w:val="center"/>
            <w:hideMark/>
          </w:tcPr>
          <w:p w14:paraId="475D268C" w14:textId="77777777" w:rsidR="00000000" w:rsidRDefault="00EE5306">
            <w:pPr>
              <w:spacing w:after="100"/>
              <w:rPr>
                <w:rFonts w:eastAsia="Times New Roman"/>
                <w:sz w:val="20"/>
                <w:szCs w:val="20"/>
              </w:rPr>
            </w:pPr>
          </w:p>
        </w:tc>
        <w:tc>
          <w:tcPr>
            <w:tcW w:w="1699" w:type="pct"/>
            <w:vAlign w:val="center"/>
            <w:hideMark/>
          </w:tcPr>
          <w:p w14:paraId="5B9C96DC" w14:textId="77777777" w:rsidR="00000000" w:rsidRDefault="00EE5306">
            <w:pPr>
              <w:spacing w:after="100"/>
              <w:rPr>
                <w:rFonts w:eastAsia="Times New Roman"/>
                <w:sz w:val="20"/>
                <w:szCs w:val="20"/>
              </w:rPr>
            </w:pPr>
          </w:p>
        </w:tc>
        <w:tc>
          <w:tcPr>
            <w:tcW w:w="5" w:type="pct"/>
            <w:vAlign w:val="center"/>
            <w:hideMark/>
          </w:tcPr>
          <w:p w14:paraId="21545323" w14:textId="77777777" w:rsidR="00000000" w:rsidRDefault="00EE5306">
            <w:pPr>
              <w:spacing w:after="100"/>
              <w:rPr>
                <w:rFonts w:eastAsia="Times New Roman"/>
                <w:sz w:val="20"/>
                <w:szCs w:val="20"/>
              </w:rPr>
            </w:pPr>
          </w:p>
        </w:tc>
      </w:tr>
      <w:tr w:rsidR="00000000" w14:paraId="1683A332" w14:textId="77777777">
        <w:trPr>
          <w:divId w:val="376318426"/>
          <w:jc w:val="center"/>
        </w:trPr>
        <w:tc>
          <w:tcPr>
            <w:tcW w:w="0" w:type="auto"/>
            <w:gridSpan w:val="3"/>
            <w:tcMar>
              <w:top w:w="0" w:type="dxa"/>
              <w:left w:w="20" w:type="dxa"/>
              <w:bottom w:w="0" w:type="dxa"/>
              <w:right w:w="20" w:type="dxa"/>
            </w:tcMar>
            <w:vAlign w:val="center"/>
            <w:hideMark/>
          </w:tcPr>
          <w:p w14:paraId="73C7C10E"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1463B88" w14:textId="77777777" w:rsidR="00000000" w:rsidRDefault="00EE5306">
            <w:pPr>
              <w:spacing w:after="100"/>
              <w:jc w:val="center"/>
              <w:rPr>
                <w:rFonts w:eastAsia="Times New Roman"/>
              </w:rPr>
            </w:pPr>
            <w:r>
              <w:rPr>
                <w:rFonts w:eastAsia="Times New Roman"/>
                <w:color w:val="000000"/>
                <w:sz w:val="20"/>
                <w:szCs w:val="20"/>
              </w:rPr>
              <w:t>17</w:t>
            </w:r>
          </w:p>
        </w:tc>
        <w:tc>
          <w:tcPr>
            <w:tcW w:w="0" w:type="auto"/>
            <w:gridSpan w:val="3"/>
            <w:tcMar>
              <w:top w:w="0" w:type="dxa"/>
              <w:left w:w="20" w:type="dxa"/>
              <w:bottom w:w="0" w:type="dxa"/>
              <w:right w:w="20" w:type="dxa"/>
            </w:tcMar>
            <w:vAlign w:val="center"/>
            <w:hideMark/>
          </w:tcPr>
          <w:p w14:paraId="0E66BD95" w14:textId="77777777" w:rsidR="00000000" w:rsidRDefault="00EE5306">
            <w:pPr>
              <w:spacing w:after="100"/>
              <w:jc w:val="center"/>
              <w:rPr>
                <w:rFonts w:eastAsia="Times New Roman"/>
              </w:rPr>
            </w:pPr>
          </w:p>
        </w:tc>
      </w:tr>
    </w:tbl>
    <w:p w14:paraId="53187321" w14:textId="77777777" w:rsidR="00000000" w:rsidRDefault="00EE5306">
      <w:pPr>
        <w:rPr>
          <w:rFonts w:eastAsia="Times New Roman"/>
        </w:rPr>
      </w:pPr>
      <w:r>
        <w:rPr>
          <w:rFonts w:eastAsia="Times New Roman"/>
        </w:rPr>
        <w:pict w14:anchorId="79200253">
          <v:rect id="_x0000_i1043" style="width:0;height:1.5pt" o:hralign="center" o:hrstd="t" o:hr="t" fillcolor="#a0a0a0" stroked="f"/>
        </w:pict>
      </w:r>
    </w:p>
    <w:p w14:paraId="6C059B24" w14:textId="77777777" w:rsidR="00000000" w:rsidRDefault="00EE5306">
      <w:pPr>
        <w:divId w:val="1341198946"/>
        <w:rPr>
          <w:rFonts w:eastAsia="Times New Roman"/>
        </w:rPr>
      </w:pPr>
    </w:p>
    <w:p w14:paraId="2E1DB255" w14:textId="77777777" w:rsidR="00000000" w:rsidRDefault="00EE5306">
      <w:pPr>
        <w:jc w:val="center"/>
        <w:divId w:val="1521116351"/>
        <w:rPr>
          <w:rFonts w:eastAsia="Times New Roman"/>
        </w:rPr>
      </w:pPr>
      <w:r>
        <w:rPr>
          <w:rFonts w:eastAsia="Times New Roman"/>
          <w:b/>
          <w:bCs/>
          <w:color w:val="000000"/>
          <w:sz w:val="20"/>
          <w:szCs w:val="20"/>
        </w:rPr>
        <w:t>Competition</w:t>
      </w:r>
    </w:p>
    <w:p w14:paraId="444F4344" w14:textId="77777777" w:rsidR="00000000" w:rsidRDefault="00EE5306">
      <w:pPr>
        <w:ind w:firstLine="540"/>
        <w:jc w:val="both"/>
        <w:divId w:val="170724045"/>
        <w:rPr>
          <w:rFonts w:eastAsia="Times New Roman"/>
        </w:rPr>
      </w:pPr>
      <w:r>
        <w:rPr>
          <w:rFonts w:eastAsia="Times New Roman"/>
          <w:color w:val="000000"/>
          <w:sz w:val="20"/>
          <w:szCs w:val="20"/>
        </w:rPr>
        <w:t>Competition is very strong in the segments of the fashion and consumer product industries in which we operate. We compete with numerous designers and manufacturers of apparel, footwear, accessories, fragran</w:t>
      </w:r>
      <w:r>
        <w:rPr>
          <w:rFonts w:eastAsia="Times New Roman"/>
          <w:color w:val="000000"/>
          <w:sz w:val="20"/>
          <w:szCs w:val="20"/>
        </w:rPr>
        <w:t>ces, and home furnishing products, both domestic and international. We also face increasing competition from companies selling our product categories through the Internet. Some of our competitors may be significantly larger and have substantially greater r</w:t>
      </w:r>
      <w:r>
        <w:rPr>
          <w:rFonts w:eastAsia="Times New Roman"/>
          <w:color w:val="000000"/>
          <w:sz w:val="20"/>
          <w:szCs w:val="20"/>
        </w:rPr>
        <w:t>esources than us. We compete primarily on the basis of fashion, quality, value, and service, which depend on our ability to:</w:t>
      </w:r>
    </w:p>
    <w:p w14:paraId="2FD4601F" w14:textId="77777777" w:rsidR="00000000" w:rsidRDefault="00EE5306">
      <w:pPr>
        <w:ind w:hanging="360"/>
        <w:jc w:val="both"/>
        <w:divId w:val="1798445295"/>
        <w:rPr>
          <w:rFonts w:eastAsia="Times New Roman"/>
        </w:rPr>
      </w:pPr>
      <w:r>
        <w:rPr>
          <w:rFonts w:eastAsia="Times New Roman"/>
          <w:color w:val="000000"/>
          <w:sz w:val="20"/>
          <w:szCs w:val="20"/>
        </w:rPr>
        <w:t>•anticipate and respond to changing consumer demands and shopping preferences, including the ever-increasing shift to digital brand</w:t>
      </w:r>
      <w:r>
        <w:rPr>
          <w:rFonts w:eastAsia="Times New Roman"/>
          <w:color w:val="000000"/>
          <w:sz w:val="20"/>
          <w:szCs w:val="20"/>
        </w:rPr>
        <w:t xml:space="preserve"> engagement, social media communications, and online shopping;</w:t>
      </w:r>
    </w:p>
    <w:p w14:paraId="017845A1" w14:textId="77777777" w:rsidR="00000000" w:rsidRDefault="00EE5306">
      <w:pPr>
        <w:ind w:hanging="360"/>
        <w:jc w:val="both"/>
        <w:divId w:val="712846285"/>
        <w:rPr>
          <w:rFonts w:eastAsia="Times New Roman"/>
        </w:rPr>
      </w:pPr>
      <w:r>
        <w:rPr>
          <w:rFonts w:eastAsia="Times New Roman"/>
          <w:color w:val="000000"/>
          <w:sz w:val="20"/>
          <w:szCs w:val="20"/>
        </w:rPr>
        <w:t>•create and maintain favorable brand recognition, loyalty, and reputation for quality;</w:t>
      </w:r>
    </w:p>
    <w:p w14:paraId="7E13E616" w14:textId="77777777" w:rsidR="00000000" w:rsidRDefault="00EE5306">
      <w:pPr>
        <w:ind w:hanging="360"/>
        <w:jc w:val="both"/>
        <w:divId w:val="1684939613"/>
        <w:rPr>
          <w:rFonts w:eastAsia="Times New Roman"/>
        </w:rPr>
      </w:pPr>
      <w:r>
        <w:rPr>
          <w:rFonts w:eastAsia="Times New Roman"/>
          <w:color w:val="000000"/>
          <w:sz w:val="20"/>
          <w:szCs w:val="20"/>
        </w:rPr>
        <w:t>•develop and produce innovative, high-quality products that appeal to consumers of varying age groups;</w:t>
      </w:r>
    </w:p>
    <w:p w14:paraId="5C6EC776" w14:textId="77777777" w:rsidR="00000000" w:rsidRDefault="00EE5306">
      <w:pPr>
        <w:ind w:hanging="360"/>
        <w:jc w:val="both"/>
        <w:divId w:val="1245189935"/>
        <w:rPr>
          <w:rFonts w:eastAsia="Times New Roman"/>
        </w:rPr>
      </w:pPr>
      <w:r>
        <w:rPr>
          <w:rFonts w:eastAsia="Times New Roman"/>
          <w:color w:val="000000"/>
          <w:sz w:val="20"/>
          <w:szCs w:val="20"/>
        </w:rPr>
        <w:t>•co</w:t>
      </w:r>
      <w:r>
        <w:rPr>
          <w:rFonts w:eastAsia="Times New Roman"/>
          <w:color w:val="000000"/>
          <w:sz w:val="20"/>
          <w:szCs w:val="20"/>
        </w:rPr>
        <w:t>mpetitively price our products and create an acceptable value proposition for consumers;</w:t>
      </w:r>
    </w:p>
    <w:p w14:paraId="20E6EDC9" w14:textId="77777777" w:rsidR="00000000" w:rsidRDefault="00EE5306">
      <w:pPr>
        <w:ind w:hanging="360"/>
        <w:jc w:val="both"/>
        <w:divId w:val="1977681205"/>
        <w:rPr>
          <w:rFonts w:eastAsia="Times New Roman"/>
        </w:rPr>
      </w:pPr>
      <w:r>
        <w:rPr>
          <w:rFonts w:eastAsia="Times New Roman"/>
          <w:color w:val="000000"/>
          <w:sz w:val="20"/>
          <w:szCs w:val="20"/>
        </w:rPr>
        <w:t>•provide strong and effective marketing support;</w:t>
      </w:r>
    </w:p>
    <w:p w14:paraId="563CEB6B" w14:textId="77777777" w:rsidR="00000000" w:rsidRDefault="00EE5306">
      <w:pPr>
        <w:ind w:hanging="360"/>
        <w:jc w:val="both"/>
        <w:divId w:val="1423798076"/>
        <w:rPr>
          <w:rFonts w:eastAsia="Times New Roman"/>
        </w:rPr>
      </w:pPr>
      <w:r>
        <w:rPr>
          <w:rFonts w:eastAsia="Times New Roman"/>
          <w:color w:val="000000"/>
          <w:sz w:val="20"/>
          <w:szCs w:val="20"/>
        </w:rPr>
        <w:t>•provide attractive, reliable, secure, and user-friendly digital commerce sites;</w:t>
      </w:r>
    </w:p>
    <w:p w14:paraId="7A2058EF" w14:textId="77777777" w:rsidR="00000000" w:rsidRDefault="00EE5306">
      <w:pPr>
        <w:ind w:hanging="360"/>
        <w:jc w:val="both"/>
        <w:divId w:val="1966227142"/>
        <w:rPr>
          <w:rFonts w:eastAsia="Times New Roman"/>
        </w:rPr>
      </w:pPr>
      <w:r>
        <w:rPr>
          <w:rFonts w:eastAsia="Times New Roman"/>
          <w:color w:val="000000"/>
          <w:sz w:val="20"/>
          <w:szCs w:val="20"/>
        </w:rPr>
        <w:t>•obtain sufficient retail floor space</w:t>
      </w:r>
      <w:r>
        <w:rPr>
          <w:rFonts w:eastAsia="Times New Roman"/>
          <w:color w:val="000000"/>
          <w:sz w:val="20"/>
          <w:szCs w:val="20"/>
        </w:rPr>
        <w:t>, and effectively present our products to consumers;</w:t>
      </w:r>
    </w:p>
    <w:p w14:paraId="4600CCB3" w14:textId="77777777" w:rsidR="00000000" w:rsidRDefault="00EE5306">
      <w:pPr>
        <w:ind w:hanging="360"/>
        <w:jc w:val="both"/>
        <w:divId w:val="1556315095"/>
        <w:rPr>
          <w:rFonts w:eastAsia="Times New Roman"/>
        </w:rPr>
      </w:pPr>
      <w:r>
        <w:rPr>
          <w:rFonts w:eastAsia="Times New Roman"/>
          <w:color w:val="000000"/>
          <w:sz w:val="20"/>
          <w:szCs w:val="20"/>
        </w:rPr>
        <w:t>•attract consumer traffic to stores, shop-within-shops, and digital commerce sites;</w:t>
      </w:r>
    </w:p>
    <w:p w14:paraId="27B9BCE1" w14:textId="77777777" w:rsidR="00000000" w:rsidRDefault="00EE5306">
      <w:pPr>
        <w:ind w:hanging="360"/>
        <w:jc w:val="both"/>
        <w:divId w:val="450980895"/>
        <w:rPr>
          <w:rFonts w:eastAsia="Times New Roman"/>
        </w:rPr>
      </w:pPr>
      <w:r>
        <w:rPr>
          <w:rFonts w:eastAsia="Times New Roman"/>
          <w:color w:val="000000"/>
          <w:sz w:val="20"/>
          <w:szCs w:val="20"/>
        </w:rPr>
        <w:t>•source raw materials at cost-effective prices;</w:t>
      </w:r>
    </w:p>
    <w:p w14:paraId="1B8FD304" w14:textId="77777777" w:rsidR="00000000" w:rsidRDefault="00EE5306">
      <w:pPr>
        <w:ind w:hanging="360"/>
        <w:jc w:val="both"/>
        <w:divId w:val="272250323"/>
        <w:rPr>
          <w:rFonts w:eastAsia="Times New Roman"/>
        </w:rPr>
      </w:pPr>
      <w:r>
        <w:rPr>
          <w:rFonts w:eastAsia="Times New Roman"/>
          <w:color w:val="000000"/>
          <w:sz w:val="20"/>
          <w:szCs w:val="20"/>
        </w:rPr>
        <w:t>•</w:t>
      </w:r>
      <w:r>
        <w:rPr>
          <w:rFonts w:eastAsia="Times New Roman"/>
          <w:color w:val="000000"/>
          <w:sz w:val="20"/>
          <w:szCs w:val="20"/>
        </w:rPr>
        <w:t>anticipate and maintain proper inventory levels;</w:t>
      </w:r>
    </w:p>
    <w:p w14:paraId="779EFAAB" w14:textId="77777777" w:rsidR="00000000" w:rsidRDefault="00EE5306">
      <w:pPr>
        <w:ind w:hanging="360"/>
        <w:jc w:val="both"/>
        <w:divId w:val="2031486883"/>
        <w:rPr>
          <w:rFonts w:eastAsia="Times New Roman"/>
        </w:rPr>
      </w:pPr>
      <w:r>
        <w:rPr>
          <w:rFonts w:eastAsia="Times New Roman"/>
          <w:color w:val="000000"/>
          <w:sz w:val="20"/>
          <w:szCs w:val="20"/>
        </w:rPr>
        <w:t>•ensure product availability and optimize supply chain and distribution efficiencies;</w:t>
      </w:r>
    </w:p>
    <w:p w14:paraId="2903777F" w14:textId="77777777" w:rsidR="00000000" w:rsidRDefault="00EE5306">
      <w:pPr>
        <w:ind w:hanging="360"/>
        <w:jc w:val="both"/>
        <w:divId w:val="2044986278"/>
        <w:rPr>
          <w:rFonts w:eastAsia="Times New Roman"/>
        </w:rPr>
      </w:pPr>
      <w:r>
        <w:rPr>
          <w:rFonts w:eastAsia="Times New Roman"/>
          <w:color w:val="000000"/>
          <w:sz w:val="20"/>
          <w:szCs w:val="20"/>
        </w:rPr>
        <w:t>•maintain and grow market share;</w:t>
      </w:r>
    </w:p>
    <w:p w14:paraId="050C02E8" w14:textId="77777777" w:rsidR="00000000" w:rsidRDefault="00EE5306">
      <w:pPr>
        <w:ind w:hanging="360"/>
        <w:jc w:val="both"/>
        <w:divId w:val="1911236494"/>
        <w:rPr>
          <w:rFonts w:eastAsia="Times New Roman"/>
        </w:rPr>
      </w:pPr>
      <w:r>
        <w:rPr>
          <w:rFonts w:eastAsia="Times New Roman"/>
          <w:color w:val="000000"/>
          <w:sz w:val="20"/>
          <w:szCs w:val="20"/>
        </w:rPr>
        <w:t>•recruit and retain key employees;</w:t>
      </w:r>
    </w:p>
    <w:p w14:paraId="38D82180" w14:textId="77777777" w:rsidR="00000000" w:rsidRDefault="00EE5306">
      <w:pPr>
        <w:ind w:hanging="360"/>
        <w:jc w:val="both"/>
        <w:divId w:val="2075466821"/>
        <w:rPr>
          <w:rFonts w:eastAsia="Times New Roman"/>
        </w:rPr>
      </w:pPr>
      <w:r>
        <w:rPr>
          <w:rFonts w:eastAsia="Times New Roman"/>
          <w:color w:val="000000"/>
          <w:sz w:val="20"/>
          <w:szCs w:val="20"/>
        </w:rPr>
        <w:t>•</w:t>
      </w:r>
      <w:r>
        <w:rPr>
          <w:rFonts w:eastAsia="Times New Roman"/>
          <w:color w:val="000000"/>
          <w:sz w:val="20"/>
          <w:szCs w:val="20"/>
        </w:rPr>
        <w:t>protect our intellectual property; and</w:t>
      </w:r>
    </w:p>
    <w:p w14:paraId="5689ED36" w14:textId="77777777" w:rsidR="00000000" w:rsidRDefault="00EE5306">
      <w:pPr>
        <w:ind w:hanging="360"/>
        <w:jc w:val="both"/>
        <w:divId w:val="287052979"/>
        <w:rPr>
          <w:rFonts w:eastAsia="Times New Roman"/>
        </w:rPr>
      </w:pPr>
      <w:r>
        <w:rPr>
          <w:rFonts w:eastAsia="Times New Roman"/>
          <w:color w:val="000000"/>
          <w:sz w:val="20"/>
          <w:szCs w:val="20"/>
        </w:rPr>
        <w:t xml:space="preserve">•withstand prolonged periods of adverse economic conditions or business disruptions. </w:t>
      </w:r>
    </w:p>
    <w:p w14:paraId="045E15ED" w14:textId="77777777" w:rsidR="00000000" w:rsidRDefault="00EE5306">
      <w:pPr>
        <w:ind w:firstLine="540"/>
        <w:jc w:val="both"/>
        <w:divId w:val="509415583"/>
        <w:rPr>
          <w:rFonts w:eastAsia="Times New Roman"/>
        </w:rPr>
      </w:pPr>
      <w:r>
        <w:rPr>
          <w:rFonts w:eastAsia="Times New Roman"/>
          <w:color w:val="000000"/>
          <w:sz w:val="20"/>
          <w:szCs w:val="20"/>
        </w:rPr>
        <w:t>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our Business and Operations — We face intense competition worldwide in the markets i</w:t>
      </w:r>
      <w:r>
        <w:rPr>
          <w:rFonts w:eastAsia="Times New Roman"/>
          <w:i/>
          <w:iCs/>
          <w:color w:val="000000"/>
          <w:sz w:val="20"/>
          <w:szCs w:val="20"/>
        </w:rPr>
        <w:t>n which we operate</w:t>
      </w:r>
      <w:r>
        <w:rPr>
          <w:rFonts w:eastAsia="Times New Roman"/>
          <w:color w:val="000000"/>
          <w:sz w:val="20"/>
          <w:szCs w:val="20"/>
        </w:rPr>
        <w:t>."</w:t>
      </w:r>
    </w:p>
    <w:p w14:paraId="287BC864" w14:textId="77777777" w:rsidR="00000000" w:rsidRDefault="00EE5306">
      <w:pPr>
        <w:jc w:val="center"/>
        <w:divId w:val="752123278"/>
        <w:rPr>
          <w:rFonts w:eastAsia="Times New Roman"/>
        </w:rPr>
      </w:pPr>
      <w:r>
        <w:rPr>
          <w:rFonts w:eastAsia="Times New Roman"/>
          <w:b/>
          <w:bCs/>
          <w:color w:val="000000"/>
          <w:sz w:val="20"/>
          <w:szCs w:val="20"/>
        </w:rPr>
        <w:t>Distribution</w:t>
      </w:r>
    </w:p>
    <w:p w14:paraId="2FC36D03" w14:textId="77777777" w:rsidR="00000000" w:rsidRDefault="00EE5306">
      <w:pPr>
        <w:ind w:firstLine="540"/>
        <w:jc w:val="both"/>
        <w:divId w:val="1647738154"/>
        <w:rPr>
          <w:rFonts w:eastAsia="Times New Roman"/>
        </w:rPr>
      </w:pPr>
      <w:r>
        <w:rPr>
          <w:rFonts w:eastAsia="Times New Roman"/>
          <w:color w:val="000000"/>
          <w:sz w:val="20"/>
          <w:szCs w:val="20"/>
        </w:rPr>
        <w:t>To facilitate global distribution, our products are shipped from manufacturers to a network of distribution centers around the world for inspection, sorting, packing, and delivery to our retail locations and digital commer</w:t>
      </w:r>
      <w:r>
        <w:rPr>
          <w:rFonts w:eastAsia="Times New Roman"/>
          <w:color w:val="000000"/>
          <w:sz w:val="20"/>
          <w:szCs w:val="20"/>
        </w:rPr>
        <w:t>ce and wholesale customers. This network includes the following primary distribution facilities:</w:t>
      </w:r>
    </w:p>
    <w:tbl>
      <w:tblPr>
        <w:tblW w:w="4985" w:type="pct"/>
        <w:tblCellMar>
          <w:top w:w="15" w:type="dxa"/>
          <w:left w:w="15" w:type="dxa"/>
          <w:bottom w:w="15" w:type="dxa"/>
          <w:right w:w="15" w:type="dxa"/>
        </w:tblCellMar>
        <w:tblLook w:val="04A0" w:firstRow="1" w:lastRow="0" w:firstColumn="1" w:lastColumn="0" w:noHBand="0" w:noVBand="1"/>
      </w:tblPr>
      <w:tblGrid>
        <w:gridCol w:w="58"/>
        <w:gridCol w:w="3783"/>
        <w:gridCol w:w="38"/>
        <w:gridCol w:w="36"/>
        <w:gridCol w:w="36"/>
        <w:gridCol w:w="36"/>
        <w:gridCol w:w="40"/>
        <w:gridCol w:w="2751"/>
        <w:gridCol w:w="36"/>
        <w:gridCol w:w="36"/>
        <w:gridCol w:w="36"/>
        <w:gridCol w:w="36"/>
        <w:gridCol w:w="48"/>
        <w:gridCol w:w="1275"/>
        <w:gridCol w:w="36"/>
      </w:tblGrid>
      <w:tr w:rsidR="00000000" w14:paraId="053968AA" w14:textId="77777777">
        <w:trPr>
          <w:divId w:val="2115905793"/>
        </w:trPr>
        <w:tc>
          <w:tcPr>
            <w:tcW w:w="50" w:type="pct"/>
            <w:vAlign w:val="center"/>
            <w:hideMark/>
          </w:tcPr>
          <w:p w14:paraId="7739C6E8" w14:textId="77777777" w:rsidR="00000000" w:rsidRDefault="00EE5306">
            <w:pPr>
              <w:ind w:firstLine="540"/>
              <w:jc w:val="both"/>
              <w:rPr>
                <w:rFonts w:eastAsia="Times New Roman"/>
              </w:rPr>
            </w:pPr>
          </w:p>
        </w:tc>
        <w:tc>
          <w:tcPr>
            <w:tcW w:w="2298" w:type="pct"/>
            <w:vAlign w:val="center"/>
            <w:hideMark/>
          </w:tcPr>
          <w:p w14:paraId="7E90A2AC" w14:textId="77777777" w:rsidR="00000000" w:rsidRDefault="00EE5306">
            <w:pPr>
              <w:spacing w:after="100"/>
              <w:rPr>
                <w:rFonts w:eastAsia="Times New Roman"/>
                <w:sz w:val="20"/>
                <w:szCs w:val="20"/>
              </w:rPr>
            </w:pPr>
          </w:p>
        </w:tc>
        <w:tc>
          <w:tcPr>
            <w:tcW w:w="5" w:type="pct"/>
            <w:vAlign w:val="center"/>
            <w:hideMark/>
          </w:tcPr>
          <w:p w14:paraId="0DBD8C03" w14:textId="77777777" w:rsidR="00000000" w:rsidRDefault="00EE5306">
            <w:pPr>
              <w:spacing w:after="100"/>
              <w:rPr>
                <w:rFonts w:eastAsia="Times New Roman"/>
                <w:sz w:val="20"/>
                <w:szCs w:val="20"/>
              </w:rPr>
            </w:pPr>
          </w:p>
        </w:tc>
        <w:tc>
          <w:tcPr>
            <w:tcW w:w="5" w:type="pct"/>
            <w:vAlign w:val="center"/>
            <w:hideMark/>
          </w:tcPr>
          <w:p w14:paraId="3BB0F561" w14:textId="77777777" w:rsidR="00000000" w:rsidRDefault="00EE5306">
            <w:pPr>
              <w:spacing w:after="100"/>
              <w:rPr>
                <w:rFonts w:eastAsia="Times New Roman"/>
                <w:sz w:val="20"/>
                <w:szCs w:val="20"/>
              </w:rPr>
            </w:pPr>
          </w:p>
        </w:tc>
        <w:tc>
          <w:tcPr>
            <w:tcW w:w="26" w:type="pct"/>
            <w:vAlign w:val="center"/>
            <w:hideMark/>
          </w:tcPr>
          <w:p w14:paraId="0EC25D1D" w14:textId="77777777" w:rsidR="00000000" w:rsidRDefault="00EE5306">
            <w:pPr>
              <w:spacing w:after="100"/>
              <w:rPr>
                <w:rFonts w:eastAsia="Times New Roman"/>
                <w:sz w:val="20"/>
                <w:szCs w:val="20"/>
              </w:rPr>
            </w:pPr>
          </w:p>
        </w:tc>
        <w:tc>
          <w:tcPr>
            <w:tcW w:w="5" w:type="pct"/>
            <w:vAlign w:val="center"/>
            <w:hideMark/>
          </w:tcPr>
          <w:p w14:paraId="517AD0F7" w14:textId="77777777" w:rsidR="00000000" w:rsidRDefault="00EE5306">
            <w:pPr>
              <w:spacing w:after="100"/>
              <w:rPr>
                <w:rFonts w:eastAsia="Times New Roman"/>
                <w:sz w:val="20"/>
                <w:szCs w:val="20"/>
              </w:rPr>
            </w:pPr>
          </w:p>
        </w:tc>
        <w:tc>
          <w:tcPr>
            <w:tcW w:w="50" w:type="pct"/>
            <w:vAlign w:val="center"/>
            <w:hideMark/>
          </w:tcPr>
          <w:p w14:paraId="6FAF6CBE" w14:textId="77777777" w:rsidR="00000000" w:rsidRDefault="00EE5306">
            <w:pPr>
              <w:spacing w:after="100"/>
              <w:rPr>
                <w:rFonts w:eastAsia="Times New Roman"/>
                <w:sz w:val="20"/>
                <w:szCs w:val="20"/>
              </w:rPr>
            </w:pPr>
          </w:p>
        </w:tc>
        <w:tc>
          <w:tcPr>
            <w:tcW w:w="1675" w:type="pct"/>
            <w:vAlign w:val="center"/>
            <w:hideMark/>
          </w:tcPr>
          <w:p w14:paraId="37EBAD22" w14:textId="77777777" w:rsidR="00000000" w:rsidRDefault="00EE5306">
            <w:pPr>
              <w:spacing w:after="100"/>
              <w:rPr>
                <w:rFonts w:eastAsia="Times New Roman"/>
                <w:sz w:val="20"/>
                <w:szCs w:val="20"/>
              </w:rPr>
            </w:pPr>
          </w:p>
        </w:tc>
        <w:tc>
          <w:tcPr>
            <w:tcW w:w="5" w:type="pct"/>
            <w:vAlign w:val="center"/>
            <w:hideMark/>
          </w:tcPr>
          <w:p w14:paraId="675DD1C8" w14:textId="77777777" w:rsidR="00000000" w:rsidRDefault="00EE5306">
            <w:pPr>
              <w:spacing w:after="100"/>
              <w:rPr>
                <w:rFonts w:eastAsia="Times New Roman"/>
                <w:sz w:val="20"/>
                <w:szCs w:val="20"/>
              </w:rPr>
            </w:pPr>
          </w:p>
        </w:tc>
        <w:tc>
          <w:tcPr>
            <w:tcW w:w="5" w:type="pct"/>
            <w:vAlign w:val="center"/>
            <w:hideMark/>
          </w:tcPr>
          <w:p w14:paraId="1545DD18" w14:textId="77777777" w:rsidR="00000000" w:rsidRDefault="00EE5306">
            <w:pPr>
              <w:spacing w:after="100"/>
              <w:rPr>
                <w:rFonts w:eastAsia="Times New Roman"/>
                <w:sz w:val="20"/>
                <w:szCs w:val="20"/>
              </w:rPr>
            </w:pPr>
          </w:p>
        </w:tc>
        <w:tc>
          <w:tcPr>
            <w:tcW w:w="26" w:type="pct"/>
            <w:vAlign w:val="center"/>
            <w:hideMark/>
          </w:tcPr>
          <w:p w14:paraId="343FA9BA" w14:textId="77777777" w:rsidR="00000000" w:rsidRDefault="00EE5306">
            <w:pPr>
              <w:spacing w:after="100"/>
              <w:rPr>
                <w:rFonts w:eastAsia="Times New Roman"/>
                <w:sz w:val="20"/>
                <w:szCs w:val="20"/>
              </w:rPr>
            </w:pPr>
          </w:p>
        </w:tc>
        <w:tc>
          <w:tcPr>
            <w:tcW w:w="5" w:type="pct"/>
            <w:vAlign w:val="center"/>
            <w:hideMark/>
          </w:tcPr>
          <w:p w14:paraId="095F0D67" w14:textId="77777777" w:rsidR="00000000" w:rsidRDefault="00EE5306">
            <w:pPr>
              <w:spacing w:after="100"/>
              <w:rPr>
                <w:rFonts w:eastAsia="Times New Roman"/>
                <w:sz w:val="20"/>
                <w:szCs w:val="20"/>
              </w:rPr>
            </w:pPr>
          </w:p>
        </w:tc>
        <w:tc>
          <w:tcPr>
            <w:tcW w:w="50" w:type="pct"/>
            <w:vAlign w:val="center"/>
            <w:hideMark/>
          </w:tcPr>
          <w:p w14:paraId="1E91F12D" w14:textId="77777777" w:rsidR="00000000" w:rsidRDefault="00EE5306">
            <w:pPr>
              <w:spacing w:after="100"/>
              <w:rPr>
                <w:rFonts w:eastAsia="Times New Roman"/>
                <w:sz w:val="20"/>
                <w:szCs w:val="20"/>
              </w:rPr>
            </w:pPr>
          </w:p>
        </w:tc>
        <w:tc>
          <w:tcPr>
            <w:tcW w:w="788" w:type="pct"/>
            <w:vAlign w:val="center"/>
            <w:hideMark/>
          </w:tcPr>
          <w:p w14:paraId="5FDE0D22" w14:textId="77777777" w:rsidR="00000000" w:rsidRDefault="00EE5306">
            <w:pPr>
              <w:spacing w:after="100"/>
              <w:rPr>
                <w:rFonts w:eastAsia="Times New Roman"/>
                <w:sz w:val="20"/>
                <w:szCs w:val="20"/>
              </w:rPr>
            </w:pPr>
          </w:p>
        </w:tc>
        <w:tc>
          <w:tcPr>
            <w:tcW w:w="5" w:type="pct"/>
            <w:vAlign w:val="center"/>
            <w:hideMark/>
          </w:tcPr>
          <w:p w14:paraId="64AABD9F" w14:textId="77777777" w:rsidR="00000000" w:rsidRDefault="00EE5306">
            <w:pPr>
              <w:spacing w:after="100"/>
              <w:rPr>
                <w:rFonts w:eastAsia="Times New Roman"/>
                <w:sz w:val="20"/>
                <w:szCs w:val="20"/>
              </w:rPr>
            </w:pPr>
          </w:p>
        </w:tc>
      </w:tr>
      <w:tr w:rsidR="00000000" w14:paraId="59548282" w14:textId="77777777">
        <w:trPr>
          <w:divId w:val="2115905793"/>
        </w:trPr>
        <w:tc>
          <w:tcPr>
            <w:tcW w:w="0" w:type="auto"/>
            <w:gridSpan w:val="3"/>
            <w:tcMar>
              <w:top w:w="30" w:type="dxa"/>
              <w:left w:w="20" w:type="dxa"/>
              <w:bottom w:w="30" w:type="dxa"/>
              <w:right w:w="20" w:type="dxa"/>
            </w:tcMar>
            <w:vAlign w:val="bottom"/>
            <w:hideMark/>
          </w:tcPr>
          <w:p w14:paraId="0670E474" w14:textId="77777777" w:rsidR="00000000" w:rsidRDefault="00EE5306">
            <w:pPr>
              <w:spacing w:after="100"/>
              <w:jc w:val="center"/>
              <w:rPr>
                <w:rFonts w:eastAsia="Times New Roman"/>
              </w:rPr>
            </w:pPr>
            <w:r>
              <w:rPr>
                <w:rFonts w:eastAsia="Times New Roman"/>
                <w:b/>
                <w:bCs/>
                <w:color w:val="000000"/>
                <w:sz w:val="16"/>
                <w:szCs w:val="16"/>
              </w:rPr>
              <w:t>Facility Location</w:t>
            </w:r>
          </w:p>
        </w:tc>
        <w:tc>
          <w:tcPr>
            <w:tcW w:w="0" w:type="auto"/>
            <w:gridSpan w:val="3"/>
            <w:tcMar>
              <w:top w:w="0" w:type="dxa"/>
              <w:left w:w="20" w:type="dxa"/>
              <w:bottom w:w="0" w:type="dxa"/>
              <w:right w:w="20" w:type="dxa"/>
            </w:tcMar>
            <w:vAlign w:val="center"/>
            <w:hideMark/>
          </w:tcPr>
          <w:p w14:paraId="33F8ED70"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FB9BD79" w14:textId="77777777" w:rsidR="00000000" w:rsidRDefault="00EE5306">
            <w:pPr>
              <w:spacing w:after="100"/>
              <w:jc w:val="center"/>
              <w:rPr>
                <w:rFonts w:eastAsia="Times New Roman"/>
              </w:rPr>
            </w:pPr>
            <w:r>
              <w:rPr>
                <w:rFonts w:eastAsia="Times New Roman"/>
                <w:b/>
                <w:bCs/>
                <w:color w:val="000000"/>
                <w:sz w:val="16"/>
                <w:szCs w:val="16"/>
              </w:rPr>
              <w:t>Geographic Region Serviced</w:t>
            </w:r>
          </w:p>
        </w:tc>
        <w:tc>
          <w:tcPr>
            <w:tcW w:w="0" w:type="auto"/>
            <w:gridSpan w:val="3"/>
            <w:tcMar>
              <w:top w:w="0" w:type="dxa"/>
              <w:left w:w="20" w:type="dxa"/>
              <w:bottom w:w="0" w:type="dxa"/>
              <w:right w:w="20" w:type="dxa"/>
            </w:tcMar>
            <w:vAlign w:val="center"/>
            <w:hideMark/>
          </w:tcPr>
          <w:p w14:paraId="43A6B85A"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FB3606" w14:textId="77777777" w:rsidR="00000000" w:rsidRDefault="00EE5306">
            <w:pPr>
              <w:spacing w:after="100"/>
              <w:jc w:val="center"/>
              <w:rPr>
                <w:rFonts w:eastAsia="Times New Roman"/>
              </w:rPr>
            </w:pPr>
            <w:r>
              <w:rPr>
                <w:rFonts w:eastAsia="Times New Roman"/>
                <w:b/>
                <w:bCs/>
                <w:color w:val="000000"/>
                <w:sz w:val="16"/>
                <w:szCs w:val="16"/>
              </w:rPr>
              <w:t>Facility</w:t>
            </w:r>
            <w:r>
              <w:rPr>
                <w:rFonts w:eastAsia="Times New Roman"/>
                <w:b/>
                <w:bCs/>
                <w:color w:val="000000"/>
                <w:sz w:val="16"/>
                <w:szCs w:val="16"/>
              </w:rPr>
              <w:br/>
              <w:t>Ownership</w:t>
            </w:r>
          </w:p>
        </w:tc>
      </w:tr>
      <w:tr w:rsidR="00000000" w14:paraId="7B5357C4" w14:textId="77777777">
        <w:trPr>
          <w:divId w:val="2115905793"/>
        </w:trPr>
        <w:tc>
          <w:tcPr>
            <w:tcW w:w="0" w:type="auto"/>
            <w:gridSpan w:val="3"/>
            <w:tcBorders>
              <w:top w:val="single" w:sz="8" w:space="0" w:color="000000"/>
            </w:tcBorders>
            <w:shd w:val="clear" w:color="auto" w:fill="CCEEFF"/>
            <w:tcMar>
              <w:top w:w="30" w:type="dxa"/>
              <w:left w:w="20" w:type="dxa"/>
              <w:bottom w:w="30" w:type="dxa"/>
              <w:right w:w="20" w:type="dxa"/>
            </w:tcMar>
            <w:hideMark/>
          </w:tcPr>
          <w:p w14:paraId="1A1F98A9" w14:textId="77777777" w:rsidR="00000000" w:rsidRDefault="00EE5306">
            <w:pPr>
              <w:spacing w:after="100"/>
              <w:rPr>
                <w:rFonts w:eastAsia="Times New Roman"/>
              </w:rPr>
            </w:pPr>
            <w:r>
              <w:rPr>
                <w:rFonts w:eastAsia="Times New Roman"/>
                <w:color w:val="000000"/>
                <w:sz w:val="20"/>
                <w:szCs w:val="20"/>
              </w:rPr>
              <w:t>N. Pendleton Street, High Point, North Carolina</w:t>
            </w:r>
          </w:p>
        </w:tc>
        <w:tc>
          <w:tcPr>
            <w:tcW w:w="0" w:type="auto"/>
            <w:gridSpan w:val="3"/>
            <w:shd w:val="clear" w:color="auto" w:fill="CCEEFF"/>
            <w:tcMar>
              <w:top w:w="0" w:type="dxa"/>
              <w:left w:w="20" w:type="dxa"/>
              <w:bottom w:w="0" w:type="dxa"/>
              <w:right w:w="20" w:type="dxa"/>
            </w:tcMar>
            <w:vAlign w:val="center"/>
            <w:hideMark/>
          </w:tcPr>
          <w:p w14:paraId="4930404B"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1F603A" w14:textId="77777777" w:rsidR="00000000" w:rsidRDefault="00EE5306">
            <w:pPr>
              <w:spacing w:after="100"/>
              <w:rPr>
                <w:rFonts w:eastAsia="Times New Roman"/>
              </w:rPr>
            </w:pPr>
            <w:r>
              <w:rPr>
                <w:rFonts w:eastAsia="Times New Roman"/>
                <w:color w:val="000000"/>
                <w:sz w:val="20"/>
                <w:szCs w:val="20"/>
              </w:rPr>
              <w:t>U.S.</w:t>
            </w:r>
          </w:p>
        </w:tc>
        <w:tc>
          <w:tcPr>
            <w:tcW w:w="0" w:type="auto"/>
            <w:gridSpan w:val="3"/>
            <w:shd w:val="clear" w:color="auto" w:fill="CCEEFF"/>
            <w:tcMar>
              <w:top w:w="0" w:type="dxa"/>
              <w:left w:w="20" w:type="dxa"/>
              <w:bottom w:w="0" w:type="dxa"/>
              <w:right w:w="20" w:type="dxa"/>
            </w:tcMar>
            <w:vAlign w:val="center"/>
            <w:hideMark/>
          </w:tcPr>
          <w:p w14:paraId="5DBB68E3"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79B3A1CE" w14:textId="77777777" w:rsidR="00000000" w:rsidRDefault="00EE5306">
            <w:pPr>
              <w:spacing w:after="100"/>
              <w:rPr>
                <w:rFonts w:eastAsia="Times New Roman"/>
              </w:rPr>
            </w:pPr>
            <w:r>
              <w:rPr>
                <w:rFonts w:eastAsia="Times New Roman"/>
                <w:color w:val="000000"/>
                <w:sz w:val="20"/>
                <w:szCs w:val="20"/>
              </w:rPr>
              <w:t>Owned</w:t>
            </w:r>
          </w:p>
        </w:tc>
      </w:tr>
      <w:tr w:rsidR="00000000" w14:paraId="6ABFB999" w14:textId="77777777">
        <w:trPr>
          <w:divId w:val="2115905793"/>
        </w:trPr>
        <w:tc>
          <w:tcPr>
            <w:tcW w:w="0" w:type="auto"/>
            <w:gridSpan w:val="3"/>
            <w:shd w:val="clear" w:color="auto" w:fill="FFFFFF"/>
            <w:tcMar>
              <w:top w:w="30" w:type="dxa"/>
              <w:left w:w="20" w:type="dxa"/>
              <w:bottom w:w="30" w:type="dxa"/>
              <w:right w:w="20" w:type="dxa"/>
            </w:tcMar>
            <w:hideMark/>
          </w:tcPr>
          <w:p w14:paraId="475AE4D3" w14:textId="77777777" w:rsidR="00000000" w:rsidRDefault="00EE5306">
            <w:pPr>
              <w:spacing w:after="100"/>
              <w:rPr>
                <w:rFonts w:eastAsia="Times New Roman"/>
              </w:rPr>
            </w:pPr>
            <w:r>
              <w:rPr>
                <w:rFonts w:eastAsia="Times New Roman"/>
                <w:color w:val="000000"/>
                <w:sz w:val="20"/>
                <w:szCs w:val="20"/>
              </w:rPr>
              <w:t>NC Highway 66, High Point, North Carolina</w:t>
            </w:r>
          </w:p>
        </w:tc>
        <w:tc>
          <w:tcPr>
            <w:tcW w:w="0" w:type="auto"/>
            <w:gridSpan w:val="3"/>
            <w:shd w:val="clear" w:color="auto" w:fill="FFFFFF"/>
            <w:tcMar>
              <w:top w:w="0" w:type="dxa"/>
              <w:left w:w="20" w:type="dxa"/>
              <w:bottom w:w="0" w:type="dxa"/>
              <w:right w:w="20" w:type="dxa"/>
            </w:tcMar>
            <w:vAlign w:val="center"/>
            <w:hideMark/>
          </w:tcPr>
          <w:p w14:paraId="05095EC7"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385AFE4" w14:textId="77777777" w:rsidR="00000000" w:rsidRDefault="00EE5306">
            <w:pPr>
              <w:spacing w:after="100"/>
              <w:rPr>
                <w:rFonts w:eastAsia="Times New Roman"/>
              </w:rPr>
            </w:pPr>
            <w:r>
              <w:rPr>
                <w:rFonts w:eastAsia="Times New Roman"/>
                <w:color w:val="000000"/>
                <w:sz w:val="20"/>
                <w:szCs w:val="20"/>
              </w:rPr>
              <w:t>U.S.</w:t>
            </w:r>
          </w:p>
        </w:tc>
        <w:tc>
          <w:tcPr>
            <w:tcW w:w="0" w:type="auto"/>
            <w:gridSpan w:val="3"/>
            <w:shd w:val="clear" w:color="auto" w:fill="FFFFFF"/>
            <w:tcMar>
              <w:top w:w="0" w:type="dxa"/>
              <w:left w:w="20" w:type="dxa"/>
              <w:bottom w:w="0" w:type="dxa"/>
              <w:right w:w="20" w:type="dxa"/>
            </w:tcMar>
            <w:vAlign w:val="center"/>
            <w:hideMark/>
          </w:tcPr>
          <w:p w14:paraId="4AB98F20"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BB49B89" w14:textId="77777777" w:rsidR="00000000" w:rsidRDefault="00EE5306">
            <w:pPr>
              <w:spacing w:after="100"/>
              <w:rPr>
                <w:rFonts w:eastAsia="Times New Roman"/>
              </w:rPr>
            </w:pPr>
            <w:r>
              <w:rPr>
                <w:rFonts w:eastAsia="Times New Roman"/>
                <w:color w:val="000000"/>
                <w:sz w:val="20"/>
                <w:szCs w:val="20"/>
              </w:rPr>
              <w:t>Leased</w:t>
            </w:r>
          </w:p>
        </w:tc>
      </w:tr>
      <w:tr w:rsidR="00000000" w14:paraId="1AD01A04" w14:textId="77777777">
        <w:trPr>
          <w:divId w:val="2115905793"/>
        </w:trPr>
        <w:tc>
          <w:tcPr>
            <w:tcW w:w="0" w:type="auto"/>
            <w:gridSpan w:val="3"/>
            <w:shd w:val="clear" w:color="auto" w:fill="CCEEFF"/>
            <w:tcMar>
              <w:top w:w="30" w:type="dxa"/>
              <w:left w:w="20" w:type="dxa"/>
              <w:bottom w:w="30" w:type="dxa"/>
              <w:right w:w="20" w:type="dxa"/>
            </w:tcMar>
            <w:vAlign w:val="bottom"/>
            <w:hideMark/>
          </w:tcPr>
          <w:p w14:paraId="584012D3" w14:textId="77777777" w:rsidR="00000000" w:rsidRDefault="00EE5306">
            <w:pPr>
              <w:spacing w:after="100"/>
              <w:rPr>
                <w:rFonts w:eastAsia="Times New Roman"/>
              </w:rPr>
            </w:pPr>
            <w:r>
              <w:rPr>
                <w:rFonts w:eastAsia="Times New Roman"/>
                <w:color w:val="000000"/>
                <w:sz w:val="20"/>
                <w:szCs w:val="20"/>
              </w:rPr>
              <w:t>Greensboro, North Carolina</w:t>
            </w:r>
          </w:p>
        </w:tc>
        <w:tc>
          <w:tcPr>
            <w:tcW w:w="0" w:type="auto"/>
            <w:gridSpan w:val="3"/>
            <w:shd w:val="clear" w:color="auto" w:fill="CCEEFF"/>
            <w:tcMar>
              <w:top w:w="0" w:type="dxa"/>
              <w:left w:w="20" w:type="dxa"/>
              <w:bottom w:w="0" w:type="dxa"/>
              <w:right w:w="20" w:type="dxa"/>
            </w:tcMar>
            <w:vAlign w:val="center"/>
            <w:hideMark/>
          </w:tcPr>
          <w:p w14:paraId="2D1F063D"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A3F26FB" w14:textId="77777777" w:rsidR="00000000" w:rsidRDefault="00EE5306">
            <w:pPr>
              <w:spacing w:after="100"/>
              <w:rPr>
                <w:rFonts w:eastAsia="Times New Roman"/>
              </w:rPr>
            </w:pPr>
            <w:r>
              <w:rPr>
                <w:rFonts w:eastAsia="Times New Roman"/>
                <w:color w:val="000000"/>
                <w:sz w:val="20"/>
                <w:szCs w:val="20"/>
              </w:rPr>
              <w:t>U.S.</w:t>
            </w:r>
          </w:p>
        </w:tc>
        <w:tc>
          <w:tcPr>
            <w:tcW w:w="0" w:type="auto"/>
            <w:gridSpan w:val="3"/>
            <w:shd w:val="clear" w:color="auto" w:fill="CCEEFF"/>
            <w:tcMar>
              <w:top w:w="0" w:type="dxa"/>
              <w:left w:w="20" w:type="dxa"/>
              <w:bottom w:w="0" w:type="dxa"/>
              <w:right w:w="20" w:type="dxa"/>
            </w:tcMar>
            <w:vAlign w:val="center"/>
            <w:hideMark/>
          </w:tcPr>
          <w:p w14:paraId="03C73657"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C7C6234" w14:textId="77777777" w:rsidR="00000000" w:rsidRDefault="00EE5306">
            <w:pPr>
              <w:spacing w:after="100"/>
              <w:rPr>
                <w:rFonts w:eastAsia="Times New Roman"/>
              </w:rPr>
            </w:pPr>
            <w:r>
              <w:rPr>
                <w:rFonts w:eastAsia="Times New Roman"/>
                <w:color w:val="000000"/>
                <w:sz w:val="20"/>
                <w:szCs w:val="20"/>
              </w:rPr>
              <w:t>Leased</w:t>
            </w:r>
          </w:p>
        </w:tc>
      </w:tr>
      <w:tr w:rsidR="00000000" w14:paraId="02904CD4" w14:textId="77777777">
        <w:trPr>
          <w:divId w:val="2115905793"/>
        </w:trPr>
        <w:tc>
          <w:tcPr>
            <w:tcW w:w="0" w:type="auto"/>
            <w:gridSpan w:val="3"/>
            <w:shd w:val="clear" w:color="auto" w:fill="FFFFFF"/>
            <w:tcMar>
              <w:top w:w="30" w:type="dxa"/>
              <w:left w:w="20" w:type="dxa"/>
              <w:bottom w:w="30" w:type="dxa"/>
              <w:right w:w="20" w:type="dxa"/>
            </w:tcMar>
            <w:hideMark/>
          </w:tcPr>
          <w:p w14:paraId="3C82DCFA" w14:textId="77777777" w:rsidR="00000000" w:rsidRDefault="00EE5306">
            <w:pPr>
              <w:spacing w:after="100"/>
              <w:rPr>
                <w:rFonts w:eastAsia="Times New Roman"/>
              </w:rPr>
            </w:pPr>
            <w:r>
              <w:rPr>
                <w:rFonts w:eastAsia="Times New Roman"/>
                <w:color w:val="000000"/>
                <w:sz w:val="20"/>
                <w:szCs w:val="20"/>
              </w:rPr>
              <w:t>Chino Hills, California</w:t>
            </w:r>
          </w:p>
        </w:tc>
        <w:tc>
          <w:tcPr>
            <w:tcW w:w="0" w:type="auto"/>
            <w:gridSpan w:val="3"/>
            <w:shd w:val="clear" w:color="auto" w:fill="FFFFFF"/>
            <w:tcMar>
              <w:top w:w="0" w:type="dxa"/>
              <w:left w:w="20" w:type="dxa"/>
              <w:bottom w:w="0" w:type="dxa"/>
              <w:right w:w="20" w:type="dxa"/>
            </w:tcMar>
            <w:vAlign w:val="center"/>
            <w:hideMark/>
          </w:tcPr>
          <w:p w14:paraId="03642E47"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55009E6" w14:textId="77777777" w:rsidR="00000000" w:rsidRDefault="00EE5306">
            <w:pPr>
              <w:spacing w:after="100"/>
              <w:rPr>
                <w:rFonts w:eastAsia="Times New Roman"/>
              </w:rPr>
            </w:pPr>
            <w:r>
              <w:rPr>
                <w:rFonts w:eastAsia="Times New Roman"/>
                <w:color w:val="000000"/>
                <w:sz w:val="20"/>
                <w:szCs w:val="20"/>
              </w:rPr>
              <w:t>U.S.</w:t>
            </w:r>
          </w:p>
        </w:tc>
        <w:tc>
          <w:tcPr>
            <w:tcW w:w="0" w:type="auto"/>
            <w:gridSpan w:val="3"/>
            <w:shd w:val="clear" w:color="auto" w:fill="FFFFFF"/>
            <w:tcMar>
              <w:top w:w="0" w:type="dxa"/>
              <w:left w:w="20" w:type="dxa"/>
              <w:bottom w:w="0" w:type="dxa"/>
              <w:right w:w="20" w:type="dxa"/>
            </w:tcMar>
            <w:vAlign w:val="center"/>
            <w:hideMark/>
          </w:tcPr>
          <w:p w14:paraId="5A98878E"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8954BF9" w14:textId="77777777" w:rsidR="00000000" w:rsidRDefault="00EE5306">
            <w:pPr>
              <w:spacing w:after="100"/>
              <w:rPr>
                <w:rFonts w:eastAsia="Times New Roman"/>
              </w:rPr>
            </w:pPr>
            <w:r>
              <w:rPr>
                <w:rFonts w:eastAsia="Times New Roman"/>
                <w:color w:val="000000"/>
                <w:sz w:val="20"/>
                <w:szCs w:val="20"/>
              </w:rPr>
              <w:t>Third-party</w:t>
            </w:r>
          </w:p>
        </w:tc>
      </w:tr>
      <w:tr w:rsidR="00000000" w14:paraId="47AE044C" w14:textId="77777777">
        <w:trPr>
          <w:divId w:val="2115905793"/>
        </w:trPr>
        <w:tc>
          <w:tcPr>
            <w:tcW w:w="0" w:type="auto"/>
            <w:gridSpan w:val="3"/>
            <w:shd w:val="clear" w:color="auto" w:fill="CCEEFF"/>
            <w:tcMar>
              <w:top w:w="30" w:type="dxa"/>
              <w:left w:w="20" w:type="dxa"/>
              <w:bottom w:w="30" w:type="dxa"/>
              <w:right w:w="20" w:type="dxa"/>
            </w:tcMar>
            <w:hideMark/>
          </w:tcPr>
          <w:p w14:paraId="74E00B6C" w14:textId="77777777" w:rsidR="00000000" w:rsidRDefault="00EE5306">
            <w:pPr>
              <w:spacing w:after="100"/>
              <w:rPr>
                <w:rFonts w:eastAsia="Times New Roman"/>
              </w:rPr>
            </w:pPr>
            <w:r>
              <w:rPr>
                <w:rFonts w:eastAsia="Times New Roman"/>
                <w:color w:val="000000"/>
                <w:sz w:val="20"/>
                <w:szCs w:val="20"/>
              </w:rPr>
              <w:t>Miami, Florida</w:t>
            </w:r>
          </w:p>
        </w:tc>
        <w:tc>
          <w:tcPr>
            <w:tcW w:w="0" w:type="auto"/>
            <w:gridSpan w:val="3"/>
            <w:shd w:val="clear" w:color="auto" w:fill="CCEEFF"/>
            <w:tcMar>
              <w:top w:w="0" w:type="dxa"/>
              <w:left w:w="20" w:type="dxa"/>
              <w:bottom w:w="0" w:type="dxa"/>
              <w:right w:w="20" w:type="dxa"/>
            </w:tcMar>
            <w:vAlign w:val="center"/>
            <w:hideMark/>
          </w:tcPr>
          <w:p w14:paraId="52232718"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99FB40A" w14:textId="77777777" w:rsidR="00000000" w:rsidRDefault="00EE5306">
            <w:pPr>
              <w:spacing w:after="100"/>
              <w:rPr>
                <w:rFonts w:eastAsia="Times New Roman"/>
              </w:rPr>
            </w:pPr>
            <w:r>
              <w:rPr>
                <w:rFonts w:eastAsia="Times New Roman"/>
                <w:color w:val="000000"/>
                <w:sz w:val="20"/>
                <w:szCs w:val="20"/>
              </w:rPr>
              <w:t>U.S.</w:t>
            </w:r>
          </w:p>
        </w:tc>
        <w:tc>
          <w:tcPr>
            <w:tcW w:w="0" w:type="auto"/>
            <w:gridSpan w:val="3"/>
            <w:shd w:val="clear" w:color="auto" w:fill="CCEEFF"/>
            <w:tcMar>
              <w:top w:w="0" w:type="dxa"/>
              <w:left w:w="20" w:type="dxa"/>
              <w:bottom w:w="0" w:type="dxa"/>
              <w:right w:w="20" w:type="dxa"/>
            </w:tcMar>
            <w:vAlign w:val="center"/>
            <w:hideMark/>
          </w:tcPr>
          <w:p w14:paraId="6ECAA1D2"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EAEEC59" w14:textId="77777777" w:rsidR="00000000" w:rsidRDefault="00EE5306">
            <w:pPr>
              <w:spacing w:after="100"/>
              <w:rPr>
                <w:rFonts w:eastAsia="Times New Roman"/>
              </w:rPr>
            </w:pPr>
            <w:r>
              <w:rPr>
                <w:rFonts w:eastAsia="Times New Roman"/>
                <w:color w:val="000000"/>
                <w:sz w:val="20"/>
                <w:szCs w:val="20"/>
              </w:rPr>
              <w:t>Third-party</w:t>
            </w:r>
          </w:p>
        </w:tc>
      </w:tr>
      <w:tr w:rsidR="00000000" w14:paraId="570ECD2F" w14:textId="77777777">
        <w:trPr>
          <w:divId w:val="2115905793"/>
        </w:trPr>
        <w:tc>
          <w:tcPr>
            <w:tcW w:w="0" w:type="auto"/>
            <w:gridSpan w:val="3"/>
            <w:shd w:val="clear" w:color="auto" w:fill="FFFFFF"/>
            <w:tcMar>
              <w:top w:w="30" w:type="dxa"/>
              <w:left w:w="20" w:type="dxa"/>
              <w:bottom w:w="30" w:type="dxa"/>
              <w:right w:w="20" w:type="dxa"/>
            </w:tcMar>
            <w:hideMark/>
          </w:tcPr>
          <w:p w14:paraId="79E7BC16" w14:textId="77777777" w:rsidR="00000000" w:rsidRDefault="00EE5306">
            <w:pPr>
              <w:spacing w:after="100"/>
              <w:rPr>
                <w:rFonts w:eastAsia="Times New Roman"/>
              </w:rPr>
            </w:pPr>
            <w:r>
              <w:rPr>
                <w:rFonts w:eastAsia="Times New Roman"/>
                <w:color w:val="000000"/>
                <w:sz w:val="20"/>
                <w:szCs w:val="20"/>
              </w:rPr>
              <w:t>Toronto, Ontario</w:t>
            </w:r>
          </w:p>
        </w:tc>
        <w:tc>
          <w:tcPr>
            <w:tcW w:w="0" w:type="auto"/>
            <w:gridSpan w:val="3"/>
            <w:shd w:val="clear" w:color="auto" w:fill="FFFFFF"/>
            <w:tcMar>
              <w:top w:w="0" w:type="dxa"/>
              <w:left w:w="20" w:type="dxa"/>
              <w:bottom w:w="0" w:type="dxa"/>
              <w:right w:w="20" w:type="dxa"/>
            </w:tcMar>
            <w:vAlign w:val="center"/>
            <w:hideMark/>
          </w:tcPr>
          <w:p w14:paraId="4A278816"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99C83A4" w14:textId="77777777" w:rsidR="00000000" w:rsidRDefault="00EE5306">
            <w:pPr>
              <w:spacing w:after="100"/>
              <w:rPr>
                <w:rFonts w:eastAsia="Times New Roman"/>
              </w:rPr>
            </w:pPr>
            <w:r>
              <w:rPr>
                <w:rFonts w:eastAsia="Times New Roman"/>
                <w:color w:val="000000"/>
                <w:sz w:val="20"/>
                <w:szCs w:val="20"/>
              </w:rPr>
              <w:t>Canada</w:t>
            </w:r>
          </w:p>
        </w:tc>
        <w:tc>
          <w:tcPr>
            <w:tcW w:w="0" w:type="auto"/>
            <w:gridSpan w:val="3"/>
            <w:shd w:val="clear" w:color="auto" w:fill="FFFFFF"/>
            <w:tcMar>
              <w:top w:w="0" w:type="dxa"/>
              <w:left w:w="20" w:type="dxa"/>
              <w:bottom w:w="0" w:type="dxa"/>
              <w:right w:w="20" w:type="dxa"/>
            </w:tcMar>
            <w:vAlign w:val="center"/>
            <w:hideMark/>
          </w:tcPr>
          <w:p w14:paraId="347307A4"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BF8E8FC" w14:textId="77777777" w:rsidR="00000000" w:rsidRDefault="00EE5306">
            <w:pPr>
              <w:spacing w:after="100"/>
              <w:rPr>
                <w:rFonts w:eastAsia="Times New Roman"/>
              </w:rPr>
            </w:pPr>
            <w:r>
              <w:rPr>
                <w:rFonts w:eastAsia="Times New Roman"/>
                <w:color w:val="000000"/>
                <w:sz w:val="20"/>
                <w:szCs w:val="20"/>
              </w:rPr>
              <w:t>Third-party</w:t>
            </w:r>
          </w:p>
        </w:tc>
      </w:tr>
      <w:tr w:rsidR="00000000" w14:paraId="12810D82" w14:textId="77777777">
        <w:trPr>
          <w:divId w:val="2115905793"/>
        </w:trPr>
        <w:tc>
          <w:tcPr>
            <w:tcW w:w="0" w:type="auto"/>
            <w:gridSpan w:val="3"/>
            <w:shd w:val="clear" w:color="auto" w:fill="CCEEFF"/>
            <w:tcMar>
              <w:top w:w="30" w:type="dxa"/>
              <w:left w:w="20" w:type="dxa"/>
              <w:bottom w:w="30" w:type="dxa"/>
              <w:right w:w="20" w:type="dxa"/>
            </w:tcMar>
            <w:vAlign w:val="bottom"/>
            <w:hideMark/>
          </w:tcPr>
          <w:p w14:paraId="6DE26268" w14:textId="77777777" w:rsidR="00000000" w:rsidRDefault="00EE5306">
            <w:pPr>
              <w:spacing w:after="100"/>
              <w:rPr>
                <w:rFonts w:eastAsia="Times New Roman"/>
              </w:rPr>
            </w:pPr>
            <w:r>
              <w:rPr>
                <w:rFonts w:eastAsia="Times New Roman"/>
                <w:color w:val="000000"/>
                <w:sz w:val="20"/>
                <w:szCs w:val="20"/>
              </w:rPr>
              <w:t>Parma, Italy</w:t>
            </w:r>
          </w:p>
        </w:tc>
        <w:tc>
          <w:tcPr>
            <w:tcW w:w="0" w:type="auto"/>
            <w:gridSpan w:val="3"/>
            <w:shd w:val="clear" w:color="auto" w:fill="CCEEFF"/>
            <w:tcMar>
              <w:top w:w="0" w:type="dxa"/>
              <w:left w:w="20" w:type="dxa"/>
              <w:bottom w:w="0" w:type="dxa"/>
              <w:right w:w="20" w:type="dxa"/>
            </w:tcMar>
            <w:vAlign w:val="center"/>
            <w:hideMark/>
          </w:tcPr>
          <w:p w14:paraId="20E623EC"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7FCDD31" w14:textId="77777777" w:rsidR="00000000" w:rsidRDefault="00EE5306">
            <w:pPr>
              <w:spacing w:after="100"/>
              <w:rPr>
                <w:rFonts w:eastAsia="Times New Roman"/>
              </w:rPr>
            </w:pPr>
            <w:r>
              <w:rPr>
                <w:rFonts w:eastAsia="Times New Roman"/>
                <w:color w:val="000000"/>
                <w:sz w:val="20"/>
                <w:szCs w:val="20"/>
              </w:rPr>
              <w:t>Europe and Latin America</w:t>
            </w:r>
          </w:p>
        </w:tc>
        <w:tc>
          <w:tcPr>
            <w:tcW w:w="0" w:type="auto"/>
            <w:gridSpan w:val="3"/>
            <w:shd w:val="clear" w:color="auto" w:fill="CCEEFF"/>
            <w:tcMar>
              <w:top w:w="0" w:type="dxa"/>
              <w:left w:w="20" w:type="dxa"/>
              <w:bottom w:w="0" w:type="dxa"/>
              <w:right w:w="20" w:type="dxa"/>
            </w:tcMar>
            <w:vAlign w:val="center"/>
            <w:hideMark/>
          </w:tcPr>
          <w:p w14:paraId="7ABE6D13"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66B6EA8" w14:textId="77777777" w:rsidR="00000000" w:rsidRDefault="00EE5306">
            <w:pPr>
              <w:spacing w:after="100"/>
              <w:rPr>
                <w:rFonts w:eastAsia="Times New Roman"/>
              </w:rPr>
            </w:pPr>
            <w:r>
              <w:rPr>
                <w:rFonts w:eastAsia="Times New Roman"/>
                <w:color w:val="000000"/>
                <w:sz w:val="20"/>
                <w:szCs w:val="20"/>
              </w:rPr>
              <w:t>Third-party</w:t>
            </w:r>
          </w:p>
        </w:tc>
      </w:tr>
      <w:tr w:rsidR="00000000" w14:paraId="6020CF38" w14:textId="77777777">
        <w:trPr>
          <w:divId w:val="2115905793"/>
        </w:trPr>
        <w:tc>
          <w:tcPr>
            <w:tcW w:w="0" w:type="auto"/>
            <w:gridSpan w:val="3"/>
            <w:shd w:val="clear" w:color="auto" w:fill="FFFFFF"/>
            <w:tcMar>
              <w:top w:w="30" w:type="dxa"/>
              <w:left w:w="20" w:type="dxa"/>
              <w:bottom w:w="30" w:type="dxa"/>
              <w:right w:w="20" w:type="dxa"/>
            </w:tcMar>
            <w:hideMark/>
          </w:tcPr>
          <w:p w14:paraId="7BEFEC0B" w14:textId="77777777" w:rsidR="00000000" w:rsidRDefault="00EE5306">
            <w:pPr>
              <w:spacing w:after="100"/>
              <w:rPr>
                <w:rFonts w:eastAsia="Times New Roman"/>
              </w:rPr>
            </w:pPr>
            <w:r>
              <w:rPr>
                <w:rFonts w:eastAsia="Times New Roman"/>
                <w:color w:val="000000"/>
                <w:sz w:val="20"/>
                <w:szCs w:val="20"/>
              </w:rPr>
              <w:t>Yokohama, Japan</w:t>
            </w:r>
          </w:p>
        </w:tc>
        <w:tc>
          <w:tcPr>
            <w:tcW w:w="0" w:type="auto"/>
            <w:gridSpan w:val="3"/>
            <w:shd w:val="clear" w:color="auto" w:fill="FFFFFF"/>
            <w:tcMar>
              <w:top w:w="0" w:type="dxa"/>
              <w:left w:w="20" w:type="dxa"/>
              <w:bottom w:w="0" w:type="dxa"/>
              <w:right w:w="20" w:type="dxa"/>
            </w:tcMar>
            <w:vAlign w:val="center"/>
            <w:hideMark/>
          </w:tcPr>
          <w:p w14:paraId="3E3F6E90"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2815ADD" w14:textId="77777777" w:rsidR="00000000" w:rsidRDefault="00EE5306">
            <w:pPr>
              <w:spacing w:after="100"/>
              <w:rPr>
                <w:rFonts w:eastAsia="Times New Roman"/>
              </w:rPr>
            </w:pPr>
            <w:r>
              <w:rPr>
                <w:rFonts w:eastAsia="Times New Roman"/>
                <w:color w:val="000000"/>
                <w:sz w:val="20"/>
                <w:szCs w:val="20"/>
              </w:rPr>
              <w:t>Japan</w:t>
            </w:r>
          </w:p>
        </w:tc>
        <w:tc>
          <w:tcPr>
            <w:tcW w:w="0" w:type="auto"/>
            <w:gridSpan w:val="3"/>
            <w:shd w:val="clear" w:color="auto" w:fill="FFFFFF"/>
            <w:tcMar>
              <w:top w:w="0" w:type="dxa"/>
              <w:left w:w="20" w:type="dxa"/>
              <w:bottom w:w="0" w:type="dxa"/>
              <w:right w:w="20" w:type="dxa"/>
            </w:tcMar>
            <w:vAlign w:val="center"/>
            <w:hideMark/>
          </w:tcPr>
          <w:p w14:paraId="57878DE0"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65AB00E" w14:textId="77777777" w:rsidR="00000000" w:rsidRDefault="00EE5306">
            <w:pPr>
              <w:spacing w:after="100"/>
              <w:rPr>
                <w:rFonts w:eastAsia="Times New Roman"/>
              </w:rPr>
            </w:pPr>
            <w:r>
              <w:rPr>
                <w:rFonts w:eastAsia="Times New Roman"/>
                <w:color w:val="000000"/>
                <w:sz w:val="20"/>
                <w:szCs w:val="20"/>
              </w:rPr>
              <w:t>Third-party</w:t>
            </w:r>
          </w:p>
        </w:tc>
      </w:tr>
      <w:tr w:rsidR="00000000" w14:paraId="163958C5" w14:textId="77777777">
        <w:trPr>
          <w:divId w:val="2115905793"/>
        </w:trPr>
        <w:tc>
          <w:tcPr>
            <w:tcW w:w="0" w:type="auto"/>
            <w:gridSpan w:val="3"/>
            <w:shd w:val="clear" w:color="auto" w:fill="CCEEFF"/>
            <w:tcMar>
              <w:top w:w="30" w:type="dxa"/>
              <w:left w:w="20" w:type="dxa"/>
              <w:bottom w:w="30" w:type="dxa"/>
              <w:right w:w="20" w:type="dxa"/>
            </w:tcMar>
            <w:hideMark/>
          </w:tcPr>
          <w:p w14:paraId="65BA71C8" w14:textId="77777777" w:rsidR="00000000" w:rsidRDefault="00EE5306">
            <w:pPr>
              <w:spacing w:after="100"/>
              <w:rPr>
                <w:rFonts w:eastAsia="Times New Roman"/>
              </w:rPr>
            </w:pPr>
            <w:r>
              <w:rPr>
                <w:rFonts w:eastAsia="Times New Roman"/>
                <w:color w:val="000000"/>
                <w:sz w:val="20"/>
                <w:szCs w:val="20"/>
              </w:rPr>
              <w:t>Bugok, South Korea</w:t>
            </w:r>
          </w:p>
        </w:tc>
        <w:tc>
          <w:tcPr>
            <w:tcW w:w="0" w:type="auto"/>
            <w:gridSpan w:val="3"/>
            <w:shd w:val="clear" w:color="auto" w:fill="CCEEFF"/>
            <w:tcMar>
              <w:top w:w="0" w:type="dxa"/>
              <w:left w:w="20" w:type="dxa"/>
              <w:bottom w:w="0" w:type="dxa"/>
              <w:right w:w="20" w:type="dxa"/>
            </w:tcMar>
            <w:vAlign w:val="center"/>
            <w:hideMark/>
          </w:tcPr>
          <w:p w14:paraId="3CABE8B6"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A0B6CE7" w14:textId="77777777" w:rsidR="00000000" w:rsidRDefault="00EE5306">
            <w:pPr>
              <w:spacing w:after="100"/>
              <w:rPr>
                <w:rFonts w:eastAsia="Times New Roman"/>
              </w:rPr>
            </w:pPr>
            <w:r>
              <w:rPr>
                <w:rFonts w:eastAsia="Times New Roman"/>
                <w:color w:val="000000"/>
                <w:sz w:val="20"/>
                <w:szCs w:val="20"/>
              </w:rPr>
              <w:t>South Korea</w:t>
            </w:r>
          </w:p>
        </w:tc>
        <w:tc>
          <w:tcPr>
            <w:tcW w:w="0" w:type="auto"/>
            <w:gridSpan w:val="3"/>
            <w:shd w:val="clear" w:color="auto" w:fill="CCEEFF"/>
            <w:tcMar>
              <w:top w:w="0" w:type="dxa"/>
              <w:left w:w="20" w:type="dxa"/>
              <w:bottom w:w="0" w:type="dxa"/>
              <w:right w:w="20" w:type="dxa"/>
            </w:tcMar>
            <w:vAlign w:val="center"/>
            <w:hideMark/>
          </w:tcPr>
          <w:p w14:paraId="135DAB25"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B7B5A06" w14:textId="77777777" w:rsidR="00000000" w:rsidRDefault="00EE5306">
            <w:pPr>
              <w:spacing w:after="100"/>
              <w:rPr>
                <w:rFonts w:eastAsia="Times New Roman"/>
              </w:rPr>
            </w:pPr>
            <w:r>
              <w:rPr>
                <w:rFonts w:eastAsia="Times New Roman"/>
                <w:color w:val="000000"/>
                <w:sz w:val="20"/>
                <w:szCs w:val="20"/>
              </w:rPr>
              <w:t>Leased</w:t>
            </w:r>
          </w:p>
        </w:tc>
      </w:tr>
      <w:tr w:rsidR="00000000" w14:paraId="365B46AF" w14:textId="77777777">
        <w:trPr>
          <w:divId w:val="2115905793"/>
        </w:trPr>
        <w:tc>
          <w:tcPr>
            <w:tcW w:w="0" w:type="auto"/>
            <w:gridSpan w:val="3"/>
            <w:shd w:val="clear" w:color="auto" w:fill="FFFFFF"/>
            <w:tcMar>
              <w:top w:w="30" w:type="dxa"/>
              <w:left w:w="20" w:type="dxa"/>
              <w:bottom w:w="30" w:type="dxa"/>
              <w:right w:w="20" w:type="dxa"/>
            </w:tcMar>
            <w:hideMark/>
          </w:tcPr>
          <w:p w14:paraId="310F4713" w14:textId="77777777" w:rsidR="00000000" w:rsidRDefault="00EE5306">
            <w:pPr>
              <w:spacing w:after="100"/>
              <w:rPr>
                <w:rFonts w:eastAsia="Times New Roman"/>
              </w:rPr>
            </w:pPr>
            <w:r>
              <w:rPr>
                <w:rFonts w:eastAsia="Times New Roman"/>
                <w:color w:val="000000"/>
                <w:sz w:val="20"/>
                <w:szCs w:val="20"/>
              </w:rPr>
              <w:t>Tuen Mun, Hong Kong</w:t>
            </w:r>
          </w:p>
        </w:tc>
        <w:tc>
          <w:tcPr>
            <w:tcW w:w="0" w:type="auto"/>
            <w:gridSpan w:val="3"/>
            <w:shd w:val="clear" w:color="auto" w:fill="FFFFFF"/>
            <w:tcMar>
              <w:top w:w="0" w:type="dxa"/>
              <w:left w:w="20" w:type="dxa"/>
              <w:bottom w:w="0" w:type="dxa"/>
              <w:right w:w="20" w:type="dxa"/>
            </w:tcMar>
            <w:vAlign w:val="center"/>
            <w:hideMark/>
          </w:tcPr>
          <w:p w14:paraId="32265EA6"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509C95F" w14:textId="77777777" w:rsidR="00000000" w:rsidRDefault="00EE5306">
            <w:pPr>
              <w:spacing w:after="100"/>
              <w:divId w:val="1751583766"/>
              <w:rPr>
                <w:rFonts w:eastAsia="Times New Roman"/>
              </w:rPr>
            </w:pPr>
            <w:r>
              <w:rPr>
                <w:rFonts w:eastAsia="Times New Roman"/>
                <w:color w:val="000000"/>
                <w:sz w:val="20"/>
                <w:szCs w:val="20"/>
              </w:rPr>
              <w:t>China and Southeast Asi</w:t>
            </w:r>
            <w:r>
              <w:rPr>
                <w:rFonts w:eastAsia="Times New Roman"/>
                <w:color w:val="000000"/>
                <w:sz w:val="20"/>
                <w:szCs w:val="20"/>
              </w:rPr>
              <w:t>a</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37EE46D"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60E1C2A" w14:textId="77777777" w:rsidR="00000000" w:rsidRDefault="00EE5306">
            <w:pPr>
              <w:spacing w:after="100"/>
              <w:rPr>
                <w:rFonts w:eastAsia="Times New Roman"/>
              </w:rPr>
            </w:pPr>
            <w:r>
              <w:rPr>
                <w:rFonts w:eastAsia="Times New Roman"/>
                <w:color w:val="000000"/>
                <w:sz w:val="20"/>
                <w:szCs w:val="20"/>
              </w:rPr>
              <w:t>Third-party</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1308F53D" w14:textId="77777777">
        <w:trPr>
          <w:jc w:val="center"/>
        </w:trPr>
        <w:tc>
          <w:tcPr>
            <w:tcW w:w="50" w:type="pct"/>
            <w:vAlign w:val="center"/>
            <w:hideMark/>
          </w:tcPr>
          <w:p w14:paraId="66B36FBA" w14:textId="77777777" w:rsidR="00000000" w:rsidRDefault="00EE5306">
            <w:pPr>
              <w:rPr>
                <w:rFonts w:eastAsia="Times New Roman"/>
              </w:rPr>
            </w:pPr>
          </w:p>
        </w:tc>
        <w:tc>
          <w:tcPr>
            <w:tcW w:w="1699" w:type="pct"/>
            <w:vAlign w:val="center"/>
            <w:hideMark/>
          </w:tcPr>
          <w:p w14:paraId="0CD22FB4" w14:textId="77777777" w:rsidR="00000000" w:rsidRDefault="00EE5306">
            <w:pPr>
              <w:spacing w:after="100"/>
              <w:rPr>
                <w:rFonts w:eastAsia="Times New Roman"/>
                <w:sz w:val="20"/>
                <w:szCs w:val="20"/>
              </w:rPr>
            </w:pPr>
          </w:p>
        </w:tc>
        <w:tc>
          <w:tcPr>
            <w:tcW w:w="5" w:type="pct"/>
            <w:vAlign w:val="center"/>
            <w:hideMark/>
          </w:tcPr>
          <w:p w14:paraId="767CCCE7" w14:textId="77777777" w:rsidR="00000000" w:rsidRDefault="00EE5306">
            <w:pPr>
              <w:spacing w:after="100"/>
              <w:rPr>
                <w:rFonts w:eastAsia="Times New Roman"/>
                <w:sz w:val="20"/>
                <w:szCs w:val="20"/>
              </w:rPr>
            </w:pPr>
          </w:p>
        </w:tc>
        <w:tc>
          <w:tcPr>
            <w:tcW w:w="50" w:type="pct"/>
            <w:vAlign w:val="center"/>
            <w:hideMark/>
          </w:tcPr>
          <w:p w14:paraId="2CCDA2D2" w14:textId="77777777" w:rsidR="00000000" w:rsidRDefault="00EE5306">
            <w:pPr>
              <w:spacing w:after="100"/>
              <w:rPr>
                <w:rFonts w:eastAsia="Times New Roman"/>
                <w:sz w:val="20"/>
                <w:szCs w:val="20"/>
              </w:rPr>
            </w:pPr>
          </w:p>
        </w:tc>
        <w:tc>
          <w:tcPr>
            <w:tcW w:w="1436" w:type="pct"/>
            <w:vAlign w:val="center"/>
            <w:hideMark/>
          </w:tcPr>
          <w:p w14:paraId="67EC1127" w14:textId="77777777" w:rsidR="00000000" w:rsidRDefault="00EE5306">
            <w:pPr>
              <w:spacing w:after="100"/>
              <w:rPr>
                <w:rFonts w:eastAsia="Times New Roman"/>
                <w:sz w:val="20"/>
                <w:szCs w:val="20"/>
              </w:rPr>
            </w:pPr>
          </w:p>
        </w:tc>
        <w:tc>
          <w:tcPr>
            <w:tcW w:w="5" w:type="pct"/>
            <w:vAlign w:val="center"/>
            <w:hideMark/>
          </w:tcPr>
          <w:p w14:paraId="665AEE37" w14:textId="77777777" w:rsidR="00000000" w:rsidRDefault="00EE5306">
            <w:pPr>
              <w:spacing w:after="100"/>
              <w:rPr>
                <w:rFonts w:eastAsia="Times New Roman"/>
                <w:sz w:val="20"/>
                <w:szCs w:val="20"/>
              </w:rPr>
            </w:pPr>
          </w:p>
        </w:tc>
        <w:tc>
          <w:tcPr>
            <w:tcW w:w="50" w:type="pct"/>
            <w:vAlign w:val="center"/>
            <w:hideMark/>
          </w:tcPr>
          <w:p w14:paraId="4971A725" w14:textId="77777777" w:rsidR="00000000" w:rsidRDefault="00EE5306">
            <w:pPr>
              <w:spacing w:after="100"/>
              <w:rPr>
                <w:rFonts w:eastAsia="Times New Roman"/>
                <w:sz w:val="20"/>
                <w:szCs w:val="20"/>
              </w:rPr>
            </w:pPr>
          </w:p>
        </w:tc>
        <w:tc>
          <w:tcPr>
            <w:tcW w:w="1699" w:type="pct"/>
            <w:vAlign w:val="center"/>
            <w:hideMark/>
          </w:tcPr>
          <w:p w14:paraId="28261740" w14:textId="77777777" w:rsidR="00000000" w:rsidRDefault="00EE5306">
            <w:pPr>
              <w:spacing w:after="100"/>
              <w:rPr>
                <w:rFonts w:eastAsia="Times New Roman"/>
                <w:sz w:val="20"/>
                <w:szCs w:val="20"/>
              </w:rPr>
            </w:pPr>
          </w:p>
        </w:tc>
        <w:tc>
          <w:tcPr>
            <w:tcW w:w="5" w:type="pct"/>
            <w:vAlign w:val="center"/>
            <w:hideMark/>
          </w:tcPr>
          <w:p w14:paraId="5856BFCD" w14:textId="77777777" w:rsidR="00000000" w:rsidRDefault="00EE5306">
            <w:pPr>
              <w:spacing w:after="100"/>
              <w:rPr>
                <w:rFonts w:eastAsia="Times New Roman"/>
                <w:sz w:val="20"/>
                <w:szCs w:val="20"/>
              </w:rPr>
            </w:pPr>
          </w:p>
        </w:tc>
      </w:tr>
      <w:tr w:rsidR="00000000" w14:paraId="10B6EDA5" w14:textId="77777777">
        <w:trPr>
          <w:jc w:val="center"/>
        </w:trPr>
        <w:tc>
          <w:tcPr>
            <w:tcW w:w="0" w:type="auto"/>
            <w:gridSpan w:val="3"/>
            <w:tcMar>
              <w:top w:w="0" w:type="dxa"/>
              <w:left w:w="20" w:type="dxa"/>
              <w:bottom w:w="0" w:type="dxa"/>
              <w:right w:w="20" w:type="dxa"/>
            </w:tcMar>
            <w:vAlign w:val="center"/>
            <w:hideMark/>
          </w:tcPr>
          <w:p w14:paraId="59B4EFDD"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D62CECD" w14:textId="77777777" w:rsidR="00000000" w:rsidRDefault="00EE5306">
            <w:pPr>
              <w:spacing w:after="100"/>
              <w:jc w:val="center"/>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14:paraId="22A435F6" w14:textId="77777777" w:rsidR="00000000" w:rsidRDefault="00EE5306">
            <w:pPr>
              <w:spacing w:after="100"/>
              <w:jc w:val="center"/>
              <w:rPr>
                <w:rFonts w:eastAsia="Times New Roman"/>
              </w:rPr>
            </w:pPr>
          </w:p>
        </w:tc>
      </w:tr>
    </w:tbl>
    <w:p w14:paraId="54C78D29" w14:textId="77777777" w:rsidR="00000000" w:rsidRDefault="00EE5306">
      <w:pPr>
        <w:rPr>
          <w:rFonts w:eastAsia="Times New Roman"/>
        </w:rPr>
      </w:pPr>
      <w:r>
        <w:rPr>
          <w:rFonts w:eastAsia="Times New Roman"/>
        </w:rPr>
        <w:pict w14:anchorId="5C062568">
          <v:rect id="_x0000_i1044" style="width:0;height:1.5pt" o:hralign="center" o:hrstd="t" o:hr="t" fillcolor="#a0a0a0" stroked="f"/>
        </w:pict>
      </w:r>
    </w:p>
    <w:p w14:paraId="067F3CE8" w14:textId="77777777" w:rsidR="00000000" w:rsidRDefault="00EE5306">
      <w:pPr>
        <w:divId w:val="616372758"/>
        <w:rPr>
          <w:rFonts w:eastAsia="Times New Roman"/>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14:paraId="5C777FA4" w14:textId="77777777">
        <w:trPr>
          <w:divId w:val="978918202"/>
        </w:trPr>
        <w:tc>
          <w:tcPr>
            <w:tcW w:w="50" w:type="pct"/>
            <w:vAlign w:val="center"/>
            <w:hideMark/>
          </w:tcPr>
          <w:p w14:paraId="5A50500B" w14:textId="77777777" w:rsidR="00000000" w:rsidRDefault="00EE5306">
            <w:pPr>
              <w:rPr>
                <w:rFonts w:eastAsia="Times New Roman"/>
              </w:rPr>
            </w:pPr>
          </w:p>
        </w:tc>
        <w:tc>
          <w:tcPr>
            <w:tcW w:w="4945" w:type="pct"/>
            <w:vAlign w:val="center"/>
            <w:hideMark/>
          </w:tcPr>
          <w:p w14:paraId="561BA5F0" w14:textId="77777777" w:rsidR="00000000" w:rsidRDefault="00EE5306">
            <w:pPr>
              <w:spacing w:after="100"/>
              <w:rPr>
                <w:rFonts w:eastAsia="Times New Roman"/>
                <w:sz w:val="20"/>
                <w:szCs w:val="20"/>
              </w:rPr>
            </w:pPr>
          </w:p>
        </w:tc>
        <w:tc>
          <w:tcPr>
            <w:tcW w:w="5" w:type="pct"/>
            <w:vAlign w:val="center"/>
            <w:hideMark/>
          </w:tcPr>
          <w:p w14:paraId="7DB9D042" w14:textId="77777777" w:rsidR="00000000" w:rsidRDefault="00EE5306">
            <w:pPr>
              <w:spacing w:after="100"/>
              <w:rPr>
                <w:rFonts w:eastAsia="Times New Roman"/>
                <w:sz w:val="20"/>
                <w:szCs w:val="20"/>
              </w:rPr>
            </w:pPr>
          </w:p>
        </w:tc>
      </w:tr>
      <w:tr w:rsidR="00000000" w14:paraId="1CCC0444" w14:textId="77777777">
        <w:trPr>
          <w:divId w:val="978918202"/>
          <w:trHeight w:val="60"/>
        </w:trPr>
        <w:tc>
          <w:tcPr>
            <w:tcW w:w="0" w:type="auto"/>
            <w:gridSpan w:val="3"/>
            <w:tcBorders>
              <w:bottom w:val="single" w:sz="8" w:space="0" w:color="000000"/>
            </w:tcBorders>
            <w:tcMar>
              <w:top w:w="0" w:type="dxa"/>
              <w:left w:w="20" w:type="dxa"/>
              <w:bottom w:w="0" w:type="dxa"/>
              <w:right w:w="20" w:type="dxa"/>
            </w:tcMar>
            <w:vAlign w:val="center"/>
            <w:hideMark/>
          </w:tcPr>
          <w:p w14:paraId="6F68A698" w14:textId="77777777" w:rsidR="00000000" w:rsidRDefault="00EE5306">
            <w:pPr>
              <w:spacing w:after="100"/>
              <w:rPr>
                <w:rFonts w:eastAsia="Times New Roman"/>
                <w:sz w:val="20"/>
                <w:szCs w:val="20"/>
              </w:rPr>
            </w:pPr>
          </w:p>
        </w:tc>
      </w:tr>
    </w:tbl>
    <w:p w14:paraId="59CC5FAC" w14:textId="77777777" w:rsidR="00000000" w:rsidRDefault="00EE5306">
      <w:pPr>
        <w:ind w:hanging="360"/>
        <w:jc w:val="both"/>
        <w:divId w:val="227810934"/>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Includes Australia, China, Hong Kong, India, Macau, Malaysia, New Zealand, the Philippines, Singapore, Taiwan, Thailand, and Vietnam.</w:t>
      </w:r>
    </w:p>
    <w:p w14:paraId="107F2174" w14:textId="77777777" w:rsidR="00000000" w:rsidRDefault="00EE5306">
      <w:pPr>
        <w:ind w:firstLine="540"/>
        <w:jc w:val="both"/>
        <w:divId w:val="787774432"/>
        <w:rPr>
          <w:rFonts w:eastAsia="Times New Roman"/>
        </w:rPr>
      </w:pPr>
      <w:r>
        <w:rPr>
          <w:rFonts w:eastAsia="Times New Roman"/>
          <w:color w:val="000000"/>
          <w:sz w:val="20"/>
          <w:szCs w:val="20"/>
        </w:rPr>
        <w:t>All facilities are designed to allow for high-density cube storage and value-added services, and utilize unit and carton t</w:t>
      </w:r>
      <w:r>
        <w:rPr>
          <w:rFonts w:eastAsia="Times New Roman"/>
          <w:color w:val="000000"/>
          <w:sz w:val="20"/>
          <w:szCs w:val="20"/>
        </w:rPr>
        <w:t>racking technology to facilitate process control and inventory management. The distribution network is managed through globally integrated information technology systems.</w:t>
      </w:r>
    </w:p>
    <w:p w14:paraId="78331C0E" w14:textId="77777777" w:rsidR="00000000" w:rsidRDefault="00EE5306">
      <w:pPr>
        <w:jc w:val="center"/>
        <w:divId w:val="1617909883"/>
        <w:rPr>
          <w:rFonts w:eastAsia="Times New Roman"/>
        </w:rPr>
      </w:pPr>
      <w:r>
        <w:rPr>
          <w:rFonts w:eastAsia="Times New Roman"/>
          <w:b/>
          <w:bCs/>
          <w:color w:val="000000"/>
          <w:sz w:val="20"/>
          <w:szCs w:val="20"/>
        </w:rPr>
        <w:t xml:space="preserve">Information Systems </w:t>
      </w:r>
    </w:p>
    <w:p w14:paraId="5BC838C6" w14:textId="77777777" w:rsidR="00000000" w:rsidRDefault="00EE5306">
      <w:pPr>
        <w:ind w:firstLine="540"/>
        <w:jc w:val="both"/>
        <w:divId w:val="256408920"/>
        <w:rPr>
          <w:rFonts w:eastAsia="Times New Roman"/>
        </w:rPr>
      </w:pPr>
      <w:r>
        <w:rPr>
          <w:rFonts w:eastAsia="Times New Roman"/>
          <w:color w:val="000000"/>
          <w:sz w:val="20"/>
          <w:szCs w:val="20"/>
        </w:rPr>
        <w:t xml:space="preserve">Our information systems facilitate business processes, consumer </w:t>
      </w:r>
      <w:r>
        <w:rPr>
          <w:rFonts w:eastAsia="Times New Roman"/>
          <w:color w:val="000000"/>
          <w:sz w:val="20"/>
          <w:szCs w:val="20"/>
        </w:rPr>
        <w:t>experiences, and decision-making support across the Company and our extended ecosystem of manufacturers, vendors, business partners, and customers. Our system applications are connected to support the flow of information across functions, including:</w:t>
      </w:r>
    </w:p>
    <w:p w14:paraId="2B36EF27" w14:textId="77777777" w:rsidR="00000000" w:rsidRDefault="00EE5306">
      <w:pPr>
        <w:ind w:hanging="360"/>
        <w:jc w:val="both"/>
        <w:divId w:val="1397390378"/>
        <w:rPr>
          <w:rFonts w:eastAsia="Times New Roman"/>
        </w:rPr>
      </w:pPr>
      <w:r>
        <w:rPr>
          <w:rFonts w:eastAsia="Times New Roman"/>
          <w:color w:val="000000"/>
          <w:sz w:val="20"/>
          <w:szCs w:val="20"/>
        </w:rPr>
        <w:t>•produ</w:t>
      </w:r>
      <w:r>
        <w:rPr>
          <w:rFonts w:eastAsia="Times New Roman"/>
          <w:color w:val="000000"/>
          <w:sz w:val="20"/>
          <w:szCs w:val="20"/>
        </w:rPr>
        <w:t>ct design, sourcing, and production;</w:t>
      </w:r>
    </w:p>
    <w:p w14:paraId="7581823B" w14:textId="77777777" w:rsidR="00000000" w:rsidRDefault="00EE5306">
      <w:pPr>
        <w:ind w:hanging="360"/>
        <w:jc w:val="both"/>
        <w:divId w:val="291717875"/>
        <w:rPr>
          <w:rFonts w:eastAsia="Times New Roman"/>
        </w:rPr>
      </w:pPr>
      <w:r>
        <w:rPr>
          <w:rFonts w:eastAsia="Times New Roman"/>
          <w:color w:val="000000"/>
          <w:sz w:val="20"/>
          <w:szCs w:val="20"/>
        </w:rPr>
        <w:t>•comprehensive order processing, fulfillment, and distribution;</w:t>
      </w:r>
    </w:p>
    <w:p w14:paraId="046E1430" w14:textId="77777777" w:rsidR="00000000" w:rsidRDefault="00EE5306">
      <w:pPr>
        <w:ind w:hanging="360"/>
        <w:jc w:val="both"/>
        <w:divId w:val="26101848"/>
        <w:rPr>
          <w:rFonts w:eastAsia="Times New Roman"/>
        </w:rPr>
      </w:pPr>
      <w:r>
        <w:rPr>
          <w:rFonts w:eastAsia="Times New Roman"/>
          <w:color w:val="000000"/>
          <w:sz w:val="20"/>
          <w:szCs w:val="20"/>
        </w:rPr>
        <w:t>•retail store and digital commerce operations;</w:t>
      </w:r>
    </w:p>
    <w:p w14:paraId="0E092791" w14:textId="77777777" w:rsidR="00000000" w:rsidRDefault="00EE5306">
      <w:pPr>
        <w:ind w:hanging="360"/>
        <w:jc w:val="both"/>
        <w:divId w:val="1948192089"/>
        <w:rPr>
          <w:rFonts w:eastAsia="Times New Roman"/>
        </w:rPr>
      </w:pPr>
      <w:r>
        <w:rPr>
          <w:rFonts w:eastAsia="Times New Roman"/>
          <w:color w:val="000000"/>
          <w:sz w:val="20"/>
          <w:szCs w:val="20"/>
        </w:rPr>
        <w:t>•marketing and advertising;</w:t>
      </w:r>
    </w:p>
    <w:p w14:paraId="103FAD03" w14:textId="77777777" w:rsidR="00000000" w:rsidRDefault="00EE5306">
      <w:pPr>
        <w:ind w:hanging="360"/>
        <w:jc w:val="both"/>
        <w:divId w:val="360858767"/>
        <w:rPr>
          <w:rFonts w:eastAsia="Times New Roman"/>
        </w:rPr>
      </w:pPr>
      <w:r>
        <w:rPr>
          <w:rFonts w:eastAsia="Times New Roman"/>
          <w:color w:val="000000"/>
          <w:sz w:val="20"/>
          <w:szCs w:val="20"/>
        </w:rPr>
        <w:t>•financial accounting and management reporting; and</w:t>
      </w:r>
    </w:p>
    <w:p w14:paraId="75DCFC91" w14:textId="77777777" w:rsidR="00000000" w:rsidRDefault="00EE5306">
      <w:pPr>
        <w:ind w:hanging="360"/>
        <w:jc w:val="both"/>
        <w:divId w:val="1174148102"/>
        <w:rPr>
          <w:rFonts w:eastAsia="Times New Roman"/>
        </w:rPr>
      </w:pPr>
      <w:r>
        <w:rPr>
          <w:rFonts w:eastAsia="Times New Roman"/>
          <w:color w:val="000000"/>
          <w:sz w:val="20"/>
          <w:szCs w:val="20"/>
        </w:rPr>
        <w:t>•</w:t>
      </w:r>
      <w:r>
        <w:rPr>
          <w:rFonts w:eastAsia="Times New Roman"/>
          <w:color w:val="000000"/>
          <w:sz w:val="20"/>
          <w:szCs w:val="20"/>
        </w:rPr>
        <w:t>human resources.</w:t>
      </w:r>
    </w:p>
    <w:p w14:paraId="39D23485" w14:textId="77777777" w:rsidR="00000000" w:rsidRDefault="00EE5306">
      <w:pPr>
        <w:ind w:firstLine="540"/>
        <w:jc w:val="both"/>
        <w:divId w:val="797795491"/>
        <w:rPr>
          <w:rFonts w:eastAsia="Times New Roman"/>
        </w:rPr>
      </w:pPr>
      <w:r>
        <w:rPr>
          <w:rFonts w:eastAsia="Times New Roman"/>
          <w:color w:val="000000"/>
          <w:sz w:val="20"/>
          <w:szCs w:val="20"/>
        </w:rPr>
        <w:t>Our retail operation systems, including point-of-sale registers and merchandising, planning, and inventory management systems, support operational processes within our store network and link with our digital commerce processes to support o</w:t>
      </w:r>
      <w:r>
        <w:rPr>
          <w:rFonts w:eastAsia="Times New Roman"/>
          <w:color w:val="000000"/>
          <w:sz w:val="20"/>
          <w:szCs w:val="20"/>
        </w:rPr>
        <w:t xml:space="preserve">mni-channel capabilities. </w:t>
      </w:r>
    </w:p>
    <w:p w14:paraId="5035B73F" w14:textId="77777777" w:rsidR="00000000" w:rsidRDefault="00EE5306">
      <w:pPr>
        <w:ind w:firstLine="540"/>
        <w:jc w:val="both"/>
        <w:divId w:val="1500148990"/>
        <w:rPr>
          <w:rFonts w:eastAsia="Times New Roman"/>
        </w:rPr>
      </w:pPr>
      <w:r>
        <w:rPr>
          <w:rFonts w:eastAsia="Times New Roman"/>
          <w:color w:val="000000"/>
          <w:sz w:val="20"/>
          <w:szCs w:val="20"/>
        </w:rPr>
        <w:t>We are continually improving and upgrading our computer systems and software. For example, during Fiscal 2021, we began upgrading our value chain processes and technology to support advanced global capabilities for our supply and</w:t>
      </w:r>
      <w:r>
        <w:rPr>
          <w:rFonts w:eastAsia="Times New Roman"/>
          <w:color w:val="000000"/>
          <w:sz w:val="20"/>
          <w:szCs w:val="20"/>
        </w:rPr>
        <w:t xml:space="preserve"> demand management solutions. In Fiscal 2021, we also migrated our analytics platform to the cloud to accelerate our advanced analytics capabilities across functions. We are also continually enhancing the consumer experience by adding new functionality to </w:t>
      </w:r>
      <w:r>
        <w:rPr>
          <w:rFonts w:eastAsia="Times New Roman"/>
          <w:color w:val="000000"/>
          <w:sz w:val="20"/>
          <w:szCs w:val="20"/>
        </w:rPr>
        <w:t>our direct-to-consumer channels.</w:t>
      </w:r>
    </w:p>
    <w:p w14:paraId="37C3B910" w14:textId="77777777" w:rsidR="00000000" w:rsidRDefault="00EE5306">
      <w:pPr>
        <w:ind w:firstLine="540"/>
        <w:jc w:val="both"/>
        <w:divId w:val="1839341651"/>
        <w:rPr>
          <w:rFonts w:eastAsia="Times New Roman"/>
        </w:rPr>
      </w:pPr>
      <w:r>
        <w:rPr>
          <w:rFonts w:eastAsia="Times New Roman"/>
          <w:color w:val="000000"/>
          <w:sz w:val="20"/>
          <w:szCs w:val="20"/>
        </w:rPr>
        <w:t>We have a longstanding information security risk program committed to regular risk management practices surrounding the protection of confidential data. This program includes various technical controls, including security m</w:t>
      </w:r>
      <w:r>
        <w:rPr>
          <w:rFonts w:eastAsia="Times New Roman"/>
          <w:color w:val="000000"/>
          <w:sz w:val="20"/>
          <w:szCs w:val="20"/>
        </w:rPr>
        <w:t>onitoring, data leakage protection, network segmentation and access controls around the computer resources that house confidential or sensitive data. We have also implemented employee awareness training programs around phishing, malware, and other cyber ri</w:t>
      </w:r>
      <w:r>
        <w:rPr>
          <w:rFonts w:eastAsia="Times New Roman"/>
          <w:color w:val="000000"/>
          <w:sz w:val="20"/>
          <w:szCs w:val="20"/>
        </w:rPr>
        <w:t>sks. We continually evaluate the security environment surrounding the handling and control of our critical data, especially the private data we receive from our customers, employees and partners, and have instituted additional measures to help protect us f</w:t>
      </w:r>
      <w:r>
        <w:rPr>
          <w:rFonts w:eastAsia="Times New Roman"/>
          <w:color w:val="000000"/>
          <w:sz w:val="20"/>
          <w:szCs w:val="20"/>
        </w:rPr>
        <w:t>rom system intrusion or data breaches. Additionally, we have purchased network security and cyber liability insurance in order to provide a level of financial protection, should a data breach occur.</w:t>
      </w:r>
    </w:p>
    <w:p w14:paraId="6A9F7819" w14:textId="77777777" w:rsidR="00000000" w:rsidRDefault="00EE5306">
      <w:pPr>
        <w:ind w:firstLine="540"/>
        <w:jc w:val="both"/>
        <w:divId w:val="359206303"/>
        <w:rPr>
          <w:rFonts w:eastAsia="Times New Roman"/>
        </w:rPr>
      </w:pPr>
      <w:r>
        <w:rPr>
          <w:rFonts w:eastAsia="Times New Roman"/>
          <w:color w:val="000000"/>
          <w:sz w:val="20"/>
          <w:szCs w:val="20"/>
        </w:rPr>
        <w:t>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Informatio</w:t>
      </w:r>
      <w:r>
        <w:rPr>
          <w:rFonts w:eastAsia="Times New Roman"/>
          <w:i/>
          <w:iCs/>
          <w:color w:val="000000"/>
          <w:sz w:val="20"/>
          <w:szCs w:val="20"/>
        </w:rPr>
        <w:t xml:space="preserve">n Systems and Data Security </w:t>
      </w:r>
      <w:r>
        <w:rPr>
          <w:rFonts w:eastAsia="Times New Roman"/>
          <w:color w:val="000000"/>
          <w:sz w:val="20"/>
          <w:szCs w:val="20"/>
        </w:rPr>
        <w:t xml:space="preserve">— </w:t>
      </w:r>
      <w:r>
        <w:rPr>
          <w:rFonts w:eastAsia="Times New Roman"/>
          <w:i/>
          <w:iCs/>
          <w:color w:val="000000"/>
          <w:sz w:val="20"/>
          <w:szCs w:val="20"/>
        </w:rPr>
        <w:t>A data security or privacy breach could damage our reputation and our relationships with our customers or employees, expose us to litigation risk, and adversely affect our business</w:t>
      </w:r>
      <w:r>
        <w:rPr>
          <w:rFonts w:eastAsia="Times New Roman"/>
          <w:color w:val="000000"/>
          <w:sz w:val="20"/>
          <w:szCs w:val="20"/>
        </w:rPr>
        <w:t>" and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Informa</w:t>
      </w:r>
      <w:r>
        <w:rPr>
          <w:rFonts w:eastAsia="Times New Roman"/>
          <w:i/>
          <w:iCs/>
          <w:color w:val="000000"/>
          <w:sz w:val="20"/>
          <w:szCs w:val="20"/>
        </w:rPr>
        <w:t xml:space="preserve">tion Systems and Data Security </w:t>
      </w:r>
      <w:r>
        <w:rPr>
          <w:rFonts w:eastAsia="Times New Roman"/>
          <w:color w:val="000000"/>
          <w:sz w:val="20"/>
          <w:szCs w:val="20"/>
        </w:rPr>
        <w:t xml:space="preserve">— </w:t>
      </w:r>
      <w:r>
        <w:rPr>
          <w:rFonts w:eastAsia="Times New Roman"/>
          <w:i/>
          <w:iCs/>
          <w:color w:val="000000"/>
          <w:sz w:val="20"/>
          <w:szCs w:val="20"/>
        </w:rPr>
        <w:t>Our business could suffer if our computer systems and websites are disrupted or cease to operate effectively</w:t>
      </w:r>
      <w:r>
        <w:rPr>
          <w:rFonts w:eastAsia="Times New Roman"/>
          <w:color w:val="000000"/>
          <w:sz w:val="20"/>
          <w:szCs w:val="20"/>
        </w:rPr>
        <w:t>."</w:t>
      </w:r>
    </w:p>
    <w:p w14:paraId="02CF3665" w14:textId="77777777" w:rsidR="00000000" w:rsidRDefault="00EE5306">
      <w:pPr>
        <w:jc w:val="center"/>
        <w:divId w:val="331223148"/>
        <w:rPr>
          <w:rFonts w:eastAsia="Times New Roman"/>
        </w:rPr>
      </w:pPr>
      <w:r>
        <w:rPr>
          <w:rFonts w:eastAsia="Times New Roman"/>
          <w:b/>
          <w:bCs/>
          <w:color w:val="000000"/>
          <w:sz w:val="20"/>
          <w:szCs w:val="20"/>
        </w:rPr>
        <w:t>Wholesale Credit Control</w:t>
      </w:r>
    </w:p>
    <w:p w14:paraId="626675F7" w14:textId="77777777" w:rsidR="00000000" w:rsidRDefault="00EE5306">
      <w:pPr>
        <w:ind w:firstLine="540"/>
        <w:jc w:val="both"/>
        <w:divId w:val="483666714"/>
        <w:rPr>
          <w:rFonts w:eastAsia="Times New Roman"/>
        </w:rPr>
      </w:pPr>
      <w:r>
        <w:rPr>
          <w:rFonts w:eastAsia="Times New Roman"/>
          <w:color w:val="000000"/>
          <w:sz w:val="20"/>
          <w:szCs w:val="20"/>
        </w:rPr>
        <w:t>We manage our own credit function. We sell our merchandise principally to major department stores, specialty stores, and third-party digital partners, and extend credit based on an evaluation of the wholesale customer's financial capacity and condition, us</w:t>
      </w:r>
      <w:r>
        <w:rPr>
          <w:rFonts w:eastAsia="Times New Roman"/>
          <w:color w:val="000000"/>
          <w:sz w:val="20"/>
          <w:szCs w:val="20"/>
        </w:rPr>
        <w:t xml:space="preserve">ually without requiring collateral. We monitor credit levels and the financial condition of our wholesale customers on a continuing basis to minimize credit risk. We do not factor or underwrite our accounts receivables, nor do we maintain credit insurance </w:t>
      </w:r>
      <w:r>
        <w:rPr>
          <w:rFonts w:eastAsia="Times New Roman"/>
          <w:color w:val="000000"/>
          <w:sz w:val="20"/>
          <w:szCs w:val="20"/>
        </w:rPr>
        <w:t>to manage the risk of bad debts. In North America, collection and deduction transactional activities are provided through a third-party service provider.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our Business and Operations </w:t>
      </w:r>
      <w:r>
        <w:rPr>
          <w:rFonts w:eastAsia="Times New Roman"/>
          <w:color w:val="000000"/>
          <w:sz w:val="20"/>
          <w:szCs w:val="20"/>
        </w:rPr>
        <w:t>— </w:t>
      </w:r>
      <w:r>
        <w:rPr>
          <w:rFonts w:eastAsia="Times New Roman"/>
          <w:i/>
          <w:iCs/>
          <w:color w:val="000000"/>
          <w:sz w:val="20"/>
          <w:szCs w:val="20"/>
        </w:rPr>
        <w:t xml:space="preserve">A substantial portion of </w:t>
      </w:r>
      <w:r>
        <w:rPr>
          <w:rFonts w:eastAsia="Times New Roman"/>
          <w:i/>
          <w:iCs/>
          <w:color w:val="000000"/>
          <w:sz w:val="20"/>
          <w:szCs w:val="20"/>
        </w:rPr>
        <w:t xml:space="preserve">our revenue is derived from a limited number of large wholesale customers. Our business could be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3ADAD8F" w14:textId="77777777">
        <w:trPr>
          <w:divId w:val="1401438103"/>
          <w:jc w:val="center"/>
        </w:trPr>
        <w:tc>
          <w:tcPr>
            <w:tcW w:w="50" w:type="pct"/>
            <w:vAlign w:val="center"/>
            <w:hideMark/>
          </w:tcPr>
          <w:p w14:paraId="0FC86432" w14:textId="77777777" w:rsidR="00000000" w:rsidRDefault="00EE5306">
            <w:pPr>
              <w:ind w:firstLine="540"/>
              <w:jc w:val="both"/>
              <w:rPr>
                <w:rFonts w:eastAsia="Times New Roman"/>
              </w:rPr>
            </w:pPr>
          </w:p>
        </w:tc>
        <w:tc>
          <w:tcPr>
            <w:tcW w:w="1699" w:type="pct"/>
            <w:vAlign w:val="center"/>
            <w:hideMark/>
          </w:tcPr>
          <w:p w14:paraId="15B88604" w14:textId="77777777" w:rsidR="00000000" w:rsidRDefault="00EE5306">
            <w:pPr>
              <w:spacing w:after="100"/>
              <w:rPr>
                <w:rFonts w:eastAsia="Times New Roman"/>
                <w:sz w:val="20"/>
                <w:szCs w:val="20"/>
              </w:rPr>
            </w:pPr>
          </w:p>
        </w:tc>
        <w:tc>
          <w:tcPr>
            <w:tcW w:w="5" w:type="pct"/>
            <w:vAlign w:val="center"/>
            <w:hideMark/>
          </w:tcPr>
          <w:p w14:paraId="62FA159A" w14:textId="77777777" w:rsidR="00000000" w:rsidRDefault="00EE5306">
            <w:pPr>
              <w:spacing w:after="100"/>
              <w:rPr>
                <w:rFonts w:eastAsia="Times New Roman"/>
                <w:sz w:val="20"/>
                <w:szCs w:val="20"/>
              </w:rPr>
            </w:pPr>
          </w:p>
        </w:tc>
        <w:tc>
          <w:tcPr>
            <w:tcW w:w="50" w:type="pct"/>
            <w:vAlign w:val="center"/>
            <w:hideMark/>
          </w:tcPr>
          <w:p w14:paraId="2F1BA018" w14:textId="77777777" w:rsidR="00000000" w:rsidRDefault="00EE5306">
            <w:pPr>
              <w:spacing w:after="100"/>
              <w:rPr>
                <w:rFonts w:eastAsia="Times New Roman"/>
                <w:sz w:val="20"/>
                <w:szCs w:val="20"/>
              </w:rPr>
            </w:pPr>
          </w:p>
        </w:tc>
        <w:tc>
          <w:tcPr>
            <w:tcW w:w="1436" w:type="pct"/>
            <w:vAlign w:val="center"/>
            <w:hideMark/>
          </w:tcPr>
          <w:p w14:paraId="51D988D1" w14:textId="77777777" w:rsidR="00000000" w:rsidRDefault="00EE5306">
            <w:pPr>
              <w:spacing w:after="100"/>
              <w:rPr>
                <w:rFonts w:eastAsia="Times New Roman"/>
                <w:sz w:val="20"/>
                <w:szCs w:val="20"/>
              </w:rPr>
            </w:pPr>
          </w:p>
        </w:tc>
        <w:tc>
          <w:tcPr>
            <w:tcW w:w="5" w:type="pct"/>
            <w:vAlign w:val="center"/>
            <w:hideMark/>
          </w:tcPr>
          <w:p w14:paraId="21629A70" w14:textId="77777777" w:rsidR="00000000" w:rsidRDefault="00EE5306">
            <w:pPr>
              <w:spacing w:after="100"/>
              <w:rPr>
                <w:rFonts w:eastAsia="Times New Roman"/>
                <w:sz w:val="20"/>
                <w:szCs w:val="20"/>
              </w:rPr>
            </w:pPr>
          </w:p>
        </w:tc>
        <w:tc>
          <w:tcPr>
            <w:tcW w:w="50" w:type="pct"/>
            <w:vAlign w:val="center"/>
            <w:hideMark/>
          </w:tcPr>
          <w:p w14:paraId="5ECB6C5D" w14:textId="77777777" w:rsidR="00000000" w:rsidRDefault="00EE5306">
            <w:pPr>
              <w:spacing w:after="100"/>
              <w:rPr>
                <w:rFonts w:eastAsia="Times New Roman"/>
                <w:sz w:val="20"/>
                <w:szCs w:val="20"/>
              </w:rPr>
            </w:pPr>
          </w:p>
        </w:tc>
        <w:tc>
          <w:tcPr>
            <w:tcW w:w="1699" w:type="pct"/>
            <w:vAlign w:val="center"/>
            <w:hideMark/>
          </w:tcPr>
          <w:p w14:paraId="3D091609" w14:textId="77777777" w:rsidR="00000000" w:rsidRDefault="00EE5306">
            <w:pPr>
              <w:spacing w:after="100"/>
              <w:rPr>
                <w:rFonts w:eastAsia="Times New Roman"/>
                <w:sz w:val="20"/>
                <w:szCs w:val="20"/>
              </w:rPr>
            </w:pPr>
          </w:p>
        </w:tc>
        <w:tc>
          <w:tcPr>
            <w:tcW w:w="5" w:type="pct"/>
            <w:vAlign w:val="center"/>
            <w:hideMark/>
          </w:tcPr>
          <w:p w14:paraId="209F207A" w14:textId="77777777" w:rsidR="00000000" w:rsidRDefault="00EE5306">
            <w:pPr>
              <w:spacing w:after="100"/>
              <w:rPr>
                <w:rFonts w:eastAsia="Times New Roman"/>
                <w:sz w:val="20"/>
                <w:szCs w:val="20"/>
              </w:rPr>
            </w:pPr>
          </w:p>
        </w:tc>
      </w:tr>
      <w:tr w:rsidR="00000000" w14:paraId="2D26F6B3" w14:textId="77777777">
        <w:trPr>
          <w:divId w:val="1401438103"/>
          <w:jc w:val="center"/>
        </w:trPr>
        <w:tc>
          <w:tcPr>
            <w:tcW w:w="0" w:type="auto"/>
            <w:gridSpan w:val="3"/>
            <w:tcMar>
              <w:top w:w="0" w:type="dxa"/>
              <w:left w:w="20" w:type="dxa"/>
              <w:bottom w:w="0" w:type="dxa"/>
              <w:right w:w="20" w:type="dxa"/>
            </w:tcMar>
            <w:vAlign w:val="center"/>
            <w:hideMark/>
          </w:tcPr>
          <w:p w14:paraId="08E7F42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8D8422" w14:textId="77777777" w:rsidR="00000000" w:rsidRDefault="00EE5306">
            <w:pPr>
              <w:spacing w:after="100"/>
              <w:jc w:val="center"/>
              <w:rPr>
                <w:rFonts w:eastAsia="Times New Roman"/>
              </w:rPr>
            </w:pPr>
            <w:r>
              <w:rPr>
                <w:rFonts w:eastAsia="Times New Roman"/>
                <w:color w:val="000000"/>
                <w:sz w:val="20"/>
                <w:szCs w:val="20"/>
              </w:rPr>
              <w:t>19</w:t>
            </w:r>
          </w:p>
        </w:tc>
        <w:tc>
          <w:tcPr>
            <w:tcW w:w="0" w:type="auto"/>
            <w:gridSpan w:val="3"/>
            <w:tcMar>
              <w:top w:w="0" w:type="dxa"/>
              <w:left w:w="20" w:type="dxa"/>
              <w:bottom w:w="0" w:type="dxa"/>
              <w:right w:w="20" w:type="dxa"/>
            </w:tcMar>
            <w:vAlign w:val="center"/>
            <w:hideMark/>
          </w:tcPr>
          <w:p w14:paraId="6112E6A3" w14:textId="77777777" w:rsidR="00000000" w:rsidRDefault="00EE5306">
            <w:pPr>
              <w:spacing w:after="100"/>
              <w:jc w:val="center"/>
              <w:rPr>
                <w:rFonts w:eastAsia="Times New Roman"/>
              </w:rPr>
            </w:pPr>
          </w:p>
        </w:tc>
      </w:tr>
    </w:tbl>
    <w:p w14:paraId="4AD2F1B1" w14:textId="77777777" w:rsidR="00000000" w:rsidRDefault="00EE5306">
      <w:pPr>
        <w:rPr>
          <w:rFonts w:eastAsia="Times New Roman"/>
        </w:rPr>
      </w:pPr>
      <w:r>
        <w:rPr>
          <w:rFonts w:eastAsia="Times New Roman"/>
        </w:rPr>
        <w:pict w14:anchorId="72D5FF57">
          <v:rect id="_x0000_i1045" style="width:0;height:1.5pt" o:hralign="center" o:hrstd="t" o:hr="t" fillcolor="#a0a0a0" stroked="f"/>
        </w:pict>
      </w:r>
    </w:p>
    <w:p w14:paraId="198EE3C7" w14:textId="77777777" w:rsidR="00000000" w:rsidRDefault="00EE5306">
      <w:pPr>
        <w:divId w:val="738209597"/>
        <w:rPr>
          <w:rFonts w:eastAsia="Times New Roman"/>
        </w:rPr>
      </w:pPr>
    </w:p>
    <w:p w14:paraId="19C4FFEB" w14:textId="77777777" w:rsidR="00000000" w:rsidRDefault="00EE5306">
      <w:pPr>
        <w:jc w:val="both"/>
        <w:divId w:val="1668744572"/>
        <w:rPr>
          <w:rFonts w:eastAsia="Times New Roman"/>
        </w:rPr>
      </w:pPr>
      <w:r>
        <w:rPr>
          <w:rFonts w:eastAsia="Times New Roman"/>
          <w:i/>
          <w:iCs/>
          <w:color w:val="000000"/>
          <w:sz w:val="20"/>
          <w:szCs w:val="20"/>
        </w:rPr>
        <w:t>adversely affected as a result of consolidations, liquidations, restructurings, other ownership changes in the retail industry, and/or any financial instability of our large wholesale customers</w:t>
      </w:r>
      <w:r>
        <w:rPr>
          <w:rFonts w:eastAsia="Times New Roman"/>
          <w:color w:val="000000"/>
          <w:sz w:val="20"/>
          <w:szCs w:val="20"/>
        </w:rPr>
        <w:t>."</w:t>
      </w:r>
    </w:p>
    <w:p w14:paraId="359A9DCF" w14:textId="77777777" w:rsidR="00000000" w:rsidRDefault="00EE5306">
      <w:pPr>
        <w:jc w:val="center"/>
        <w:divId w:val="2121491267"/>
        <w:rPr>
          <w:rFonts w:eastAsia="Times New Roman"/>
        </w:rPr>
      </w:pPr>
      <w:r>
        <w:rPr>
          <w:rFonts w:eastAsia="Times New Roman"/>
          <w:b/>
          <w:bCs/>
          <w:color w:val="000000"/>
          <w:sz w:val="20"/>
          <w:szCs w:val="20"/>
        </w:rPr>
        <w:t>Trademarks</w:t>
      </w:r>
    </w:p>
    <w:p w14:paraId="07A4D3F6" w14:textId="77777777" w:rsidR="00000000" w:rsidRDefault="00EE5306">
      <w:pPr>
        <w:ind w:firstLine="540"/>
        <w:jc w:val="both"/>
        <w:divId w:val="343632979"/>
        <w:rPr>
          <w:rFonts w:eastAsia="Times New Roman"/>
        </w:rPr>
      </w:pPr>
      <w:r>
        <w:rPr>
          <w:rFonts w:eastAsia="Times New Roman"/>
          <w:color w:val="000000"/>
          <w:sz w:val="20"/>
          <w:szCs w:val="20"/>
        </w:rPr>
        <w:t xml:space="preserve">We own the </w:t>
      </w:r>
      <w:r>
        <w:rPr>
          <w:rFonts w:eastAsia="Times New Roman"/>
          <w:color w:val="000000"/>
          <w:sz w:val="20"/>
          <w:szCs w:val="20"/>
        </w:rPr>
        <w:t>RALPH LAUREN, POLO, POLO RALPH LAUREN, and the famous Polo Player Design trademarks in the U.S. and over 120 countries worldwide. Other trademarks that we own include:</w:t>
      </w:r>
    </w:p>
    <w:p w14:paraId="59643BF6" w14:textId="77777777" w:rsidR="00000000" w:rsidRDefault="00EE5306">
      <w:pPr>
        <w:ind w:hanging="360"/>
        <w:jc w:val="both"/>
        <w:divId w:val="1276332407"/>
        <w:rPr>
          <w:rFonts w:eastAsia="Times New Roman"/>
        </w:rPr>
      </w:pPr>
      <w:r>
        <w:rPr>
          <w:rFonts w:eastAsia="Times New Roman"/>
          <w:color w:val="000000"/>
          <w:sz w:val="20"/>
          <w:szCs w:val="20"/>
        </w:rPr>
        <w:t>•PURPLE LABEL;</w:t>
      </w:r>
    </w:p>
    <w:p w14:paraId="755D4406" w14:textId="77777777" w:rsidR="00000000" w:rsidRDefault="00EE5306">
      <w:pPr>
        <w:ind w:hanging="360"/>
        <w:jc w:val="both"/>
        <w:divId w:val="2102409133"/>
        <w:rPr>
          <w:rFonts w:eastAsia="Times New Roman"/>
        </w:rPr>
      </w:pPr>
      <w:r>
        <w:rPr>
          <w:rFonts w:eastAsia="Times New Roman"/>
          <w:color w:val="000000"/>
          <w:sz w:val="20"/>
          <w:szCs w:val="20"/>
        </w:rPr>
        <w:t>•DOUBLE RL;</w:t>
      </w:r>
    </w:p>
    <w:p w14:paraId="16079D75" w14:textId="77777777" w:rsidR="00000000" w:rsidRDefault="00EE5306">
      <w:pPr>
        <w:ind w:hanging="360"/>
        <w:jc w:val="both"/>
        <w:divId w:val="136607851"/>
        <w:rPr>
          <w:rFonts w:eastAsia="Times New Roman"/>
        </w:rPr>
      </w:pPr>
      <w:r>
        <w:rPr>
          <w:rFonts w:eastAsia="Times New Roman"/>
          <w:color w:val="000000"/>
          <w:sz w:val="20"/>
          <w:szCs w:val="20"/>
        </w:rPr>
        <w:t>•RRL &amp; DESIGN;</w:t>
      </w:r>
    </w:p>
    <w:p w14:paraId="3D304DF9" w14:textId="77777777" w:rsidR="00000000" w:rsidRDefault="00EE5306">
      <w:pPr>
        <w:ind w:hanging="360"/>
        <w:jc w:val="both"/>
        <w:divId w:val="1548570514"/>
        <w:rPr>
          <w:rFonts w:eastAsia="Times New Roman"/>
        </w:rPr>
      </w:pPr>
      <w:r>
        <w:rPr>
          <w:rFonts w:eastAsia="Times New Roman"/>
          <w:color w:val="000000"/>
          <w:sz w:val="20"/>
          <w:szCs w:val="20"/>
        </w:rPr>
        <w:t>•RLX;</w:t>
      </w:r>
    </w:p>
    <w:p w14:paraId="012C1357" w14:textId="77777777" w:rsidR="00000000" w:rsidRDefault="00EE5306">
      <w:pPr>
        <w:ind w:hanging="360"/>
        <w:jc w:val="both"/>
        <w:divId w:val="805464178"/>
        <w:rPr>
          <w:rFonts w:eastAsia="Times New Roman"/>
        </w:rPr>
      </w:pPr>
      <w:r>
        <w:rPr>
          <w:rFonts w:eastAsia="Times New Roman"/>
          <w:color w:val="000000"/>
          <w:sz w:val="20"/>
          <w:szCs w:val="20"/>
        </w:rPr>
        <w:t>•LAUREN RALPH LAUREN;</w:t>
      </w:r>
    </w:p>
    <w:p w14:paraId="12EEA7D5" w14:textId="77777777" w:rsidR="00000000" w:rsidRDefault="00EE5306">
      <w:pPr>
        <w:ind w:hanging="360"/>
        <w:jc w:val="both"/>
        <w:divId w:val="117529407"/>
        <w:rPr>
          <w:rFonts w:eastAsia="Times New Roman"/>
        </w:rPr>
      </w:pPr>
      <w:r>
        <w:rPr>
          <w:rFonts w:eastAsia="Times New Roman"/>
          <w:color w:val="000000"/>
          <w:sz w:val="20"/>
          <w:szCs w:val="20"/>
        </w:rPr>
        <w:t>•PINK PONY;</w:t>
      </w:r>
    </w:p>
    <w:p w14:paraId="68A944D5" w14:textId="77777777" w:rsidR="00000000" w:rsidRDefault="00EE5306">
      <w:pPr>
        <w:ind w:hanging="360"/>
        <w:jc w:val="both"/>
        <w:divId w:val="880479924"/>
        <w:rPr>
          <w:rFonts w:eastAsia="Times New Roman"/>
        </w:rPr>
      </w:pPr>
      <w:r>
        <w:rPr>
          <w:rFonts w:eastAsia="Times New Roman"/>
          <w:color w:val="000000"/>
          <w:sz w:val="20"/>
          <w:szCs w:val="20"/>
        </w:rPr>
        <w:t>•</w:t>
      </w:r>
      <w:r>
        <w:rPr>
          <w:rFonts w:eastAsia="Times New Roman"/>
          <w:color w:val="000000"/>
          <w:sz w:val="20"/>
          <w:szCs w:val="20"/>
        </w:rPr>
        <w:t>LAUREN;</w:t>
      </w:r>
    </w:p>
    <w:p w14:paraId="40C29C66" w14:textId="77777777" w:rsidR="00000000" w:rsidRDefault="00EE5306">
      <w:pPr>
        <w:ind w:hanging="360"/>
        <w:jc w:val="both"/>
        <w:divId w:val="371734822"/>
        <w:rPr>
          <w:rFonts w:eastAsia="Times New Roman"/>
        </w:rPr>
      </w:pPr>
      <w:r>
        <w:rPr>
          <w:rFonts w:eastAsia="Times New Roman"/>
          <w:color w:val="000000"/>
          <w:sz w:val="20"/>
          <w:szCs w:val="20"/>
        </w:rPr>
        <w:t>•RALPH;</w:t>
      </w:r>
    </w:p>
    <w:p w14:paraId="04F6BE57" w14:textId="77777777" w:rsidR="00000000" w:rsidRDefault="00EE5306">
      <w:pPr>
        <w:ind w:hanging="360"/>
        <w:jc w:val="both"/>
        <w:divId w:val="1902713072"/>
        <w:rPr>
          <w:rFonts w:eastAsia="Times New Roman"/>
        </w:rPr>
      </w:pPr>
      <w:r>
        <w:rPr>
          <w:rFonts w:eastAsia="Times New Roman"/>
          <w:color w:val="000000"/>
          <w:sz w:val="20"/>
          <w:szCs w:val="20"/>
        </w:rPr>
        <w:t>•POLO BEAR;</w:t>
      </w:r>
    </w:p>
    <w:p w14:paraId="08F0B573" w14:textId="77777777" w:rsidR="00000000" w:rsidRDefault="00EE5306">
      <w:pPr>
        <w:ind w:hanging="360"/>
        <w:jc w:val="both"/>
        <w:divId w:val="1120146265"/>
        <w:rPr>
          <w:rFonts w:eastAsia="Times New Roman"/>
        </w:rPr>
      </w:pPr>
      <w:r>
        <w:rPr>
          <w:rFonts w:eastAsia="Times New Roman"/>
          <w:color w:val="000000"/>
          <w:sz w:val="20"/>
          <w:szCs w:val="20"/>
        </w:rPr>
        <w:t>•CHAPS;</w:t>
      </w:r>
    </w:p>
    <w:p w14:paraId="156DA5D7" w14:textId="77777777" w:rsidR="00000000" w:rsidRDefault="00EE5306">
      <w:pPr>
        <w:ind w:hanging="360"/>
        <w:jc w:val="both"/>
        <w:divId w:val="1349528143"/>
        <w:rPr>
          <w:rFonts w:eastAsia="Times New Roman"/>
        </w:rPr>
      </w:pPr>
      <w:r>
        <w:rPr>
          <w:rFonts w:eastAsia="Times New Roman"/>
          <w:color w:val="000000"/>
          <w:sz w:val="20"/>
          <w:szCs w:val="20"/>
        </w:rPr>
        <w:t>•CLUB MONACO; and</w:t>
      </w:r>
    </w:p>
    <w:p w14:paraId="2A7FF143" w14:textId="77777777" w:rsidR="00000000" w:rsidRDefault="00EE5306">
      <w:pPr>
        <w:ind w:hanging="360"/>
        <w:jc w:val="both"/>
        <w:divId w:val="438452641"/>
        <w:rPr>
          <w:rFonts w:eastAsia="Times New Roman"/>
        </w:rPr>
      </w:pPr>
      <w:r>
        <w:rPr>
          <w:rFonts w:eastAsia="Times New Roman"/>
          <w:color w:val="000000"/>
          <w:sz w:val="20"/>
          <w:szCs w:val="20"/>
        </w:rPr>
        <w:t>•Various other trademarks.</w:t>
      </w:r>
    </w:p>
    <w:p w14:paraId="09576E1C" w14:textId="77777777" w:rsidR="00000000" w:rsidRDefault="00EE5306">
      <w:pPr>
        <w:ind w:firstLine="540"/>
        <w:jc w:val="both"/>
        <w:divId w:val="1273169267"/>
        <w:rPr>
          <w:rFonts w:eastAsia="Times New Roman"/>
        </w:rPr>
      </w:pPr>
      <w:r>
        <w:rPr>
          <w:rFonts w:eastAsia="Times New Roman"/>
          <w:color w:val="000000"/>
          <w:sz w:val="20"/>
          <w:szCs w:val="20"/>
        </w:rPr>
        <w:t>Mr. Ralph Lauren has the royalty-free right to use as trademarks RALPH LAUREN, DOUBLE RL, and RRL in perpetuity in connection with, among other things, beef and living animals</w:t>
      </w:r>
      <w:r>
        <w:rPr>
          <w:rFonts w:eastAsia="Times New Roman"/>
          <w:color w:val="000000"/>
          <w:sz w:val="20"/>
          <w:szCs w:val="20"/>
        </w:rPr>
        <w:t>. The trademarks DOUBLE RL and RRL are currently used by the Double RL Company, an entity wholly owned by Mr. R. Lauren. In addition, Mr. R. Lauren has the right to engage in personal projects involving film or theatrical productions (not including or rela</w:t>
      </w:r>
      <w:r>
        <w:rPr>
          <w:rFonts w:eastAsia="Times New Roman"/>
          <w:color w:val="000000"/>
          <w:sz w:val="20"/>
          <w:szCs w:val="20"/>
        </w:rPr>
        <w:t>ting to our business) through RRL Productions, Inc., a company wholly owned by Mr. R. Lauren. Any activity by these companies has no impact on us.</w:t>
      </w:r>
    </w:p>
    <w:p w14:paraId="7A27E8AF" w14:textId="77777777" w:rsidR="00000000" w:rsidRDefault="00EE5306">
      <w:pPr>
        <w:ind w:firstLine="540"/>
        <w:jc w:val="both"/>
        <w:divId w:val="256402820"/>
        <w:rPr>
          <w:rFonts w:eastAsia="Times New Roman"/>
        </w:rPr>
      </w:pPr>
      <w:r>
        <w:rPr>
          <w:rFonts w:eastAsia="Times New Roman"/>
          <w:color w:val="000000"/>
          <w:sz w:val="20"/>
          <w:szCs w:val="20"/>
        </w:rPr>
        <w:t>Our trademarks are the subject of registrations and pending applications throughout the world for use on a va</w:t>
      </w:r>
      <w:r>
        <w:rPr>
          <w:rFonts w:eastAsia="Times New Roman"/>
          <w:color w:val="000000"/>
          <w:sz w:val="20"/>
          <w:szCs w:val="20"/>
        </w:rPr>
        <w:t xml:space="preserve">riety of items of apparel, apparel-related products and accessories, home furnishings, restaurant and café services, online services and online publications, and beauty products, as well as in connection with retail services, and we continue to expand our </w:t>
      </w:r>
      <w:r>
        <w:rPr>
          <w:rFonts w:eastAsia="Times New Roman"/>
          <w:color w:val="000000"/>
          <w:sz w:val="20"/>
          <w:szCs w:val="20"/>
        </w:rPr>
        <w:t>worldwide usage and registration of related trademarks. In general, trademarks remain valid and enforceable as long as the marks are used in connection with the related products and services and the required registration renewals are filed. We regard the l</w:t>
      </w:r>
      <w:r>
        <w:rPr>
          <w:rFonts w:eastAsia="Times New Roman"/>
          <w:color w:val="000000"/>
          <w:sz w:val="20"/>
          <w:szCs w:val="20"/>
        </w:rPr>
        <w:t xml:space="preserve">icense to use the trademarks and our other proprietary rights in and to the trademarks as extremely valuable assets in marketing our products and, on a worldwide basis, vigorously seek to protect them against infringement. As a result of the appeal of our </w:t>
      </w:r>
      <w:r>
        <w:rPr>
          <w:rFonts w:eastAsia="Times New Roman"/>
          <w:color w:val="000000"/>
          <w:sz w:val="20"/>
          <w:szCs w:val="20"/>
        </w:rPr>
        <w:t>trademarks, our products have been the object of counterfeiting. While we have a broad enforcement program which has been generally effective in protecting our intellectual property rights and limiting the sale of counterfeit products in the U.S. and in mo</w:t>
      </w:r>
      <w:r>
        <w:rPr>
          <w:rFonts w:eastAsia="Times New Roman"/>
          <w:color w:val="000000"/>
          <w:sz w:val="20"/>
          <w:szCs w:val="20"/>
        </w:rPr>
        <w:t>st major markets abroad, we face greater challenges with respect to enforcing our rights against trademark infringement in certain parts of Asia.</w:t>
      </w:r>
    </w:p>
    <w:p w14:paraId="68166A79" w14:textId="77777777" w:rsidR="00000000" w:rsidRDefault="00EE5306">
      <w:pPr>
        <w:ind w:firstLine="540"/>
        <w:jc w:val="both"/>
        <w:divId w:val="283271822"/>
        <w:rPr>
          <w:rFonts w:eastAsia="Times New Roman"/>
        </w:rPr>
      </w:pPr>
      <w:r>
        <w:rPr>
          <w:rFonts w:eastAsia="Times New Roman"/>
          <w:color w:val="000000"/>
          <w:sz w:val="20"/>
          <w:szCs w:val="20"/>
        </w:rPr>
        <w:t>In markets outside of the U.S., our rights to some or all of our trademarks may not be clearly established. Ov</w:t>
      </w:r>
      <w:r>
        <w:rPr>
          <w:rFonts w:eastAsia="Times New Roman"/>
          <w:color w:val="000000"/>
          <w:sz w:val="20"/>
          <w:szCs w:val="20"/>
        </w:rPr>
        <w:t>er the course of our international expansion, we have experienced conflicts with various third parties who have acquired ownership rights in certain trademarks, including POLO and/or a representation of a Polo Player Design, which impede our use and regist</w:t>
      </w:r>
      <w:r>
        <w:rPr>
          <w:rFonts w:eastAsia="Times New Roman"/>
          <w:color w:val="000000"/>
          <w:sz w:val="20"/>
          <w:szCs w:val="20"/>
        </w:rPr>
        <w:t>ration of our principal trademarks. While such conflicts are common and may arise again from time to time as we continue our international expansion, we have, in general, successfully resolved such conflicts in the past through both legal action and negoti</w:t>
      </w:r>
      <w:r>
        <w:rPr>
          <w:rFonts w:eastAsia="Times New Roman"/>
          <w:color w:val="000000"/>
          <w:sz w:val="20"/>
          <w:szCs w:val="20"/>
        </w:rPr>
        <w:t>ated settlements with third-party owners of the conflicting marks (see Item 1A — "</w:t>
      </w:r>
      <w:r>
        <w:rPr>
          <w:rFonts w:eastAsia="Times New Roman"/>
          <w:i/>
          <w:iCs/>
          <w:color w:val="000000"/>
          <w:sz w:val="20"/>
          <w:szCs w:val="20"/>
        </w:rPr>
        <w:t>Risk Factors</w:t>
      </w:r>
      <w:r>
        <w:rPr>
          <w:rFonts w:eastAsia="Times New Roman"/>
          <w:color w:val="000000"/>
          <w:sz w:val="20"/>
          <w:szCs w:val="20"/>
        </w:rPr>
        <w:t xml:space="preserve"> — </w:t>
      </w:r>
      <w:r>
        <w:rPr>
          <w:rFonts w:eastAsia="Times New Roman"/>
          <w:i/>
          <w:iCs/>
          <w:color w:val="000000"/>
          <w:sz w:val="20"/>
          <w:szCs w:val="20"/>
        </w:rPr>
        <w:t xml:space="preserve">Risks Related to our Business and Operations </w:t>
      </w:r>
      <w:r>
        <w:rPr>
          <w:rFonts w:eastAsia="Times New Roman"/>
          <w:color w:val="000000"/>
          <w:sz w:val="20"/>
          <w:szCs w:val="20"/>
        </w:rPr>
        <w:t>— </w:t>
      </w:r>
      <w:r>
        <w:rPr>
          <w:rFonts w:eastAsia="Times New Roman"/>
          <w:i/>
          <w:iCs/>
          <w:color w:val="000000"/>
          <w:sz w:val="20"/>
          <w:szCs w:val="20"/>
        </w:rPr>
        <w:t>Our trademarks and other intellectual property rights may not be adequately protected outside the U.S.</w:t>
      </w:r>
      <w:r>
        <w:rPr>
          <w:rFonts w:eastAsia="Times New Roman"/>
          <w:color w:val="000000"/>
          <w:sz w:val="20"/>
          <w:szCs w:val="20"/>
        </w:rPr>
        <w:t>" and Item</w:t>
      </w:r>
      <w:r>
        <w:rPr>
          <w:rFonts w:eastAsia="Times New Roman"/>
          <w:color w:val="000000"/>
          <w:sz w:val="20"/>
          <w:szCs w:val="20"/>
        </w:rPr>
        <w:t> 3 — "</w:t>
      </w:r>
      <w:r>
        <w:rPr>
          <w:rFonts w:eastAsia="Times New Roman"/>
          <w:i/>
          <w:iCs/>
          <w:color w:val="000000"/>
          <w:sz w:val="20"/>
          <w:szCs w:val="20"/>
        </w:rPr>
        <w:t>Legal Proceedings</w:t>
      </w:r>
      <w:r>
        <w:rPr>
          <w:rFonts w:eastAsia="Times New Roman"/>
          <w:color w:val="000000"/>
          <w:sz w:val="20"/>
          <w:szCs w:val="20"/>
        </w:rPr>
        <w:t>" for further discussion). Although we have not suffered any material restraints or restrictions on doing business in desirable markets in the past, we cannot assure that significant impediments will not arise in the future as we expand product offerings a</w:t>
      </w:r>
      <w:r>
        <w:rPr>
          <w:rFonts w:eastAsia="Times New Roman"/>
          <w:color w:val="000000"/>
          <w:sz w:val="20"/>
          <w:szCs w:val="20"/>
        </w:rPr>
        <w:t>nd introduce trademarks to new markets.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5ECE993" w14:textId="77777777">
        <w:trPr>
          <w:divId w:val="963271573"/>
          <w:jc w:val="center"/>
        </w:trPr>
        <w:tc>
          <w:tcPr>
            <w:tcW w:w="50" w:type="pct"/>
            <w:vAlign w:val="center"/>
            <w:hideMark/>
          </w:tcPr>
          <w:p w14:paraId="3EFF892F" w14:textId="77777777" w:rsidR="00000000" w:rsidRDefault="00EE5306">
            <w:pPr>
              <w:ind w:firstLine="540"/>
              <w:jc w:val="both"/>
              <w:rPr>
                <w:rFonts w:eastAsia="Times New Roman"/>
              </w:rPr>
            </w:pPr>
          </w:p>
        </w:tc>
        <w:tc>
          <w:tcPr>
            <w:tcW w:w="1699" w:type="pct"/>
            <w:vAlign w:val="center"/>
            <w:hideMark/>
          </w:tcPr>
          <w:p w14:paraId="6C3EB91F" w14:textId="77777777" w:rsidR="00000000" w:rsidRDefault="00EE5306">
            <w:pPr>
              <w:spacing w:after="100"/>
              <w:rPr>
                <w:rFonts w:eastAsia="Times New Roman"/>
                <w:sz w:val="20"/>
                <w:szCs w:val="20"/>
              </w:rPr>
            </w:pPr>
          </w:p>
        </w:tc>
        <w:tc>
          <w:tcPr>
            <w:tcW w:w="5" w:type="pct"/>
            <w:vAlign w:val="center"/>
            <w:hideMark/>
          </w:tcPr>
          <w:p w14:paraId="3D50CD6D" w14:textId="77777777" w:rsidR="00000000" w:rsidRDefault="00EE5306">
            <w:pPr>
              <w:spacing w:after="100"/>
              <w:rPr>
                <w:rFonts w:eastAsia="Times New Roman"/>
                <w:sz w:val="20"/>
                <w:szCs w:val="20"/>
              </w:rPr>
            </w:pPr>
          </w:p>
        </w:tc>
        <w:tc>
          <w:tcPr>
            <w:tcW w:w="50" w:type="pct"/>
            <w:vAlign w:val="center"/>
            <w:hideMark/>
          </w:tcPr>
          <w:p w14:paraId="5FE5AF7A" w14:textId="77777777" w:rsidR="00000000" w:rsidRDefault="00EE5306">
            <w:pPr>
              <w:spacing w:after="100"/>
              <w:rPr>
                <w:rFonts w:eastAsia="Times New Roman"/>
                <w:sz w:val="20"/>
                <w:szCs w:val="20"/>
              </w:rPr>
            </w:pPr>
          </w:p>
        </w:tc>
        <w:tc>
          <w:tcPr>
            <w:tcW w:w="1436" w:type="pct"/>
            <w:vAlign w:val="center"/>
            <w:hideMark/>
          </w:tcPr>
          <w:p w14:paraId="0989D635" w14:textId="77777777" w:rsidR="00000000" w:rsidRDefault="00EE5306">
            <w:pPr>
              <w:spacing w:after="100"/>
              <w:rPr>
                <w:rFonts w:eastAsia="Times New Roman"/>
                <w:sz w:val="20"/>
                <w:szCs w:val="20"/>
              </w:rPr>
            </w:pPr>
          </w:p>
        </w:tc>
        <w:tc>
          <w:tcPr>
            <w:tcW w:w="5" w:type="pct"/>
            <w:vAlign w:val="center"/>
            <w:hideMark/>
          </w:tcPr>
          <w:p w14:paraId="07EB5E8A" w14:textId="77777777" w:rsidR="00000000" w:rsidRDefault="00EE5306">
            <w:pPr>
              <w:spacing w:after="100"/>
              <w:rPr>
                <w:rFonts w:eastAsia="Times New Roman"/>
                <w:sz w:val="20"/>
                <w:szCs w:val="20"/>
              </w:rPr>
            </w:pPr>
          </w:p>
        </w:tc>
        <w:tc>
          <w:tcPr>
            <w:tcW w:w="50" w:type="pct"/>
            <w:vAlign w:val="center"/>
            <w:hideMark/>
          </w:tcPr>
          <w:p w14:paraId="6B9678D8" w14:textId="77777777" w:rsidR="00000000" w:rsidRDefault="00EE5306">
            <w:pPr>
              <w:spacing w:after="100"/>
              <w:rPr>
                <w:rFonts w:eastAsia="Times New Roman"/>
                <w:sz w:val="20"/>
                <w:szCs w:val="20"/>
              </w:rPr>
            </w:pPr>
          </w:p>
        </w:tc>
        <w:tc>
          <w:tcPr>
            <w:tcW w:w="1699" w:type="pct"/>
            <w:vAlign w:val="center"/>
            <w:hideMark/>
          </w:tcPr>
          <w:p w14:paraId="06A6F6D3" w14:textId="77777777" w:rsidR="00000000" w:rsidRDefault="00EE5306">
            <w:pPr>
              <w:spacing w:after="100"/>
              <w:rPr>
                <w:rFonts w:eastAsia="Times New Roman"/>
                <w:sz w:val="20"/>
                <w:szCs w:val="20"/>
              </w:rPr>
            </w:pPr>
          </w:p>
        </w:tc>
        <w:tc>
          <w:tcPr>
            <w:tcW w:w="5" w:type="pct"/>
            <w:vAlign w:val="center"/>
            <w:hideMark/>
          </w:tcPr>
          <w:p w14:paraId="4E57B5F9" w14:textId="77777777" w:rsidR="00000000" w:rsidRDefault="00EE5306">
            <w:pPr>
              <w:spacing w:after="100"/>
              <w:rPr>
                <w:rFonts w:eastAsia="Times New Roman"/>
                <w:sz w:val="20"/>
                <w:szCs w:val="20"/>
              </w:rPr>
            </w:pPr>
          </w:p>
        </w:tc>
      </w:tr>
      <w:tr w:rsidR="00000000" w14:paraId="7078A241" w14:textId="77777777">
        <w:trPr>
          <w:divId w:val="963271573"/>
          <w:jc w:val="center"/>
        </w:trPr>
        <w:tc>
          <w:tcPr>
            <w:tcW w:w="0" w:type="auto"/>
            <w:gridSpan w:val="3"/>
            <w:tcMar>
              <w:top w:w="0" w:type="dxa"/>
              <w:left w:w="20" w:type="dxa"/>
              <w:bottom w:w="0" w:type="dxa"/>
              <w:right w:w="20" w:type="dxa"/>
            </w:tcMar>
            <w:vAlign w:val="center"/>
            <w:hideMark/>
          </w:tcPr>
          <w:p w14:paraId="3CC9774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7F0E410" w14:textId="77777777" w:rsidR="00000000" w:rsidRDefault="00EE5306">
            <w:pPr>
              <w:spacing w:after="100"/>
              <w:jc w:val="center"/>
              <w:rPr>
                <w:rFonts w:eastAsia="Times New Roman"/>
              </w:rPr>
            </w:pPr>
            <w:r>
              <w:rPr>
                <w:rFonts w:eastAsia="Times New Roman"/>
                <w:color w:val="000000"/>
                <w:sz w:val="20"/>
                <w:szCs w:val="20"/>
              </w:rPr>
              <w:t>20</w:t>
            </w:r>
          </w:p>
        </w:tc>
        <w:tc>
          <w:tcPr>
            <w:tcW w:w="0" w:type="auto"/>
            <w:gridSpan w:val="3"/>
            <w:tcMar>
              <w:top w:w="0" w:type="dxa"/>
              <w:left w:w="20" w:type="dxa"/>
              <w:bottom w:w="0" w:type="dxa"/>
              <w:right w:w="20" w:type="dxa"/>
            </w:tcMar>
            <w:vAlign w:val="center"/>
            <w:hideMark/>
          </w:tcPr>
          <w:p w14:paraId="0F69FF6D" w14:textId="77777777" w:rsidR="00000000" w:rsidRDefault="00EE5306">
            <w:pPr>
              <w:spacing w:after="100"/>
              <w:jc w:val="center"/>
              <w:rPr>
                <w:rFonts w:eastAsia="Times New Roman"/>
              </w:rPr>
            </w:pPr>
          </w:p>
        </w:tc>
      </w:tr>
    </w:tbl>
    <w:p w14:paraId="5EF59784" w14:textId="77777777" w:rsidR="00000000" w:rsidRDefault="00EE5306">
      <w:pPr>
        <w:rPr>
          <w:rFonts w:eastAsia="Times New Roman"/>
        </w:rPr>
      </w:pPr>
      <w:r>
        <w:rPr>
          <w:rFonts w:eastAsia="Times New Roman"/>
        </w:rPr>
        <w:pict w14:anchorId="16B1906A">
          <v:rect id="_x0000_i1046" style="width:0;height:1.5pt" o:hralign="center" o:hrstd="t" o:hr="t" fillcolor="#a0a0a0" stroked="f"/>
        </w:pict>
      </w:r>
    </w:p>
    <w:p w14:paraId="0EC27F31" w14:textId="77777777" w:rsidR="00000000" w:rsidRDefault="00EE5306">
      <w:pPr>
        <w:divId w:val="35128852"/>
        <w:rPr>
          <w:rFonts w:eastAsia="Times New Roman"/>
        </w:rPr>
      </w:pPr>
    </w:p>
    <w:p w14:paraId="56964547" w14:textId="77777777" w:rsidR="00000000" w:rsidRDefault="00EE5306">
      <w:pPr>
        <w:jc w:val="center"/>
        <w:divId w:val="1183974549"/>
        <w:rPr>
          <w:rFonts w:eastAsia="Times New Roman"/>
        </w:rPr>
      </w:pPr>
      <w:r>
        <w:rPr>
          <w:rFonts w:eastAsia="Times New Roman"/>
          <w:b/>
          <w:bCs/>
          <w:color w:val="000000"/>
          <w:sz w:val="20"/>
          <w:szCs w:val="20"/>
        </w:rPr>
        <w:t>Import Restrictions and Other Government Regulations</w:t>
      </w:r>
    </w:p>
    <w:p w14:paraId="5DECA3C3" w14:textId="77777777" w:rsidR="00000000" w:rsidRDefault="00EE5306">
      <w:pPr>
        <w:ind w:firstLine="540"/>
        <w:jc w:val="both"/>
        <w:divId w:val="1065370322"/>
        <w:rPr>
          <w:rFonts w:eastAsia="Times New Roman"/>
        </w:rPr>
      </w:pPr>
      <w:r>
        <w:rPr>
          <w:rFonts w:eastAsia="Times New Roman"/>
          <w:color w:val="000000"/>
          <w:sz w:val="20"/>
          <w:szCs w:val="20"/>
        </w:rPr>
        <w:t>Virtually all of our merchandise imported into the Americas, Europe, Asia, Australia, and New Zealand is subject to duties. In addition, most of the countries to whi</w:t>
      </w:r>
      <w:r>
        <w:rPr>
          <w:rFonts w:eastAsia="Times New Roman"/>
          <w:color w:val="000000"/>
          <w:sz w:val="20"/>
          <w:szCs w:val="20"/>
        </w:rPr>
        <w:t>ch we ship could impose safeguard quotas and duties to protect their local industries from import surges that threaten to create market disruption. The U.S. and other countries may also unilaterally impose additional duties in response to a particular prod</w:t>
      </w:r>
      <w:r>
        <w:rPr>
          <w:rFonts w:eastAsia="Times New Roman"/>
          <w:color w:val="000000"/>
          <w:sz w:val="20"/>
          <w:szCs w:val="20"/>
        </w:rPr>
        <w:t>uct being imported (from China or other countries) at unfairly traded prices in such increased quantities that would cause (or threaten) injury to the relevant domestic industry (generally known as "anti-dumping" actions). If dumping is suspected in the U.</w:t>
      </w:r>
      <w:r>
        <w:rPr>
          <w:rFonts w:eastAsia="Times New Roman"/>
          <w:color w:val="000000"/>
          <w:sz w:val="20"/>
          <w:szCs w:val="20"/>
        </w:rPr>
        <w:t>S., the U.S. government may self-initiate a dumping case on behalf of the U.S. textile industry which could significantly affect our costs. Furthermore, additional duties, generally known as countervailing duties, can also be imposed by the U.S. government</w:t>
      </w:r>
      <w:r>
        <w:rPr>
          <w:rFonts w:eastAsia="Times New Roman"/>
          <w:color w:val="000000"/>
          <w:sz w:val="20"/>
          <w:szCs w:val="20"/>
        </w:rPr>
        <w:t xml:space="preserve"> to offset subsidies provided by a foreign government to foreign manufacturers if the importation of such subsidized merchandise injures or threatens to injure a U.S. industry.</w:t>
      </w:r>
    </w:p>
    <w:p w14:paraId="5A534A0D" w14:textId="77777777" w:rsidR="00000000" w:rsidRDefault="00EE5306">
      <w:pPr>
        <w:ind w:firstLine="540"/>
        <w:jc w:val="both"/>
        <w:divId w:val="48262528"/>
        <w:rPr>
          <w:rFonts w:eastAsia="Times New Roman"/>
        </w:rPr>
      </w:pPr>
      <w:r>
        <w:rPr>
          <w:rFonts w:eastAsia="Times New Roman"/>
          <w:color w:val="000000"/>
          <w:sz w:val="20"/>
          <w:szCs w:val="20"/>
        </w:rPr>
        <w:t xml:space="preserve">In addition, each of the countries in which our products are sold has laws and </w:t>
      </w:r>
      <w:r>
        <w:rPr>
          <w:rFonts w:eastAsia="Times New Roman"/>
          <w:color w:val="000000"/>
          <w:sz w:val="20"/>
          <w:szCs w:val="20"/>
        </w:rPr>
        <w:t xml:space="preserve">regulations covering imports. Because the U.S. and the other countries in which our products are manufactured and sold may, from time to time, impose new duties, tariffs, surcharges, or other import controls or restrictions, or adjust presently prevailing </w:t>
      </w:r>
      <w:r>
        <w:rPr>
          <w:rFonts w:eastAsia="Times New Roman"/>
          <w:color w:val="000000"/>
          <w:sz w:val="20"/>
          <w:szCs w:val="20"/>
        </w:rPr>
        <w:t>duty or tariff rates or levels, we maintain a program of intensive monitoring of import restrictions and opportunities. We seek to minimize our potential exposure to import-related risks through, among other measures, adjustments in product design and fabr</w:t>
      </w:r>
      <w:r>
        <w:rPr>
          <w:rFonts w:eastAsia="Times New Roman"/>
          <w:color w:val="000000"/>
          <w:sz w:val="20"/>
          <w:szCs w:val="20"/>
        </w:rPr>
        <w:t>ication, shifts of production among countries and manufacturers, and through geographical diversification of our sources of supply.</w:t>
      </w:r>
    </w:p>
    <w:p w14:paraId="484CC93C" w14:textId="77777777" w:rsidR="00000000" w:rsidRDefault="00EE5306">
      <w:pPr>
        <w:ind w:firstLine="540"/>
        <w:jc w:val="both"/>
        <w:divId w:val="1563977740"/>
        <w:rPr>
          <w:rFonts w:eastAsia="Times New Roman"/>
        </w:rPr>
      </w:pPr>
      <w:r>
        <w:rPr>
          <w:rFonts w:eastAsia="Times New Roman"/>
          <w:color w:val="000000"/>
          <w:sz w:val="20"/>
          <w:szCs w:val="20"/>
        </w:rPr>
        <w:t>As almost all of our products are manufactured by foreign suppliers, the enactment of new legislation or the administration of current international trade regulations or executive action affecting textile agreements, or changes in sourcing patterns could a</w:t>
      </w:r>
      <w:r>
        <w:rPr>
          <w:rFonts w:eastAsia="Times New Roman"/>
          <w:color w:val="000000"/>
          <w:sz w:val="20"/>
          <w:szCs w:val="20"/>
        </w:rPr>
        <w:t>dversely affect our operations.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Regulatory, Legal, and Tax Matters </w:t>
      </w:r>
      <w:r>
        <w:rPr>
          <w:rFonts w:eastAsia="Times New Roman"/>
          <w:color w:val="000000"/>
          <w:sz w:val="20"/>
          <w:szCs w:val="20"/>
        </w:rPr>
        <w:t>—</w:t>
      </w:r>
      <w:r>
        <w:rPr>
          <w:rFonts w:eastAsia="Times New Roman"/>
          <w:i/>
          <w:iCs/>
          <w:color w:val="000000"/>
          <w:sz w:val="20"/>
          <w:szCs w:val="20"/>
        </w:rPr>
        <w:t> Our ability to conduct business globally may be affected by a variety of legal, regulatory, political, and economic risks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and</w:t>
      </w:r>
      <w:r>
        <w:rPr>
          <w:rFonts w:eastAsia="Times New Roman"/>
          <w:i/>
          <w:iCs/>
          <w:color w:val="000000"/>
          <w:sz w:val="20"/>
          <w:szCs w:val="20"/>
        </w:rPr>
        <w:t xml:space="preserve"> </w:t>
      </w:r>
      <w:r>
        <w:rPr>
          <w:rFonts w:eastAsia="Times New Roman"/>
          <w:color w:val="000000"/>
          <w:sz w:val="20"/>
          <w:szCs w:val="20"/>
        </w:rPr>
        <w:t>"</w:t>
      </w:r>
      <w:r>
        <w:rPr>
          <w:rFonts w:eastAsia="Times New Roman"/>
          <w:i/>
          <w:iCs/>
          <w:color w:val="000000"/>
          <w:sz w:val="20"/>
          <w:szCs w:val="20"/>
        </w:rPr>
        <w:t>Risk Factors</w:t>
      </w:r>
      <w:r>
        <w:rPr>
          <w:rFonts w:eastAsia="Times New Roman"/>
          <w:i/>
          <w:iCs/>
          <w:color w:val="000000"/>
          <w:sz w:val="20"/>
          <w:szCs w:val="20"/>
        </w:rPr>
        <w:t> </w:t>
      </w:r>
      <w:r>
        <w:rPr>
          <w:rFonts w:eastAsia="Times New Roman"/>
          <w:color w:val="000000"/>
          <w:sz w:val="20"/>
          <w:szCs w:val="20"/>
        </w:rPr>
        <w:t xml:space="preserve">— </w:t>
      </w:r>
      <w:r>
        <w:rPr>
          <w:rFonts w:eastAsia="Times New Roman"/>
          <w:i/>
          <w:iCs/>
          <w:color w:val="000000"/>
          <w:sz w:val="20"/>
          <w:szCs w:val="20"/>
        </w:rPr>
        <w:t xml:space="preserve">Risks Related to our Business and Operations </w:t>
      </w:r>
      <w:r>
        <w:rPr>
          <w:rFonts w:eastAsia="Times New Roman"/>
          <w:color w:val="000000"/>
          <w:sz w:val="20"/>
          <w:szCs w:val="20"/>
        </w:rPr>
        <w:t>—</w:t>
      </w:r>
      <w:r>
        <w:rPr>
          <w:rFonts w:eastAsia="Times New Roman"/>
          <w:i/>
          <w:iCs/>
          <w:color w:val="000000"/>
          <w:sz w:val="20"/>
          <w:szCs w:val="20"/>
        </w:rPr>
        <w:t> Our business is subject to risks associated with importing products and the ability of our manufacturers to produce our goods on time and to our specifications.</w:t>
      </w:r>
      <w:r>
        <w:rPr>
          <w:rFonts w:eastAsia="Times New Roman"/>
          <w:color w:val="000000"/>
          <w:sz w:val="20"/>
          <w:szCs w:val="20"/>
        </w:rPr>
        <w:t>"</w:t>
      </w:r>
    </w:p>
    <w:p w14:paraId="44D0EDF2" w14:textId="77777777" w:rsidR="00000000" w:rsidRDefault="00EE5306">
      <w:pPr>
        <w:ind w:firstLine="540"/>
        <w:jc w:val="both"/>
        <w:divId w:val="1205674489"/>
        <w:rPr>
          <w:rFonts w:eastAsia="Times New Roman"/>
        </w:rPr>
      </w:pPr>
      <w:r>
        <w:rPr>
          <w:rFonts w:eastAsia="Times New Roman"/>
          <w:color w:val="000000"/>
          <w:sz w:val="20"/>
          <w:szCs w:val="20"/>
        </w:rPr>
        <w:t>We are also subject to other international t</w:t>
      </w:r>
      <w:r>
        <w:rPr>
          <w:rFonts w:eastAsia="Times New Roman"/>
          <w:color w:val="000000"/>
          <w:sz w:val="20"/>
          <w:szCs w:val="20"/>
        </w:rPr>
        <w:t xml:space="preserve">rade agreements, such as the North American Free Trade Agreement, now known as the U.S.-Mexico-Canada Agreement, the Central American Free Trade Agreement, the U.S.-Peru Free Trade Agreement, the U.S.-Jordan Free Trade Agreement, the U.S.-Korea Free Trade </w:t>
      </w:r>
      <w:r>
        <w:rPr>
          <w:rFonts w:eastAsia="Times New Roman"/>
          <w:color w:val="000000"/>
          <w:sz w:val="20"/>
          <w:szCs w:val="20"/>
        </w:rPr>
        <w:t xml:space="preserve">Agreement and other special trade preference programs. A portion of our imported products are eligible for certain of these duty-advantaged programs. </w:t>
      </w:r>
    </w:p>
    <w:p w14:paraId="1E452D04" w14:textId="77777777" w:rsidR="00000000" w:rsidRDefault="00EE5306">
      <w:pPr>
        <w:ind w:firstLine="540"/>
        <w:jc w:val="both"/>
        <w:divId w:val="1865165302"/>
        <w:rPr>
          <w:rFonts w:eastAsia="Times New Roman"/>
        </w:rPr>
      </w:pPr>
      <w:r>
        <w:rPr>
          <w:rFonts w:eastAsia="Times New Roman"/>
          <w:color w:val="000000"/>
          <w:sz w:val="20"/>
          <w:szCs w:val="20"/>
        </w:rPr>
        <w:t>Apparel and other products sold by us are under the jurisdiction of multiple governmental agencies, inclu</w:t>
      </w:r>
      <w:r>
        <w:rPr>
          <w:rFonts w:eastAsia="Times New Roman"/>
          <w:color w:val="000000"/>
          <w:sz w:val="20"/>
          <w:szCs w:val="20"/>
        </w:rPr>
        <w:t>ding, in the U.S., the Federal Trade Commission, the U.S. Fish and Wildlife Service, the Environmental Protection Agency, and the Consumer Products Safety Commission. Our products are also subject to regulation in the U.S. and other countries, including th</w:t>
      </w:r>
      <w:r>
        <w:rPr>
          <w:rFonts w:eastAsia="Times New Roman"/>
          <w:color w:val="000000"/>
          <w:sz w:val="20"/>
          <w:szCs w:val="20"/>
        </w:rPr>
        <w:t>e U.S. Consumer Product Safety Improvement Act, which relate principally to product labeling, licensing requirements, and consumer product safety requirements and regulatory testing, particularly with respect to products used by children. Any failure to co</w:t>
      </w:r>
      <w:r>
        <w:rPr>
          <w:rFonts w:eastAsia="Times New Roman"/>
          <w:color w:val="000000"/>
          <w:sz w:val="20"/>
          <w:szCs w:val="20"/>
        </w:rPr>
        <w:t>mply with such requirements could result in significant penalties and require us to recall products, which could have a material adverse effect on our business or operating results. We believe that we are in substantial compliance with these regulations, a</w:t>
      </w:r>
      <w:r>
        <w:rPr>
          <w:rFonts w:eastAsia="Times New Roman"/>
          <w:color w:val="000000"/>
          <w:sz w:val="20"/>
          <w:szCs w:val="20"/>
        </w:rPr>
        <w:t>s well as applicable federal, state, local, and foreign rules and regulations governing the discharge of materials hazardous to the environment. We do not anticipate making any significant capital expenditures for environmental control matters either in th</w:t>
      </w:r>
      <w:r>
        <w:rPr>
          <w:rFonts w:eastAsia="Times New Roman"/>
          <w:color w:val="000000"/>
          <w:sz w:val="20"/>
          <w:szCs w:val="20"/>
        </w:rPr>
        <w:t>e next fiscal year or in the near future. Our licensed products, licensing partners, buying/sourcing agents, and the vendors and factories with which we contract for the manufacture and distribution of our products are also subject to regulation. Our agree</w:t>
      </w:r>
      <w:r>
        <w:rPr>
          <w:rFonts w:eastAsia="Times New Roman"/>
          <w:color w:val="000000"/>
          <w:sz w:val="20"/>
          <w:szCs w:val="20"/>
        </w:rPr>
        <w:t>ments require our licensing partners, buying/sourcing agents, vendors, and factories to operate in compliance with all applicable laws and regulations, and we are not aware of any violations which could reasonably be expected to have a material adverse eff</w:t>
      </w:r>
      <w:r>
        <w:rPr>
          <w:rFonts w:eastAsia="Times New Roman"/>
          <w:color w:val="000000"/>
          <w:sz w:val="20"/>
          <w:szCs w:val="20"/>
        </w:rPr>
        <w:t>ect on our business or operating results.</w:t>
      </w:r>
    </w:p>
    <w:p w14:paraId="5EDCAC99" w14:textId="77777777" w:rsidR="00000000" w:rsidRDefault="00EE5306">
      <w:pPr>
        <w:ind w:firstLine="540"/>
        <w:jc w:val="both"/>
        <w:divId w:val="1453673008"/>
        <w:rPr>
          <w:rFonts w:eastAsia="Times New Roman"/>
        </w:rPr>
      </w:pPr>
      <w:r>
        <w:rPr>
          <w:rFonts w:eastAsia="Times New Roman"/>
          <w:color w:val="000000"/>
          <w:sz w:val="20"/>
          <w:szCs w:val="20"/>
        </w:rPr>
        <w:t>We are also subject to disclosure and reporting requirements, established under existing or new federal or state laws, such as the requirements to identify the origin and existence of certain "conflict minerals" un</w:t>
      </w:r>
      <w:r>
        <w:rPr>
          <w:rFonts w:eastAsia="Times New Roman"/>
          <w:color w:val="000000"/>
          <w:sz w:val="20"/>
          <w:szCs w:val="20"/>
        </w:rPr>
        <w:t>der the Dodd-Frank Wall Street Reform and Consumer Protection Act, and disclosures of specific actions to eradicate abusive labor practices in our supply chain under the California Transparency in Supply Chains Act. While we require our suppliers to operat</w:t>
      </w:r>
      <w:r>
        <w:rPr>
          <w:rFonts w:eastAsia="Times New Roman"/>
          <w:color w:val="000000"/>
          <w:sz w:val="20"/>
          <w:szCs w:val="20"/>
        </w:rPr>
        <w:t>e in compliance with all applicable laws and our operating guidelines which promote ethical and socially responsible business practices, any violation of labor, environmental, health, and safety or other laws, or any divergence by an independent supplier's</w:t>
      </w:r>
      <w:r>
        <w:rPr>
          <w:rFonts w:eastAsia="Times New Roman"/>
          <w:color w:val="000000"/>
          <w:sz w:val="20"/>
          <w:szCs w:val="20"/>
        </w:rPr>
        <w:t xml:space="preserve"> labor practices from generally accepted industry standards, could damage our reputation, disrupt our sourcing capabilities, and increase the cost of doing business, adversely affecting our results of operations.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w:t>
      </w:r>
      <w:r>
        <w:rPr>
          <w:rFonts w:eastAsia="Times New Roman"/>
          <w:i/>
          <w:iCs/>
          <w:color w:val="000000"/>
          <w:sz w:val="20"/>
          <w:szCs w:val="20"/>
        </w:rPr>
        <w:t xml:space="preserve"> to our Business and Operations </w:t>
      </w:r>
      <w:r>
        <w:rPr>
          <w:rFonts w:eastAsia="Times New Roman"/>
          <w:color w:val="000000"/>
          <w:sz w:val="20"/>
          <w:szCs w:val="20"/>
        </w:rPr>
        <w:t>—</w:t>
      </w:r>
      <w:r>
        <w:rPr>
          <w:rFonts w:eastAsia="Times New Roman"/>
          <w:i/>
          <w:iCs/>
          <w:color w:val="000000"/>
          <w:sz w:val="20"/>
          <w:szCs w:val="20"/>
        </w:rPr>
        <w:t> Our business could suffer if we fail to comply with labor laws or if one of our manufacturers fails to use acceptable labor or environmental practices.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F428829" w14:textId="77777777">
        <w:trPr>
          <w:divId w:val="503787405"/>
          <w:jc w:val="center"/>
        </w:trPr>
        <w:tc>
          <w:tcPr>
            <w:tcW w:w="50" w:type="pct"/>
            <w:vAlign w:val="center"/>
            <w:hideMark/>
          </w:tcPr>
          <w:p w14:paraId="52D6419F" w14:textId="77777777" w:rsidR="00000000" w:rsidRDefault="00EE5306">
            <w:pPr>
              <w:ind w:firstLine="540"/>
              <w:jc w:val="both"/>
              <w:rPr>
                <w:rFonts w:eastAsia="Times New Roman"/>
              </w:rPr>
            </w:pPr>
          </w:p>
        </w:tc>
        <w:tc>
          <w:tcPr>
            <w:tcW w:w="1699" w:type="pct"/>
            <w:vAlign w:val="center"/>
            <w:hideMark/>
          </w:tcPr>
          <w:p w14:paraId="00A05B04" w14:textId="77777777" w:rsidR="00000000" w:rsidRDefault="00EE5306">
            <w:pPr>
              <w:spacing w:after="100"/>
              <w:rPr>
                <w:rFonts w:eastAsia="Times New Roman"/>
                <w:sz w:val="20"/>
                <w:szCs w:val="20"/>
              </w:rPr>
            </w:pPr>
          </w:p>
        </w:tc>
        <w:tc>
          <w:tcPr>
            <w:tcW w:w="5" w:type="pct"/>
            <w:vAlign w:val="center"/>
            <w:hideMark/>
          </w:tcPr>
          <w:p w14:paraId="22D04B4C" w14:textId="77777777" w:rsidR="00000000" w:rsidRDefault="00EE5306">
            <w:pPr>
              <w:spacing w:after="100"/>
              <w:rPr>
                <w:rFonts w:eastAsia="Times New Roman"/>
                <w:sz w:val="20"/>
                <w:szCs w:val="20"/>
              </w:rPr>
            </w:pPr>
          </w:p>
        </w:tc>
        <w:tc>
          <w:tcPr>
            <w:tcW w:w="50" w:type="pct"/>
            <w:vAlign w:val="center"/>
            <w:hideMark/>
          </w:tcPr>
          <w:p w14:paraId="2BE567D9" w14:textId="77777777" w:rsidR="00000000" w:rsidRDefault="00EE5306">
            <w:pPr>
              <w:spacing w:after="100"/>
              <w:rPr>
                <w:rFonts w:eastAsia="Times New Roman"/>
                <w:sz w:val="20"/>
                <w:szCs w:val="20"/>
              </w:rPr>
            </w:pPr>
          </w:p>
        </w:tc>
        <w:tc>
          <w:tcPr>
            <w:tcW w:w="1436" w:type="pct"/>
            <w:vAlign w:val="center"/>
            <w:hideMark/>
          </w:tcPr>
          <w:p w14:paraId="1ACDA885" w14:textId="77777777" w:rsidR="00000000" w:rsidRDefault="00EE5306">
            <w:pPr>
              <w:spacing w:after="100"/>
              <w:rPr>
                <w:rFonts w:eastAsia="Times New Roman"/>
                <w:sz w:val="20"/>
                <w:szCs w:val="20"/>
              </w:rPr>
            </w:pPr>
          </w:p>
        </w:tc>
        <w:tc>
          <w:tcPr>
            <w:tcW w:w="5" w:type="pct"/>
            <w:vAlign w:val="center"/>
            <w:hideMark/>
          </w:tcPr>
          <w:p w14:paraId="5EC6A662" w14:textId="77777777" w:rsidR="00000000" w:rsidRDefault="00EE5306">
            <w:pPr>
              <w:spacing w:after="100"/>
              <w:rPr>
                <w:rFonts w:eastAsia="Times New Roman"/>
                <w:sz w:val="20"/>
                <w:szCs w:val="20"/>
              </w:rPr>
            </w:pPr>
          </w:p>
        </w:tc>
        <w:tc>
          <w:tcPr>
            <w:tcW w:w="50" w:type="pct"/>
            <w:vAlign w:val="center"/>
            <w:hideMark/>
          </w:tcPr>
          <w:p w14:paraId="05E9D84E" w14:textId="77777777" w:rsidR="00000000" w:rsidRDefault="00EE5306">
            <w:pPr>
              <w:spacing w:after="100"/>
              <w:rPr>
                <w:rFonts w:eastAsia="Times New Roman"/>
                <w:sz w:val="20"/>
                <w:szCs w:val="20"/>
              </w:rPr>
            </w:pPr>
          </w:p>
        </w:tc>
        <w:tc>
          <w:tcPr>
            <w:tcW w:w="1699" w:type="pct"/>
            <w:vAlign w:val="center"/>
            <w:hideMark/>
          </w:tcPr>
          <w:p w14:paraId="771BEA45" w14:textId="77777777" w:rsidR="00000000" w:rsidRDefault="00EE5306">
            <w:pPr>
              <w:spacing w:after="100"/>
              <w:rPr>
                <w:rFonts w:eastAsia="Times New Roman"/>
                <w:sz w:val="20"/>
                <w:szCs w:val="20"/>
              </w:rPr>
            </w:pPr>
          </w:p>
        </w:tc>
        <w:tc>
          <w:tcPr>
            <w:tcW w:w="5" w:type="pct"/>
            <w:vAlign w:val="center"/>
            <w:hideMark/>
          </w:tcPr>
          <w:p w14:paraId="04F75347" w14:textId="77777777" w:rsidR="00000000" w:rsidRDefault="00EE5306">
            <w:pPr>
              <w:spacing w:after="100"/>
              <w:rPr>
                <w:rFonts w:eastAsia="Times New Roman"/>
                <w:sz w:val="20"/>
                <w:szCs w:val="20"/>
              </w:rPr>
            </w:pPr>
          </w:p>
        </w:tc>
      </w:tr>
      <w:tr w:rsidR="00000000" w14:paraId="347A34BD" w14:textId="77777777">
        <w:trPr>
          <w:divId w:val="503787405"/>
          <w:jc w:val="center"/>
        </w:trPr>
        <w:tc>
          <w:tcPr>
            <w:tcW w:w="0" w:type="auto"/>
            <w:gridSpan w:val="3"/>
            <w:tcMar>
              <w:top w:w="0" w:type="dxa"/>
              <w:left w:w="20" w:type="dxa"/>
              <w:bottom w:w="0" w:type="dxa"/>
              <w:right w:w="20" w:type="dxa"/>
            </w:tcMar>
            <w:vAlign w:val="center"/>
            <w:hideMark/>
          </w:tcPr>
          <w:p w14:paraId="566E5DA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30C3B9E" w14:textId="77777777" w:rsidR="00000000" w:rsidRDefault="00EE5306">
            <w:pPr>
              <w:spacing w:after="100"/>
              <w:jc w:val="center"/>
              <w:rPr>
                <w:rFonts w:eastAsia="Times New Roman"/>
              </w:rPr>
            </w:pPr>
            <w:r>
              <w:rPr>
                <w:rFonts w:eastAsia="Times New Roman"/>
                <w:color w:val="000000"/>
                <w:sz w:val="20"/>
                <w:szCs w:val="20"/>
              </w:rPr>
              <w:t>21</w:t>
            </w:r>
          </w:p>
        </w:tc>
        <w:tc>
          <w:tcPr>
            <w:tcW w:w="0" w:type="auto"/>
            <w:gridSpan w:val="3"/>
            <w:tcMar>
              <w:top w:w="0" w:type="dxa"/>
              <w:left w:w="20" w:type="dxa"/>
              <w:bottom w:w="0" w:type="dxa"/>
              <w:right w:w="20" w:type="dxa"/>
            </w:tcMar>
            <w:vAlign w:val="center"/>
            <w:hideMark/>
          </w:tcPr>
          <w:p w14:paraId="6757F5B6" w14:textId="77777777" w:rsidR="00000000" w:rsidRDefault="00EE5306">
            <w:pPr>
              <w:spacing w:after="100"/>
              <w:jc w:val="center"/>
              <w:rPr>
                <w:rFonts w:eastAsia="Times New Roman"/>
              </w:rPr>
            </w:pPr>
          </w:p>
        </w:tc>
      </w:tr>
    </w:tbl>
    <w:p w14:paraId="4F460688" w14:textId="77777777" w:rsidR="00000000" w:rsidRDefault="00EE5306">
      <w:pPr>
        <w:rPr>
          <w:rFonts w:eastAsia="Times New Roman"/>
        </w:rPr>
      </w:pPr>
      <w:r>
        <w:rPr>
          <w:rFonts w:eastAsia="Times New Roman"/>
        </w:rPr>
        <w:pict w14:anchorId="34FDE3E3">
          <v:rect id="_x0000_i1047" style="width:0;height:1.5pt" o:hralign="center" o:hrstd="t" o:hr="t" fillcolor="#a0a0a0" stroked="f"/>
        </w:pict>
      </w:r>
    </w:p>
    <w:p w14:paraId="4C75815F" w14:textId="77777777" w:rsidR="00000000" w:rsidRDefault="00EE5306">
      <w:pPr>
        <w:divId w:val="252980941"/>
        <w:rPr>
          <w:rFonts w:eastAsia="Times New Roman"/>
        </w:rPr>
      </w:pPr>
    </w:p>
    <w:p w14:paraId="52F0FDEA" w14:textId="77777777" w:rsidR="00000000" w:rsidRDefault="00EE5306">
      <w:pPr>
        <w:ind w:firstLine="540"/>
        <w:jc w:val="both"/>
        <w:divId w:val="1054506233"/>
        <w:rPr>
          <w:rFonts w:eastAsia="Times New Roman"/>
        </w:rPr>
      </w:pPr>
      <w:r>
        <w:rPr>
          <w:rFonts w:eastAsia="Times New Roman"/>
          <w:color w:val="000000"/>
          <w:sz w:val="20"/>
          <w:szCs w:val="20"/>
        </w:rPr>
        <w:t>Although we have not suffered any material restriction from doing business in desirable markets in the past, we cannot assure that significant impediments will not arise in the future as we expand product offerings and</w:t>
      </w:r>
      <w:r>
        <w:rPr>
          <w:rFonts w:eastAsia="Times New Roman"/>
          <w:color w:val="000000"/>
          <w:sz w:val="20"/>
          <w:szCs w:val="20"/>
        </w:rPr>
        <w:t xml:space="preserve"> introduce additional trademarks to new markets.</w:t>
      </w:r>
    </w:p>
    <w:p w14:paraId="0249E323" w14:textId="77777777" w:rsidR="00000000" w:rsidRDefault="00EE5306">
      <w:pPr>
        <w:jc w:val="center"/>
        <w:divId w:val="225382575"/>
        <w:rPr>
          <w:rFonts w:eastAsia="Times New Roman"/>
        </w:rPr>
      </w:pPr>
      <w:r>
        <w:rPr>
          <w:rFonts w:eastAsia="Times New Roman"/>
          <w:b/>
          <w:bCs/>
          <w:color w:val="000000"/>
          <w:sz w:val="20"/>
          <w:szCs w:val="20"/>
        </w:rPr>
        <w:t>Human Capital</w:t>
      </w:r>
    </w:p>
    <w:p w14:paraId="679B631F" w14:textId="77777777" w:rsidR="00000000" w:rsidRDefault="00EE5306">
      <w:pPr>
        <w:ind w:firstLine="540"/>
        <w:jc w:val="both"/>
        <w:divId w:val="400712159"/>
        <w:rPr>
          <w:rFonts w:eastAsia="Times New Roman"/>
        </w:rPr>
      </w:pPr>
      <w:r>
        <w:rPr>
          <w:rFonts w:eastAsia="Times New Roman"/>
          <w:color w:val="000000"/>
          <w:sz w:val="20"/>
          <w:szCs w:val="20"/>
        </w:rPr>
        <w:t>Our purpose is to inspire the dream of a better life through authenticity and timeless style. This purpose extends to how we provide resources to support our employees' health, well-being, work</w:t>
      </w:r>
      <w:r>
        <w:rPr>
          <w:rFonts w:eastAsia="Times New Roman"/>
          <w:color w:val="000000"/>
          <w:sz w:val="20"/>
          <w:szCs w:val="20"/>
        </w:rPr>
        <w:t>-life harmony, and quality of life. We believe that attracting, developing, and retaining a diverse work force that is both skilled and motivated is critical to the successful execution of our long-term growth strategy. To this end, we are committed to cre</w:t>
      </w:r>
      <w:r>
        <w:rPr>
          <w:rFonts w:eastAsia="Times New Roman"/>
          <w:color w:val="000000"/>
          <w:sz w:val="20"/>
          <w:szCs w:val="20"/>
        </w:rPr>
        <w:t xml:space="preserve">ating a culture and work environment in which all employees feel welcome and can thrive, both as individuals and as part of our team. </w:t>
      </w:r>
    </w:p>
    <w:p w14:paraId="4F3678F3" w14:textId="77777777" w:rsidR="00000000" w:rsidRDefault="00EE5306">
      <w:pPr>
        <w:ind w:firstLine="540"/>
        <w:jc w:val="both"/>
        <w:divId w:val="1490174595"/>
        <w:rPr>
          <w:rFonts w:eastAsia="Times New Roman"/>
        </w:rPr>
      </w:pPr>
      <w:r>
        <w:rPr>
          <w:rFonts w:eastAsia="Times New Roman"/>
          <w:color w:val="000000"/>
          <w:sz w:val="20"/>
          <w:szCs w:val="20"/>
        </w:rPr>
        <w:t xml:space="preserve">Our Board of Directors regularly reviews our people and development strategy, including our employee diversity, respect, </w:t>
      </w:r>
      <w:r>
        <w:rPr>
          <w:rFonts w:eastAsia="Times New Roman"/>
          <w:color w:val="000000"/>
          <w:sz w:val="20"/>
          <w:szCs w:val="20"/>
        </w:rPr>
        <w:t>and inclusion initiatives.</w:t>
      </w:r>
    </w:p>
    <w:p w14:paraId="77CAE734" w14:textId="77777777" w:rsidR="00000000" w:rsidRDefault="00EE5306">
      <w:pPr>
        <w:ind w:firstLine="540"/>
        <w:jc w:val="both"/>
        <w:divId w:val="1213809638"/>
        <w:rPr>
          <w:rFonts w:eastAsia="Times New Roman"/>
        </w:rPr>
      </w:pPr>
      <w:r>
        <w:rPr>
          <w:rFonts w:eastAsia="Times New Roman"/>
          <w:b/>
          <w:bCs/>
          <w:i/>
          <w:iCs/>
          <w:color w:val="000000"/>
          <w:sz w:val="20"/>
          <w:szCs w:val="20"/>
        </w:rPr>
        <w:t>Our Employees</w:t>
      </w:r>
    </w:p>
    <w:p w14:paraId="3E14A96E" w14:textId="77777777" w:rsidR="00000000" w:rsidRDefault="00EE5306">
      <w:pPr>
        <w:ind w:firstLine="540"/>
        <w:jc w:val="both"/>
        <w:divId w:val="1538933586"/>
        <w:rPr>
          <w:rFonts w:eastAsia="Times New Roman"/>
        </w:rPr>
      </w:pPr>
      <w:r>
        <w:rPr>
          <w:rFonts w:eastAsia="Times New Roman"/>
          <w:color w:val="000000"/>
          <w:sz w:val="20"/>
          <w:szCs w:val="20"/>
        </w:rPr>
        <w:t>As of March 27, 2021, we had approximately 20,300 employees, comprised of approximately 12,100 full-time and 8,200 part-time employees. Approximately 10,400 of our employees are located in the U.S. and 9,900 are loc</w:t>
      </w:r>
      <w:r>
        <w:rPr>
          <w:rFonts w:eastAsia="Times New Roman"/>
          <w:color w:val="000000"/>
          <w:sz w:val="20"/>
          <w:szCs w:val="20"/>
        </w:rPr>
        <w:t>ated in foreign countries. Approximately 5 of our U.S. production employees in the womenswear business are members of Workers United (which was previously known as UNITE HERE) under an industry association collective bargaining agreement, which our womensw</w:t>
      </w:r>
      <w:r>
        <w:rPr>
          <w:rFonts w:eastAsia="Times New Roman"/>
          <w:color w:val="000000"/>
          <w:sz w:val="20"/>
          <w:szCs w:val="20"/>
        </w:rPr>
        <w:t>ear subsidiary has adopted. We consider our relations with both our union and non-union employees to be good.</w:t>
      </w:r>
    </w:p>
    <w:p w14:paraId="39B4BE66" w14:textId="77777777" w:rsidR="00000000" w:rsidRDefault="00EE5306">
      <w:pPr>
        <w:ind w:firstLine="540"/>
        <w:jc w:val="both"/>
        <w:divId w:val="1070418433"/>
        <w:rPr>
          <w:rFonts w:eastAsia="Times New Roman"/>
        </w:rPr>
      </w:pPr>
      <w:r>
        <w:rPr>
          <w:rFonts w:eastAsia="Times New Roman"/>
          <w:color w:val="000000"/>
          <w:sz w:val="20"/>
          <w:szCs w:val="20"/>
        </w:rPr>
        <w:t>As of March 27, 2021, approximately 64% and 36% of our global workforce self-identified as female and male, respectively, and in the U.S., approxi</w:t>
      </w:r>
      <w:r>
        <w:rPr>
          <w:rFonts w:eastAsia="Times New Roman"/>
          <w:color w:val="000000"/>
          <w:sz w:val="20"/>
          <w:szCs w:val="20"/>
        </w:rPr>
        <w:t>mately 39% of our workforce self-identified as white and 60% self-identified as an underrepresented race and ethnic group.</w:t>
      </w:r>
    </w:p>
    <w:p w14:paraId="65F915EF" w14:textId="77777777" w:rsidR="00000000" w:rsidRDefault="00EE5306">
      <w:pPr>
        <w:ind w:firstLine="540"/>
        <w:jc w:val="both"/>
        <w:divId w:val="563371779"/>
        <w:rPr>
          <w:rFonts w:eastAsia="Times New Roman"/>
        </w:rPr>
      </w:pPr>
      <w:r>
        <w:rPr>
          <w:rFonts w:eastAsia="Times New Roman"/>
          <w:b/>
          <w:bCs/>
          <w:i/>
          <w:iCs/>
          <w:color w:val="000000"/>
          <w:sz w:val="20"/>
          <w:szCs w:val="20"/>
        </w:rPr>
        <w:t>Diversity and Inclusion</w:t>
      </w:r>
    </w:p>
    <w:p w14:paraId="1FCB6B96" w14:textId="77777777" w:rsidR="00000000" w:rsidRDefault="00EE5306">
      <w:pPr>
        <w:ind w:firstLine="540"/>
        <w:jc w:val="both"/>
        <w:divId w:val="173110185"/>
        <w:rPr>
          <w:rFonts w:eastAsia="Times New Roman"/>
        </w:rPr>
      </w:pPr>
      <w:r>
        <w:rPr>
          <w:rFonts w:eastAsia="Times New Roman"/>
          <w:color w:val="000000"/>
          <w:sz w:val="20"/>
          <w:szCs w:val="20"/>
        </w:rPr>
        <w:t xml:space="preserve">We believe the diversity of our employees and our culture of inclusivity drive innovation and creativity, and we are committed to further strengthening such diversity and inclusion across race, ethnicity, gender, sexual orientation, disability, and mental </w:t>
      </w:r>
      <w:r>
        <w:rPr>
          <w:rFonts w:eastAsia="Times New Roman"/>
          <w:color w:val="000000"/>
          <w:sz w:val="20"/>
          <w:szCs w:val="20"/>
        </w:rPr>
        <w:t>health and wellness, among other demographics, ensuring fairness for all. Our diversity and inclusion ("D&amp;I") strategy is guided by the following five pillars:</w:t>
      </w:r>
    </w:p>
    <w:p w14:paraId="59EB1356" w14:textId="77777777" w:rsidR="00000000" w:rsidRDefault="00EE5306">
      <w:pPr>
        <w:ind w:hanging="360"/>
        <w:jc w:val="both"/>
        <w:divId w:val="857088527"/>
        <w:rPr>
          <w:rFonts w:eastAsia="Times New Roman"/>
        </w:rPr>
      </w:pPr>
      <w:r>
        <w:rPr>
          <w:rFonts w:eastAsia="Times New Roman"/>
          <w:color w:val="000000"/>
          <w:sz w:val="20"/>
          <w:szCs w:val="20"/>
        </w:rPr>
        <w:t>1.</w:t>
      </w:r>
      <w:r>
        <w:rPr>
          <w:rFonts w:eastAsia="Times New Roman"/>
          <w:i/>
          <w:iCs/>
          <w:color w:val="000000"/>
          <w:sz w:val="20"/>
          <w:szCs w:val="20"/>
        </w:rPr>
        <w:t>Talent</w:t>
      </w:r>
      <w:r>
        <w:rPr>
          <w:rFonts w:eastAsia="Times New Roman"/>
          <w:color w:val="000000"/>
          <w:sz w:val="20"/>
          <w:szCs w:val="20"/>
        </w:rPr>
        <w:t xml:space="preserve"> — </w:t>
      </w:r>
      <w:r>
        <w:rPr>
          <w:rFonts w:eastAsia="Times New Roman"/>
          <w:color w:val="000000"/>
          <w:sz w:val="20"/>
          <w:szCs w:val="20"/>
        </w:rPr>
        <w:t xml:space="preserve">Cultivate diverse teams and elevate underrepresented talent to leadership ranks. In calendar 2019, we achieved our goal to have gender parity in our leadership ranks for Vice President and above. We are committed to have at least 20% of People of Color in </w:t>
      </w:r>
      <w:r>
        <w:rPr>
          <w:rFonts w:eastAsia="Times New Roman"/>
          <w:color w:val="000000"/>
          <w:sz w:val="20"/>
          <w:szCs w:val="20"/>
        </w:rPr>
        <w:t>our global leadership team by calendar 2023.</w:t>
      </w:r>
    </w:p>
    <w:p w14:paraId="2A51ACC6" w14:textId="77777777" w:rsidR="00000000" w:rsidRDefault="00EE5306">
      <w:pPr>
        <w:ind w:hanging="360"/>
        <w:jc w:val="both"/>
        <w:divId w:val="494301553"/>
        <w:rPr>
          <w:rFonts w:eastAsia="Times New Roman"/>
        </w:rPr>
      </w:pPr>
      <w:r>
        <w:rPr>
          <w:rFonts w:eastAsia="Times New Roman"/>
          <w:color w:val="000000"/>
          <w:sz w:val="20"/>
          <w:szCs w:val="20"/>
        </w:rPr>
        <w:t>2.</w:t>
      </w:r>
      <w:r>
        <w:rPr>
          <w:rFonts w:eastAsia="Times New Roman"/>
          <w:i/>
          <w:iCs/>
          <w:color w:val="000000"/>
          <w:sz w:val="20"/>
          <w:szCs w:val="20"/>
        </w:rPr>
        <w:t>Collaboration and Belonging</w:t>
      </w:r>
      <w:r>
        <w:rPr>
          <w:rFonts w:eastAsia="Times New Roman"/>
          <w:color w:val="000000"/>
          <w:sz w:val="20"/>
          <w:szCs w:val="20"/>
        </w:rPr>
        <w:t xml:space="preserve"> — Enable open dialogue and create safe spaces for the amplification of diverse voices and perspectives. During Fiscal 2021, we implemented six new internal advisory councils, as dis</w:t>
      </w:r>
      <w:r>
        <w:rPr>
          <w:rFonts w:eastAsia="Times New Roman"/>
          <w:color w:val="000000"/>
          <w:sz w:val="20"/>
          <w:szCs w:val="20"/>
        </w:rPr>
        <w:t>cussed below, and employee resource groups. We expanded our RL Community Groups to include a Working Parents Network, focusing on our employees who are parents and caregivers. We also established a company manifesto with specific and action-oriented commit</w:t>
      </w:r>
      <w:r>
        <w:rPr>
          <w:rFonts w:eastAsia="Times New Roman"/>
          <w:color w:val="000000"/>
          <w:sz w:val="20"/>
          <w:szCs w:val="20"/>
        </w:rPr>
        <w:t>ments to elevate, amplify, and support the Black Community.</w:t>
      </w:r>
    </w:p>
    <w:p w14:paraId="1A5DFC4D" w14:textId="77777777" w:rsidR="00000000" w:rsidRDefault="00EE5306">
      <w:pPr>
        <w:ind w:hanging="360"/>
        <w:jc w:val="both"/>
        <w:divId w:val="570964218"/>
        <w:rPr>
          <w:rFonts w:eastAsia="Times New Roman"/>
        </w:rPr>
      </w:pPr>
      <w:r>
        <w:rPr>
          <w:rFonts w:eastAsia="Times New Roman"/>
          <w:color w:val="000000"/>
          <w:sz w:val="20"/>
          <w:szCs w:val="20"/>
        </w:rPr>
        <w:t>3.</w:t>
      </w:r>
      <w:r>
        <w:rPr>
          <w:rFonts w:eastAsia="Times New Roman"/>
          <w:i/>
          <w:iCs/>
          <w:color w:val="000000"/>
          <w:sz w:val="20"/>
          <w:szCs w:val="20"/>
        </w:rPr>
        <w:t>Learning</w:t>
      </w:r>
      <w:r>
        <w:rPr>
          <w:rFonts w:eastAsia="Times New Roman"/>
          <w:color w:val="000000"/>
          <w:sz w:val="20"/>
          <w:szCs w:val="20"/>
        </w:rPr>
        <w:t xml:space="preserve"> — Build an inclusive culture through awareness, education, and deployment of mandatory D&amp;I trainings globally. During Fiscal 2021, we expanded inclusive leadership learning with the rol</w:t>
      </w:r>
      <w:r>
        <w:rPr>
          <w:rFonts w:eastAsia="Times New Roman"/>
          <w:color w:val="000000"/>
          <w:sz w:val="20"/>
          <w:szCs w:val="20"/>
        </w:rPr>
        <w:t>lout of an unconscious bias, allyship, and advocacy training, which is also now included in our new hire onboarding. In addition, we have mentoring and professional development programs offering internal and external development and career acceleration pro</w:t>
      </w:r>
      <w:r>
        <w:rPr>
          <w:rFonts w:eastAsia="Times New Roman"/>
          <w:color w:val="000000"/>
          <w:sz w:val="20"/>
          <w:szCs w:val="20"/>
        </w:rPr>
        <w:t>grams for underrepresented talent. We also provided scholarship funds to academic programs supporting underrepresented students.</w:t>
      </w:r>
    </w:p>
    <w:p w14:paraId="22A4DDAE" w14:textId="77777777" w:rsidR="00000000" w:rsidRDefault="00EE5306">
      <w:pPr>
        <w:ind w:hanging="360"/>
        <w:jc w:val="both"/>
        <w:divId w:val="2025327180"/>
        <w:rPr>
          <w:rFonts w:eastAsia="Times New Roman"/>
        </w:rPr>
      </w:pPr>
      <w:r>
        <w:rPr>
          <w:rFonts w:eastAsia="Times New Roman"/>
          <w:color w:val="000000"/>
          <w:sz w:val="20"/>
          <w:szCs w:val="20"/>
        </w:rPr>
        <w:t>4.</w:t>
      </w:r>
      <w:r>
        <w:rPr>
          <w:rFonts w:eastAsia="Times New Roman"/>
          <w:i/>
          <w:iCs/>
          <w:color w:val="000000"/>
          <w:sz w:val="20"/>
          <w:szCs w:val="20"/>
        </w:rPr>
        <w:t>Communication and Messaging</w:t>
      </w:r>
      <w:r>
        <w:rPr>
          <w:rFonts w:eastAsia="Times New Roman"/>
          <w:color w:val="000000"/>
          <w:sz w:val="20"/>
          <w:szCs w:val="20"/>
        </w:rPr>
        <w:t xml:space="preserve"> — Maximize our inclusive message and increase the transparency of our D&amp;I initiatives. We gather </w:t>
      </w:r>
      <w:r>
        <w:rPr>
          <w:rFonts w:eastAsia="Times New Roman"/>
          <w:color w:val="000000"/>
          <w:sz w:val="20"/>
          <w:szCs w:val="20"/>
        </w:rPr>
        <w:t>direct feedback from our employees and measure their engagement to better understand how we can improve. In Fiscal 2021, we expanded our approach to solicit employee feedback, shifting from an annual company-wide survey to more frequent pulse surveys on to</w:t>
      </w:r>
      <w:r>
        <w:rPr>
          <w:rFonts w:eastAsia="Times New Roman"/>
          <w:color w:val="000000"/>
          <w:sz w:val="20"/>
          <w:szCs w:val="20"/>
        </w:rPr>
        <w:t>pical issues, specifically focusing on the experiences of our underrepresented employees. For Fiscal 2022, we plan to return to our global annual employee survey.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A2E43DE" w14:textId="77777777">
        <w:trPr>
          <w:divId w:val="96608797"/>
          <w:jc w:val="center"/>
        </w:trPr>
        <w:tc>
          <w:tcPr>
            <w:tcW w:w="50" w:type="pct"/>
            <w:vAlign w:val="center"/>
            <w:hideMark/>
          </w:tcPr>
          <w:p w14:paraId="29D92F88" w14:textId="77777777" w:rsidR="00000000" w:rsidRDefault="00EE5306">
            <w:pPr>
              <w:ind w:hanging="360"/>
              <w:jc w:val="both"/>
              <w:rPr>
                <w:rFonts w:eastAsia="Times New Roman"/>
              </w:rPr>
            </w:pPr>
          </w:p>
        </w:tc>
        <w:tc>
          <w:tcPr>
            <w:tcW w:w="1699" w:type="pct"/>
            <w:vAlign w:val="center"/>
            <w:hideMark/>
          </w:tcPr>
          <w:p w14:paraId="0C014DA6" w14:textId="77777777" w:rsidR="00000000" w:rsidRDefault="00EE5306">
            <w:pPr>
              <w:spacing w:after="100"/>
              <w:rPr>
                <w:rFonts w:eastAsia="Times New Roman"/>
                <w:sz w:val="20"/>
                <w:szCs w:val="20"/>
              </w:rPr>
            </w:pPr>
          </w:p>
        </w:tc>
        <w:tc>
          <w:tcPr>
            <w:tcW w:w="5" w:type="pct"/>
            <w:vAlign w:val="center"/>
            <w:hideMark/>
          </w:tcPr>
          <w:p w14:paraId="290C9998" w14:textId="77777777" w:rsidR="00000000" w:rsidRDefault="00EE5306">
            <w:pPr>
              <w:spacing w:after="100"/>
              <w:rPr>
                <w:rFonts w:eastAsia="Times New Roman"/>
                <w:sz w:val="20"/>
                <w:szCs w:val="20"/>
              </w:rPr>
            </w:pPr>
          </w:p>
        </w:tc>
        <w:tc>
          <w:tcPr>
            <w:tcW w:w="50" w:type="pct"/>
            <w:vAlign w:val="center"/>
            <w:hideMark/>
          </w:tcPr>
          <w:p w14:paraId="636D3036" w14:textId="77777777" w:rsidR="00000000" w:rsidRDefault="00EE5306">
            <w:pPr>
              <w:spacing w:after="100"/>
              <w:rPr>
                <w:rFonts w:eastAsia="Times New Roman"/>
                <w:sz w:val="20"/>
                <w:szCs w:val="20"/>
              </w:rPr>
            </w:pPr>
          </w:p>
        </w:tc>
        <w:tc>
          <w:tcPr>
            <w:tcW w:w="1436" w:type="pct"/>
            <w:vAlign w:val="center"/>
            <w:hideMark/>
          </w:tcPr>
          <w:p w14:paraId="6EDF7935" w14:textId="77777777" w:rsidR="00000000" w:rsidRDefault="00EE5306">
            <w:pPr>
              <w:spacing w:after="100"/>
              <w:rPr>
                <w:rFonts w:eastAsia="Times New Roman"/>
                <w:sz w:val="20"/>
                <w:szCs w:val="20"/>
              </w:rPr>
            </w:pPr>
          </w:p>
        </w:tc>
        <w:tc>
          <w:tcPr>
            <w:tcW w:w="5" w:type="pct"/>
            <w:vAlign w:val="center"/>
            <w:hideMark/>
          </w:tcPr>
          <w:p w14:paraId="0E39CE2F" w14:textId="77777777" w:rsidR="00000000" w:rsidRDefault="00EE5306">
            <w:pPr>
              <w:spacing w:after="100"/>
              <w:rPr>
                <w:rFonts w:eastAsia="Times New Roman"/>
                <w:sz w:val="20"/>
                <w:szCs w:val="20"/>
              </w:rPr>
            </w:pPr>
          </w:p>
        </w:tc>
        <w:tc>
          <w:tcPr>
            <w:tcW w:w="50" w:type="pct"/>
            <w:vAlign w:val="center"/>
            <w:hideMark/>
          </w:tcPr>
          <w:p w14:paraId="5AA79227" w14:textId="77777777" w:rsidR="00000000" w:rsidRDefault="00EE5306">
            <w:pPr>
              <w:spacing w:after="100"/>
              <w:rPr>
                <w:rFonts w:eastAsia="Times New Roman"/>
                <w:sz w:val="20"/>
                <w:szCs w:val="20"/>
              </w:rPr>
            </w:pPr>
          </w:p>
        </w:tc>
        <w:tc>
          <w:tcPr>
            <w:tcW w:w="1699" w:type="pct"/>
            <w:vAlign w:val="center"/>
            <w:hideMark/>
          </w:tcPr>
          <w:p w14:paraId="699EBB08" w14:textId="77777777" w:rsidR="00000000" w:rsidRDefault="00EE5306">
            <w:pPr>
              <w:spacing w:after="100"/>
              <w:rPr>
                <w:rFonts w:eastAsia="Times New Roman"/>
                <w:sz w:val="20"/>
                <w:szCs w:val="20"/>
              </w:rPr>
            </w:pPr>
          </w:p>
        </w:tc>
        <w:tc>
          <w:tcPr>
            <w:tcW w:w="5" w:type="pct"/>
            <w:vAlign w:val="center"/>
            <w:hideMark/>
          </w:tcPr>
          <w:p w14:paraId="097A0C15" w14:textId="77777777" w:rsidR="00000000" w:rsidRDefault="00EE5306">
            <w:pPr>
              <w:spacing w:after="100"/>
              <w:rPr>
                <w:rFonts w:eastAsia="Times New Roman"/>
                <w:sz w:val="20"/>
                <w:szCs w:val="20"/>
              </w:rPr>
            </w:pPr>
          </w:p>
        </w:tc>
      </w:tr>
      <w:tr w:rsidR="00000000" w14:paraId="7A11426E" w14:textId="77777777">
        <w:trPr>
          <w:divId w:val="96608797"/>
          <w:jc w:val="center"/>
        </w:trPr>
        <w:tc>
          <w:tcPr>
            <w:tcW w:w="0" w:type="auto"/>
            <w:gridSpan w:val="3"/>
            <w:tcMar>
              <w:top w:w="0" w:type="dxa"/>
              <w:left w:w="20" w:type="dxa"/>
              <w:bottom w:w="0" w:type="dxa"/>
              <w:right w:w="20" w:type="dxa"/>
            </w:tcMar>
            <w:vAlign w:val="center"/>
            <w:hideMark/>
          </w:tcPr>
          <w:p w14:paraId="4BEE6501"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3A5AA89" w14:textId="77777777" w:rsidR="00000000" w:rsidRDefault="00EE5306">
            <w:pPr>
              <w:spacing w:after="100"/>
              <w:jc w:val="center"/>
              <w:rPr>
                <w:rFonts w:eastAsia="Times New Roman"/>
              </w:rPr>
            </w:pPr>
            <w:r>
              <w:rPr>
                <w:rFonts w:eastAsia="Times New Roman"/>
                <w:color w:val="000000"/>
                <w:sz w:val="20"/>
                <w:szCs w:val="20"/>
              </w:rPr>
              <w:t>22</w:t>
            </w:r>
          </w:p>
        </w:tc>
        <w:tc>
          <w:tcPr>
            <w:tcW w:w="0" w:type="auto"/>
            <w:gridSpan w:val="3"/>
            <w:tcMar>
              <w:top w:w="0" w:type="dxa"/>
              <w:left w:w="20" w:type="dxa"/>
              <w:bottom w:w="0" w:type="dxa"/>
              <w:right w:w="20" w:type="dxa"/>
            </w:tcMar>
            <w:vAlign w:val="center"/>
            <w:hideMark/>
          </w:tcPr>
          <w:p w14:paraId="558C1512" w14:textId="77777777" w:rsidR="00000000" w:rsidRDefault="00EE5306">
            <w:pPr>
              <w:spacing w:after="100"/>
              <w:jc w:val="center"/>
              <w:rPr>
                <w:rFonts w:eastAsia="Times New Roman"/>
              </w:rPr>
            </w:pPr>
          </w:p>
        </w:tc>
      </w:tr>
    </w:tbl>
    <w:p w14:paraId="032E6F93" w14:textId="77777777" w:rsidR="00000000" w:rsidRDefault="00EE5306">
      <w:pPr>
        <w:rPr>
          <w:rFonts w:eastAsia="Times New Roman"/>
        </w:rPr>
      </w:pPr>
      <w:r>
        <w:rPr>
          <w:rFonts w:eastAsia="Times New Roman"/>
        </w:rPr>
        <w:pict w14:anchorId="0B1C49D8">
          <v:rect id="_x0000_i1048" style="width:0;height:1.5pt" o:hralign="center" o:hrstd="t" o:hr="t" fillcolor="#a0a0a0" stroked="f"/>
        </w:pict>
      </w:r>
    </w:p>
    <w:p w14:paraId="277B0663" w14:textId="77777777" w:rsidR="00000000" w:rsidRDefault="00EE5306">
      <w:pPr>
        <w:divId w:val="2023046016"/>
        <w:rPr>
          <w:rFonts w:eastAsia="Times New Roman"/>
        </w:rPr>
      </w:pPr>
    </w:p>
    <w:p w14:paraId="35B0CF59" w14:textId="77777777" w:rsidR="00000000" w:rsidRDefault="00EE5306">
      <w:pPr>
        <w:ind w:hanging="360"/>
        <w:jc w:val="both"/>
        <w:divId w:val="717314502"/>
        <w:rPr>
          <w:rFonts w:eastAsia="Times New Roman"/>
        </w:rPr>
      </w:pPr>
      <w:r>
        <w:rPr>
          <w:rFonts w:eastAsia="Times New Roman"/>
          <w:color w:val="000000"/>
          <w:sz w:val="20"/>
          <w:szCs w:val="20"/>
        </w:rPr>
        <w:t>5.</w:t>
      </w:r>
      <w:r>
        <w:rPr>
          <w:rFonts w:eastAsia="Times New Roman"/>
          <w:i/>
          <w:iCs/>
          <w:color w:val="000000"/>
          <w:sz w:val="20"/>
          <w:szCs w:val="20"/>
        </w:rPr>
        <w:t>Celebration and Recognition</w:t>
      </w:r>
      <w:r>
        <w:rPr>
          <w:rFonts w:eastAsia="Times New Roman"/>
          <w:color w:val="000000"/>
          <w:sz w:val="20"/>
          <w:szCs w:val="20"/>
        </w:rPr>
        <w:t xml:space="preserve"> — Appreciate our unique differences and increase educational events for all employees with a focus on diverse experiences. In Fiscal 2021, we increased educational and celebratory events f</w:t>
      </w:r>
      <w:r>
        <w:rPr>
          <w:rFonts w:eastAsia="Times New Roman"/>
          <w:color w:val="000000"/>
          <w:sz w:val="20"/>
          <w:szCs w:val="20"/>
        </w:rPr>
        <w:t>ocused on diverse experiences with over 30 virtual D&amp;I events with 10,000 participants globally. Our D&amp;I efforts have been recognized in recent years, including being named a Best Place to Work for LGTBQIA+, receiving 100% on the Human Rights Campaign's Co</w:t>
      </w:r>
      <w:r>
        <w:rPr>
          <w:rFonts w:eastAsia="Times New Roman"/>
          <w:color w:val="000000"/>
          <w:sz w:val="20"/>
          <w:szCs w:val="20"/>
        </w:rPr>
        <w:t>rporate Equality Index in calendar 2021 for the second year in a row, as well as being named Best Place to Advance for Women by Parity.Org.</w:t>
      </w:r>
    </w:p>
    <w:p w14:paraId="5B0F4978" w14:textId="77777777" w:rsidR="00000000" w:rsidRDefault="00EE5306">
      <w:pPr>
        <w:ind w:firstLine="540"/>
        <w:jc w:val="both"/>
        <w:divId w:val="591280266"/>
        <w:rPr>
          <w:rFonts w:eastAsia="Times New Roman"/>
        </w:rPr>
      </w:pPr>
      <w:r>
        <w:rPr>
          <w:rFonts w:eastAsia="Times New Roman"/>
          <w:color w:val="000000"/>
          <w:sz w:val="20"/>
          <w:szCs w:val="20"/>
        </w:rPr>
        <w:t>During Fiscal 2021, we expanded our Global D&amp;I Steering Committee whose members are directly accountable for executi</w:t>
      </w:r>
      <w:r>
        <w:rPr>
          <w:rFonts w:eastAsia="Times New Roman"/>
          <w:color w:val="000000"/>
          <w:sz w:val="20"/>
          <w:szCs w:val="20"/>
        </w:rPr>
        <w:t>ng on our D&amp;I strategies ensuring consistent support to achieve our goals. This committee leads our newly created D&amp;I Black and African American Commitment Working Groups, which provide a robust structural framework to action on our racial equity commitmen</w:t>
      </w:r>
      <w:r>
        <w:rPr>
          <w:rFonts w:eastAsia="Times New Roman"/>
          <w:color w:val="000000"/>
          <w:sz w:val="20"/>
          <w:szCs w:val="20"/>
        </w:rPr>
        <w:t xml:space="preserve">ts. We also introduced advisory councils, including the Black Advisory Council, Asian Pacific Islander Council, Native American Council, and Hispanic, Latino, and Latinx Council, who advise our executive leadership team, marketing campaigns, and long-term </w:t>
      </w:r>
      <w:r>
        <w:rPr>
          <w:rFonts w:eastAsia="Times New Roman"/>
          <w:color w:val="000000"/>
          <w:sz w:val="20"/>
          <w:szCs w:val="20"/>
        </w:rPr>
        <w:t xml:space="preserve">programs and initiatives to amplify the voices of underrepresented groups at Ralph Lauren. </w:t>
      </w:r>
    </w:p>
    <w:p w14:paraId="74826D03" w14:textId="77777777" w:rsidR="00000000" w:rsidRDefault="00EE5306">
      <w:pPr>
        <w:ind w:firstLine="540"/>
        <w:jc w:val="both"/>
        <w:divId w:val="704332122"/>
        <w:rPr>
          <w:rFonts w:eastAsia="Times New Roman"/>
        </w:rPr>
      </w:pPr>
      <w:r>
        <w:rPr>
          <w:rFonts w:eastAsia="Times New Roman"/>
          <w:color w:val="000000"/>
          <w:sz w:val="20"/>
          <w:szCs w:val="20"/>
        </w:rPr>
        <w:t>In addition to our robust D&amp;I governance structure, our employees play a key role in embedding a culture of inclusion at Ralph Lauren through our other employee res</w:t>
      </w:r>
      <w:r>
        <w:rPr>
          <w:rFonts w:eastAsia="Times New Roman"/>
          <w:color w:val="000000"/>
          <w:sz w:val="20"/>
          <w:szCs w:val="20"/>
        </w:rPr>
        <w:t>ource groups, including our Gender Community Group, Pride Group, and Disability, Mental Health, and Wellness Group. These groups promote dialogue, define D&amp;I focus areas, and help us properly prioritize action plans and necessary resources to develop solut</w:t>
      </w:r>
      <w:r>
        <w:rPr>
          <w:rFonts w:eastAsia="Times New Roman"/>
          <w:color w:val="000000"/>
          <w:sz w:val="20"/>
          <w:szCs w:val="20"/>
        </w:rPr>
        <w:t xml:space="preserve">ions. </w:t>
      </w:r>
    </w:p>
    <w:p w14:paraId="4A9D05EC" w14:textId="77777777" w:rsidR="00000000" w:rsidRDefault="00EE5306">
      <w:pPr>
        <w:ind w:firstLine="540"/>
        <w:jc w:val="both"/>
        <w:divId w:val="1075669554"/>
        <w:rPr>
          <w:rFonts w:eastAsia="Times New Roman"/>
        </w:rPr>
      </w:pPr>
      <w:r>
        <w:rPr>
          <w:rFonts w:eastAsia="Times New Roman"/>
          <w:color w:val="000000"/>
          <w:sz w:val="20"/>
          <w:szCs w:val="20"/>
        </w:rPr>
        <w:t xml:space="preserve">Additional information relating to our D&amp;I initiatives and goals can be found in our annual sustainability reports, which is available at our website at http://investor.ralphlauren.com under the caption "Global Citizenship &amp; Sustainability Report." </w:t>
      </w:r>
      <w:r>
        <w:rPr>
          <w:rFonts w:eastAsia="Times New Roman"/>
          <w:color w:val="000000"/>
          <w:sz w:val="20"/>
          <w:szCs w:val="20"/>
        </w:rPr>
        <w:t>Our 2021 Global Citizenship &amp; Sustainability Report is expected to be published in June 2021. The content of our sustainability reports is not incorporated by reference into this Annual Report on Form 10-K or in any other report or document we file with th</w:t>
      </w:r>
      <w:r>
        <w:rPr>
          <w:rFonts w:eastAsia="Times New Roman"/>
          <w:color w:val="000000"/>
          <w:sz w:val="20"/>
          <w:szCs w:val="20"/>
        </w:rPr>
        <w:t xml:space="preserve">e SEC. </w:t>
      </w:r>
    </w:p>
    <w:p w14:paraId="04F91610" w14:textId="77777777" w:rsidR="00000000" w:rsidRDefault="00EE5306">
      <w:pPr>
        <w:ind w:firstLine="540"/>
        <w:jc w:val="both"/>
        <w:divId w:val="784467902"/>
        <w:rPr>
          <w:rFonts w:eastAsia="Times New Roman"/>
        </w:rPr>
      </w:pPr>
      <w:r>
        <w:rPr>
          <w:rFonts w:eastAsia="Times New Roman"/>
          <w:b/>
          <w:bCs/>
          <w:i/>
          <w:iCs/>
          <w:color w:val="000000"/>
          <w:sz w:val="20"/>
          <w:szCs w:val="20"/>
        </w:rPr>
        <w:t>Learning and Development</w:t>
      </w:r>
    </w:p>
    <w:p w14:paraId="62D029CB" w14:textId="77777777" w:rsidR="00000000" w:rsidRDefault="00EE5306">
      <w:pPr>
        <w:ind w:firstLine="540"/>
        <w:jc w:val="both"/>
        <w:divId w:val="250361242"/>
        <w:rPr>
          <w:rFonts w:eastAsia="Times New Roman"/>
        </w:rPr>
      </w:pPr>
      <w:r>
        <w:rPr>
          <w:rFonts w:eastAsia="Times New Roman"/>
          <w:color w:val="000000"/>
          <w:sz w:val="20"/>
          <w:szCs w:val="20"/>
        </w:rPr>
        <w:t>We are committed to the growth and development of our employees and offer a wide range of training programs for all levels. In addition to receiving ongoing on-the-job training and coaching, our employees can build skills a</w:t>
      </w:r>
      <w:r>
        <w:rPr>
          <w:rFonts w:eastAsia="Times New Roman"/>
          <w:color w:val="000000"/>
          <w:sz w:val="20"/>
          <w:szCs w:val="20"/>
        </w:rPr>
        <w:t>nd prepare for the future through our Ralph Lauren Learning Portal. We added new courses this year, many of which focus on remote working skills, as well as D&amp;I education. We also support learning beyond our walls through tuition assistance. These collecti</w:t>
      </w:r>
      <w:r>
        <w:rPr>
          <w:rFonts w:eastAsia="Times New Roman"/>
          <w:color w:val="000000"/>
          <w:sz w:val="20"/>
          <w:szCs w:val="20"/>
        </w:rPr>
        <w:t xml:space="preserve">ve learning and development programs help foster career mobility for our employees, while simultaneously allowing us to fill open positions with existing employees who know our company best. </w:t>
      </w:r>
    </w:p>
    <w:p w14:paraId="66E0439C" w14:textId="77777777" w:rsidR="00000000" w:rsidRDefault="00EE5306">
      <w:pPr>
        <w:ind w:firstLine="540"/>
        <w:jc w:val="both"/>
        <w:divId w:val="2108697885"/>
        <w:rPr>
          <w:rFonts w:eastAsia="Times New Roman"/>
        </w:rPr>
      </w:pPr>
      <w:r>
        <w:rPr>
          <w:rFonts w:eastAsia="Times New Roman"/>
          <w:b/>
          <w:bCs/>
          <w:i/>
          <w:iCs/>
          <w:color w:val="000000"/>
          <w:sz w:val="20"/>
          <w:szCs w:val="20"/>
        </w:rPr>
        <w:t>Employee Safety and Well-Being</w:t>
      </w:r>
    </w:p>
    <w:p w14:paraId="448EA2F8" w14:textId="77777777" w:rsidR="00000000" w:rsidRDefault="00EE5306">
      <w:pPr>
        <w:ind w:firstLine="540"/>
        <w:jc w:val="both"/>
        <w:divId w:val="1258709950"/>
        <w:rPr>
          <w:rFonts w:eastAsia="Times New Roman"/>
        </w:rPr>
      </w:pPr>
      <w:r>
        <w:rPr>
          <w:rFonts w:eastAsia="Times New Roman"/>
          <w:color w:val="000000"/>
          <w:sz w:val="20"/>
          <w:szCs w:val="20"/>
        </w:rPr>
        <w:t>We are committed to the safety, health, and overall well-being of each of our employees and their families, providing a wide array of physical, emotional, social, and financial support to meet this objective. THRIVE, our global wellness program, provides a</w:t>
      </w:r>
      <w:r>
        <w:rPr>
          <w:rFonts w:eastAsia="Times New Roman"/>
          <w:color w:val="000000"/>
          <w:sz w:val="20"/>
          <w:szCs w:val="20"/>
        </w:rPr>
        <w:t>ccess to benefits such as flexible work arrangements, volunteer events, and physical and mental wellness support. We gather direct feedback from our workforce, including through regular employee surveys, which allows us to measure their engagement and unde</w:t>
      </w:r>
      <w:r>
        <w:rPr>
          <w:rFonts w:eastAsia="Times New Roman"/>
          <w:color w:val="000000"/>
          <w:sz w:val="20"/>
          <w:szCs w:val="20"/>
        </w:rPr>
        <w:t xml:space="preserve">rstand how we can improve. </w:t>
      </w:r>
    </w:p>
    <w:p w14:paraId="2F0EE221" w14:textId="77777777" w:rsidR="00000000" w:rsidRDefault="00EE5306">
      <w:pPr>
        <w:ind w:firstLine="540"/>
        <w:jc w:val="both"/>
        <w:divId w:val="451748961"/>
        <w:rPr>
          <w:rFonts w:eastAsia="Times New Roman"/>
        </w:rPr>
      </w:pPr>
      <w:r>
        <w:rPr>
          <w:rFonts w:eastAsia="Times New Roman"/>
          <w:color w:val="000000"/>
          <w:sz w:val="20"/>
          <w:szCs w:val="20"/>
        </w:rPr>
        <w:t>Throughout the COVID-19 pandemic, our priority has been to ensure the safety and well-being of all of our employees, customers, and the communities in which we operate in around the world. In this regard, we have implemented new</w:t>
      </w:r>
      <w:r>
        <w:rPr>
          <w:rFonts w:eastAsia="Times New Roman"/>
          <w:color w:val="000000"/>
          <w:sz w:val="20"/>
          <w:szCs w:val="20"/>
        </w:rPr>
        <w:t xml:space="preserve"> health and safety protocols in our stores, distribution centers, and corporate offices. We have also expanded employee well-being services in the U.S. to include additional backup childcare, as well as MyStrength, an online wellness portal. Globally, we h</w:t>
      </w:r>
      <w:r>
        <w:rPr>
          <w:rFonts w:eastAsia="Times New Roman"/>
          <w:color w:val="000000"/>
          <w:sz w:val="20"/>
          <w:szCs w:val="20"/>
        </w:rPr>
        <w:t>ost monthly wellness webinars and provide weekly meditation classes through our RL Well-Being Exchange program. Financial grants have also been provided through the Ralph Lauren Employee Relief Fund for employees facing special circumstances.</w:t>
      </w:r>
    </w:p>
    <w:p w14:paraId="6905E440" w14:textId="77777777" w:rsidR="00000000" w:rsidRDefault="00EE5306">
      <w:pPr>
        <w:ind w:firstLine="540"/>
        <w:jc w:val="both"/>
        <w:divId w:val="563836458"/>
        <w:rPr>
          <w:rFonts w:eastAsia="Times New Roman"/>
        </w:rPr>
      </w:pPr>
      <w:r>
        <w:rPr>
          <w:rFonts w:eastAsia="Times New Roman"/>
          <w:b/>
          <w:bCs/>
          <w:i/>
          <w:iCs/>
          <w:color w:val="000000"/>
          <w:sz w:val="20"/>
          <w:szCs w:val="20"/>
        </w:rPr>
        <w:t xml:space="preserve">Compensation </w:t>
      </w:r>
      <w:r>
        <w:rPr>
          <w:rFonts w:eastAsia="Times New Roman"/>
          <w:b/>
          <w:bCs/>
          <w:i/>
          <w:iCs/>
          <w:color w:val="000000"/>
          <w:sz w:val="20"/>
          <w:szCs w:val="20"/>
        </w:rPr>
        <w:t>and Benefits</w:t>
      </w:r>
    </w:p>
    <w:p w14:paraId="22126A68" w14:textId="77777777" w:rsidR="00000000" w:rsidRDefault="00EE5306">
      <w:pPr>
        <w:ind w:firstLine="540"/>
        <w:jc w:val="both"/>
        <w:divId w:val="1375613242"/>
        <w:rPr>
          <w:rFonts w:eastAsia="Times New Roman"/>
        </w:rPr>
      </w:pPr>
      <w:r>
        <w:rPr>
          <w:rFonts w:eastAsia="Times New Roman"/>
          <w:color w:val="000000"/>
          <w:sz w:val="20"/>
          <w:szCs w:val="20"/>
        </w:rPr>
        <w:t>We are committed to providing competitive compensation and benefits to attract and retain a diverse and talented workforce. We are also committed to achieving pay equity throughout our organization, conducting biennial assessments with the ass</w:t>
      </w:r>
      <w:r>
        <w:rPr>
          <w:rFonts w:eastAsia="Times New Roman"/>
          <w:color w:val="000000"/>
          <w:sz w:val="20"/>
          <w:szCs w:val="20"/>
        </w:rPr>
        <w:t>istance of an independent human capital management firm to analyze our employee compensation based on gender, race, and ethnicity. We offer a wide array of both employer-paid and employee-paid benefits to support our employees' overall financial, physical,</w:t>
      </w:r>
      <w:r>
        <w:rPr>
          <w:rFonts w:eastAsia="Times New Roman"/>
          <w:color w:val="000000"/>
          <w:sz w:val="20"/>
          <w:szCs w:val="20"/>
        </w:rPr>
        <w:t xml:space="preserve"> and mental well-being, including, but not limited to, healthcare and welfare benefits, retirement savings, paid time off, temporary leave, sabbaticals, and flexible work arrangements. We also provide our employees a merchandise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7D45592" w14:textId="77777777">
        <w:trPr>
          <w:divId w:val="1541699537"/>
          <w:jc w:val="center"/>
        </w:trPr>
        <w:tc>
          <w:tcPr>
            <w:tcW w:w="50" w:type="pct"/>
            <w:vAlign w:val="center"/>
            <w:hideMark/>
          </w:tcPr>
          <w:p w14:paraId="3788D4A0" w14:textId="77777777" w:rsidR="00000000" w:rsidRDefault="00EE5306">
            <w:pPr>
              <w:ind w:firstLine="540"/>
              <w:jc w:val="both"/>
              <w:rPr>
                <w:rFonts w:eastAsia="Times New Roman"/>
              </w:rPr>
            </w:pPr>
          </w:p>
        </w:tc>
        <w:tc>
          <w:tcPr>
            <w:tcW w:w="1699" w:type="pct"/>
            <w:vAlign w:val="center"/>
            <w:hideMark/>
          </w:tcPr>
          <w:p w14:paraId="1751C47C" w14:textId="77777777" w:rsidR="00000000" w:rsidRDefault="00EE5306">
            <w:pPr>
              <w:spacing w:after="100"/>
              <w:rPr>
                <w:rFonts w:eastAsia="Times New Roman"/>
                <w:sz w:val="20"/>
                <w:szCs w:val="20"/>
              </w:rPr>
            </w:pPr>
          </w:p>
        </w:tc>
        <w:tc>
          <w:tcPr>
            <w:tcW w:w="5" w:type="pct"/>
            <w:vAlign w:val="center"/>
            <w:hideMark/>
          </w:tcPr>
          <w:p w14:paraId="36EB9207" w14:textId="77777777" w:rsidR="00000000" w:rsidRDefault="00EE5306">
            <w:pPr>
              <w:spacing w:after="100"/>
              <w:rPr>
                <w:rFonts w:eastAsia="Times New Roman"/>
                <w:sz w:val="20"/>
                <w:szCs w:val="20"/>
              </w:rPr>
            </w:pPr>
          </w:p>
        </w:tc>
        <w:tc>
          <w:tcPr>
            <w:tcW w:w="50" w:type="pct"/>
            <w:vAlign w:val="center"/>
            <w:hideMark/>
          </w:tcPr>
          <w:p w14:paraId="064DED3D" w14:textId="77777777" w:rsidR="00000000" w:rsidRDefault="00EE5306">
            <w:pPr>
              <w:spacing w:after="100"/>
              <w:rPr>
                <w:rFonts w:eastAsia="Times New Roman"/>
                <w:sz w:val="20"/>
                <w:szCs w:val="20"/>
              </w:rPr>
            </w:pPr>
          </w:p>
        </w:tc>
        <w:tc>
          <w:tcPr>
            <w:tcW w:w="1436" w:type="pct"/>
            <w:vAlign w:val="center"/>
            <w:hideMark/>
          </w:tcPr>
          <w:p w14:paraId="7692F6B4" w14:textId="77777777" w:rsidR="00000000" w:rsidRDefault="00EE5306">
            <w:pPr>
              <w:spacing w:after="100"/>
              <w:rPr>
                <w:rFonts w:eastAsia="Times New Roman"/>
                <w:sz w:val="20"/>
                <w:szCs w:val="20"/>
              </w:rPr>
            </w:pPr>
          </w:p>
        </w:tc>
        <w:tc>
          <w:tcPr>
            <w:tcW w:w="5" w:type="pct"/>
            <w:vAlign w:val="center"/>
            <w:hideMark/>
          </w:tcPr>
          <w:p w14:paraId="7F0F4468" w14:textId="77777777" w:rsidR="00000000" w:rsidRDefault="00EE5306">
            <w:pPr>
              <w:spacing w:after="100"/>
              <w:rPr>
                <w:rFonts w:eastAsia="Times New Roman"/>
                <w:sz w:val="20"/>
                <w:szCs w:val="20"/>
              </w:rPr>
            </w:pPr>
          </w:p>
        </w:tc>
        <w:tc>
          <w:tcPr>
            <w:tcW w:w="50" w:type="pct"/>
            <w:vAlign w:val="center"/>
            <w:hideMark/>
          </w:tcPr>
          <w:p w14:paraId="07C05514" w14:textId="77777777" w:rsidR="00000000" w:rsidRDefault="00EE5306">
            <w:pPr>
              <w:spacing w:after="100"/>
              <w:rPr>
                <w:rFonts w:eastAsia="Times New Roman"/>
                <w:sz w:val="20"/>
                <w:szCs w:val="20"/>
              </w:rPr>
            </w:pPr>
          </w:p>
        </w:tc>
        <w:tc>
          <w:tcPr>
            <w:tcW w:w="1699" w:type="pct"/>
            <w:vAlign w:val="center"/>
            <w:hideMark/>
          </w:tcPr>
          <w:p w14:paraId="788C8726" w14:textId="77777777" w:rsidR="00000000" w:rsidRDefault="00EE5306">
            <w:pPr>
              <w:spacing w:after="100"/>
              <w:rPr>
                <w:rFonts w:eastAsia="Times New Roman"/>
                <w:sz w:val="20"/>
                <w:szCs w:val="20"/>
              </w:rPr>
            </w:pPr>
          </w:p>
        </w:tc>
        <w:tc>
          <w:tcPr>
            <w:tcW w:w="5" w:type="pct"/>
            <w:vAlign w:val="center"/>
            <w:hideMark/>
          </w:tcPr>
          <w:p w14:paraId="4229C76C" w14:textId="77777777" w:rsidR="00000000" w:rsidRDefault="00EE5306">
            <w:pPr>
              <w:spacing w:after="100"/>
              <w:rPr>
                <w:rFonts w:eastAsia="Times New Roman"/>
                <w:sz w:val="20"/>
                <w:szCs w:val="20"/>
              </w:rPr>
            </w:pPr>
          </w:p>
        </w:tc>
      </w:tr>
      <w:tr w:rsidR="00000000" w14:paraId="1AF16A98" w14:textId="77777777">
        <w:trPr>
          <w:divId w:val="1541699537"/>
          <w:jc w:val="center"/>
        </w:trPr>
        <w:tc>
          <w:tcPr>
            <w:tcW w:w="0" w:type="auto"/>
            <w:gridSpan w:val="3"/>
            <w:tcMar>
              <w:top w:w="0" w:type="dxa"/>
              <w:left w:w="20" w:type="dxa"/>
              <w:bottom w:w="0" w:type="dxa"/>
              <w:right w:w="20" w:type="dxa"/>
            </w:tcMar>
            <w:vAlign w:val="center"/>
            <w:hideMark/>
          </w:tcPr>
          <w:p w14:paraId="07E3ABFE"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49DC9B" w14:textId="77777777" w:rsidR="00000000" w:rsidRDefault="00EE5306">
            <w:pPr>
              <w:spacing w:after="100"/>
              <w:jc w:val="center"/>
              <w:rPr>
                <w:rFonts w:eastAsia="Times New Roman"/>
              </w:rPr>
            </w:pPr>
            <w:r>
              <w:rPr>
                <w:rFonts w:eastAsia="Times New Roman"/>
                <w:color w:val="000000"/>
                <w:sz w:val="20"/>
                <w:szCs w:val="20"/>
              </w:rPr>
              <w:t>23</w:t>
            </w:r>
          </w:p>
        </w:tc>
        <w:tc>
          <w:tcPr>
            <w:tcW w:w="0" w:type="auto"/>
            <w:gridSpan w:val="3"/>
            <w:tcMar>
              <w:top w:w="0" w:type="dxa"/>
              <w:left w:w="20" w:type="dxa"/>
              <w:bottom w:w="0" w:type="dxa"/>
              <w:right w:w="20" w:type="dxa"/>
            </w:tcMar>
            <w:vAlign w:val="center"/>
            <w:hideMark/>
          </w:tcPr>
          <w:p w14:paraId="60A0FC06" w14:textId="77777777" w:rsidR="00000000" w:rsidRDefault="00EE5306">
            <w:pPr>
              <w:spacing w:after="100"/>
              <w:jc w:val="center"/>
              <w:rPr>
                <w:rFonts w:eastAsia="Times New Roman"/>
              </w:rPr>
            </w:pPr>
          </w:p>
        </w:tc>
      </w:tr>
    </w:tbl>
    <w:p w14:paraId="3A92F8B9" w14:textId="77777777" w:rsidR="00000000" w:rsidRDefault="00EE5306">
      <w:pPr>
        <w:rPr>
          <w:rFonts w:eastAsia="Times New Roman"/>
        </w:rPr>
      </w:pPr>
      <w:r>
        <w:rPr>
          <w:rFonts w:eastAsia="Times New Roman"/>
        </w:rPr>
        <w:pict w14:anchorId="574996CB">
          <v:rect id="_x0000_i1049" style="width:0;height:1.5pt" o:hralign="center" o:hrstd="t" o:hr="t" fillcolor="#a0a0a0" stroked="f"/>
        </w:pict>
      </w:r>
    </w:p>
    <w:p w14:paraId="335CB131" w14:textId="77777777" w:rsidR="00000000" w:rsidRDefault="00EE5306">
      <w:pPr>
        <w:divId w:val="920259230"/>
        <w:rPr>
          <w:rFonts w:eastAsia="Times New Roman"/>
        </w:rPr>
      </w:pPr>
    </w:p>
    <w:p w14:paraId="0606726E" w14:textId="77777777" w:rsidR="00000000" w:rsidRDefault="00EE5306">
      <w:pPr>
        <w:jc w:val="both"/>
        <w:divId w:val="379522593"/>
        <w:rPr>
          <w:rFonts w:eastAsia="Times New Roman"/>
        </w:rPr>
      </w:pPr>
      <w:r>
        <w:rPr>
          <w:rFonts w:eastAsia="Times New Roman"/>
          <w:color w:val="000000"/>
          <w:sz w:val="20"/>
          <w:szCs w:val="20"/>
        </w:rPr>
        <w:t>discount on most of our products. During Fiscal 2021, we expanded our medical benefits in the U.S. to our part-time employees, ensuring equitable benefits for our front-line employees. As a token of gratitude for their</w:t>
      </w:r>
      <w:r>
        <w:rPr>
          <w:rFonts w:eastAsia="Times New Roman"/>
          <w:color w:val="000000"/>
          <w:sz w:val="20"/>
          <w:szCs w:val="20"/>
        </w:rPr>
        <w:t xml:space="preserve"> work during the COVID-19 pandemic, we also recently provided a one-time $1,000 bonus to each of our global frontline workers in May 2021. Additionally, we made COVID-19 vaccines available in our North Carolina Health Clinic with over 400 employees receivi</w:t>
      </w:r>
      <w:r>
        <w:rPr>
          <w:rFonts w:eastAsia="Times New Roman"/>
          <w:color w:val="000000"/>
          <w:sz w:val="20"/>
          <w:szCs w:val="20"/>
        </w:rPr>
        <w:t xml:space="preserve">ng their first dose from an onsite counselor. </w:t>
      </w:r>
    </w:p>
    <w:p w14:paraId="4060A055" w14:textId="77777777" w:rsidR="00000000" w:rsidRDefault="00EE5306">
      <w:pPr>
        <w:jc w:val="center"/>
        <w:divId w:val="513109771"/>
        <w:rPr>
          <w:rFonts w:eastAsia="Times New Roman"/>
        </w:rPr>
      </w:pPr>
      <w:r>
        <w:rPr>
          <w:rFonts w:eastAsia="Times New Roman"/>
          <w:b/>
          <w:bCs/>
          <w:color w:val="000000"/>
          <w:sz w:val="20"/>
          <w:szCs w:val="20"/>
        </w:rPr>
        <w:t>Information About Our Executive Officers</w:t>
      </w:r>
    </w:p>
    <w:p w14:paraId="55F3A376" w14:textId="77777777" w:rsidR="00000000" w:rsidRDefault="00EE5306">
      <w:pPr>
        <w:ind w:firstLine="540"/>
        <w:divId w:val="857504653"/>
        <w:rPr>
          <w:rFonts w:eastAsia="Times New Roman"/>
        </w:rPr>
      </w:pPr>
      <w:r>
        <w:rPr>
          <w:rFonts w:eastAsia="Times New Roman"/>
          <w:color w:val="000000"/>
          <w:sz w:val="20"/>
          <w:szCs w:val="20"/>
        </w:rPr>
        <w:t>The following are our current executive officers and their principal recent business experience:</w:t>
      </w:r>
    </w:p>
    <w:tbl>
      <w:tblPr>
        <w:tblW w:w="4912" w:type="pct"/>
        <w:tblCellMar>
          <w:top w:w="15" w:type="dxa"/>
          <w:left w:w="15" w:type="dxa"/>
          <w:bottom w:w="15" w:type="dxa"/>
          <w:right w:w="15" w:type="dxa"/>
        </w:tblCellMar>
        <w:tblLook w:val="04A0" w:firstRow="1" w:lastRow="0" w:firstColumn="1" w:lastColumn="0" w:noHBand="0" w:noVBand="1"/>
      </w:tblPr>
      <w:tblGrid>
        <w:gridCol w:w="52"/>
        <w:gridCol w:w="1824"/>
        <w:gridCol w:w="37"/>
        <w:gridCol w:w="37"/>
        <w:gridCol w:w="105"/>
        <w:gridCol w:w="36"/>
        <w:gridCol w:w="72"/>
        <w:gridCol w:w="556"/>
        <w:gridCol w:w="36"/>
        <w:gridCol w:w="37"/>
        <w:gridCol w:w="101"/>
        <w:gridCol w:w="36"/>
        <w:gridCol w:w="52"/>
        <w:gridCol w:w="5142"/>
        <w:gridCol w:w="37"/>
      </w:tblGrid>
      <w:tr w:rsidR="00000000" w14:paraId="7D4A380A" w14:textId="77777777">
        <w:trPr>
          <w:divId w:val="2068799164"/>
        </w:trPr>
        <w:tc>
          <w:tcPr>
            <w:tcW w:w="50" w:type="pct"/>
            <w:vAlign w:val="center"/>
            <w:hideMark/>
          </w:tcPr>
          <w:p w14:paraId="7ED2C3C0" w14:textId="77777777" w:rsidR="00000000" w:rsidRDefault="00EE5306">
            <w:pPr>
              <w:ind w:firstLine="540"/>
              <w:rPr>
                <w:rFonts w:eastAsia="Times New Roman"/>
              </w:rPr>
            </w:pPr>
          </w:p>
        </w:tc>
        <w:tc>
          <w:tcPr>
            <w:tcW w:w="1135" w:type="pct"/>
            <w:vAlign w:val="center"/>
            <w:hideMark/>
          </w:tcPr>
          <w:p w14:paraId="76AC8D70" w14:textId="77777777" w:rsidR="00000000" w:rsidRDefault="00EE5306">
            <w:pPr>
              <w:spacing w:after="100"/>
              <w:rPr>
                <w:rFonts w:eastAsia="Times New Roman"/>
                <w:sz w:val="20"/>
                <w:szCs w:val="20"/>
              </w:rPr>
            </w:pPr>
          </w:p>
        </w:tc>
        <w:tc>
          <w:tcPr>
            <w:tcW w:w="5" w:type="pct"/>
            <w:vAlign w:val="center"/>
            <w:hideMark/>
          </w:tcPr>
          <w:p w14:paraId="54BB0915" w14:textId="77777777" w:rsidR="00000000" w:rsidRDefault="00EE5306">
            <w:pPr>
              <w:spacing w:after="100"/>
              <w:rPr>
                <w:rFonts w:eastAsia="Times New Roman"/>
                <w:sz w:val="20"/>
                <w:szCs w:val="20"/>
              </w:rPr>
            </w:pPr>
          </w:p>
        </w:tc>
        <w:tc>
          <w:tcPr>
            <w:tcW w:w="5" w:type="pct"/>
            <w:vAlign w:val="center"/>
            <w:hideMark/>
          </w:tcPr>
          <w:p w14:paraId="26584D29" w14:textId="77777777" w:rsidR="00000000" w:rsidRDefault="00EE5306">
            <w:pPr>
              <w:spacing w:after="100"/>
              <w:rPr>
                <w:rFonts w:eastAsia="Times New Roman"/>
                <w:sz w:val="20"/>
                <w:szCs w:val="20"/>
              </w:rPr>
            </w:pPr>
          </w:p>
        </w:tc>
        <w:tc>
          <w:tcPr>
            <w:tcW w:w="71" w:type="pct"/>
            <w:vAlign w:val="center"/>
            <w:hideMark/>
          </w:tcPr>
          <w:p w14:paraId="2494F244" w14:textId="77777777" w:rsidR="00000000" w:rsidRDefault="00EE5306">
            <w:pPr>
              <w:spacing w:after="100"/>
              <w:rPr>
                <w:rFonts w:eastAsia="Times New Roman"/>
                <w:sz w:val="20"/>
                <w:szCs w:val="20"/>
              </w:rPr>
            </w:pPr>
          </w:p>
        </w:tc>
        <w:tc>
          <w:tcPr>
            <w:tcW w:w="5" w:type="pct"/>
            <w:vAlign w:val="center"/>
            <w:hideMark/>
          </w:tcPr>
          <w:p w14:paraId="011EE26A" w14:textId="77777777" w:rsidR="00000000" w:rsidRDefault="00EE5306">
            <w:pPr>
              <w:spacing w:after="100"/>
              <w:rPr>
                <w:rFonts w:eastAsia="Times New Roman"/>
                <w:sz w:val="20"/>
                <w:szCs w:val="20"/>
              </w:rPr>
            </w:pPr>
          </w:p>
        </w:tc>
        <w:tc>
          <w:tcPr>
            <w:tcW w:w="50" w:type="pct"/>
            <w:vAlign w:val="center"/>
            <w:hideMark/>
          </w:tcPr>
          <w:p w14:paraId="18E0A978" w14:textId="77777777" w:rsidR="00000000" w:rsidRDefault="00EE5306">
            <w:pPr>
              <w:spacing w:after="100"/>
              <w:rPr>
                <w:rFonts w:eastAsia="Times New Roman"/>
                <w:sz w:val="20"/>
                <w:szCs w:val="20"/>
              </w:rPr>
            </w:pPr>
          </w:p>
        </w:tc>
        <w:tc>
          <w:tcPr>
            <w:tcW w:w="383" w:type="pct"/>
            <w:vAlign w:val="center"/>
            <w:hideMark/>
          </w:tcPr>
          <w:p w14:paraId="7DD21378" w14:textId="77777777" w:rsidR="00000000" w:rsidRDefault="00EE5306">
            <w:pPr>
              <w:spacing w:after="100"/>
              <w:rPr>
                <w:rFonts w:eastAsia="Times New Roman"/>
                <w:sz w:val="20"/>
                <w:szCs w:val="20"/>
              </w:rPr>
            </w:pPr>
          </w:p>
        </w:tc>
        <w:tc>
          <w:tcPr>
            <w:tcW w:w="5" w:type="pct"/>
            <w:vAlign w:val="center"/>
            <w:hideMark/>
          </w:tcPr>
          <w:p w14:paraId="7F41D4BE" w14:textId="77777777" w:rsidR="00000000" w:rsidRDefault="00EE5306">
            <w:pPr>
              <w:spacing w:after="100"/>
              <w:rPr>
                <w:rFonts w:eastAsia="Times New Roman"/>
                <w:sz w:val="20"/>
                <w:szCs w:val="20"/>
              </w:rPr>
            </w:pPr>
          </w:p>
        </w:tc>
        <w:tc>
          <w:tcPr>
            <w:tcW w:w="5" w:type="pct"/>
            <w:vAlign w:val="center"/>
            <w:hideMark/>
          </w:tcPr>
          <w:p w14:paraId="1B8B8612" w14:textId="77777777" w:rsidR="00000000" w:rsidRDefault="00EE5306">
            <w:pPr>
              <w:spacing w:after="100"/>
              <w:rPr>
                <w:rFonts w:eastAsia="Times New Roman"/>
                <w:sz w:val="20"/>
                <w:szCs w:val="20"/>
              </w:rPr>
            </w:pPr>
          </w:p>
        </w:tc>
        <w:tc>
          <w:tcPr>
            <w:tcW w:w="56" w:type="pct"/>
            <w:vAlign w:val="center"/>
            <w:hideMark/>
          </w:tcPr>
          <w:p w14:paraId="52A31C8E" w14:textId="77777777" w:rsidR="00000000" w:rsidRDefault="00EE5306">
            <w:pPr>
              <w:spacing w:after="100"/>
              <w:rPr>
                <w:rFonts w:eastAsia="Times New Roman"/>
                <w:sz w:val="20"/>
                <w:szCs w:val="20"/>
              </w:rPr>
            </w:pPr>
          </w:p>
        </w:tc>
        <w:tc>
          <w:tcPr>
            <w:tcW w:w="5" w:type="pct"/>
            <w:vAlign w:val="center"/>
            <w:hideMark/>
          </w:tcPr>
          <w:p w14:paraId="568B6061" w14:textId="77777777" w:rsidR="00000000" w:rsidRDefault="00EE5306">
            <w:pPr>
              <w:spacing w:after="100"/>
              <w:rPr>
                <w:rFonts w:eastAsia="Times New Roman"/>
                <w:sz w:val="20"/>
                <w:szCs w:val="20"/>
              </w:rPr>
            </w:pPr>
          </w:p>
        </w:tc>
        <w:tc>
          <w:tcPr>
            <w:tcW w:w="50" w:type="pct"/>
            <w:vAlign w:val="center"/>
            <w:hideMark/>
          </w:tcPr>
          <w:p w14:paraId="3BFD5F8D" w14:textId="77777777" w:rsidR="00000000" w:rsidRDefault="00EE5306">
            <w:pPr>
              <w:spacing w:after="100"/>
              <w:rPr>
                <w:rFonts w:eastAsia="Times New Roman"/>
                <w:sz w:val="20"/>
                <w:szCs w:val="20"/>
              </w:rPr>
            </w:pPr>
          </w:p>
        </w:tc>
        <w:tc>
          <w:tcPr>
            <w:tcW w:w="3166" w:type="pct"/>
            <w:vAlign w:val="center"/>
            <w:hideMark/>
          </w:tcPr>
          <w:p w14:paraId="024776CC" w14:textId="77777777" w:rsidR="00000000" w:rsidRDefault="00EE5306">
            <w:pPr>
              <w:spacing w:after="100"/>
              <w:rPr>
                <w:rFonts w:eastAsia="Times New Roman"/>
                <w:sz w:val="20"/>
                <w:szCs w:val="20"/>
              </w:rPr>
            </w:pPr>
          </w:p>
        </w:tc>
        <w:tc>
          <w:tcPr>
            <w:tcW w:w="5" w:type="pct"/>
            <w:vAlign w:val="center"/>
            <w:hideMark/>
          </w:tcPr>
          <w:p w14:paraId="0AA52A08" w14:textId="77777777" w:rsidR="00000000" w:rsidRDefault="00EE5306">
            <w:pPr>
              <w:spacing w:after="100"/>
              <w:rPr>
                <w:rFonts w:eastAsia="Times New Roman"/>
                <w:sz w:val="20"/>
                <w:szCs w:val="20"/>
              </w:rPr>
            </w:pPr>
          </w:p>
        </w:tc>
      </w:tr>
      <w:tr w:rsidR="00000000" w14:paraId="4C192BEE" w14:textId="77777777">
        <w:trPr>
          <w:divId w:val="2068799164"/>
        </w:trPr>
        <w:tc>
          <w:tcPr>
            <w:tcW w:w="0" w:type="auto"/>
            <w:gridSpan w:val="3"/>
            <w:shd w:val="clear" w:color="auto" w:fill="CCEEFF"/>
            <w:tcMar>
              <w:top w:w="30" w:type="dxa"/>
              <w:left w:w="20" w:type="dxa"/>
              <w:bottom w:w="30" w:type="dxa"/>
              <w:right w:w="20" w:type="dxa"/>
            </w:tcMar>
            <w:hideMark/>
          </w:tcPr>
          <w:p w14:paraId="2354E53D" w14:textId="77777777" w:rsidR="00000000" w:rsidRDefault="00EE5306">
            <w:pPr>
              <w:spacing w:after="100"/>
              <w:divId w:val="2107922800"/>
              <w:rPr>
                <w:rFonts w:eastAsia="Times New Roman"/>
              </w:rPr>
            </w:pPr>
            <w:r>
              <w:rPr>
                <w:rFonts w:eastAsia="Times New Roman"/>
                <w:b/>
                <w:bCs/>
                <w:color w:val="000000"/>
                <w:sz w:val="20"/>
                <w:szCs w:val="20"/>
              </w:rPr>
              <w:t>Ralph Lauren</w:t>
            </w:r>
            <w:r>
              <w:rPr>
                <w:rFonts w:eastAsia="Times New Roman"/>
                <w:color w:val="000000"/>
                <w:sz w:val="20"/>
                <w:szCs w:val="20"/>
              </w:rPr>
              <w:t xml:space="preserve"> </w:t>
            </w:r>
          </w:p>
        </w:tc>
        <w:tc>
          <w:tcPr>
            <w:tcW w:w="0" w:type="auto"/>
            <w:gridSpan w:val="3"/>
            <w:shd w:val="clear" w:color="auto" w:fill="CCEEFF"/>
            <w:tcMar>
              <w:top w:w="30" w:type="dxa"/>
              <w:left w:w="20" w:type="dxa"/>
              <w:bottom w:w="30" w:type="dxa"/>
              <w:right w:w="20" w:type="dxa"/>
            </w:tcMar>
            <w:vAlign w:val="bottom"/>
            <w:hideMark/>
          </w:tcPr>
          <w:p w14:paraId="0AEB2B68" w14:textId="77777777" w:rsidR="00000000" w:rsidRDefault="00EE5306">
            <w:pPr>
              <w:spacing w:after="100"/>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hideMark/>
          </w:tcPr>
          <w:p w14:paraId="7AECEAE0" w14:textId="77777777" w:rsidR="00000000" w:rsidRDefault="00EE5306">
            <w:pPr>
              <w:spacing w:after="100"/>
              <w:jc w:val="center"/>
              <w:rPr>
                <w:rFonts w:eastAsia="Times New Roman"/>
              </w:rPr>
            </w:pPr>
            <w:r>
              <w:rPr>
                <w:rFonts w:eastAsia="Times New Roman"/>
                <w:color w:val="000000"/>
                <w:sz w:val="20"/>
                <w:szCs w:val="20"/>
              </w:rPr>
              <w:t>Age 81</w:t>
            </w:r>
          </w:p>
        </w:tc>
        <w:tc>
          <w:tcPr>
            <w:tcW w:w="0" w:type="auto"/>
            <w:gridSpan w:val="3"/>
            <w:shd w:val="clear" w:color="auto" w:fill="CCEEFF"/>
            <w:tcMar>
              <w:top w:w="30" w:type="dxa"/>
              <w:left w:w="20" w:type="dxa"/>
              <w:bottom w:w="30" w:type="dxa"/>
              <w:right w:w="20" w:type="dxa"/>
            </w:tcMar>
            <w:vAlign w:val="bottom"/>
            <w:hideMark/>
          </w:tcPr>
          <w:p w14:paraId="6DFB991F" w14:textId="77777777" w:rsidR="00000000" w:rsidRDefault="00EE5306">
            <w:pPr>
              <w:spacing w:after="100"/>
              <w:jc w:val="both"/>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hideMark/>
          </w:tcPr>
          <w:p w14:paraId="682E1CF1" w14:textId="77777777" w:rsidR="00000000" w:rsidRDefault="00EE5306">
            <w:pPr>
              <w:spacing w:after="100"/>
              <w:jc w:val="both"/>
              <w:rPr>
                <w:rFonts w:eastAsia="Times New Roman"/>
              </w:rPr>
            </w:pPr>
            <w:r>
              <w:rPr>
                <w:rFonts w:eastAsia="Times New Roman"/>
                <w:color w:val="000000"/>
                <w:sz w:val="20"/>
                <w:szCs w:val="20"/>
              </w:rPr>
              <w:t>Mr. Ralph Lauren founded our business in 1967 and, for five decades, has cultivated the iconography of America into a global lifestyle brand. He has been our Executive Chairman and Chief Creative Officer since November 2015, and a director of the Company s</w:t>
            </w:r>
            <w:r>
              <w:rPr>
                <w:rFonts w:eastAsia="Times New Roman"/>
                <w:color w:val="000000"/>
                <w:sz w:val="20"/>
                <w:szCs w:val="20"/>
              </w:rPr>
              <w:t xml:space="preserve">ince prior to our initial public offering in 1997. He had previously been our Chairman and Chief Executive Officer since prior to our initial public offering in 1997 until November 2015. In addition, he was previously a member of our Advisory Board or the </w:t>
            </w:r>
            <w:r>
              <w:rPr>
                <w:rFonts w:eastAsia="Times New Roman"/>
                <w:color w:val="000000"/>
                <w:sz w:val="20"/>
                <w:szCs w:val="20"/>
              </w:rPr>
              <w:t xml:space="preserve">Board of Directors of our predecessors since their organization. </w:t>
            </w:r>
          </w:p>
        </w:tc>
      </w:tr>
      <w:tr w:rsidR="00000000" w14:paraId="503A3746" w14:textId="77777777">
        <w:trPr>
          <w:divId w:val="2068799164"/>
          <w:trHeight w:val="240"/>
        </w:trPr>
        <w:tc>
          <w:tcPr>
            <w:tcW w:w="0" w:type="auto"/>
            <w:gridSpan w:val="3"/>
            <w:shd w:val="clear" w:color="auto" w:fill="FFFFFF"/>
            <w:tcMar>
              <w:top w:w="0" w:type="dxa"/>
              <w:left w:w="20" w:type="dxa"/>
              <w:bottom w:w="0" w:type="dxa"/>
              <w:right w:w="20" w:type="dxa"/>
            </w:tcMar>
            <w:vAlign w:val="center"/>
            <w:hideMark/>
          </w:tcPr>
          <w:p w14:paraId="7CB73641" w14:textId="77777777" w:rsidR="00000000" w:rsidRDefault="00EE5306">
            <w:pPr>
              <w:spacing w:after="100"/>
              <w:jc w:val="both"/>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1BA951ED" w14:textId="77777777" w:rsidR="00000000" w:rsidRDefault="00EE5306">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49B8C3BE" w14:textId="77777777" w:rsidR="00000000" w:rsidRDefault="00EE5306">
            <w:pPr>
              <w:spacing w:after="100"/>
              <w:rPr>
                <w:rFonts w:eastAsia="Times New Roman"/>
                <w:sz w:val="20"/>
                <w:szCs w:val="20"/>
              </w:rPr>
            </w:pPr>
          </w:p>
        </w:tc>
      </w:tr>
      <w:tr w:rsidR="00000000" w14:paraId="1D1E745E" w14:textId="77777777">
        <w:trPr>
          <w:divId w:val="2068799164"/>
        </w:trPr>
        <w:tc>
          <w:tcPr>
            <w:tcW w:w="0" w:type="auto"/>
            <w:gridSpan w:val="3"/>
            <w:shd w:val="clear" w:color="auto" w:fill="CCEEFF"/>
            <w:tcMar>
              <w:top w:w="30" w:type="dxa"/>
              <w:left w:w="20" w:type="dxa"/>
              <w:bottom w:w="30" w:type="dxa"/>
              <w:right w:w="20" w:type="dxa"/>
            </w:tcMar>
            <w:hideMark/>
          </w:tcPr>
          <w:p w14:paraId="64675DCE" w14:textId="77777777" w:rsidR="00000000" w:rsidRDefault="00EE5306">
            <w:pPr>
              <w:spacing w:after="100"/>
              <w:divId w:val="885680329"/>
              <w:rPr>
                <w:rFonts w:eastAsia="Times New Roman"/>
              </w:rPr>
            </w:pPr>
            <w:r>
              <w:rPr>
                <w:rFonts w:eastAsia="Times New Roman"/>
                <w:b/>
                <w:bCs/>
                <w:color w:val="000000"/>
                <w:sz w:val="20"/>
                <w:szCs w:val="20"/>
              </w:rPr>
              <w:t>Patrice Louvet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6C869ED2"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387C937" w14:textId="77777777" w:rsidR="00000000" w:rsidRDefault="00EE5306">
            <w:pPr>
              <w:spacing w:after="100"/>
              <w:jc w:val="center"/>
              <w:rPr>
                <w:rFonts w:eastAsia="Times New Roman"/>
              </w:rPr>
            </w:pPr>
            <w:r>
              <w:rPr>
                <w:rFonts w:eastAsia="Times New Roman"/>
                <w:color w:val="000000"/>
                <w:sz w:val="20"/>
                <w:szCs w:val="20"/>
              </w:rPr>
              <w:t>Age 56</w:t>
            </w:r>
          </w:p>
        </w:tc>
        <w:tc>
          <w:tcPr>
            <w:tcW w:w="0" w:type="auto"/>
            <w:gridSpan w:val="3"/>
            <w:shd w:val="clear" w:color="auto" w:fill="CCEEFF"/>
            <w:tcMar>
              <w:top w:w="0" w:type="dxa"/>
              <w:left w:w="20" w:type="dxa"/>
              <w:bottom w:w="0" w:type="dxa"/>
              <w:right w:w="20" w:type="dxa"/>
            </w:tcMar>
            <w:vAlign w:val="center"/>
            <w:hideMark/>
          </w:tcPr>
          <w:p w14:paraId="0B3EFE41" w14:textId="77777777" w:rsidR="00000000" w:rsidRDefault="00EE530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AACAABB" w14:textId="77777777" w:rsidR="00000000" w:rsidRDefault="00EE5306">
            <w:pPr>
              <w:spacing w:after="100"/>
              <w:jc w:val="both"/>
              <w:rPr>
                <w:rFonts w:eastAsia="Times New Roman"/>
              </w:rPr>
            </w:pPr>
            <w:r>
              <w:rPr>
                <w:rFonts w:eastAsia="Times New Roman"/>
                <w:color w:val="000000"/>
                <w:sz w:val="20"/>
                <w:szCs w:val="20"/>
              </w:rPr>
              <w:t xml:space="preserve">Mr. Louvet has served as our President and Chief Executive Officer, and a director of the Company since July 2017. Prior to joining the Company, he served as the Group President, Global Beauty, of Procter &amp; Gamble Co. ("P&amp;G") since February 2015. Prior to </w:t>
            </w:r>
            <w:r>
              <w:rPr>
                <w:rFonts w:eastAsia="Times New Roman"/>
                <w:color w:val="000000"/>
                <w:sz w:val="20"/>
                <w:szCs w:val="20"/>
              </w:rPr>
              <w:t>that role, Mr. Louvet held successively senior leadership positions at P&amp;G, including the roles of Group President, Global Grooming (Gillette), and President of P&amp;G's Global Prestige Business. Before he joined P&amp;G, he served as a Naval Officer, Admiral Aid</w:t>
            </w:r>
            <w:r>
              <w:rPr>
                <w:rFonts w:eastAsia="Times New Roman"/>
                <w:color w:val="000000"/>
                <w:sz w:val="20"/>
                <w:szCs w:val="20"/>
              </w:rPr>
              <w:t xml:space="preserve">e de Camp in the French Navy from 1987 to 1989. Mr. Louvet graduated from École Supérieure de Commerce de Paris and received his M.B.A. from the University of Illinois. He has served as a member of the board of directors of Bacardi Limited since July 2012 </w:t>
            </w:r>
            <w:r>
              <w:rPr>
                <w:rFonts w:eastAsia="Times New Roman"/>
                <w:color w:val="000000"/>
                <w:sz w:val="20"/>
                <w:szCs w:val="20"/>
              </w:rPr>
              <w:t>and as a member of the board of directors of the National Retail Federation since January 2020.</w:t>
            </w:r>
          </w:p>
        </w:tc>
      </w:tr>
      <w:tr w:rsidR="00000000" w14:paraId="6000D6FB" w14:textId="77777777">
        <w:trPr>
          <w:divId w:val="2068799164"/>
          <w:trHeight w:val="300"/>
        </w:trPr>
        <w:tc>
          <w:tcPr>
            <w:tcW w:w="0" w:type="auto"/>
            <w:gridSpan w:val="3"/>
            <w:shd w:val="clear" w:color="auto" w:fill="FFFFFF"/>
            <w:tcMar>
              <w:top w:w="0" w:type="dxa"/>
              <w:left w:w="20" w:type="dxa"/>
              <w:bottom w:w="0" w:type="dxa"/>
              <w:right w:w="20" w:type="dxa"/>
            </w:tcMar>
            <w:vAlign w:val="center"/>
            <w:hideMark/>
          </w:tcPr>
          <w:p w14:paraId="346308F9" w14:textId="77777777" w:rsidR="00000000" w:rsidRDefault="00EE5306">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C159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B5399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6F39B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06C002" w14:textId="77777777" w:rsidR="00000000" w:rsidRDefault="00EE5306">
            <w:pPr>
              <w:spacing w:after="100"/>
              <w:rPr>
                <w:rFonts w:eastAsia="Times New Roman"/>
                <w:sz w:val="20"/>
                <w:szCs w:val="20"/>
              </w:rPr>
            </w:pPr>
          </w:p>
        </w:tc>
      </w:tr>
      <w:tr w:rsidR="00000000" w14:paraId="1BB83C48" w14:textId="77777777">
        <w:trPr>
          <w:divId w:val="2068799164"/>
        </w:trPr>
        <w:tc>
          <w:tcPr>
            <w:tcW w:w="0" w:type="auto"/>
            <w:gridSpan w:val="3"/>
            <w:shd w:val="clear" w:color="auto" w:fill="CCEEFF"/>
            <w:tcMar>
              <w:top w:w="30" w:type="dxa"/>
              <w:left w:w="20" w:type="dxa"/>
              <w:bottom w:w="30" w:type="dxa"/>
              <w:right w:w="20" w:type="dxa"/>
            </w:tcMar>
            <w:hideMark/>
          </w:tcPr>
          <w:p w14:paraId="1B443540" w14:textId="77777777" w:rsidR="00000000" w:rsidRDefault="00EE5306">
            <w:pPr>
              <w:spacing w:after="100"/>
              <w:divId w:val="329872752"/>
              <w:rPr>
                <w:rFonts w:eastAsia="Times New Roman"/>
              </w:rPr>
            </w:pPr>
            <w:r>
              <w:rPr>
                <w:rFonts w:eastAsia="Times New Roman"/>
                <w:b/>
                <w:bCs/>
                <w:color w:val="000000"/>
                <w:sz w:val="20"/>
                <w:szCs w:val="20"/>
              </w:rPr>
              <w:t>Jane Hamilton Nielsen</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22BB9877"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1D4DA43" w14:textId="77777777" w:rsidR="00000000" w:rsidRDefault="00EE5306">
            <w:pPr>
              <w:spacing w:after="100"/>
              <w:jc w:val="center"/>
              <w:rPr>
                <w:rFonts w:eastAsia="Times New Roman"/>
              </w:rPr>
            </w:pPr>
            <w:r>
              <w:rPr>
                <w:rFonts w:eastAsia="Times New Roman"/>
                <w:color w:val="000000"/>
                <w:sz w:val="20"/>
                <w:szCs w:val="20"/>
              </w:rPr>
              <w:t>Age 57</w:t>
            </w:r>
          </w:p>
        </w:tc>
        <w:tc>
          <w:tcPr>
            <w:tcW w:w="0" w:type="auto"/>
            <w:gridSpan w:val="3"/>
            <w:shd w:val="clear" w:color="auto" w:fill="CCEEFF"/>
            <w:tcMar>
              <w:top w:w="0" w:type="dxa"/>
              <w:left w:w="20" w:type="dxa"/>
              <w:bottom w:w="0" w:type="dxa"/>
              <w:right w:w="20" w:type="dxa"/>
            </w:tcMar>
            <w:vAlign w:val="center"/>
            <w:hideMark/>
          </w:tcPr>
          <w:p w14:paraId="2DC5E554" w14:textId="77777777" w:rsidR="00000000" w:rsidRDefault="00EE530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BFB88B5" w14:textId="77777777" w:rsidR="00000000" w:rsidRDefault="00EE5306">
            <w:pPr>
              <w:spacing w:after="100"/>
              <w:jc w:val="both"/>
              <w:rPr>
                <w:rFonts w:eastAsia="Times New Roman"/>
              </w:rPr>
            </w:pPr>
            <w:r>
              <w:rPr>
                <w:rFonts w:eastAsia="Times New Roman"/>
                <w:color w:val="000000"/>
                <w:sz w:val="20"/>
                <w:szCs w:val="20"/>
              </w:rPr>
              <w:t>Ms. Nielsen has been our Chief Financial Officer since September 2016 and our Chief Operating Officer since March 2019. She served as Chief Financial Officer of Coach, Inc. from September 2011 to August 2016. From 2009 to 2011, she was Senior Vice Presiden</w:t>
            </w:r>
            <w:r>
              <w:rPr>
                <w:rFonts w:eastAsia="Times New Roman"/>
                <w:color w:val="000000"/>
                <w:sz w:val="20"/>
                <w:szCs w:val="20"/>
              </w:rPr>
              <w:t>t and Chief Financial Officer of PepsiCo Beverages Americas and the Global Nutrition Group, divisions of PepsiCo, Inc., with responsibility for all financial management including financial reporting, performance management, capital allocation, and strategi</w:t>
            </w:r>
            <w:r>
              <w:rPr>
                <w:rFonts w:eastAsia="Times New Roman"/>
                <w:color w:val="000000"/>
                <w:sz w:val="20"/>
                <w:szCs w:val="20"/>
              </w:rPr>
              <w:t>c planning. Prior to that, Ms. Nielsen held various senior roles in finance at PepsiCo, Inc. and Pepsi Bottling Group starting in 1996. She also serves on the board of directors of Mondelez International since May 2021, and previously served on the board o</w:t>
            </w:r>
            <w:r>
              <w:rPr>
                <w:rFonts w:eastAsia="Times New Roman"/>
                <w:color w:val="000000"/>
                <w:sz w:val="20"/>
                <w:szCs w:val="20"/>
              </w:rPr>
              <w:t>f directors of Pinnacle Foods Inc. Ms. Nielsen received her M.B.A. from the Harvard Business School and B.A. from Smith College.</w:t>
            </w:r>
          </w:p>
        </w:tc>
      </w:tr>
      <w:tr w:rsidR="00000000" w14:paraId="724716F3" w14:textId="77777777">
        <w:trPr>
          <w:divId w:val="2068799164"/>
          <w:trHeight w:val="300"/>
        </w:trPr>
        <w:tc>
          <w:tcPr>
            <w:tcW w:w="0" w:type="auto"/>
            <w:gridSpan w:val="3"/>
            <w:shd w:val="clear" w:color="auto" w:fill="FFFFFF"/>
            <w:tcMar>
              <w:top w:w="0" w:type="dxa"/>
              <w:left w:w="20" w:type="dxa"/>
              <w:bottom w:w="0" w:type="dxa"/>
              <w:right w:w="20" w:type="dxa"/>
            </w:tcMar>
            <w:vAlign w:val="center"/>
            <w:hideMark/>
          </w:tcPr>
          <w:p w14:paraId="05ED564C" w14:textId="77777777" w:rsidR="00000000" w:rsidRDefault="00EE5306">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467A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D9DE9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3D2E2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218710" w14:textId="77777777" w:rsidR="00000000" w:rsidRDefault="00EE5306">
            <w:pPr>
              <w:spacing w:after="100"/>
              <w:rPr>
                <w:rFonts w:eastAsia="Times New Roman"/>
                <w:sz w:val="20"/>
                <w:szCs w:val="20"/>
              </w:rPr>
            </w:pPr>
          </w:p>
        </w:tc>
      </w:tr>
      <w:tr w:rsidR="00000000" w14:paraId="3CD2EBC3" w14:textId="77777777">
        <w:trPr>
          <w:divId w:val="2068799164"/>
        </w:trPr>
        <w:tc>
          <w:tcPr>
            <w:tcW w:w="0" w:type="auto"/>
            <w:gridSpan w:val="3"/>
            <w:shd w:val="clear" w:color="auto" w:fill="CCEEFF"/>
            <w:tcMar>
              <w:top w:w="30" w:type="dxa"/>
              <w:left w:w="20" w:type="dxa"/>
              <w:bottom w:w="30" w:type="dxa"/>
              <w:right w:w="20" w:type="dxa"/>
            </w:tcMar>
            <w:hideMark/>
          </w:tcPr>
          <w:p w14:paraId="2C485394" w14:textId="77777777" w:rsidR="00000000" w:rsidRDefault="00EE5306">
            <w:pPr>
              <w:spacing w:after="100"/>
              <w:divId w:val="1861622175"/>
              <w:rPr>
                <w:rFonts w:eastAsia="Times New Roman"/>
              </w:rPr>
            </w:pPr>
            <w:r>
              <w:rPr>
                <w:rFonts w:eastAsia="Times New Roman"/>
                <w:b/>
                <w:bCs/>
                <w:color w:val="000000"/>
                <w:sz w:val="20"/>
                <w:szCs w:val="20"/>
              </w:rPr>
              <w:t>Andrew Howard Smith</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6DBB0C6F"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BD8FCF4" w14:textId="77777777" w:rsidR="00000000" w:rsidRDefault="00EE5306">
            <w:pPr>
              <w:spacing w:after="100"/>
              <w:jc w:val="center"/>
              <w:rPr>
                <w:rFonts w:eastAsia="Times New Roman"/>
              </w:rPr>
            </w:pPr>
            <w:r>
              <w:rPr>
                <w:rFonts w:eastAsia="Times New Roman"/>
                <w:color w:val="000000"/>
                <w:sz w:val="20"/>
                <w:szCs w:val="20"/>
              </w:rPr>
              <w:t>Age 50</w:t>
            </w:r>
          </w:p>
        </w:tc>
        <w:tc>
          <w:tcPr>
            <w:tcW w:w="0" w:type="auto"/>
            <w:gridSpan w:val="3"/>
            <w:shd w:val="clear" w:color="auto" w:fill="CCEEFF"/>
            <w:tcMar>
              <w:top w:w="0" w:type="dxa"/>
              <w:left w:w="20" w:type="dxa"/>
              <w:bottom w:w="0" w:type="dxa"/>
              <w:right w:w="20" w:type="dxa"/>
            </w:tcMar>
            <w:vAlign w:val="center"/>
            <w:hideMark/>
          </w:tcPr>
          <w:p w14:paraId="0E6CF595" w14:textId="77777777" w:rsidR="00000000" w:rsidRDefault="00EE530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5161FE9" w14:textId="77777777" w:rsidR="00000000" w:rsidRDefault="00EE5306">
            <w:pPr>
              <w:spacing w:after="100"/>
              <w:jc w:val="both"/>
              <w:rPr>
                <w:rFonts w:eastAsia="Times New Roman"/>
              </w:rPr>
            </w:pPr>
            <w:r>
              <w:rPr>
                <w:rFonts w:eastAsia="Times New Roman"/>
                <w:color w:val="000000"/>
                <w:sz w:val="20"/>
                <w:szCs w:val="20"/>
              </w:rPr>
              <w:t>Mr. Smith has served as our Chief Commercial Officer since April 2019. He has been with our Company for over 17 years, having worked in various capacities based in the U.S., Europe, and Asia. Prior to his current role, he was responsible for our Internatio</w:t>
            </w:r>
            <w:r>
              <w:rPr>
                <w:rFonts w:eastAsia="Times New Roman"/>
                <w:color w:val="000000"/>
                <w:sz w:val="20"/>
                <w:szCs w:val="20"/>
              </w:rPr>
              <w:t>nal Division based in Geneva, Switzerland, with general management responsibility for all markets outside of North America. Prior to this, he led our businesses across Asia as Group President of Asia Pacific, and before that he was responsible for our Japa</w:t>
            </w:r>
            <w:r>
              <w:rPr>
                <w:rFonts w:eastAsia="Times New Roman"/>
                <w:color w:val="000000"/>
                <w:sz w:val="20"/>
                <w:szCs w:val="20"/>
              </w:rPr>
              <w:t>n market as President &amp; Representative Director of Japan. His roles before this include SVP Global Supply Chain, based in New York, where he worked around the world on operational acquisition integrations through our license buy-back phase, and various rol</w:t>
            </w:r>
            <w:r>
              <w:rPr>
                <w:rFonts w:eastAsia="Times New Roman"/>
                <w:color w:val="000000"/>
                <w:sz w:val="20"/>
                <w:szCs w:val="20"/>
              </w:rPr>
              <w:t>es based in Europe in Supply Chain, Sales Order Management, and Merchandise Allocation. He has been instrumental in turning our Asia businesses to growth, and driving brand elevation and accelerating profitable growth across all of our International market</w:t>
            </w:r>
            <w:r>
              <w:rPr>
                <w:rFonts w:eastAsia="Times New Roman"/>
                <w:color w:val="000000"/>
                <w:sz w:val="20"/>
                <w:szCs w:val="20"/>
              </w:rPr>
              <w:t>s. Prior to joining our Company, Mr. Smith served as Head of Supply Chain for Selfridges &amp; Co., the UK based department store group. Mr. Smith is a graduate of City, University of London.</w:t>
            </w:r>
          </w:p>
        </w:tc>
      </w:tr>
      <w:tr w:rsidR="00000000" w14:paraId="129A555A" w14:textId="77777777">
        <w:trPr>
          <w:divId w:val="2068799164"/>
          <w:trHeight w:val="300"/>
        </w:trPr>
        <w:tc>
          <w:tcPr>
            <w:tcW w:w="0" w:type="auto"/>
            <w:gridSpan w:val="3"/>
            <w:shd w:val="clear" w:color="auto" w:fill="FFFFFF"/>
            <w:tcMar>
              <w:top w:w="0" w:type="dxa"/>
              <w:left w:w="20" w:type="dxa"/>
              <w:bottom w:w="0" w:type="dxa"/>
              <w:right w:w="20" w:type="dxa"/>
            </w:tcMar>
            <w:vAlign w:val="center"/>
            <w:hideMark/>
          </w:tcPr>
          <w:p w14:paraId="02AB6193" w14:textId="77777777" w:rsidR="00000000" w:rsidRDefault="00EE5306">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AEDB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0D560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A91F6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265BBE" w14:textId="77777777" w:rsidR="00000000" w:rsidRDefault="00EE5306">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1333FCD4" w14:textId="77777777">
        <w:trPr>
          <w:jc w:val="center"/>
        </w:trPr>
        <w:tc>
          <w:tcPr>
            <w:tcW w:w="50" w:type="pct"/>
            <w:vAlign w:val="center"/>
            <w:hideMark/>
          </w:tcPr>
          <w:p w14:paraId="45C9228E" w14:textId="77777777" w:rsidR="00000000" w:rsidRDefault="00EE5306">
            <w:pPr>
              <w:ind w:firstLine="540"/>
              <w:rPr>
                <w:rFonts w:eastAsia="Times New Roman"/>
              </w:rPr>
            </w:pPr>
          </w:p>
        </w:tc>
        <w:tc>
          <w:tcPr>
            <w:tcW w:w="1699" w:type="pct"/>
            <w:vAlign w:val="center"/>
            <w:hideMark/>
          </w:tcPr>
          <w:p w14:paraId="503F78A7" w14:textId="77777777" w:rsidR="00000000" w:rsidRDefault="00EE5306">
            <w:pPr>
              <w:spacing w:after="100"/>
              <w:rPr>
                <w:rFonts w:eastAsia="Times New Roman"/>
                <w:sz w:val="20"/>
                <w:szCs w:val="20"/>
              </w:rPr>
            </w:pPr>
          </w:p>
        </w:tc>
        <w:tc>
          <w:tcPr>
            <w:tcW w:w="5" w:type="pct"/>
            <w:vAlign w:val="center"/>
            <w:hideMark/>
          </w:tcPr>
          <w:p w14:paraId="2E047B0E" w14:textId="77777777" w:rsidR="00000000" w:rsidRDefault="00EE5306">
            <w:pPr>
              <w:spacing w:after="100"/>
              <w:rPr>
                <w:rFonts w:eastAsia="Times New Roman"/>
                <w:sz w:val="20"/>
                <w:szCs w:val="20"/>
              </w:rPr>
            </w:pPr>
          </w:p>
        </w:tc>
        <w:tc>
          <w:tcPr>
            <w:tcW w:w="50" w:type="pct"/>
            <w:vAlign w:val="center"/>
            <w:hideMark/>
          </w:tcPr>
          <w:p w14:paraId="7CF1A07F" w14:textId="77777777" w:rsidR="00000000" w:rsidRDefault="00EE5306">
            <w:pPr>
              <w:spacing w:after="100"/>
              <w:rPr>
                <w:rFonts w:eastAsia="Times New Roman"/>
                <w:sz w:val="20"/>
                <w:szCs w:val="20"/>
              </w:rPr>
            </w:pPr>
          </w:p>
        </w:tc>
        <w:tc>
          <w:tcPr>
            <w:tcW w:w="1436" w:type="pct"/>
            <w:vAlign w:val="center"/>
            <w:hideMark/>
          </w:tcPr>
          <w:p w14:paraId="5CA7353A" w14:textId="77777777" w:rsidR="00000000" w:rsidRDefault="00EE5306">
            <w:pPr>
              <w:spacing w:after="100"/>
              <w:rPr>
                <w:rFonts w:eastAsia="Times New Roman"/>
                <w:sz w:val="20"/>
                <w:szCs w:val="20"/>
              </w:rPr>
            </w:pPr>
          </w:p>
        </w:tc>
        <w:tc>
          <w:tcPr>
            <w:tcW w:w="5" w:type="pct"/>
            <w:vAlign w:val="center"/>
            <w:hideMark/>
          </w:tcPr>
          <w:p w14:paraId="15B1CD1C" w14:textId="77777777" w:rsidR="00000000" w:rsidRDefault="00EE5306">
            <w:pPr>
              <w:spacing w:after="100"/>
              <w:rPr>
                <w:rFonts w:eastAsia="Times New Roman"/>
                <w:sz w:val="20"/>
                <w:szCs w:val="20"/>
              </w:rPr>
            </w:pPr>
          </w:p>
        </w:tc>
        <w:tc>
          <w:tcPr>
            <w:tcW w:w="50" w:type="pct"/>
            <w:vAlign w:val="center"/>
            <w:hideMark/>
          </w:tcPr>
          <w:p w14:paraId="6116793F" w14:textId="77777777" w:rsidR="00000000" w:rsidRDefault="00EE5306">
            <w:pPr>
              <w:spacing w:after="100"/>
              <w:rPr>
                <w:rFonts w:eastAsia="Times New Roman"/>
                <w:sz w:val="20"/>
                <w:szCs w:val="20"/>
              </w:rPr>
            </w:pPr>
          </w:p>
        </w:tc>
        <w:tc>
          <w:tcPr>
            <w:tcW w:w="1699" w:type="pct"/>
            <w:vAlign w:val="center"/>
            <w:hideMark/>
          </w:tcPr>
          <w:p w14:paraId="36364A11" w14:textId="77777777" w:rsidR="00000000" w:rsidRDefault="00EE5306">
            <w:pPr>
              <w:spacing w:after="100"/>
              <w:rPr>
                <w:rFonts w:eastAsia="Times New Roman"/>
                <w:sz w:val="20"/>
                <w:szCs w:val="20"/>
              </w:rPr>
            </w:pPr>
          </w:p>
        </w:tc>
        <w:tc>
          <w:tcPr>
            <w:tcW w:w="5" w:type="pct"/>
            <w:vAlign w:val="center"/>
            <w:hideMark/>
          </w:tcPr>
          <w:p w14:paraId="5BC44265" w14:textId="77777777" w:rsidR="00000000" w:rsidRDefault="00EE5306">
            <w:pPr>
              <w:spacing w:after="100"/>
              <w:rPr>
                <w:rFonts w:eastAsia="Times New Roman"/>
                <w:sz w:val="20"/>
                <w:szCs w:val="20"/>
              </w:rPr>
            </w:pPr>
          </w:p>
        </w:tc>
      </w:tr>
      <w:tr w:rsidR="00000000" w14:paraId="37B7F6BA" w14:textId="77777777">
        <w:trPr>
          <w:jc w:val="center"/>
        </w:trPr>
        <w:tc>
          <w:tcPr>
            <w:tcW w:w="0" w:type="auto"/>
            <w:gridSpan w:val="3"/>
            <w:tcMar>
              <w:top w:w="0" w:type="dxa"/>
              <w:left w:w="20" w:type="dxa"/>
              <w:bottom w:w="0" w:type="dxa"/>
              <w:right w:w="20" w:type="dxa"/>
            </w:tcMar>
            <w:vAlign w:val="center"/>
            <w:hideMark/>
          </w:tcPr>
          <w:p w14:paraId="4C77063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D364479" w14:textId="77777777" w:rsidR="00000000" w:rsidRDefault="00EE5306">
            <w:pPr>
              <w:spacing w:after="100"/>
              <w:jc w:val="center"/>
              <w:rPr>
                <w:rFonts w:eastAsia="Times New Roman"/>
              </w:rPr>
            </w:pPr>
            <w:r>
              <w:rPr>
                <w:rFonts w:eastAsia="Times New Roman"/>
                <w:color w:val="000000"/>
                <w:sz w:val="20"/>
                <w:szCs w:val="20"/>
              </w:rPr>
              <w:t>24</w:t>
            </w:r>
          </w:p>
        </w:tc>
        <w:tc>
          <w:tcPr>
            <w:tcW w:w="0" w:type="auto"/>
            <w:gridSpan w:val="3"/>
            <w:tcMar>
              <w:top w:w="0" w:type="dxa"/>
              <w:left w:w="20" w:type="dxa"/>
              <w:bottom w:w="0" w:type="dxa"/>
              <w:right w:w="20" w:type="dxa"/>
            </w:tcMar>
            <w:vAlign w:val="center"/>
            <w:hideMark/>
          </w:tcPr>
          <w:p w14:paraId="75ED9D49" w14:textId="77777777" w:rsidR="00000000" w:rsidRDefault="00EE5306">
            <w:pPr>
              <w:spacing w:after="100"/>
              <w:jc w:val="center"/>
              <w:rPr>
                <w:rFonts w:eastAsia="Times New Roman"/>
              </w:rPr>
            </w:pPr>
          </w:p>
        </w:tc>
      </w:tr>
    </w:tbl>
    <w:p w14:paraId="27810521" w14:textId="77777777" w:rsidR="00000000" w:rsidRDefault="00EE5306">
      <w:pPr>
        <w:rPr>
          <w:rFonts w:eastAsia="Times New Roman"/>
        </w:rPr>
      </w:pPr>
      <w:r>
        <w:rPr>
          <w:rFonts w:eastAsia="Times New Roman"/>
        </w:rPr>
        <w:pict w14:anchorId="3D2AD3D8">
          <v:rect id="_x0000_i1050" style="width:0;height:1.5pt" o:hralign="center" o:hrstd="t" o:hr="t" fillcolor="#a0a0a0" stroked="f"/>
        </w:pict>
      </w:r>
    </w:p>
    <w:p w14:paraId="1BAE8860" w14:textId="77777777" w:rsidR="00000000" w:rsidRDefault="00EE5306">
      <w:pPr>
        <w:divId w:val="791091240"/>
        <w:rPr>
          <w:rFonts w:eastAsia="Times New Roman"/>
        </w:rPr>
      </w:pPr>
    </w:p>
    <w:tbl>
      <w:tblPr>
        <w:tblW w:w="4912" w:type="pct"/>
        <w:tblCellMar>
          <w:top w:w="15" w:type="dxa"/>
          <w:left w:w="15" w:type="dxa"/>
          <w:bottom w:w="15" w:type="dxa"/>
          <w:right w:w="15" w:type="dxa"/>
        </w:tblCellMar>
        <w:tblLook w:val="04A0" w:firstRow="1" w:lastRow="0" w:firstColumn="1" w:lastColumn="0" w:noHBand="0" w:noVBand="1"/>
      </w:tblPr>
      <w:tblGrid>
        <w:gridCol w:w="57"/>
        <w:gridCol w:w="1829"/>
        <w:gridCol w:w="36"/>
        <w:gridCol w:w="36"/>
        <w:gridCol w:w="91"/>
        <w:gridCol w:w="36"/>
        <w:gridCol w:w="57"/>
        <w:gridCol w:w="601"/>
        <w:gridCol w:w="36"/>
        <w:gridCol w:w="36"/>
        <w:gridCol w:w="67"/>
        <w:gridCol w:w="36"/>
        <w:gridCol w:w="58"/>
        <w:gridCol w:w="5148"/>
        <w:gridCol w:w="36"/>
      </w:tblGrid>
      <w:tr w:rsidR="00000000" w14:paraId="1121B636" w14:textId="77777777">
        <w:trPr>
          <w:divId w:val="487020102"/>
        </w:trPr>
        <w:tc>
          <w:tcPr>
            <w:tcW w:w="50" w:type="pct"/>
            <w:vAlign w:val="center"/>
            <w:hideMark/>
          </w:tcPr>
          <w:p w14:paraId="11B285FF" w14:textId="77777777" w:rsidR="00000000" w:rsidRDefault="00EE5306">
            <w:pPr>
              <w:rPr>
                <w:rFonts w:eastAsia="Times New Roman"/>
              </w:rPr>
            </w:pPr>
          </w:p>
        </w:tc>
        <w:tc>
          <w:tcPr>
            <w:tcW w:w="1135" w:type="pct"/>
            <w:vAlign w:val="center"/>
            <w:hideMark/>
          </w:tcPr>
          <w:p w14:paraId="08CB472E" w14:textId="77777777" w:rsidR="00000000" w:rsidRDefault="00EE5306">
            <w:pPr>
              <w:spacing w:after="100"/>
              <w:rPr>
                <w:rFonts w:eastAsia="Times New Roman"/>
                <w:sz w:val="20"/>
                <w:szCs w:val="20"/>
              </w:rPr>
            </w:pPr>
          </w:p>
        </w:tc>
        <w:tc>
          <w:tcPr>
            <w:tcW w:w="5" w:type="pct"/>
            <w:vAlign w:val="center"/>
            <w:hideMark/>
          </w:tcPr>
          <w:p w14:paraId="79766462" w14:textId="77777777" w:rsidR="00000000" w:rsidRDefault="00EE5306">
            <w:pPr>
              <w:spacing w:after="100"/>
              <w:rPr>
                <w:rFonts w:eastAsia="Times New Roman"/>
                <w:sz w:val="20"/>
                <w:szCs w:val="20"/>
              </w:rPr>
            </w:pPr>
          </w:p>
        </w:tc>
        <w:tc>
          <w:tcPr>
            <w:tcW w:w="5" w:type="pct"/>
            <w:vAlign w:val="center"/>
            <w:hideMark/>
          </w:tcPr>
          <w:p w14:paraId="4DF5F80A" w14:textId="77777777" w:rsidR="00000000" w:rsidRDefault="00EE5306">
            <w:pPr>
              <w:spacing w:after="100"/>
              <w:rPr>
                <w:rFonts w:eastAsia="Times New Roman"/>
                <w:sz w:val="20"/>
                <w:szCs w:val="20"/>
              </w:rPr>
            </w:pPr>
          </w:p>
        </w:tc>
        <w:tc>
          <w:tcPr>
            <w:tcW w:w="71" w:type="pct"/>
            <w:vAlign w:val="center"/>
            <w:hideMark/>
          </w:tcPr>
          <w:p w14:paraId="70397BF6" w14:textId="77777777" w:rsidR="00000000" w:rsidRDefault="00EE5306">
            <w:pPr>
              <w:spacing w:after="100"/>
              <w:rPr>
                <w:rFonts w:eastAsia="Times New Roman"/>
                <w:sz w:val="20"/>
                <w:szCs w:val="20"/>
              </w:rPr>
            </w:pPr>
          </w:p>
        </w:tc>
        <w:tc>
          <w:tcPr>
            <w:tcW w:w="5" w:type="pct"/>
            <w:vAlign w:val="center"/>
            <w:hideMark/>
          </w:tcPr>
          <w:p w14:paraId="68556E85" w14:textId="77777777" w:rsidR="00000000" w:rsidRDefault="00EE5306">
            <w:pPr>
              <w:spacing w:after="100"/>
              <w:rPr>
                <w:rFonts w:eastAsia="Times New Roman"/>
                <w:sz w:val="20"/>
                <w:szCs w:val="20"/>
              </w:rPr>
            </w:pPr>
          </w:p>
        </w:tc>
        <w:tc>
          <w:tcPr>
            <w:tcW w:w="50" w:type="pct"/>
            <w:vAlign w:val="center"/>
            <w:hideMark/>
          </w:tcPr>
          <w:p w14:paraId="307DE2B9" w14:textId="77777777" w:rsidR="00000000" w:rsidRDefault="00EE5306">
            <w:pPr>
              <w:spacing w:after="100"/>
              <w:rPr>
                <w:rFonts w:eastAsia="Times New Roman"/>
                <w:sz w:val="20"/>
                <w:szCs w:val="20"/>
              </w:rPr>
            </w:pPr>
          </w:p>
        </w:tc>
        <w:tc>
          <w:tcPr>
            <w:tcW w:w="383" w:type="pct"/>
            <w:vAlign w:val="center"/>
            <w:hideMark/>
          </w:tcPr>
          <w:p w14:paraId="686F9717" w14:textId="77777777" w:rsidR="00000000" w:rsidRDefault="00EE5306">
            <w:pPr>
              <w:spacing w:after="100"/>
              <w:rPr>
                <w:rFonts w:eastAsia="Times New Roman"/>
                <w:sz w:val="20"/>
                <w:szCs w:val="20"/>
              </w:rPr>
            </w:pPr>
          </w:p>
        </w:tc>
        <w:tc>
          <w:tcPr>
            <w:tcW w:w="5" w:type="pct"/>
            <w:vAlign w:val="center"/>
            <w:hideMark/>
          </w:tcPr>
          <w:p w14:paraId="1C043CED" w14:textId="77777777" w:rsidR="00000000" w:rsidRDefault="00EE5306">
            <w:pPr>
              <w:spacing w:after="100"/>
              <w:rPr>
                <w:rFonts w:eastAsia="Times New Roman"/>
                <w:sz w:val="20"/>
                <w:szCs w:val="20"/>
              </w:rPr>
            </w:pPr>
          </w:p>
        </w:tc>
        <w:tc>
          <w:tcPr>
            <w:tcW w:w="5" w:type="pct"/>
            <w:vAlign w:val="center"/>
            <w:hideMark/>
          </w:tcPr>
          <w:p w14:paraId="69A21554" w14:textId="77777777" w:rsidR="00000000" w:rsidRDefault="00EE5306">
            <w:pPr>
              <w:spacing w:after="100"/>
              <w:rPr>
                <w:rFonts w:eastAsia="Times New Roman"/>
                <w:sz w:val="20"/>
                <w:szCs w:val="20"/>
              </w:rPr>
            </w:pPr>
          </w:p>
        </w:tc>
        <w:tc>
          <w:tcPr>
            <w:tcW w:w="56" w:type="pct"/>
            <w:vAlign w:val="center"/>
            <w:hideMark/>
          </w:tcPr>
          <w:p w14:paraId="0A19316D" w14:textId="77777777" w:rsidR="00000000" w:rsidRDefault="00EE5306">
            <w:pPr>
              <w:spacing w:after="100"/>
              <w:rPr>
                <w:rFonts w:eastAsia="Times New Roman"/>
                <w:sz w:val="20"/>
                <w:szCs w:val="20"/>
              </w:rPr>
            </w:pPr>
          </w:p>
        </w:tc>
        <w:tc>
          <w:tcPr>
            <w:tcW w:w="5" w:type="pct"/>
            <w:vAlign w:val="center"/>
            <w:hideMark/>
          </w:tcPr>
          <w:p w14:paraId="0389EA62" w14:textId="77777777" w:rsidR="00000000" w:rsidRDefault="00EE5306">
            <w:pPr>
              <w:spacing w:after="100"/>
              <w:rPr>
                <w:rFonts w:eastAsia="Times New Roman"/>
                <w:sz w:val="20"/>
                <w:szCs w:val="20"/>
              </w:rPr>
            </w:pPr>
          </w:p>
        </w:tc>
        <w:tc>
          <w:tcPr>
            <w:tcW w:w="50" w:type="pct"/>
            <w:vAlign w:val="center"/>
            <w:hideMark/>
          </w:tcPr>
          <w:p w14:paraId="5CF16587" w14:textId="77777777" w:rsidR="00000000" w:rsidRDefault="00EE5306">
            <w:pPr>
              <w:spacing w:after="100"/>
              <w:rPr>
                <w:rFonts w:eastAsia="Times New Roman"/>
                <w:sz w:val="20"/>
                <w:szCs w:val="20"/>
              </w:rPr>
            </w:pPr>
          </w:p>
        </w:tc>
        <w:tc>
          <w:tcPr>
            <w:tcW w:w="3166" w:type="pct"/>
            <w:vAlign w:val="center"/>
            <w:hideMark/>
          </w:tcPr>
          <w:p w14:paraId="33D0C12A" w14:textId="77777777" w:rsidR="00000000" w:rsidRDefault="00EE5306">
            <w:pPr>
              <w:spacing w:after="100"/>
              <w:rPr>
                <w:rFonts w:eastAsia="Times New Roman"/>
                <w:sz w:val="20"/>
                <w:szCs w:val="20"/>
              </w:rPr>
            </w:pPr>
          </w:p>
        </w:tc>
        <w:tc>
          <w:tcPr>
            <w:tcW w:w="5" w:type="pct"/>
            <w:vAlign w:val="center"/>
            <w:hideMark/>
          </w:tcPr>
          <w:p w14:paraId="6A8F28EB" w14:textId="77777777" w:rsidR="00000000" w:rsidRDefault="00EE5306">
            <w:pPr>
              <w:spacing w:after="100"/>
              <w:rPr>
                <w:rFonts w:eastAsia="Times New Roman"/>
                <w:sz w:val="20"/>
                <w:szCs w:val="20"/>
              </w:rPr>
            </w:pPr>
          </w:p>
        </w:tc>
      </w:tr>
      <w:tr w:rsidR="00000000" w14:paraId="56035A5E" w14:textId="77777777">
        <w:trPr>
          <w:divId w:val="487020102"/>
        </w:trPr>
        <w:tc>
          <w:tcPr>
            <w:tcW w:w="0" w:type="auto"/>
            <w:gridSpan w:val="3"/>
            <w:shd w:val="clear" w:color="auto" w:fill="CCEEFF"/>
            <w:tcMar>
              <w:top w:w="30" w:type="dxa"/>
              <w:left w:w="20" w:type="dxa"/>
              <w:bottom w:w="30" w:type="dxa"/>
              <w:right w:w="20" w:type="dxa"/>
            </w:tcMar>
            <w:hideMark/>
          </w:tcPr>
          <w:p w14:paraId="5557EC3D" w14:textId="77777777" w:rsidR="00000000" w:rsidRDefault="00EE5306">
            <w:pPr>
              <w:spacing w:after="100"/>
              <w:divId w:val="1958095104"/>
              <w:rPr>
                <w:rFonts w:eastAsia="Times New Roman"/>
              </w:rPr>
            </w:pPr>
            <w:r>
              <w:rPr>
                <w:rFonts w:eastAsia="Times New Roman"/>
                <w:b/>
                <w:bCs/>
                <w:color w:val="000000"/>
                <w:sz w:val="20"/>
                <w:szCs w:val="20"/>
              </w:rPr>
              <w:t>David Lauren</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290EC9F6"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766A820" w14:textId="77777777" w:rsidR="00000000" w:rsidRDefault="00EE5306">
            <w:pPr>
              <w:spacing w:after="100"/>
              <w:jc w:val="center"/>
              <w:rPr>
                <w:rFonts w:eastAsia="Times New Roman"/>
              </w:rPr>
            </w:pPr>
            <w:r>
              <w:rPr>
                <w:rFonts w:eastAsia="Times New Roman"/>
                <w:color w:val="000000"/>
                <w:sz w:val="20"/>
                <w:szCs w:val="20"/>
              </w:rPr>
              <w:t>Age 49</w:t>
            </w:r>
          </w:p>
        </w:tc>
        <w:tc>
          <w:tcPr>
            <w:tcW w:w="0" w:type="auto"/>
            <w:gridSpan w:val="3"/>
            <w:shd w:val="clear" w:color="auto" w:fill="CCEEFF"/>
            <w:tcMar>
              <w:top w:w="0" w:type="dxa"/>
              <w:left w:w="20" w:type="dxa"/>
              <w:bottom w:w="0" w:type="dxa"/>
              <w:right w:w="20" w:type="dxa"/>
            </w:tcMar>
            <w:vAlign w:val="center"/>
            <w:hideMark/>
          </w:tcPr>
          <w:p w14:paraId="784CB195" w14:textId="77777777" w:rsidR="00000000" w:rsidRDefault="00EE530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14598CA" w14:textId="77777777" w:rsidR="00000000" w:rsidRDefault="00EE5306">
            <w:pPr>
              <w:spacing w:after="100"/>
              <w:jc w:val="both"/>
              <w:rPr>
                <w:rFonts w:eastAsia="Times New Roman"/>
              </w:rPr>
            </w:pPr>
            <w:r>
              <w:rPr>
                <w:rFonts w:eastAsia="Times New Roman"/>
                <w:color w:val="000000"/>
                <w:sz w:val="20"/>
                <w:szCs w:val="20"/>
              </w:rPr>
              <w:t>Mr. David Lauren is our Chief Innovation Officer, Strategic Advisor to the CEO, and Vice Chairman of the Board. He has served as our Chief Innovation Officer and Vice Chairman of the Board since October 2016. From November 2010 to October 2016, he served a</w:t>
            </w:r>
            <w:r>
              <w:rPr>
                <w:rFonts w:eastAsia="Times New Roman"/>
                <w:color w:val="000000"/>
                <w:sz w:val="20"/>
                <w:szCs w:val="20"/>
              </w:rPr>
              <w:t>s our Executive Vice President of Global Advertising, Marketing and Communications. Prior to that, he served in numerous leadership roles at the Company with responsibility for advertising, marketing, and communications. He has been a director of the Compa</w:t>
            </w:r>
            <w:r>
              <w:rPr>
                <w:rFonts w:eastAsia="Times New Roman"/>
                <w:color w:val="000000"/>
                <w:sz w:val="20"/>
                <w:szCs w:val="20"/>
              </w:rPr>
              <w:t>ny since August 2013. Mr. D. Lauren oversees the Company's innovation processes and capabilities to drive its brand strength and financial performance across all channels. He has been instrumental in growing the Company's global digital commerce business a</w:t>
            </w:r>
            <w:r>
              <w:rPr>
                <w:rFonts w:eastAsia="Times New Roman"/>
                <w:color w:val="000000"/>
                <w:sz w:val="20"/>
                <w:szCs w:val="20"/>
              </w:rPr>
              <w:t>nd pioneering our technology initiatives. He serves on the board of trustees of the Ralph Lauren Center for Cancer Care and Prevention and the board of directors of The National Museum of American History. Mr. D. Lauren is also the President of the Ralph L</w:t>
            </w:r>
            <w:r>
              <w:rPr>
                <w:rFonts w:eastAsia="Times New Roman"/>
                <w:color w:val="000000"/>
                <w:sz w:val="20"/>
                <w:szCs w:val="20"/>
              </w:rPr>
              <w:t>auren Corporate Foundation (formerly known as the Polo Ralph Lauren Foundation). Before joining the Company in 2000, he was Editor-In-Chief and President of Swing, a general interest publication for Generation X. Mr. D. Lauren is the son of Mr. R. Lauren.</w:t>
            </w:r>
          </w:p>
        </w:tc>
      </w:tr>
    </w:tbl>
    <w:p w14:paraId="59AEB1F2" w14:textId="77777777" w:rsidR="00000000" w:rsidRDefault="00EE5306">
      <w:pPr>
        <w:ind w:hanging="900"/>
        <w:jc w:val="both"/>
        <w:divId w:val="1531990052"/>
        <w:rPr>
          <w:rFonts w:eastAsia="Times New Roman"/>
        </w:rPr>
      </w:pPr>
      <w:r>
        <w:rPr>
          <w:rFonts w:eastAsia="Times New Roman"/>
          <w:b/>
          <w:bCs/>
          <w:color w:val="000000"/>
          <w:sz w:val="20"/>
          <w:szCs w:val="20"/>
        </w:rPr>
        <w:t>Item 1A.    </w:t>
      </w:r>
      <w:r>
        <w:rPr>
          <w:rFonts w:eastAsia="Times New Roman"/>
          <w:b/>
          <w:bCs/>
          <w:i/>
          <w:iCs/>
          <w:color w:val="000000"/>
          <w:sz w:val="20"/>
          <w:szCs w:val="20"/>
        </w:rPr>
        <w:t>Risk Factors</w:t>
      </w:r>
    </w:p>
    <w:p w14:paraId="1DED7D0A" w14:textId="77777777" w:rsidR="00000000" w:rsidRDefault="00EE5306">
      <w:pPr>
        <w:ind w:firstLine="540"/>
        <w:jc w:val="both"/>
        <w:divId w:val="567114069"/>
        <w:rPr>
          <w:rFonts w:eastAsia="Times New Roman"/>
        </w:rPr>
      </w:pPr>
      <w:r>
        <w:rPr>
          <w:rFonts w:eastAsia="Times New Roman"/>
          <w:color w:val="000000"/>
          <w:sz w:val="20"/>
          <w:szCs w:val="20"/>
        </w:rPr>
        <w:t>There are risks associated with an investment in our securities. The following risk factors should be read carefully in connection with evaluating our business and the forward-looking statements contained in this Annual Report on Form 10-K. Any of the foll</w:t>
      </w:r>
      <w:r>
        <w:rPr>
          <w:rFonts w:eastAsia="Times New Roman"/>
          <w:color w:val="000000"/>
          <w:sz w:val="20"/>
          <w:szCs w:val="20"/>
        </w:rPr>
        <w:t>owing risk factors could materially adversely affect our business, including our prospects, results of operations, financial condition, liquidity, the trading price of our securities, and/or the actual outcome of matters as to which forward-looking stateme</w:t>
      </w:r>
      <w:r>
        <w:rPr>
          <w:rFonts w:eastAsia="Times New Roman"/>
          <w:color w:val="000000"/>
          <w:sz w:val="20"/>
          <w:szCs w:val="20"/>
        </w:rPr>
        <w:t>nts are made in this report. Additional risks and uncertainties not currently known to us or that we currently view as immaterial may also materially adversely affect our business in future periods or if circumstances change.</w:t>
      </w:r>
    </w:p>
    <w:p w14:paraId="3AE2A03B" w14:textId="77777777" w:rsidR="00000000" w:rsidRDefault="00EE5306">
      <w:pPr>
        <w:jc w:val="both"/>
        <w:divId w:val="1853034550"/>
        <w:rPr>
          <w:rFonts w:eastAsia="Times New Roman"/>
        </w:rPr>
      </w:pPr>
      <w:r>
        <w:rPr>
          <w:rFonts w:eastAsia="Times New Roman"/>
          <w:b/>
          <w:bCs/>
          <w:color w:val="000000"/>
          <w:sz w:val="20"/>
          <w:szCs w:val="20"/>
          <w:u w:val="single"/>
        </w:rPr>
        <w:t>Risks Related to Macroeconomic</w:t>
      </w:r>
      <w:r>
        <w:rPr>
          <w:rFonts w:eastAsia="Times New Roman"/>
          <w:b/>
          <w:bCs/>
          <w:color w:val="000000"/>
          <w:sz w:val="20"/>
          <w:szCs w:val="20"/>
          <w:u w:val="single"/>
        </w:rPr>
        <w:t xml:space="preserve"> Conditions</w:t>
      </w:r>
    </w:p>
    <w:p w14:paraId="2329C8BC" w14:textId="77777777" w:rsidR="00000000" w:rsidRDefault="00EE5306">
      <w:pPr>
        <w:jc w:val="both"/>
        <w:divId w:val="87047513"/>
        <w:rPr>
          <w:rFonts w:eastAsia="Times New Roman"/>
        </w:rPr>
      </w:pPr>
      <w:r>
        <w:rPr>
          <w:rFonts w:eastAsia="Times New Roman"/>
          <w:b/>
          <w:bCs/>
          <w:color w:val="000000"/>
          <w:sz w:val="20"/>
          <w:szCs w:val="20"/>
        </w:rPr>
        <w:t>Infectious disease outbreaks, such as the COVID-19 pandemic, could have a material adverse effect on our business.</w:t>
      </w:r>
    </w:p>
    <w:p w14:paraId="15068AD9" w14:textId="77777777" w:rsidR="00000000" w:rsidRDefault="00EE5306">
      <w:pPr>
        <w:ind w:firstLine="540"/>
        <w:jc w:val="both"/>
        <w:divId w:val="547186701"/>
        <w:rPr>
          <w:rFonts w:eastAsia="Times New Roman"/>
        </w:rPr>
      </w:pPr>
      <w:r>
        <w:rPr>
          <w:rFonts w:eastAsia="Times New Roman"/>
          <w:color w:val="000000"/>
          <w:sz w:val="20"/>
          <w:szCs w:val="20"/>
        </w:rPr>
        <w:t>Our business could be adversely affected by infectious disease outbreaks, such as the novel strain of coronavirus commonly referred to as COVID-19. COVID-19, which emerged beginning in the fourth quarter of Fiscal 2020, has spread rapidly across the globe,</w:t>
      </w:r>
      <w:r>
        <w:rPr>
          <w:rFonts w:eastAsia="Times New Roman"/>
          <w:color w:val="000000"/>
          <w:sz w:val="20"/>
          <w:szCs w:val="20"/>
        </w:rPr>
        <w:t xml:space="preserve"> including throughout all major geographies in which we operate (North America, Europe, and Asia), resulting in adverse economic conditions and business disruptions, as well as significant volatility in global financial markets. Governments worldwide have </w:t>
      </w:r>
      <w:r>
        <w:rPr>
          <w:rFonts w:eastAsia="Times New Roman"/>
          <w:color w:val="000000"/>
          <w:sz w:val="20"/>
          <w:szCs w:val="20"/>
        </w:rPr>
        <w:t>periodically imposed varying degrees of preventative and protective actions, such as temporary travel bans, stay-at-home orders, and forced business closures or other operational restrictions, including reduced capacity limits and operating hours, all in a</w:t>
      </w:r>
      <w:r>
        <w:rPr>
          <w:rFonts w:eastAsia="Times New Roman"/>
          <w:color w:val="000000"/>
          <w:sz w:val="20"/>
          <w:szCs w:val="20"/>
        </w:rPr>
        <w:t>n effort to reduce the spread of the virus. Such factors, among others, have resulted in a significant decline in retail traffic, tourism, and consumer spending on discretionary items.</w:t>
      </w:r>
    </w:p>
    <w:p w14:paraId="3709634D" w14:textId="77777777" w:rsidR="00000000" w:rsidRDefault="00EE5306">
      <w:pPr>
        <w:ind w:firstLine="540"/>
        <w:jc w:val="both"/>
        <w:divId w:val="1401831148"/>
        <w:rPr>
          <w:rFonts w:eastAsia="Times New Roman"/>
        </w:rPr>
      </w:pPr>
      <w:r>
        <w:rPr>
          <w:rFonts w:eastAsia="Times New Roman"/>
          <w:color w:val="000000"/>
          <w:sz w:val="20"/>
          <w:szCs w:val="20"/>
        </w:rPr>
        <w:t>As a result of the COVID-19 pandemic, we have experienced varying degre</w:t>
      </w:r>
      <w:r>
        <w:rPr>
          <w:rFonts w:eastAsia="Times New Roman"/>
          <w:color w:val="000000"/>
          <w:sz w:val="20"/>
          <w:szCs w:val="20"/>
        </w:rPr>
        <w:t xml:space="preserve">es of business disruptions and periods of closure of our stores, distribution centers, and corporate facilities, as have our wholesale customers, licensing partners, suppliers, and vendors, as described in Item 1 — </w:t>
      </w:r>
      <w:r>
        <w:rPr>
          <w:rFonts w:eastAsia="Times New Roman"/>
          <w:i/>
          <w:iCs/>
          <w:color w:val="000000"/>
          <w:sz w:val="20"/>
          <w:szCs w:val="20"/>
        </w:rPr>
        <w:t>"Business — Recent Developments."</w:t>
      </w:r>
      <w:r>
        <w:rPr>
          <w:rFonts w:eastAsia="Times New Roman"/>
          <w:color w:val="000000"/>
          <w:sz w:val="20"/>
          <w:szCs w:val="20"/>
        </w:rPr>
        <w:t xml:space="preserve"> Collect</w:t>
      </w:r>
      <w:r>
        <w:rPr>
          <w:rFonts w:eastAsia="Times New Roman"/>
          <w:color w:val="000000"/>
          <w:sz w:val="20"/>
          <w:szCs w:val="20"/>
        </w:rPr>
        <w:t>ively, these disruptions have had a material adverse impact on our business throughout Fiscal 2021. Despite the introduction of COVID-19 vaccines, the pandemic remains highly volatile and continues to evolve. Accordingly, we cannot predict for how long and</w:t>
      </w:r>
      <w:r>
        <w:rPr>
          <w:rFonts w:eastAsia="Times New Roman"/>
          <w:color w:val="000000"/>
          <w:sz w:val="20"/>
          <w:szCs w:val="20"/>
        </w:rPr>
        <w:t xml:space="preserve"> to what extent this crisis will continue to impact our business operations or the global economy as a whole. Potential impacts to our business include, but are not limited to:</w:t>
      </w:r>
    </w:p>
    <w:p w14:paraId="7E334AD9" w14:textId="77777777" w:rsidR="00000000" w:rsidRDefault="00EE5306">
      <w:pPr>
        <w:ind w:hanging="360"/>
        <w:jc w:val="both"/>
        <w:divId w:val="192571078"/>
        <w:rPr>
          <w:rFonts w:eastAsia="Times New Roman"/>
        </w:rPr>
      </w:pPr>
      <w:r>
        <w:rPr>
          <w:rFonts w:eastAsia="Times New Roman"/>
          <w:color w:val="000000"/>
          <w:sz w:val="20"/>
          <w:szCs w:val="20"/>
        </w:rPr>
        <w:t>•our ability to successfully execute our long-term growth strategy;</w:t>
      </w:r>
    </w:p>
    <w:p w14:paraId="10CB6AC9" w14:textId="77777777" w:rsidR="00000000" w:rsidRDefault="00EE5306">
      <w:pPr>
        <w:ind w:hanging="360"/>
        <w:jc w:val="both"/>
        <w:divId w:val="1526094646"/>
        <w:rPr>
          <w:rFonts w:eastAsia="Times New Roman"/>
        </w:rPr>
      </w:pPr>
      <w:r>
        <w:rPr>
          <w:rFonts w:eastAsia="Times New Roman"/>
          <w:color w:val="000000"/>
          <w:sz w:val="20"/>
          <w:szCs w:val="20"/>
        </w:rPr>
        <w:t>•</w:t>
      </w:r>
      <w:r>
        <w:rPr>
          <w:rFonts w:eastAsia="Times New Roman"/>
          <w:color w:val="000000"/>
          <w:sz w:val="20"/>
          <w:szCs w:val="20"/>
        </w:rPr>
        <w:t>reduced retail traffic at our stores and those of our wholesale customers and licensing partners due to forced closures or other operational restrictions, such as reduced capacity limits and operating hours, declines in tourism, and/or potential changes in</w:t>
      </w:r>
      <w:r>
        <w:rPr>
          <w:rFonts w:eastAsia="Times New Roman"/>
          <w:color w:val="000000"/>
          <w:sz w:val="20"/>
          <w:szCs w:val="20"/>
        </w:rPr>
        <w:t xml:space="preserve"> consumer behavior and shopping preferences, such as their willingness to congregate in shopping centers or other populated locations;</w:t>
      </w:r>
    </w:p>
    <w:p w14:paraId="66CC4F8C" w14:textId="77777777" w:rsidR="00000000" w:rsidRDefault="00EE5306">
      <w:pPr>
        <w:ind w:hanging="360"/>
        <w:jc w:val="both"/>
        <w:divId w:val="1210336870"/>
        <w:rPr>
          <w:rFonts w:eastAsia="Times New Roman"/>
        </w:rPr>
      </w:pPr>
      <w:r>
        <w:rPr>
          <w:rFonts w:eastAsia="Times New Roman"/>
          <w:color w:val="000000"/>
          <w:sz w:val="20"/>
          <w:szCs w:val="20"/>
        </w:rPr>
        <w:t>•potential declines in the level of consumer purchases of discretionary items and luxury retail products, including our p</w:t>
      </w:r>
      <w:r>
        <w:rPr>
          <w:rFonts w:eastAsia="Times New Roman"/>
          <w:color w:val="000000"/>
          <w:sz w:val="20"/>
          <w:szCs w:val="20"/>
        </w:rPr>
        <w:t>roducts, caused by higher unemployment and lower disposal income levels, travel and social gathering restrictions, work-from-home arrangements, or other factors beyond our control;</w:t>
      </w:r>
    </w:p>
    <w:p w14:paraId="4714A658" w14:textId="77777777" w:rsidR="00000000" w:rsidRDefault="00EE5306">
      <w:pPr>
        <w:ind w:hanging="360"/>
        <w:jc w:val="both"/>
        <w:divId w:val="1555579167"/>
        <w:rPr>
          <w:rFonts w:eastAsia="Times New Roman"/>
        </w:rPr>
      </w:pPr>
      <w:r>
        <w:rPr>
          <w:rFonts w:eastAsia="Times New Roman"/>
          <w:color w:val="000000"/>
          <w:sz w:val="20"/>
          <w:szCs w:val="20"/>
        </w:rPr>
        <w:t>•the potential build-up of excess inventory as a result of store closures a</w:t>
      </w:r>
      <w:r>
        <w:rPr>
          <w:rFonts w:eastAsia="Times New Roman"/>
          <w:color w:val="000000"/>
          <w:sz w:val="20"/>
          <w:szCs w:val="20"/>
        </w:rPr>
        <w:t>nd/or lower consumer demand;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F4E809E" w14:textId="77777777">
        <w:trPr>
          <w:divId w:val="873079115"/>
          <w:jc w:val="center"/>
        </w:trPr>
        <w:tc>
          <w:tcPr>
            <w:tcW w:w="50" w:type="pct"/>
            <w:vAlign w:val="center"/>
            <w:hideMark/>
          </w:tcPr>
          <w:p w14:paraId="7E3E5ACD" w14:textId="77777777" w:rsidR="00000000" w:rsidRDefault="00EE5306">
            <w:pPr>
              <w:ind w:hanging="360"/>
              <w:jc w:val="both"/>
              <w:rPr>
                <w:rFonts w:eastAsia="Times New Roman"/>
              </w:rPr>
            </w:pPr>
          </w:p>
        </w:tc>
        <w:tc>
          <w:tcPr>
            <w:tcW w:w="1699" w:type="pct"/>
            <w:vAlign w:val="center"/>
            <w:hideMark/>
          </w:tcPr>
          <w:p w14:paraId="392E6CB3" w14:textId="77777777" w:rsidR="00000000" w:rsidRDefault="00EE5306">
            <w:pPr>
              <w:spacing w:after="100"/>
              <w:rPr>
                <w:rFonts w:eastAsia="Times New Roman"/>
                <w:sz w:val="20"/>
                <w:szCs w:val="20"/>
              </w:rPr>
            </w:pPr>
          </w:p>
        </w:tc>
        <w:tc>
          <w:tcPr>
            <w:tcW w:w="5" w:type="pct"/>
            <w:vAlign w:val="center"/>
            <w:hideMark/>
          </w:tcPr>
          <w:p w14:paraId="450CDD2D" w14:textId="77777777" w:rsidR="00000000" w:rsidRDefault="00EE5306">
            <w:pPr>
              <w:spacing w:after="100"/>
              <w:rPr>
                <w:rFonts w:eastAsia="Times New Roman"/>
                <w:sz w:val="20"/>
                <w:szCs w:val="20"/>
              </w:rPr>
            </w:pPr>
          </w:p>
        </w:tc>
        <w:tc>
          <w:tcPr>
            <w:tcW w:w="50" w:type="pct"/>
            <w:vAlign w:val="center"/>
            <w:hideMark/>
          </w:tcPr>
          <w:p w14:paraId="198DF27F" w14:textId="77777777" w:rsidR="00000000" w:rsidRDefault="00EE5306">
            <w:pPr>
              <w:spacing w:after="100"/>
              <w:rPr>
                <w:rFonts w:eastAsia="Times New Roman"/>
                <w:sz w:val="20"/>
                <w:szCs w:val="20"/>
              </w:rPr>
            </w:pPr>
          </w:p>
        </w:tc>
        <w:tc>
          <w:tcPr>
            <w:tcW w:w="1436" w:type="pct"/>
            <w:vAlign w:val="center"/>
            <w:hideMark/>
          </w:tcPr>
          <w:p w14:paraId="759CC23B" w14:textId="77777777" w:rsidR="00000000" w:rsidRDefault="00EE5306">
            <w:pPr>
              <w:spacing w:after="100"/>
              <w:rPr>
                <w:rFonts w:eastAsia="Times New Roman"/>
                <w:sz w:val="20"/>
                <w:szCs w:val="20"/>
              </w:rPr>
            </w:pPr>
          </w:p>
        </w:tc>
        <w:tc>
          <w:tcPr>
            <w:tcW w:w="5" w:type="pct"/>
            <w:vAlign w:val="center"/>
            <w:hideMark/>
          </w:tcPr>
          <w:p w14:paraId="19D4584F" w14:textId="77777777" w:rsidR="00000000" w:rsidRDefault="00EE5306">
            <w:pPr>
              <w:spacing w:after="100"/>
              <w:rPr>
                <w:rFonts w:eastAsia="Times New Roman"/>
                <w:sz w:val="20"/>
                <w:szCs w:val="20"/>
              </w:rPr>
            </w:pPr>
          </w:p>
        </w:tc>
        <w:tc>
          <w:tcPr>
            <w:tcW w:w="50" w:type="pct"/>
            <w:vAlign w:val="center"/>
            <w:hideMark/>
          </w:tcPr>
          <w:p w14:paraId="024C8061" w14:textId="77777777" w:rsidR="00000000" w:rsidRDefault="00EE5306">
            <w:pPr>
              <w:spacing w:after="100"/>
              <w:rPr>
                <w:rFonts w:eastAsia="Times New Roman"/>
                <w:sz w:val="20"/>
                <w:szCs w:val="20"/>
              </w:rPr>
            </w:pPr>
          </w:p>
        </w:tc>
        <w:tc>
          <w:tcPr>
            <w:tcW w:w="1699" w:type="pct"/>
            <w:vAlign w:val="center"/>
            <w:hideMark/>
          </w:tcPr>
          <w:p w14:paraId="4BE5CD1F" w14:textId="77777777" w:rsidR="00000000" w:rsidRDefault="00EE5306">
            <w:pPr>
              <w:spacing w:after="100"/>
              <w:rPr>
                <w:rFonts w:eastAsia="Times New Roman"/>
                <w:sz w:val="20"/>
                <w:szCs w:val="20"/>
              </w:rPr>
            </w:pPr>
          </w:p>
        </w:tc>
        <w:tc>
          <w:tcPr>
            <w:tcW w:w="5" w:type="pct"/>
            <w:vAlign w:val="center"/>
            <w:hideMark/>
          </w:tcPr>
          <w:p w14:paraId="49FB0DD5" w14:textId="77777777" w:rsidR="00000000" w:rsidRDefault="00EE5306">
            <w:pPr>
              <w:spacing w:after="100"/>
              <w:rPr>
                <w:rFonts w:eastAsia="Times New Roman"/>
                <w:sz w:val="20"/>
                <w:szCs w:val="20"/>
              </w:rPr>
            </w:pPr>
          </w:p>
        </w:tc>
      </w:tr>
      <w:tr w:rsidR="00000000" w14:paraId="5B4CCE39" w14:textId="77777777">
        <w:trPr>
          <w:divId w:val="873079115"/>
          <w:jc w:val="center"/>
        </w:trPr>
        <w:tc>
          <w:tcPr>
            <w:tcW w:w="0" w:type="auto"/>
            <w:gridSpan w:val="3"/>
            <w:tcMar>
              <w:top w:w="0" w:type="dxa"/>
              <w:left w:w="20" w:type="dxa"/>
              <w:bottom w:w="0" w:type="dxa"/>
              <w:right w:w="20" w:type="dxa"/>
            </w:tcMar>
            <w:vAlign w:val="center"/>
            <w:hideMark/>
          </w:tcPr>
          <w:p w14:paraId="41A8F7E1"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A3A3B59" w14:textId="77777777" w:rsidR="00000000" w:rsidRDefault="00EE5306">
            <w:pPr>
              <w:spacing w:after="100"/>
              <w:jc w:val="center"/>
              <w:rPr>
                <w:rFonts w:eastAsia="Times New Roman"/>
              </w:rPr>
            </w:pPr>
            <w:r>
              <w:rPr>
                <w:rFonts w:eastAsia="Times New Roman"/>
                <w:color w:val="000000"/>
                <w:sz w:val="20"/>
                <w:szCs w:val="20"/>
              </w:rPr>
              <w:t>25</w:t>
            </w:r>
          </w:p>
        </w:tc>
        <w:tc>
          <w:tcPr>
            <w:tcW w:w="0" w:type="auto"/>
            <w:gridSpan w:val="3"/>
            <w:tcMar>
              <w:top w:w="0" w:type="dxa"/>
              <w:left w:w="20" w:type="dxa"/>
              <w:bottom w:w="0" w:type="dxa"/>
              <w:right w:w="20" w:type="dxa"/>
            </w:tcMar>
            <w:vAlign w:val="center"/>
            <w:hideMark/>
          </w:tcPr>
          <w:p w14:paraId="7703792E" w14:textId="77777777" w:rsidR="00000000" w:rsidRDefault="00EE5306">
            <w:pPr>
              <w:spacing w:after="100"/>
              <w:jc w:val="center"/>
              <w:rPr>
                <w:rFonts w:eastAsia="Times New Roman"/>
              </w:rPr>
            </w:pPr>
          </w:p>
        </w:tc>
      </w:tr>
    </w:tbl>
    <w:p w14:paraId="2C904BEE" w14:textId="77777777" w:rsidR="00000000" w:rsidRDefault="00EE5306">
      <w:pPr>
        <w:rPr>
          <w:rFonts w:eastAsia="Times New Roman"/>
        </w:rPr>
      </w:pPr>
      <w:r>
        <w:rPr>
          <w:rFonts w:eastAsia="Times New Roman"/>
        </w:rPr>
        <w:pict w14:anchorId="2F0DE71A">
          <v:rect id="_x0000_i1051" style="width:0;height:1.5pt" o:hralign="center" o:hrstd="t" o:hr="t" fillcolor="#a0a0a0" stroked="f"/>
        </w:pict>
      </w:r>
    </w:p>
    <w:p w14:paraId="36BDC087" w14:textId="77777777" w:rsidR="00000000" w:rsidRDefault="00EE5306">
      <w:pPr>
        <w:divId w:val="1404061478"/>
        <w:rPr>
          <w:rFonts w:eastAsia="Times New Roman"/>
        </w:rPr>
      </w:pPr>
    </w:p>
    <w:p w14:paraId="288FD76E" w14:textId="77777777" w:rsidR="00000000" w:rsidRDefault="00EE5306">
      <w:pPr>
        <w:ind w:hanging="360"/>
        <w:jc w:val="both"/>
        <w:divId w:val="1814130820"/>
        <w:rPr>
          <w:rFonts w:eastAsia="Times New Roman"/>
        </w:rPr>
      </w:pPr>
      <w:r>
        <w:rPr>
          <w:rFonts w:eastAsia="Times New Roman"/>
          <w:color w:val="000000"/>
          <w:sz w:val="20"/>
          <w:szCs w:val="20"/>
        </w:rPr>
        <w:t xml:space="preserve">•our ability to generate sufficient cash flows to support our operations, including repayment of our debt obligations as they become due, as well as to return value to our shareholders in the form of dividend payments </w:t>
      </w:r>
      <w:r>
        <w:rPr>
          <w:rFonts w:eastAsia="Times New Roman"/>
          <w:color w:val="000000"/>
          <w:sz w:val="20"/>
          <w:szCs w:val="20"/>
        </w:rPr>
        <w:t>and repurchases of our common stock;</w:t>
      </w:r>
    </w:p>
    <w:p w14:paraId="31486F61" w14:textId="77777777" w:rsidR="00000000" w:rsidRDefault="00EE5306">
      <w:pPr>
        <w:ind w:hanging="360"/>
        <w:jc w:val="both"/>
        <w:divId w:val="698090671"/>
        <w:rPr>
          <w:rFonts w:eastAsia="Times New Roman"/>
        </w:rPr>
      </w:pPr>
      <w:r>
        <w:rPr>
          <w:rFonts w:eastAsia="Times New Roman"/>
          <w:color w:val="000000"/>
          <w:sz w:val="20"/>
          <w:szCs w:val="20"/>
        </w:rPr>
        <w:t>•the potential loss of one or more of our significant wholesale customers or licensing partners, or the loss of a large number of smaller wholesale customers or licensing partners, if they are not able to withstand prol</w:t>
      </w:r>
      <w:r>
        <w:rPr>
          <w:rFonts w:eastAsia="Times New Roman"/>
          <w:color w:val="000000"/>
          <w:sz w:val="20"/>
          <w:szCs w:val="20"/>
        </w:rPr>
        <w:t>onged periods of adverse economic conditions, and our ability to collect outstanding receivables;</w:t>
      </w:r>
    </w:p>
    <w:p w14:paraId="42E59C9A" w14:textId="77777777" w:rsidR="00000000" w:rsidRDefault="00EE5306">
      <w:pPr>
        <w:ind w:hanging="360"/>
        <w:jc w:val="both"/>
        <w:divId w:val="838934497"/>
        <w:rPr>
          <w:rFonts w:eastAsia="Times New Roman"/>
        </w:rPr>
      </w:pPr>
      <w:r>
        <w:rPr>
          <w:rFonts w:eastAsia="Times New Roman"/>
          <w:color w:val="000000"/>
          <w:sz w:val="20"/>
          <w:szCs w:val="20"/>
        </w:rPr>
        <w:t>•temporary closures or other operational restrictions of our distribution centers and/or corporate facilities;</w:t>
      </w:r>
    </w:p>
    <w:p w14:paraId="7DB59AE8" w14:textId="77777777" w:rsidR="00000000" w:rsidRDefault="00EE5306">
      <w:pPr>
        <w:ind w:hanging="360"/>
        <w:jc w:val="both"/>
        <w:divId w:val="2105152475"/>
        <w:rPr>
          <w:rFonts w:eastAsia="Times New Roman"/>
        </w:rPr>
      </w:pPr>
      <w:r>
        <w:rPr>
          <w:rFonts w:eastAsia="Times New Roman"/>
          <w:color w:val="000000"/>
          <w:sz w:val="20"/>
          <w:szCs w:val="20"/>
        </w:rPr>
        <w:t>•supply chain disruptions resulting from closed</w:t>
      </w:r>
      <w:r>
        <w:rPr>
          <w:rFonts w:eastAsia="Times New Roman"/>
          <w:color w:val="000000"/>
          <w:sz w:val="20"/>
          <w:szCs w:val="20"/>
        </w:rPr>
        <w:t xml:space="preserve"> factories, reduced workforces, scarcity of raw materials, and scrutiny or embargoing of goods produced in infected areas, including any related cost increases;</w:t>
      </w:r>
    </w:p>
    <w:p w14:paraId="3B04A3C1" w14:textId="77777777" w:rsidR="00000000" w:rsidRDefault="00EE5306">
      <w:pPr>
        <w:ind w:hanging="360"/>
        <w:jc w:val="both"/>
        <w:divId w:val="1155954913"/>
        <w:rPr>
          <w:rFonts w:eastAsia="Times New Roman"/>
        </w:rPr>
      </w:pPr>
      <w:r>
        <w:rPr>
          <w:rFonts w:eastAsia="Times New Roman"/>
          <w:color w:val="000000"/>
          <w:sz w:val="20"/>
          <w:szCs w:val="20"/>
        </w:rPr>
        <w:t>•our ability to access capital markets and maintain compliance with covenants associated with o</w:t>
      </w:r>
      <w:r>
        <w:rPr>
          <w:rFonts w:eastAsia="Times New Roman"/>
          <w:color w:val="000000"/>
          <w:sz w:val="20"/>
          <w:szCs w:val="20"/>
        </w:rPr>
        <w:t>ur existing debt instruments, as well as the ability of our key customers, suppliers, and vendors to do the same with regard to their own obligations;</w:t>
      </w:r>
    </w:p>
    <w:p w14:paraId="3C0AE520" w14:textId="77777777" w:rsidR="00000000" w:rsidRDefault="00EE5306">
      <w:pPr>
        <w:ind w:hanging="360"/>
        <w:jc w:val="both"/>
        <w:divId w:val="94179009"/>
        <w:rPr>
          <w:rFonts w:eastAsia="Times New Roman"/>
        </w:rPr>
      </w:pPr>
      <w:r>
        <w:rPr>
          <w:rFonts w:eastAsia="Times New Roman"/>
          <w:color w:val="000000"/>
          <w:sz w:val="20"/>
          <w:szCs w:val="20"/>
        </w:rPr>
        <w:t>•our ability to successfully negotiate with landlords to obtain rent abatements, rent deferrals, and othe</w:t>
      </w:r>
      <w:r>
        <w:rPr>
          <w:rFonts w:eastAsia="Times New Roman"/>
          <w:color w:val="000000"/>
          <w:sz w:val="20"/>
          <w:szCs w:val="20"/>
        </w:rPr>
        <w:t>r relief;</w:t>
      </w:r>
    </w:p>
    <w:p w14:paraId="0904D771" w14:textId="77777777" w:rsidR="00000000" w:rsidRDefault="00EE5306">
      <w:pPr>
        <w:ind w:hanging="360"/>
        <w:jc w:val="both"/>
        <w:divId w:val="462581735"/>
        <w:rPr>
          <w:rFonts w:eastAsia="Times New Roman"/>
        </w:rPr>
      </w:pPr>
      <w:r>
        <w:rPr>
          <w:rFonts w:eastAsia="Times New Roman"/>
          <w:color w:val="000000"/>
          <w:sz w:val="20"/>
          <w:szCs w:val="20"/>
        </w:rPr>
        <w:t xml:space="preserve">•additional costs to protect the health and safety of our employees, customers, and communities, such as more frequent and thorough cleanings of our facilities and supplying personal protection equipment; </w:t>
      </w:r>
    </w:p>
    <w:p w14:paraId="19C9C339" w14:textId="77777777" w:rsidR="00000000" w:rsidRDefault="00EE5306">
      <w:pPr>
        <w:ind w:hanging="360"/>
        <w:jc w:val="both"/>
        <w:divId w:val="385954538"/>
        <w:rPr>
          <w:rFonts w:eastAsia="Times New Roman"/>
        </w:rPr>
      </w:pPr>
      <w:r>
        <w:rPr>
          <w:rFonts w:eastAsia="Times New Roman"/>
          <w:color w:val="000000"/>
          <w:sz w:val="20"/>
          <w:szCs w:val="20"/>
        </w:rPr>
        <w:t>•diversion of management attention and r</w:t>
      </w:r>
      <w:r>
        <w:rPr>
          <w:rFonts w:eastAsia="Times New Roman"/>
          <w:color w:val="000000"/>
          <w:sz w:val="20"/>
          <w:szCs w:val="20"/>
        </w:rPr>
        <w:t>esources from ongoing business activities and/or a decrease in employee morale; and</w:t>
      </w:r>
    </w:p>
    <w:p w14:paraId="6C532BE2" w14:textId="77777777" w:rsidR="00000000" w:rsidRDefault="00EE5306">
      <w:pPr>
        <w:ind w:hanging="360"/>
        <w:jc w:val="both"/>
        <w:divId w:val="1147043615"/>
        <w:rPr>
          <w:rFonts w:eastAsia="Times New Roman"/>
        </w:rPr>
      </w:pPr>
      <w:r>
        <w:rPr>
          <w:rFonts w:eastAsia="Times New Roman"/>
          <w:color w:val="000000"/>
          <w:sz w:val="20"/>
          <w:szCs w:val="20"/>
        </w:rPr>
        <w:t>•our ability to maintain an effective system of internal controls and compliance with the requirements under the Sarbanes-Oxley Act of 2002.</w:t>
      </w:r>
    </w:p>
    <w:p w14:paraId="4DC7768F" w14:textId="77777777" w:rsidR="00000000" w:rsidRDefault="00EE5306">
      <w:pPr>
        <w:divId w:val="1733311438"/>
        <w:rPr>
          <w:rFonts w:eastAsia="Times New Roman"/>
        </w:rPr>
      </w:pPr>
      <w:r>
        <w:rPr>
          <w:rFonts w:eastAsia="Times New Roman"/>
          <w:color w:val="000000"/>
          <w:sz w:val="20"/>
          <w:szCs w:val="20"/>
        </w:rPr>
        <w:t>Additional discussion related t</w:t>
      </w:r>
      <w:r>
        <w:rPr>
          <w:rFonts w:eastAsia="Times New Roman"/>
          <w:color w:val="000000"/>
          <w:sz w:val="20"/>
          <w:szCs w:val="20"/>
        </w:rPr>
        <w:t>o the various risks and uncertainties described above is included elsewhere within this "Risk Factors" section of our Form 10-K.</w:t>
      </w:r>
    </w:p>
    <w:p w14:paraId="781C36B8" w14:textId="77777777" w:rsidR="00000000" w:rsidRDefault="00EE5306">
      <w:pPr>
        <w:jc w:val="both"/>
        <w:divId w:val="1771243806"/>
        <w:rPr>
          <w:rFonts w:eastAsia="Times New Roman"/>
        </w:rPr>
      </w:pPr>
      <w:r>
        <w:rPr>
          <w:rFonts w:eastAsia="Times New Roman"/>
          <w:b/>
          <w:bCs/>
          <w:color w:val="000000"/>
          <w:sz w:val="20"/>
          <w:szCs w:val="20"/>
        </w:rPr>
        <w:t>Economic, political, and other conditions may adversely affect the level of consumer purchases of discretionary items and luxury retail products, including our products.</w:t>
      </w:r>
    </w:p>
    <w:p w14:paraId="6D6C2AD3" w14:textId="77777777" w:rsidR="00000000" w:rsidRDefault="00EE5306">
      <w:pPr>
        <w:ind w:firstLine="540"/>
        <w:jc w:val="both"/>
        <w:divId w:val="1598363234"/>
        <w:rPr>
          <w:rFonts w:eastAsia="Times New Roman"/>
        </w:rPr>
      </w:pPr>
      <w:r>
        <w:rPr>
          <w:rFonts w:eastAsia="Times New Roman"/>
          <w:color w:val="000000"/>
          <w:sz w:val="20"/>
          <w:szCs w:val="20"/>
        </w:rPr>
        <w:t>The industries in which we operate are cyclical. Many economic and other factors outsi</w:t>
      </w:r>
      <w:r>
        <w:rPr>
          <w:rFonts w:eastAsia="Times New Roman"/>
          <w:color w:val="000000"/>
          <w:sz w:val="20"/>
          <w:szCs w:val="20"/>
        </w:rPr>
        <w:t>de of our control affect the level of consumer spending in the apparel, footwear, accessory, and home product industries, including, among others, man-made or natural disasters, including pandemic diseases such as COVID-19; consumer perceptions of personal</w:t>
      </w:r>
      <w:r>
        <w:rPr>
          <w:rFonts w:eastAsia="Times New Roman"/>
          <w:color w:val="000000"/>
          <w:sz w:val="20"/>
          <w:szCs w:val="20"/>
        </w:rPr>
        <w:t xml:space="preserve"> well-being and safety; consumer perceptions of current and future economic conditions; employment levels and wage rates; stock market performance; inflation; interest rates; foreign currency exchange rates; the housing market; consumer debt levels; the av</w:t>
      </w:r>
      <w:r>
        <w:rPr>
          <w:rFonts w:eastAsia="Times New Roman"/>
          <w:color w:val="000000"/>
          <w:sz w:val="20"/>
          <w:szCs w:val="20"/>
        </w:rPr>
        <w:t>ailability of consumer credit; commodity prices, including fuel and energy costs; taxation; general domestic and international political conditions; the threat, outbreak, or escalation of terrorism, military conflicts, or other hostilities; and weather con</w:t>
      </w:r>
      <w:r>
        <w:rPr>
          <w:rFonts w:eastAsia="Times New Roman"/>
          <w:color w:val="000000"/>
          <w:sz w:val="20"/>
          <w:szCs w:val="20"/>
        </w:rPr>
        <w:t>ditions.</w:t>
      </w:r>
    </w:p>
    <w:p w14:paraId="69B3D5C3" w14:textId="77777777" w:rsidR="00000000" w:rsidRDefault="00EE5306">
      <w:pPr>
        <w:ind w:firstLine="540"/>
        <w:jc w:val="both"/>
        <w:divId w:val="871113977"/>
        <w:rPr>
          <w:rFonts w:eastAsia="Times New Roman"/>
        </w:rPr>
      </w:pPr>
      <w:r>
        <w:rPr>
          <w:rFonts w:eastAsia="Times New Roman"/>
          <w:color w:val="000000"/>
          <w:sz w:val="20"/>
          <w:szCs w:val="20"/>
        </w:rPr>
        <w:t>Consumer purchases of discretionary items and luxury retail products, including our products, tend to decline during recessionary periods and at other times when disposable income is lower. Unfavorable economic conditions and other factors, such a</w:t>
      </w:r>
      <w:r>
        <w:rPr>
          <w:rFonts w:eastAsia="Times New Roman"/>
          <w:color w:val="000000"/>
          <w:sz w:val="20"/>
          <w:szCs w:val="20"/>
        </w:rPr>
        <w:t>s pandemic diseases and other health-related concerns, political unrest, war, and acts of terrorism, may also reduce consumers' willingness and ability to travel to major cities and vacation destinations in which our stores and shop-within-shops are locate</w:t>
      </w:r>
      <w:r>
        <w:rPr>
          <w:rFonts w:eastAsia="Times New Roman"/>
          <w:color w:val="000000"/>
          <w:sz w:val="20"/>
          <w:szCs w:val="20"/>
        </w:rPr>
        <w:t>d. Further, consumers may prefer to spend more of their discretionary income on "experiences," such as dining and entertainment, over consumer goods. Stay-at-home orders, social gathering restrictions, and work-from-home arrangements, such as those resulti</w:t>
      </w:r>
      <w:r>
        <w:rPr>
          <w:rFonts w:eastAsia="Times New Roman"/>
          <w:color w:val="000000"/>
          <w:sz w:val="20"/>
          <w:szCs w:val="20"/>
        </w:rPr>
        <w:t>ng from the COVID-19 pandemic, may also diminish consumers’ demand for luxury apparel products. Accordingly, a downturn or an uncertain outlook in the economies in which we, or our wholesale customers and licensing partners, sell our products, or other cha</w:t>
      </w:r>
      <w:r>
        <w:rPr>
          <w:rFonts w:eastAsia="Times New Roman"/>
          <w:color w:val="000000"/>
          <w:sz w:val="20"/>
          <w:szCs w:val="20"/>
        </w:rPr>
        <w:t>nges in consumer preferences, may materially adversely affect our business.</w:t>
      </w:r>
    </w:p>
    <w:p w14:paraId="331C9672" w14:textId="77777777" w:rsidR="00000000" w:rsidRDefault="00EE5306">
      <w:pPr>
        <w:jc w:val="both"/>
        <w:divId w:val="1767186146"/>
        <w:rPr>
          <w:rFonts w:eastAsia="Times New Roman"/>
        </w:rPr>
      </w:pPr>
      <w:r>
        <w:rPr>
          <w:rFonts w:eastAsia="Times New Roman"/>
          <w:b/>
          <w:bCs/>
          <w:color w:val="000000"/>
          <w:sz w:val="20"/>
          <w:szCs w:val="20"/>
        </w:rPr>
        <w:t>Economic conditions could have a negative impact on our major customers, suppliers, vendors, and lenders, which in turn could materially adversely affect our business.</w:t>
      </w:r>
    </w:p>
    <w:p w14:paraId="6AC46FE0" w14:textId="77777777" w:rsidR="00000000" w:rsidRDefault="00EE5306">
      <w:pPr>
        <w:ind w:firstLine="540"/>
        <w:jc w:val="both"/>
        <w:divId w:val="1554997785"/>
        <w:rPr>
          <w:rFonts w:eastAsia="Times New Roman"/>
        </w:rPr>
      </w:pPr>
      <w:r>
        <w:rPr>
          <w:rFonts w:eastAsia="Times New Roman"/>
          <w:color w:val="000000"/>
          <w:sz w:val="20"/>
          <w:szCs w:val="20"/>
        </w:rPr>
        <w:t xml:space="preserve">Although we </w:t>
      </w:r>
      <w:r>
        <w:rPr>
          <w:rFonts w:eastAsia="Times New Roman"/>
          <w:color w:val="000000"/>
          <w:sz w:val="20"/>
          <w:szCs w:val="20"/>
        </w:rPr>
        <w:t>believe that our existing cash and investments, cash provided by operations, and available borrowing capacity under our credit and overdraft facilities and commercial paper borrowing program will provide us with sufficient liquidity, the impact of economic</w:t>
      </w:r>
      <w:r>
        <w:rPr>
          <w:rFonts w:eastAsia="Times New Roman"/>
          <w:color w:val="000000"/>
          <w:sz w:val="20"/>
          <w:szCs w:val="20"/>
        </w:rPr>
        <w:t xml:space="preserve"> conditions on our major customers, suppliers, vendors, and lenders, including those resulting from the COVID-19 pandemic, and their ability to access global capital markets cannot be predicted. The inability of major manufacturers to ship our products cou</w:t>
      </w:r>
      <w:r>
        <w:rPr>
          <w:rFonts w:eastAsia="Times New Roman"/>
          <w:color w:val="000000"/>
          <w:sz w:val="20"/>
          <w:szCs w:val="20"/>
        </w:rPr>
        <w:t>ld impair our ability to meet the delivery date requirements of our customers. Deterioration in global financial or capital markets could affect our ability to access sources of liquidity to provide for our future cash needs, increase the cost of any futur</w:t>
      </w:r>
      <w:r>
        <w:rPr>
          <w:rFonts w:eastAsia="Times New Roman"/>
          <w:color w:val="000000"/>
          <w:sz w:val="20"/>
          <w:szCs w:val="20"/>
        </w:rPr>
        <w:t xml:space="preserve">e financing, or cause our lenders to be unable to meet their funding commitments under our credit and overdraft facilities. A disruption in the ability of our significant customers to access liquidity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D49217E" w14:textId="77777777">
        <w:trPr>
          <w:divId w:val="983194811"/>
          <w:jc w:val="center"/>
        </w:trPr>
        <w:tc>
          <w:tcPr>
            <w:tcW w:w="50" w:type="pct"/>
            <w:vAlign w:val="center"/>
            <w:hideMark/>
          </w:tcPr>
          <w:p w14:paraId="0D04C3C3" w14:textId="77777777" w:rsidR="00000000" w:rsidRDefault="00EE5306">
            <w:pPr>
              <w:ind w:firstLine="540"/>
              <w:jc w:val="both"/>
              <w:rPr>
                <w:rFonts w:eastAsia="Times New Roman"/>
              </w:rPr>
            </w:pPr>
          </w:p>
        </w:tc>
        <w:tc>
          <w:tcPr>
            <w:tcW w:w="1699" w:type="pct"/>
            <w:vAlign w:val="center"/>
            <w:hideMark/>
          </w:tcPr>
          <w:p w14:paraId="0AD6CC29" w14:textId="77777777" w:rsidR="00000000" w:rsidRDefault="00EE5306">
            <w:pPr>
              <w:spacing w:after="100"/>
              <w:rPr>
                <w:rFonts w:eastAsia="Times New Roman"/>
                <w:sz w:val="20"/>
                <w:szCs w:val="20"/>
              </w:rPr>
            </w:pPr>
          </w:p>
        </w:tc>
        <w:tc>
          <w:tcPr>
            <w:tcW w:w="5" w:type="pct"/>
            <w:vAlign w:val="center"/>
            <w:hideMark/>
          </w:tcPr>
          <w:p w14:paraId="6D62FCD6" w14:textId="77777777" w:rsidR="00000000" w:rsidRDefault="00EE5306">
            <w:pPr>
              <w:spacing w:after="100"/>
              <w:rPr>
                <w:rFonts w:eastAsia="Times New Roman"/>
                <w:sz w:val="20"/>
                <w:szCs w:val="20"/>
              </w:rPr>
            </w:pPr>
          </w:p>
        </w:tc>
        <w:tc>
          <w:tcPr>
            <w:tcW w:w="50" w:type="pct"/>
            <w:vAlign w:val="center"/>
            <w:hideMark/>
          </w:tcPr>
          <w:p w14:paraId="098A8393" w14:textId="77777777" w:rsidR="00000000" w:rsidRDefault="00EE5306">
            <w:pPr>
              <w:spacing w:after="100"/>
              <w:rPr>
                <w:rFonts w:eastAsia="Times New Roman"/>
                <w:sz w:val="20"/>
                <w:szCs w:val="20"/>
              </w:rPr>
            </w:pPr>
          </w:p>
        </w:tc>
        <w:tc>
          <w:tcPr>
            <w:tcW w:w="1436" w:type="pct"/>
            <w:vAlign w:val="center"/>
            <w:hideMark/>
          </w:tcPr>
          <w:p w14:paraId="21E64C30" w14:textId="77777777" w:rsidR="00000000" w:rsidRDefault="00EE5306">
            <w:pPr>
              <w:spacing w:after="100"/>
              <w:rPr>
                <w:rFonts w:eastAsia="Times New Roman"/>
                <w:sz w:val="20"/>
                <w:szCs w:val="20"/>
              </w:rPr>
            </w:pPr>
          </w:p>
        </w:tc>
        <w:tc>
          <w:tcPr>
            <w:tcW w:w="5" w:type="pct"/>
            <w:vAlign w:val="center"/>
            <w:hideMark/>
          </w:tcPr>
          <w:p w14:paraId="1B05803E" w14:textId="77777777" w:rsidR="00000000" w:rsidRDefault="00EE5306">
            <w:pPr>
              <w:spacing w:after="100"/>
              <w:rPr>
                <w:rFonts w:eastAsia="Times New Roman"/>
                <w:sz w:val="20"/>
                <w:szCs w:val="20"/>
              </w:rPr>
            </w:pPr>
          </w:p>
        </w:tc>
        <w:tc>
          <w:tcPr>
            <w:tcW w:w="50" w:type="pct"/>
            <w:vAlign w:val="center"/>
            <w:hideMark/>
          </w:tcPr>
          <w:p w14:paraId="3D1583D8" w14:textId="77777777" w:rsidR="00000000" w:rsidRDefault="00EE5306">
            <w:pPr>
              <w:spacing w:after="100"/>
              <w:rPr>
                <w:rFonts w:eastAsia="Times New Roman"/>
                <w:sz w:val="20"/>
                <w:szCs w:val="20"/>
              </w:rPr>
            </w:pPr>
          </w:p>
        </w:tc>
        <w:tc>
          <w:tcPr>
            <w:tcW w:w="1699" w:type="pct"/>
            <w:vAlign w:val="center"/>
            <w:hideMark/>
          </w:tcPr>
          <w:p w14:paraId="7D6FCD95" w14:textId="77777777" w:rsidR="00000000" w:rsidRDefault="00EE5306">
            <w:pPr>
              <w:spacing w:after="100"/>
              <w:rPr>
                <w:rFonts w:eastAsia="Times New Roman"/>
                <w:sz w:val="20"/>
                <w:szCs w:val="20"/>
              </w:rPr>
            </w:pPr>
          </w:p>
        </w:tc>
        <w:tc>
          <w:tcPr>
            <w:tcW w:w="5" w:type="pct"/>
            <w:vAlign w:val="center"/>
            <w:hideMark/>
          </w:tcPr>
          <w:p w14:paraId="452EBE58" w14:textId="77777777" w:rsidR="00000000" w:rsidRDefault="00EE5306">
            <w:pPr>
              <w:spacing w:after="100"/>
              <w:rPr>
                <w:rFonts w:eastAsia="Times New Roman"/>
                <w:sz w:val="20"/>
                <w:szCs w:val="20"/>
              </w:rPr>
            </w:pPr>
          </w:p>
        </w:tc>
      </w:tr>
      <w:tr w:rsidR="00000000" w14:paraId="63FD0AC6" w14:textId="77777777">
        <w:trPr>
          <w:divId w:val="983194811"/>
          <w:jc w:val="center"/>
        </w:trPr>
        <w:tc>
          <w:tcPr>
            <w:tcW w:w="0" w:type="auto"/>
            <w:gridSpan w:val="3"/>
            <w:tcMar>
              <w:top w:w="0" w:type="dxa"/>
              <w:left w:w="20" w:type="dxa"/>
              <w:bottom w:w="0" w:type="dxa"/>
              <w:right w:w="20" w:type="dxa"/>
            </w:tcMar>
            <w:vAlign w:val="center"/>
            <w:hideMark/>
          </w:tcPr>
          <w:p w14:paraId="6996AB5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4386799" w14:textId="77777777" w:rsidR="00000000" w:rsidRDefault="00EE5306">
            <w:pPr>
              <w:spacing w:after="100"/>
              <w:jc w:val="center"/>
              <w:rPr>
                <w:rFonts w:eastAsia="Times New Roman"/>
              </w:rPr>
            </w:pPr>
            <w:r>
              <w:rPr>
                <w:rFonts w:eastAsia="Times New Roman"/>
                <w:color w:val="000000"/>
                <w:sz w:val="20"/>
                <w:szCs w:val="20"/>
              </w:rPr>
              <w:t>26</w:t>
            </w:r>
          </w:p>
        </w:tc>
        <w:tc>
          <w:tcPr>
            <w:tcW w:w="0" w:type="auto"/>
            <w:gridSpan w:val="3"/>
            <w:tcMar>
              <w:top w:w="0" w:type="dxa"/>
              <w:left w:w="20" w:type="dxa"/>
              <w:bottom w:w="0" w:type="dxa"/>
              <w:right w:w="20" w:type="dxa"/>
            </w:tcMar>
            <w:vAlign w:val="center"/>
            <w:hideMark/>
          </w:tcPr>
          <w:p w14:paraId="12EB3280" w14:textId="77777777" w:rsidR="00000000" w:rsidRDefault="00EE5306">
            <w:pPr>
              <w:spacing w:after="100"/>
              <w:jc w:val="center"/>
              <w:rPr>
                <w:rFonts w:eastAsia="Times New Roman"/>
              </w:rPr>
            </w:pPr>
          </w:p>
        </w:tc>
      </w:tr>
    </w:tbl>
    <w:p w14:paraId="7D93498F" w14:textId="77777777" w:rsidR="00000000" w:rsidRDefault="00EE5306">
      <w:pPr>
        <w:rPr>
          <w:rFonts w:eastAsia="Times New Roman"/>
        </w:rPr>
      </w:pPr>
      <w:r>
        <w:rPr>
          <w:rFonts w:eastAsia="Times New Roman"/>
        </w:rPr>
        <w:pict w14:anchorId="43679DEC">
          <v:rect id="_x0000_i1052" style="width:0;height:1.5pt" o:hralign="center" o:hrstd="t" o:hr="t" fillcolor="#a0a0a0" stroked="f"/>
        </w:pict>
      </w:r>
    </w:p>
    <w:p w14:paraId="1679E7EA" w14:textId="77777777" w:rsidR="00000000" w:rsidRDefault="00EE5306">
      <w:pPr>
        <w:divId w:val="845898967"/>
        <w:rPr>
          <w:rFonts w:eastAsia="Times New Roman"/>
        </w:rPr>
      </w:pPr>
    </w:p>
    <w:p w14:paraId="5DC2C450" w14:textId="77777777" w:rsidR="00000000" w:rsidRDefault="00EE5306">
      <w:pPr>
        <w:jc w:val="both"/>
        <w:divId w:val="92823805"/>
        <w:rPr>
          <w:rFonts w:eastAsia="Times New Roman"/>
        </w:rPr>
      </w:pPr>
      <w:r>
        <w:rPr>
          <w:rFonts w:eastAsia="Times New Roman"/>
          <w:color w:val="000000"/>
          <w:sz w:val="20"/>
          <w:szCs w:val="20"/>
        </w:rPr>
        <w:t>could cause serious disruptions or an overall deterioration of their businesses which could lead to a significant reduction in their future orders of our products and the inability or failure on their part to meet thei</w:t>
      </w:r>
      <w:r>
        <w:rPr>
          <w:rFonts w:eastAsia="Times New Roman"/>
          <w:color w:val="000000"/>
          <w:sz w:val="20"/>
          <w:szCs w:val="20"/>
        </w:rPr>
        <w:t>r payment obligations to us, any of which could have a material adverse effect on our business.</w:t>
      </w:r>
    </w:p>
    <w:p w14:paraId="13F215C5" w14:textId="77777777" w:rsidR="00000000" w:rsidRDefault="00EE5306">
      <w:pPr>
        <w:jc w:val="both"/>
        <w:divId w:val="1844052674"/>
        <w:rPr>
          <w:rFonts w:eastAsia="Times New Roman"/>
        </w:rPr>
      </w:pPr>
      <w:r>
        <w:rPr>
          <w:rFonts w:eastAsia="Times New Roman"/>
          <w:b/>
          <w:bCs/>
          <w:color w:val="000000"/>
          <w:sz w:val="20"/>
          <w:szCs w:val="20"/>
        </w:rPr>
        <w:t>Our business is exposed to domestic and foreign currency fluctuations.</w:t>
      </w:r>
    </w:p>
    <w:p w14:paraId="4939DED6" w14:textId="77777777" w:rsidR="00000000" w:rsidRDefault="00EE5306">
      <w:pPr>
        <w:ind w:firstLine="720"/>
        <w:jc w:val="both"/>
        <w:divId w:val="1322269069"/>
        <w:rPr>
          <w:rFonts w:eastAsia="Times New Roman"/>
        </w:rPr>
      </w:pPr>
      <w:r>
        <w:rPr>
          <w:rFonts w:eastAsia="Times New Roman"/>
          <w:color w:val="000000"/>
          <w:sz w:val="20"/>
          <w:szCs w:val="20"/>
        </w:rPr>
        <w:t>Our business is exposed to foreign currency exchange risk. Specifically, changes in excha</w:t>
      </w:r>
      <w:r>
        <w:rPr>
          <w:rFonts w:eastAsia="Times New Roman"/>
          <w:color w:val="000000"/>
          <w:sz w:val="20"/>
          <w:szCs w:val="20"/>
        </w:rPr>
        <w:t>nge rates between the U.S. dollar and other currencies impact our financial results from a transactional perspective, as our foreign operations generally purchase inventory in U.S. dollars, as is common for most apparel companies. Given that we source most</w:t>
      </w:r>
      <w:r>
        <w:rPr>
          <w:rFonts w:eastAsia="Times New Roman"/>
          <w:color w:val="000000"/>
          <w:sz w:val="20"/>
          <w:szCs w:val="20"/>
        </w:rPr>
        <w:t xml:space="preserve"> of our products overseas, the cost of these products may be affected by changes in the value of the relevant currencies. Changes in currency exchange rates may also impact consumers' willingness or ability to travel abroad and/or purchase our products whi</w:t>
      </w:r>
      <w:r>
        <w:rPr>
          <w:rFonts w:eastAsia="Times New Roman"/>
          <w:color w:val="000000"/>
          <w:sz w:val="20"/>
          <w:szCs w:val="20"/>
        </w:rPr>
        <w:t>le traveling, as well as affect the U.S. Dollar value of the foreign currency denominated prices at which our international businesses sell products. Additionally, the operating results and financial position of our international subsidiaries are exposed t</w:t>
      </w:r>
      <w:r>
        <w:rPr>
          <w:rFonts w:eastAsia="Times New Roman"/>
          <w:color w:val="000000"/>
          <w:sz w:val="20"/>
          <w:szCs w:val="20"/>
        </w:rPr>
        <w:t>o foreign exchange rate fluctuations as their financial results are translated from the respective local currency into U.S. Dollars during the financial statement consolidation process. The foreign currencies to which we are exposed to from a transactional</w:t>
      </w:r>
      <w:r>
        <w:rPr>
          <w:rFonts w:eastAsia="Times New Roman"/>
          <w:color w:val="000000"/>
          <w:sz w:val="20"/>
          <w:szCs w:val="20"/>
        </w:rPr>
        <w:t xml:space="preserve"> and translational perspective primarily include the Euro, the Japanese Yen, the South Korean Won, the Australian Dollar, the Canadian Dollar, the British Pound Sterling, the Swiss Franc, and the Chinese Renminbi. The expansion of our international busines</w:t>
      </w:r>
      <w:r>
        <w:rPr>
          <w:rFonts w:eastAsia="Times New Roman"/>
          <w:color w:val="000000"/>
          <w:sz w:val="20"/>
          <w:szCs w:val="20"/>
        </w:rPr>
        <w:t>s increases our exposure to foreign currency exchange risk.</w:t>
      </w:r>
    </w:p>
    <w:p w14:paraId="4C26A164" w14:textId="77777777" w:rsidR="00000000" w:rsidRDefault="00EE5306">
      <w:pPr>
        <w:ind w:firstLine="720"/>
        <w:jc w:val="both"/>
        <w:divId w:val="1696543377"/>
        <w:rPr>
          <w:rFonts w:eastAsia="Times New Roman"/>
        </w:rPr>
      </w:pPr>
      <w:r>
        <w:rPr>
          <w:rFonts w:eastAsia="Times New Roman"/>
          <w:color w:val="000000"/>
          <w:sz w:val="20"/>
          <w:szCs w:val="20"/>
        </w:rPr>
        <w:t>Although we hedge certain exposures to changes in foreign currency exchange rates arising in the ordinary course of business, we cannot fully anticipate all of our currency exposures and therefore</w:t>
      </w:r>
      <w:r>
        <w:rPr>
          <w:rFonts w:eastAsia="Times New Roman"/>
          <w:color w:val="000000"/>
          <w:sz w:val="20"/>
          <w:szCs w:val="20"/>
        </w:rPr>
        <w:t xml:space="preserve"> foreign currency fluctuations may have a material adverse impact on our business. In addition, factors that could impact the effectiveness of our hedging activities include the volatility of currency markets, the accuracy of forecasted transactions, and t</w:t>
      </w:r>
      <w:r>
        <w:rPr>
          <w:rFonts w:eastAsia="Times New Roman"/>
          <w:color w:val="000000"/>
          <w:sz w:val="20"/>
          <w:szCs w:val="20"/>
        </w:rPr>
        <w:t xml:space="preserve">he availability of hedging instruments. As such, our hedging activities may not completely mitigate the impact of foreign currency fluctuations on our results of operations. See Item 7 — </w:t>
      </w:r>
      <w:r>
        <w:rPr>
          <w:rFonts w:eastAsia="Times New Roman"/>
          <w:i/>
          <w:iCs/>
          <w:color w:val="000000"/>
          <w:sz w:val="20"/>
          <w:szCs w:val="20"/>
        </w:rPr>
        <w:t>"Management's Discussion and Analysis of Financial Condition and Resu</w:t>
      </w:r>
      <w:r>
        <w:rPr>
          <w:rFonts w:eastAsia="Times New Roman"/>
          <w:i/>
          <w:iCs/>
          <w:color w:val="000000"/>
          <w:sz w:val="20"/>
          <w:szCs w:val="20"/>
        </w:rPr>
        <w:t>lts of Operations — Market Risk Management."</w:t>
      </w:r>
    </w:p>
    <w:p w14:paraId="010A5784" w14:textId="77777777" w:rsidR="00000000" w:rsidRDefault="00EE5306">
      <w:pPr>
        <w:jc w:val="both"/>
        <w:divId w:val="1900550397"/>
        <w:rPr>
          <w:rFonts w:eastAsia="Times New Roman"/>
        </w:rPr>
      </w:pPr>
      <w:r>
        <w:rPr>
          <w:rFonts w:eastAsia="Times New Roman"/>
          <w:b/>
          <w:bCs/>
          <w:color w:val="000000"/>
          <w:sz w:val="20"/>
          <w:szCs w:val="20"/>
          <w:u w:val="single"/>
        </w:rPr>
        <w:t>Risks Related to our Strategic Initiatives and Restructuring Activities</w:t>
      </w:r>
    </w:p>
    <w:p w14:paraId="04CC22CC" w14:textId="77777777" w:rsidR="00000000" w:rsidRDefault="00EE5306">
      <w:pPr>
        <w:jc w:val="both"/>
        <w:divId w:val="844975640"/>
        <w:rPr>
          <w:rFonts w:eastAsia="Times New Roman"/>
        </w:rPr>
      </w:pPr>
      <w:r>
        <w:rPr>
          <w:rFonts w:eastAsia="Times New Roman"/>
          <w:b/>
          <w:bCs/>
          <w:color w:val="000000"/>
          <w:sz w:val="20"/>
          <w:szCs w:val="20"/>
        </w:rPr>
        <w:t>We cannot assure the successful implementation of our growth strategy.</w:t>
      </w:r>
    </w:p>
    <w:p w14:paraId="265F964C" w14:textId="77777777" w:rsidR="00000000" w:rsidRDefault="00EE5306">
      <w:pPr>
        <w:ind w:firstLine="540"/>
        <w:jc w:val="both"/>
        <w:divId w:val="68508013"/>
        <w:rPr>
          <w:rFonts w:eastAsia="Times New Roman"/>
        </w:rPr>
      </w:pPr>
      <w:r>
        <w:rPr>
          <w:rFonts w:eastAsia="Times New Roman"/>
          <w:color w:val="000000"/>
          <w:sz w:val="20"/>
          <w:szCs w:val="20"/>
        </w:rPr>
        <w:t xml:space="preserve">We have developed a long-term growth strategy with the objective of delivering sustainable, profitable growth and long-term value creation for shareholders, as described in Item 1 — </w:t>
      </w:r>
      <w:r>
        <w:rPr>
          <w:rFonts w:eastAsia="Times New Roman"/>
          <w:i/>
          <w:iCs/>
          <w:color w:val="000000"/>
          <w:sz w:val="20"/>
          <w:szCs w:val="20"/>
        </w:rPr>
        <w:t>"Business — Objectives and Opportunities."</w:t>
      </w:r>
      <w:r>
        <w:rPr>
          <w:rFonts w:eastAsia="Times New Roman"/>
          <w:color w:val="000000"/>
          <w:sz w:val="20"/>
          <w:szCs w:val="20"/>
        </w:rPr>
        <w:t xml:space="preserve"> Our ability to successfully exe</w:t>
      </w:r>
      <w:r>
        <w:rPr>
          <w:rFonts w:eastAsia="Times New Roman"/>
          <w:color w:val="000000"/>
          <w:sz w:val="20"/>
          <w:szCs w:val="20"/>
        </w:rPr>
        <w:t>cute our growth strategy is subject to various risks and uncertainties, as described herein.</w:t>
      </w:r>
    </w:p>
    <w:p w14:paraId="3C15AAB3" w14:textId="77777777" w:rsidR="00000000" w:rsidRDefault="00EE5306">
      <w:pPr>
        <w:ind w:firstLine="540"/>
        <w:jc w:val="both"/>
        <w:divId w:val="1495878526"/>
        <w:rPr>
          <w:rFonts w:eastAsia="Times New Roman"/>
        </w:rPr>
      </w:pPr>
      <w:r>
        <w:rPr>
          <w:rFonts w:eastAsia="Times New Roman"/>
          <w:color w:val="000000"/>
          <w:sz w:val="20"/>
          <w:szCs w:val="20"/>
        </w:rPr>
        <w:t>Although we believe that our growth strategy will lead to long-term growth in revenue and profitability, there can be no assurance regarding the timing of or exten</w:t>
      </w:r>
      <w:r>
        <w:rPr>
          <w:rFonts w:eastAsia="Times New Roman"/>
          <w:color w:val="000000"/>
          <w:sz w:val="20"/>
          <w:szCs w:val="20"/>
        </w:rPr>
        <w:t>t to which we will realize the anticipated benefits, if at all. Our failure to realize the anticipated benefits, which may be due to our inability to execute the various elements of our growth strategy, changes in consumer preferences, competition, economi</w:t>
      </w:r>
      <w:r>
        <w:rPr>
          <w:rFonts w:eastAsia="Times New Roman"/>
          <w:color w:val="000000"/>
          <w:sz w:val="20"/>
          <w:szCs w:val="20"/>
        </w:rPr>
        <w:t>c conditions, and other risks described herein, including those related to the COVID-19 pandemic, could have a material adverse effect on our business. Such a failure could also result in the implementation of additional restructuring-related activities be</w:t>
      </w:r>
      <w:r>
        <w:rPr>
          <w:rFonts w:eastAsia="Times New Roman"/>
          <w:color w:val="000000"/>
          <w:sz w:val="20"/>
          <w:szCs w:val="20"/>
        </w:rPr>
        <w:t>yond those currently planned, which may be dilutive to our earnings in the short term.</w:t>
      </w:r>
    </w:p>
    <w:p w14:paraId="26425B59" w14:textId="77777777" w:rsidR="00000000" w:rsidRDefault="00EE5306">
      <w:pPr>
        <w:ind w:firstLine="540"/>
        <w:jc w:val="both"/>
        <w:divId w:val="1043671202"/>
        <w:rPr>
          <w:rFonts w:eastAsia="Times New Roman"/>
        </w:rPr>
      </w:pPr>
      <w:r>
        <w:rPr>
          <w:rFonts w:eastAsia="Times New Roman"/>
          <w:color w:val="000000"/>
          <w:sz w:val="20"/>
          <w:szCs w:val="20"/>
        </w:rPr>
        <w:t xml:space="preserve">Achievement of our growth strategy may require investment in new capabilities, distribution channels, and technologies. These investments may result in short-term costs </w:t>
      </w:r>
      <w:r>
        <w:rPr>
          <w:rFonts w:eastAsia="Times New Roman"/>
          <w:color w:val="000000"/>
          <w:sz w:val="20"/>
          <w:szCs w:val="20"/>
        </w:rPr>
        <w:t xml:space="preserve">without accompanying current revenues and, therefore, may be dilutive to our earnings in the short term. There can be no assurance regarding the timing of or extent to which we will realize the anticipated benefits of these investments and other costs, if </w:t>
      </w:r>
      <w:r>
        <w:rPr>
          <w:rFonts w:eastAsia="Times New Roman"/>
          <w:color w:val="000000"/>
          <w:sz w:val="20"/>
          <w:szCs w:val="20"/>
        </w:rPr>
        <w:t>at all.</w:t>
      </w:r>
    </w:p>
    <w:p w14:paraId="5AB73E0C" w14:textId="77777777" w:rsidR="00000000" w:rsidRDefault="00EE5306">
      <w:pPr>
        <w:jc w:val="both"/>
        <w:divId w:val="1616592843"/>
        <w:rPr>
          <w:rFonts w:eastAsia="Times New Roman"/>
        </w:rPr>
      </w:pPr>
      <w:r>
        <w:rPr>
          <w:rFonts w:eastAsia="Times New Roman"/>
          <w:b/>
          <w:bCs/>
          <w:color w:val="000000"/>
          <w:sz w:val="20"/>
          <w:szCs w:val="20"/>
        </w:rPr>
        <w:t>We may not be successful in the expansion of our multi-channel distribution network or accelerating growth in certain product categories.</w:t>
      </w:r>
    </w:p>
    <w:p w14:paraId="42D42E99" w14:textId="77777777" w:rsidR="00000000" w:rsidRDefault="00EE5306">
      <w:pPr>
        <w:ind w:firstLine="540"/>
        <w:jc w:val="both"/>
        <w:divId w:val="1890725422"/>
        <w:rPr>
          <w:rFonts w:eastAsia="Times New Roman"/>
        </w:rPr>
      </w:pPr>
      <w:r>
        <w:rPr>
          <w:rFonts w:eastAsia="Times New Roman"/>
          <w:color w:val="000000"/>
          <w:sz w:val="20"/>
          <w:szCs w:val="20"/>
        </w:rPr>
        <w:t>Implementation of our growth strategy involves the continuation and expansion of our multi-channel distributio</w:t>
      </w:r>
      <w:r>
        <w:rPr>
          <w:rFonts w:eastAsia="Times New Roman"/>
          <w:color w:val="000000"/>
          <w:sz w:val="20"/>
          <w:szCs w:val="20"/>
        </w:rPr>
        <w:t>n network, including within international markets such as China, which is subject to many factors, including, but not limited to, our ability to:</w:t>
      </w:r>
    </w:p>
    <w:p w14:paraId="610C6E0F" w14:textId="77777777" w:rsidR="00000000" w:rsidRDefault="00EE5306">
      <w:pPr>
        <w:ind w:hanging="360"/>
        <w:divId w:val="615409373"/>
        <w:rPr>
          <w:rFonts w:eastAsia="Times New Roman"/>
        </w:rPr>
      </w:pPr>
      <w:r>
        <w:rPr>
          <w:rFonts w:eastAsia="Times New Roman"/>
          <w:color w:val="000000"/>
          <w:sz w:val="20"/>
          <w:szCs w:val="20"/>
        </w:rPr>
        <w:t>•identify new or underpenetrated markets where our products and brand will be accepted by consumers;</w:t>
      </w:r>
    </w:p>
    <w:p w14:paraId="34E7246B" w14:textId="77777777" w:rsidR="00000000" w:rsidRDefault="00EE5306">
      <w:pPr>
        <w:ind w:hanging="360"/>
        <w:divId w:val="1675303038"/>
        <w:rPr>
          <w:rFonts w:eastAsia="Times New Roman"/>
        </w:rPr>
      </w:pPr>
      <w:r>
        <w:rPr>
          <w:rFonts w:eastAsia="Times New Roman"/>
          <w:color w:val="000000"/>
          <w:sz w:val="20"/>
          <w:szCs w:val="20"/>
        </w:rPr>
        <w:t xml:space="preserve">•attract </w:t>
      </w:r>
      <w:r>
        <w:rPr>
          <w:rFonts w:eastAsia="Times New Roman"/>
          <w:color w:val="000000"/>
          <w:sz w:val="20"/>
          <w:szCs w:val="20"/>
        </w:rPr>
        <w:t>customers, particularly in new markets;</w:t>
      </w:r>
    </w:p>
    <w:p w14:paraId="226CF716" w14:textId="77777777" w:rsidR="00000000" w:rsidRDefault="00EE5306">
      <w:pPr>
        <w:ind w:hanging="360"/>
        <w:divId w:val="559243771"/>
        <w:rPr>
          <w:rFonts w:eastAsia="Times New Roman"/>
        </w:rPr>
      </w:pPr>
      <w:r>
        <w:rPr>
          <w:rFonts w:eastAsia="Times New Roman"/>
          <w:color w:val="000000"/>
          <w:sz w:val="20"/>
          <w:szCs w:val="20"/>
        </w:rPr>
        <w:t>•identify desirable freestanding and department store locations, the availability of which may be out of our control;</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A34D1E2" w14:textId="77777777">
        <w:trPr>
          <w:divId w:val="1117679969"/>
          <w:jc w:val="center"/>
        </w:trPr>
        <w:tc>
          <w:tcPr>
            <w:tcW w:w="50" w:type="pct"/>
            <w:vAlign w:val="center"/>
            <w:hideMark/>
          </w:tcPr>
          <w:p w14:paraId="494FD524" w14:textId="77777777" w:rsidR="00000000" w:rsidRDefault="00EE5306">
            <w:pPr>
              <w:ind w:hanging="360"/>
              <w:rPr>
                <w:rFonts w:eastAsia="Times New Roman"/>
              </w:rPr>
            </w:pPr>
          </w:p>
        </w:tc>
        <w:tc>
          <w:tcPr>
            <w:tcW w:w="1699" w:type="pct"/>
            <w:vAlign w:val="center"/>
            <w:hideMark/>
          </w:tcPr>
          <w:p w14:paraId="16B0B13A" w14:textId="77777777" w:rsidR="00000000" w:rsidRDefault="00EE5306">
            <w:pPr>
              <w:spacing w:after="100"/>
              <w:rPr>
                <w:rFonts w:eastAsia="Times New Roman"/>
                <w:sz w:val="20"/>
                <w:szCs w:val="20"/>
              </w:rPr>
            </w:pPr>
          </w:p>
        </w:tc>
        <w:tc>
          <w:tcPr>
            <w:tcW w:w="5" w:type="pct"/>
            <w:vAlign w:val="center"/>
            <w:hideMark/>
          </w:tcPr>
          <w:p w14:paraId="138BCE2C" w14:textId="77777777" w:rsidR="00000000" w:rsidRDefault="00EE5306">
            <w:pPr>
              <w:spacing w:after="100"/>
              <w:rPr>
                <w:rFonts w:eastAsia="Times New Roman"/>
                <w:sz w:val="20"/>
                <w:szCs w:val="20"/>
              </w:rPr>
            </w:pPr>
          </w:p>
        </w:tc>
        <w:tc>
          <w:tcPr>
            <w:tcW w:w="50" w:type="pct"/>
            <w:vAlign w:val="center"/>
            <w:hideMark/>
          </w:tcPr>
          <w:p w14:paraId="75712820" w14:textId="77777777" w:rsidR="00000000" w:rsidRDefault="00EE5306">
            <w:pPr>
              <w:spacing w:after="100"/>
              <w:rPr>
                <w:rFonts w:eastAsia="Times New Roman"/>
                <w:sz w:val="20"/>
                <w:szCs w:val="20"/>
              </w:rPr>
            </w:pPr>
          </w:p>
        </w:tc>
        <w:tc>
          <w:tcPr>
            <w:tcW w:w="1436" w:type="pct"/>
            <w:vAlign w:val="center"/>
            <w:hideMark/>
          </w:tcPr>
          <w:p w14:paraId="111D5208" w14:textId="77777777" w:rsidR="00000000" w:rsidRDefault="00EE5306">
            <w:pPr>
              <w:spacing w:after="100"/>
              <w:rPr>
                <w:rFonts w:eastAsia="Times New Roman"/>
                <w:sz w:val="20"/>
                <w:szCs w:val="20"/>
              </w:rPr>
            </w:pPr>
          </w:p>
        </w:tc>
        <w:tc>
          <w:tcPr>
            <w:tcW w:w="5" w:type="pct"/>
            <w:vAlign w:val="center"/>
            <w:hideMark/>
          </w:tcPr>
          <w:p w14:paraId="2CE0C0DE" w14:textId="77777777" w:rsidR="00000000" w:rsidRDefault="00EE5306">
            <w:pPr>
              <w:spacing w:after="100"/>
              <w:rPr>
                <w:rFonts w:eastAsia="Times New Roman"/>
                <w:sz w:val="20"/>
                <w:szCs w:val="20"/>
              </w:rPr>
            </w:pPr>
          </w:p>
        </w:tc>
        <w:tc>
          <w:tcPr>
            <w:tcW w:w="50" w:type="pct"/>
            <w:vAlign w:val="center"/>
            <w:hideMark/>
          </w:tcPr>
          <w:p w14:paraId="4553D4D2" w14:textId="77777777" w:rsidR="00000000" w:rsidRDefault="00EE5306">
            <w:pPr>
              <w:spacing w:after="100"/>
              <w:rPr>
                <w:rFonts w:eastAsia="Times New Roman"/>
                <w:sz w:val="20"/>
                <w:szCs w:val="20"/>
              </w:rPr>
            </w:pPr>
          </w:p>
        </w:tc>
        <w:tc>
          <w:tcPr>
            <w:tcW w:w="1699" w:type="pct"/>
            <w:vAlign w:val="center"/>
            <w:hideMark/>
          </w:tcPr>
          <w:p w14:paraId="3C1863C4" w14:textId="77777777" w:rsidR="00000000" w:rsidRDefault="00EE5306">
            <w:pPr>
              <w:spacing w:after="100"/>
              <w:rPr>
                <w:rFonts w:eastAsia="Times New Roman"/>
                <w:sz w:val="20"/>
                <w:szCs w:val="20"/>
              </w:rPr>
            </w:pPr>
          </w:p>
        </w:tc>
        <w:tc>
          <w:tcPr>
            <w:tcW w:w="5" w:type="pct"/>
            <w:vAlign w:val="center"/>
            <w:hideMark/>
          </w:tcPr>
          <w:p w14:paraId="0EB82A20" w14:textId="77777777" w:rsidR="00000000" w:rsidRDefault="00EE5306">
            <w:pPr>
              <w:spacing w:after="100"/>
              <w:rPr>
                <w:rFonts w:eastAsia="Times New Roman"/>
                <w:sz w:val="20"/>
                <w:szCs w:val="20"/>
              </w:rPr>
            </w:pPr>
          </w:p>
        </w:tc>
      </w:tr>
      <w:tr w:rsidR="00000000" w14:paraId="5C13DD94" w14:textId="77777777">
        <w:trPr>
          <w:divId w:val="1117679969"/>
          <w:jc w:val="center"/>
        </w:trPr>
        <w:tc>
          <w:tcPr>
            <w:tcW w:w="0" w:type="auto"/>
            <w:gridSpan w:val="3"/>
            <w:tcMar>
              <w:top w:w="0" w:type="dxa"/>
              <w:left w:w="20" w:type="dxa"/>
              <w:bottom w:w="0" w:type="dxa"/>
              <w:right w:w="20" w:type="dxa"/>
            </w:tcMar>
            <w:vAlign w:val="center"/>
            <w:hideMark/>
          </w:tcPr>
          <w:p w14:paraId="6764B72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DD303CD" w14:textId="77777777" w:rsidR="00000000" w:rsidRDefault="00EE5306">
            <w:pPr>
              <w:spacing w:after="100"/>
              <w:jc w:val="center"/>
              <w:rPr>
                <w:rFonts w:eastAsia="Times New Roman"/>
              </w:rPr>
            </w:pPr>
            <w:r>
              <w:rPr>
                <w:rFonts w:eastAsia="Times New Roman"/>
                <w:color w:val="000000"/>
                <w:sz w:val="20"/>
                <w:szCs w:val="20"/>
              </w:rPr>
              <w:t>27</w:t>
            </w:r>
          </w:p>
        </w:tc>
        <w:tc>
          <w:tcPr>
            <w:tcW w:w="0" w:type="auto"/>
            <w:gridSpan w:val="3"/>
            <w:tcMar>
              <w:top w:w="0" w:type="dxa"/>
              <w:left w:w="20" w:type="dxa"/>
              <w:bottom w:w="0" w:type="dxa"/>
              <w:right w:w="20" w:type="dxa"/>
            </w:tcMar>
            <w:vAlign w:val="center"/>
            <w:hideMark/>
          </w:tcPr>
          <w:p w14:paraId="43457E87" w14:textId="77777777" w:rsidR="00000000" w:rsidRDefault="00EE5306">
            <w:pPr>
              <w:spacing w:after="100"/>
              <w:jc w:val="center"/>
              <w:rPr>
                <w:rFonts w:eastAsia="Times New Roman"/>
              </w:rPr>
            </w:pPr>
          </w:p>
        </w:tc>
      </w:tr>
    </w:tbl>
    <w:p w14:paraId="01285D1F" w14:textId="77777777" w:rsidR="00000000" w:rsidRDefault="00EE5306">
      <w:pPr>
        <w:rPr>
          <w:rFonts w:eastAsia="Times New Roman"/>
        </w:rPr>
      </w:pPr>
      <w:r>
        <w:rPr>
          <w:rFonts w:eastAsia="Times New Roman"/>
        </w:rPr>
        <w:pict w14:anchorId="79223987">
          <v:rect id="_x0000_i1053" style="width:0;height:1.5pt" o:hralign="center" o:hrstd="t" o:hr="t" fillcolor="#a0a0a0" stroked="f"/>
        </w:pict>
      </w:r>
    </w:p>
    <w:p w14:paraId="04892663" w14:textId="77777777" w:rsidR="00000000" w:rsidRDefault="00EE5306">
      <w:pPr>
        <w:divId w:val="858273112"/>
        <w:rPr>
          <w:rFonts w:eastAsia="Times New Roman"/>
        </w:rPr>
      </w:pPr>
    </w:p>
    <w:p w14:paraId="1C925951" w14:textId="77777777" w:rsidR="00000000" w:rsidRDefault="00EE5306">
      <w:pPr>
        <w:ind w:hanging="360"/>
        <w:divId w:val="1778519902"/>
        <w:rPr>
          <w:rFonts w:eastAsia="Times New Roman"/>
        </w:rPr>
      </w:pPr>
      <w:r>
        <w:rPr>
          <w:rFonts w:eastAsia="Times New Roman"/>
          <w:color w:val="000000"/>
          <w:sz w:val="20"/>
          <w:szCs w:val="20"/>
        </w:rPr>
        <w:t>•negotiate acceptable lease terms, including desired tenant improvement allowances;</w:t>
      </w:r>
    </w:p>
    <w:p w14:paraId="357943FD" w14:textId="77777777" w:rsidR="00000000" w:rsidRDefault="00EE5306">
      <w:pPr>
        <w:ind w:hanging="360"/>
        <w:divId w:val="282618456"/>
        <w:rPr>
          <w:rFonts w:eastAsia="Times New Roman"/>
        </w:rPr>
      </w:pPr>
      <w:r>
        <w:rPr>
          <w:rFonts w:eastAsia="Times New Roman"/>
          <w:color w:val="000000"/>
          <w:sz w:val="20"/>
          <w:szCs w:val="20"/>
        </w:rPr>
        <w:t>•efficiently and cost effectively build-out stores and shop-within-shops;</w:t>
      </w:r>
    </w:p>
    <w:p w14:paraId="08320702" w14:textId="77777777" w:rsidR="00000000" w:rsidRDefault="00EE5306">
      <w:pPr>
        <w:ind w:hanging="360"/>
        <w:divId w:val="1416244323"/>
        <w:rPr>
          <w:rFonts w:eastAsia="Times New Roman"/>
        </w:rPr>
      </w:pPr>
      <w:r>
        <w:rPr>
          <w:rFonts w:eastAsia="Times New Roman"/>
          <w:color w:val="000000"/>
          <w:sz w:val="20"/>
          <w:szCs w:val="20"/>
        </w:rPr>
        <w:t>•source sufficient inventory levels to meet the needs of the</w:t>
      </w:r>
      <w:r>
        <w:rPr>
          <w:rFonts w:eastAsia="Times New Roman"/>
          <w:color w:val="000000"/>
          <w:sz w:val="20"/>
          <w:szCs w:val="20"/>
        </w:rPr>
        <w:t xml:space="preserve"> new stores and shop-within-shops;</w:t>
      </w:r>
    </w:p>
    <w:p w14:paraId="02439B77" w14:textId="77777777" w:rsidR="00000000" w:rsidRDefault="00EE5306">
      <w:pPr>
        <w:ind w:hanging="360"/>
        <w:divId w:val="1749689749"/>
        <w:rPr>
          <w:rFonts w:eastAsia="Times New Roman"/>
        </w:rPr>
      </w:pPr>
      <w:r>
        <w:rPr>
          <w:rFonts w:eastAsia="Times New Roman"/>
          <w:color w:val="000000"/>
          <w:sz w:val="20"/>
          <w:szCs w:val="20"/>
        </w:rPr>
        <w:t>•hire, train, and retain competent store personnel; and</w:t>
      </w:r>
    </w:p>
    <w:p w14:paraId="76AFDF7F" w14:textId="77777777" w:rsidR="00000000" w:rsidRDefault="00EE5306">
      <w:pPr>
        <w:ind w:hanging="360"/>
        <w:divId w:val="1197505542"/>
        <w:rPr>
          <w:rFonts w:eastAsia="Times New Roman"/>
        </w:rPr>
      </w:pPr>
      <w:r>
        <w:rPr>
          <w:rFonts w:eastAsia="Times New Roman"/>
          <w:color w:val="000000"/>
          <w:sz w:val="20"/>
          <w:szCs w:val="20"/>
        </w:rPr>
        <w:t xml:space="preserve">•integrate new stores and shop-within-shops into our existing systems and operations. </w:t>
      </w:r>
    </w:p>
    <w:p w14:paraId="541DFEFA" w14:textId="77777777" w:rsidR="00000000" w:rsidRDefault="00EE5306">
      <w:pPr>
        <w:ind w:firstLine="540"/>
        <w:jc w:val="both"/>
        <w:divId w:val="469175713"/>
        <w:rPr>
          <w:rFonts w:eastAsia="Times New Roman"/>
        </w:rPr>
      </w:pPr>
      <w:r>
        <w:rPr>
          <w:rFonts w:eastAsia="Times New Roman"/>
          <w:color w:val="000000"/>
          <w:sz w:val="20"/>
          <w:szCs w:val="20"/>
        </w:rPr>
        <w:t>Any of these challenges could delay or otherwise prevent us from successfully executing our distribution expansion strategy. There can be no assurance that our new stores and shop-within-shops will be successful and profitable or if the capital costs assoc</w:t>
      </w:r>
      <w:r>
        <w:rPr>
          <w:rFonts w:eastAsia="Times New Roman"/>
          <w:color w:val="000000"/>
          <w:sz w:val="20"/>
          <w:szCs w:val="20"/>
        </w:rPr>
        <w:t>iated with the build-out of such new locations will be recovered. Further, entry into new markets may bring us into competition with new or existing competitors that have a more established market presence than us or other competitive advantages. Other ris</w:t>
      </w:r>
      <w:r>
        <w:rPr>
          <w:rFonts w:eastAsia="Times New Roman"/>
          <w:color w:val="000000"/>
          <w:sz w:val="20"/>
          <w:szCs w:val="20"/>
        </w:rPr>
        <w:t>ks related to our international expansion plans include general economic conditions in specific countries and markets, changes in diplomatic and trade relationships and any resulting anti-American sentiment, political instability, and foreign government re</w:t>
      </w:r>
      <w:r>
        <w:rPr>
          <w:rFonts w:eastAsia="Times New Roman"/>
          <w:color w:val="000000"/>
          <w:sz w:val="20"/>
          <w:szCs w:val="20"/>
        </w:rPr>
        <w:t>gulation, among other risks described herein. If our expansion plans are unsuccessful or do not deliver an appropriate return on our investments, our business, results of operations, and financial condition could be adversely affected.</w:t>
      </w:r>
    </w:p>
    <w:p w14:paraId="1DCBA6B2" w14:textId="77777777" w:rsidR="00000000" w:rsidRDefault="00EE5306">
      <w:pPr>
        <w:ind w:firstLine="540"/>
        <w:jc w:val="both"/>
        <w:divId w:val="1617911716"/>
        <w:rPr>
          <w:rFonts w:eastAsia="Times New Roman"/>
        </w:rPr>
      </w:pPr>
      <w:r>
        <w:rPr>
          <w:rFonts w:eastAsia="Times New Roman"/>
          <w:color w:val="000000"/>
          <w:sz w:val="20"/>
          <w:szCs w:val="20"/>
        </w:rPr>
        <w:t>The success of our b</w:t>
      </w:r>
      <w:r>
        <w:rPr>
          <w:rFonts w:eastAsia="Times New Roman"/>
          <w:color w:val="000000"/>
          <w:sz w:val="20"/>
          <w:szCs w:val="20"/>
        </w:rPr>
        <w:t>usiness also depends largely on our ability to continue to maintain, enhance, and expand our digital footprint and capabilities. In recent years, consumers have been increasingly shopping online using computers, smartphones, tablets, and other devices. The</w:t>
      </w:r>
      <w:r>
        <w:rPr>
          <w:rFonts w:eastAsia="Times New Roman"/>
          <w:color w:val="000000"/>
          <w:sz w:val="20"/>
          <w:szCs w:val="20"/>
        </w:rPr>
        <w:t xml:space="preserve"> COVID-19 pandemic has further amplified this trend due in part to travel bans, stay-at-home orders, forced business closures, and other operational restrictions, which impede upon the ease at which consumers can shop at brick and mortar locations. Many co</w:t>
      </w:r>
      <w:r>
        <w:rPr>
          <w:rFonts w:eastAsia="Times New Roman"/>
          <w:color w:val="000000"/>
          <w:sz w:val="20"/>
          <w:szCs w:val="20"/>
        </w:rPr>
        <w:t>nsumers may also prefer to avoid populated locations, such as indoor shopping centers, in fear of exposing themselves to the virus or other infectious diseases. Any failure on our part, or on the part of our third-party digital partners, to provide attract</w:t>
      </w:r>
      <w:r>
        <w:rPr>
          <w:rFonts w:eastAsia="Times New Roman"/>
          <w:color w:val="000000"/>
          <w:sz w:val="20"/>
          <w:szCs w:val="20"/>
        </w:rPr>
        <w:t>ive, reliable, secure, and user-friendly digital commerce platforms, including mobile apps, could negatively impact our customers' shopping experience resulting in reduced website traffic, diminished loyalty to our brands, and lost sales. In addition, as w</w:t>
      </w:r>
      <w:r>
        <w:rPr>
          <w:rFonts w:eastAsia="Times New Roman"/>
          <w:color w:val="000000"/>
          <w:sz w:val="20"/>
          <w:szCs w:val="20"/>
        </w:rPr>
        <w:t>e continue to expand and increase the global presence of our digital commerce business, sales from our brick and mortar stores and wholesale channels of distribution in areas where digital commerce sites are introduced may decline due to changes in consume</w:t>
      </w:r>
      <w:r>
        <w:rPr>
          <w:rFonts w:eastAsia="Times New Roman"/>
          <w:color w:val="000000"/>
          <w:sz w:val="20"/>
          <w:szCs w:val="20"/>
        </w:rPr>
        <w:t>r shopping habits and cannibalization.</w:t>
      </w:r>
    </w:p>
    <w:p w14:paraId="28C6C764" w14:textId="77777777" w:rsidR="00000000" w:rsidRDefault="00EE5306">
      <w:pPr>
        <w:ind w:firstLine="540"/>
        <w:jc w:val="both"/>
        <w:divId w:val="964189667"/>
        <w:rPr>
          <w:rFonts w:eastAsia="Times New Roman"/>
        </w:rPr>
      </w:pPr>
      <w:r>
        <w:rPr>
          <w:rFonts w:eastAsia="Times New Roman"/>
          <w:color w:val="000000"/>
          <w:sz w:val="20"/>
          <w:szCs w:val="20"/>
        </w:rPr>
        <w:t>Our growth strategy also includes accelerating growth in certain high-value, underdeveloped product categories, comprised of denim, wear to work, outerwear, footwear, and accessories. We compete with other retailers i</w:t>
      </w:r>
      <w:r>
        <w:rPr>
          <w:rFonts w:eastAsia="Times New Roman"/>
          <w:color w:val="000000"/>
          <w:sz w:val="20"/>
          <w:szCs w:val="20"/>
        </w:rPr>
        <w:t>n these product categories, some of which may be significantly larger than us and more established in these product categories, and competition is intense, as described within other risk factors herein. There can be no assurance that our targeted expansion</w:t>
      </w:r>
      <w:r>
        <w:rPr>
          <w:rFonts w:eastAsia="Times New Roman"/>
          <w:color w:val="000000"/>
          <w:sz w:val="20"/>
          <w:szCs w:val="20"/>
        </w:rPr>
        <w:t xml:space="preserve"> in these product categories will be successful.</w:t>
      </w:r>
    </w:p>
    <w:p w14:paraId="6CDC212A" w14:textId="77777777" w:rsidR="00000000" w:rsidRDefault="00EE5306">
      <w:pPr>
        <w:jc w:val="both"/>
        <w:divId w:val="1975136303"/>
        <w:rPr>
          <w:rFonts w:eastAsia="Times New Roman"/>
        </w:rPr>
      </w:pPr>
      <w:r>
        <w:rPr>
          <w:rFonts w:eastAsia="Times New Roman"/>
          <w:b/>
          <w:bCs/>
          <w:color w:val="000000"/>
          <w:sz w:val="20"/>
          <w:szCs w:val="20"/>
        </w:rPr>
        <w:t>The success of our business depends on our ability to respond to constantly changing fashion and retail trends and consumer preferences in a timely manner, develop products that resonate with our existing cu</w:t>
      </w:r>
      <w:r>
        <w:rPr>
          <w:rFonts w:eastAsia="Times New Roman"/>
          <w:b/>
          <w:bCs/>
          <w:color w:val="000000"/>
          <w:sz w:val="20"/>
          <w:szCs w:val="20"/>
        </w:rPr>
        <w:t>stomers and attract new customers, and provide a seamless shopping experience to our customers.</w:t>
      </w:r>
    </w:p>
    <w:p w14:paraId="53F1404B" w14:textId="77777777" w:rsidR="00000000" w:rsidRDefault="00EE5306">
      <w:pPr>
        <w:ind w:firstLine="540"/>
        <w:jc w:val="both"/>
        <w:divId w:val="568688614"/>
        <w:rPr>
          <w:rFonts w:eastAsia="Times New Roman"/>
        </w:rPr>
      </w:pPr>
      <w:r>
        <w:rPr>
          <w:rFonts w:eastAsia="Times New Roman"/>
          <w:color w:val="000000"/>
          <w:sz w:val="20"/>
          <w:szCs w:val="20"/>
        </w:rPr>
        <w:t>The industries in which we operate have historically been subject to rapidly changing fashion trends and consumer preferences. Our success depends in large part</w:t>
      </w:r>
      <w:r>
        <w:rPr>
          <w:rFonts w:eastAsia="Times New Roman"/>
          <w:color w:val="000000"/>
          <w:sz w:val="20"/>
          <w:szCs w:val="20"/>
        </w:rPr>
        <w:t xml:space="preserve"> on our ability to originate and define fashion product and home product trends, as well as to anticipate, gauge, and react to changing consumer preferences in a timely manner. Our products must appeal to a broad range of consumers worldwide whose preferen</w:t>
      </w:r>
      <w:r>
        <w:rPr>
          <w:rFonts w:eastAsia="Times New Roman"/>
          <w:color w:val="000000"/>
          <w:sz w:val="20"/>
          <w:szCs w:val="20"/>
        </w:rPr>
        <w:t>ces cannot be predicted with certainty and are subject to rapid change, influenced by fashion trends, economic conditions, and weather conditions, among other factors. This issue is further compounded by the increasing use of digital and social media by co</w:t>
      </w:r>
      <w:r>
        <w:rPr>
          <w:rFonts w:eastAsia="Times New Roman"/>
          <w:color w:val="000000"/>
          <w:sz w:val="20"/>
          <w:szCs w:val="20"/>
        </w:rPr>
        <w:t xml:space="preserve">nsumers and the speed by which information and opinions are shared across the globe. We cannot assure that we will be able to continue to develop appealing styles or successfully meet constantly changing consumer preferences in the future. In addition, we </w:t>
      </w:r>
      <w:r>
        <w:rPr>
          <w:rFonts w:eastAsia="Times New Roman"/>
          <w:color w:val="000000"/>
          <w:sz w:val="20"/>
          <w:szCs w:val="20"/>
        </w:rPr>
        <w:t xml:space="preserve">cannot assure that any new products or brands that we introduce will be successfully received by consumers. Any failure on our part to anticipate, identify, and respond effectively to changing consumer preferences and fashion trends could adversely affect </w:t>
      </w:r>
      <w:r>
        <w:rPr>
          <w:rFonts w:eastAsia="Times New Roman"/>
          <w:color w:val="000000"/>
          <w:sz w:val="20"/>
          <w:szCs w:val="20"/>
        </w:rPr>
        <w:t>consumer acceptance of our products and leave us with a substantial amount of unsold inventory or missed opportunities. Conversely, if we underestimate consumer demand for our products or if manufacturers fail to supply quality products in a timely manner,</w:t>
      </w:r>
      <w:r>
        <w:rPr>
          <w:rFonts w:eastAsia="Times New Roman"/>
          <w:color w:val="000000"/>
          <w:sz w:val="20"/>
          <w:szCs w:val="20"/>
        </w:rPr>
        <w:t xml:space="preserve"> we may experience inventory shortages. Any of these outcomes could have a material adverse effect on our business. For a discussion of risks related to our inventory management, see </w:t>
      </w:r>
      <w:r>
        <w:rPr>
          <w:rFonts w:eastAsia="Times New Roman"/>
          <w:i/>
          <w:iCs/>
          <w:color w:val="000000"/>
          <w:sz w:val="20"/>
          <w:szCs w:val="20"/>
        </w:rPr>
        <w:t xml:space="preserve">"Risks Related to our Strategic Initiatives and Restructuring Activities </w:t>
      </w:r>
      <w:r>
        <w:rPr>
          <w:rFonts w:eastAsia="Times New Roman"/>
          <w:i/>
          <w:iCs/>
          <w:color w:val="000000"/>
          <w:sz w:val="20"/>
          <w:szCs w:val="20"/>
        </w:rPr>
        <w:t>— Our profitability may decline if we are unable to effectively manage inventory or as a result of increasing pressure on margins."</w:t>
      </w:r>
    </w:p>
    <w:p w14:paraId="693C56C9" w14:textId="77777777" w:rsidR="00000000" w:rsidRDefault="00EE5306">
      <w:pPr>
        <w:ind w:firstLine="540"/>
        <w:jc w:val="both"/>
        <w:divId w:val="1008485938"/>
        <w:rPr>
          <w:rFonts w:eastAsia="Times New Roman"/>
        </w:rPr>
      </w:pPr>
      <w:r>
        <w:rPr>
          <w:rFonts w:eastAsia="Times New Roman"/>
          <w:color w:val="000000"/>
          <w:sz w:val="20"/>
          <w:szCs w:val="20"/>
        </w:rPr>
        <w:t>Our marketing and advertising programs are integral to the success of our product offerings and on our ability to attract ne</w:t>
      </w:r>
      <w:r>
        <w:rPr>
          <w:rFonts w:eastAsia="Times New Roman"/>
          <w:color w:val="000000"/>
          <w:sz w:val="20"/>
          <w:szCs w:val="20"/>
        </w:rPr>
        <w:t xml:space="preserve">w customers and retain existing customers. Our communication campaigns are increasingly being executed through digital and social media platforms to drive further engagement with the younger consumer, with a focus on influencers. However, we cannot assure </w:t>
      </w:r>
      <w:r>
        <w:rPr>
          <w:rFonts w:eastAsia="Times New Roman"/>
          <w:color w:val="000000"/>
          <w:sz w:val="20"/>
          <w:szCs w:val="20"/>
        </w:rPr>
        <w:t>that our marketing and advertising programs will be successful or appeal to consumers.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F5260B5" w14:textId="77777777">
        <w:trPr>
          <w:divId w:val="1974871184"/>
          <w:jc w:val="center"/>
        </w:trPr>
        <w:tc>
          <w:tcPr>
            <w:tcW w:w="50" w:type="pct"/>
            <w:vAlign w:val="center"/>
            <w:hideMark/>
          </w:tcPr>
          <w:p w14:paraId="4ADA392E" w14:textId="77777777" w:rsidR="00000000" w:rsidRDefault="00EE5306">
            <w:pPr>
              <w:ind w:firstLine="540"/>
              <w:jc w:val="both"/>
              <w:rPr>
                <w:rFonts w:eastAsia="Times New Roman"/>
              </w:rPr>
            </w:pPr>
          </w:p>
        </w:tc>
        <w:tc>
          <w:tcPr>
            <w:tcW w:w="1699" w:type="pct"/>
            <w:vAlign w:val="center"/>
            <w:hideMark/>
          </w:tcPr>
          <w:p w14:paraId="30D08396" w14:textId="77777777" w:rsidR="00000000" w:rsidRDefault="00EE5306">
            <w:pPr>
              <w:spacing w:after="100"/>
              <w:rPr>
                <w:rFonts w:eastAsia="Times New Roman"/>
                <w:sz w:val="20"/>
                <w:szCs w:val="20"/>
              </w:rPr>
            </w:pPr>
          </w:p>
        </w:tc>
        <w:tc>
          <w:tcPr>
            <w:tcW w:w="5" w:type="pct"/>
            <w:vAlign w:val="center"/>
            <w:hideMark/>
          </w:tcPr>
          <w:p w14:paraId="4A54DE38" w14:textId="77777777" w:rsidR="00000000" w:rsidRDefault="00EE5306">
            <w:pPr>
              <w:spacing w:after="100"/>
              <w:rPr>
                <w:rFonts w:eastAsia="Times New Roman"/>
                <w:sz w:val="20"/>
                <w:szCs w:val="20"/>
              </w:rPr>
            </w:pPr>
          </w:p>
        </w:tc>
        <w:tc>
          <w:tcPr>
            <w:tcW w:w="50" w:type="pct"/>
            <w:vAlign w:val="center"/>
            <w:hideMark/>
          </w:tcPr>
          <w:p w14:paraId="34DDE42F" w14:textId="77777777" w:rsidR="00000000" w:rsidRDefault="00EE5306">
            <w:pPr>
              <w:spacing w:after="100"/>
              <w:rPr>
                <w:rFonts w:eastAsia="Times New Roman"/>
                <w:sz w:val="20"/>
                <w:szCs w:val="20"/>
              </w:rPr>
            </w:pPr>
          </w:p>
        </w:tc>
        <w:tc>
          <w:tcPr>
            <w:tcW w:w="1436" w:type="pct"/>
            <w:vAlign w:val="center"/>
            <w:hideMark/>
          </w:tcPr>
          <w:p w14:paraId="3F87B0BF" w14:textId="77777777" w:rsidR="00000000" w:rsidRDefault="00EE5306">
            <w:pPr>
              <w:spacing w:after="100"/>
              <w:rPr>
                <w:rFonts w:eastAsia="Times New Roman"/>
                <w:sz w:val="20"/>
                <w:szCs w:val="20"/>
              </w:rPr>
            </w:pPr>
          </w:p>
        </w:tc>
        <w:tc>
          <w:tcPr>
            <w:tcW w:w="5" w:type="pct"/>
            <w:vAlign w:val="center"/>
            <w:hideMark/>
          </w:tcPr>
          <w:p w14:paraId="539468C6" w14:textId="77777777" w:rsidR="00000000" w:rsidRDefault="00EE5306">
            <w:pPr>
              <w:spacing w:after="100"/>
              <w:rPr>
                <w:rFonts w:eastAsia="Times New Roman"/>
                <w:sz w:val="20"/>
                <w:szCs w:val="20"/>
              </w:rPr>
            </w:pPr>
          </w:p>
        </w:tc>
        <w:tc>
          <w:tcPr>
            <w:tcW w:w="50" w:type="pct"/>
            <w:vAlign w:val="center"/>
            <w:hideMark/>
          </w:tcPr>
          <w:p w14:paraId="7F846884" w14:textId="77777777" w:rsidR="00000000" w:rsidRDefault="00EE5306">
            <w:pPr>
              <w:spacing w:after="100"/>
              <w:rPr>
                <w:rFonts w:eastAsia="Times New Roman"/>
                <w:sz w:val="20"/>
                <w:szCs w:val="20"/>
              </w:rPr>
            </w:pPr>
          </w:p>
        </w:tc>
        <w:tc>
          <w:tcPr>
            <w:tcW w:w="1699" w:type="pct"/>
            <w:vAlign w:val="center"/>
            <w:hideMark/>
          </w:tcPr>
          <w:p w14:paraId="15AA8212" w14:textId="77777777" w:rsidR="00000000" w:rsidRDefault="00EE5306">
            <w:pPr>
              <w:spacing w:after="100"/>
              <w:rPr>
                <w:rFonts w:eastAsia="Times New Roman"/>
                <w:sz w:val="20"/>
                <w:szCs w:val="20"/>
              </w:rPr>
            </w:pPr>
          </w:p>
        </w:tc>
        <w:tc>
          <w:tcPr>
            <w:tcW w:w="5" w:type="pct"/>
            <w:vAlign w:val="center"/>
            <w:hideMark/>
          </w:tcPr>
          <w:p w14:paraId="494CB897" w14:textId="77777777" w:rsidR="00000000" w:rsidRDefault="00EE5306">
            <w:pPr>
              <w:spacing w:after="100"/>
              <w:rPr>
                <w:rFonts w:eastAsia="Times New Roman"/>
                <w:sz w:val="20"/>
                <w:szCs w:val="20"/>
              </w:rPr>
            </w:pPr>
          </w:p>
        </w:tc>
      </w:tr>
      <w:tr w:rsidR="00000000" w14:paraId="088CC219" w14:textId="77777777">
        <w:trPr>
          <w:divId w:val="1974871184"/>
          <w:jc w:val="center"/>
        </w:trPr>
        <w:tc>
          <w:tcPr>
            <w:tcW w:w="0" w:type="auto"/>
            <w:gridSpan w:val="3"/>
            <w:tcMar>
              <w:top w:w="0" w:type="dxa"/>
              <w:left w:w="20" w:type="dxa"/>
              <w:bottom w:w="0" w:type="dxa"/>
              <w:right w:w="20" w:type="dxa"/>
            </w:tcMar>
            <w:vAlign w:val="center"/>
            <w:hideMark/>
          </w:tcPr>
          <w:p w14:paraId="3654D02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EC23E2F" w14:textId="77777777" w:rsidR="00000000" w:rsidRDefault="00EE5306">
            <w:pPr>
              <w:spacing w:after="100"/>
              <w:jc w:val="center"/>
              <w:rPr>
                <w:rFonts w:eastAsia="Times New Roman"/>
              </w:rPr>
            </w:pPr>
            <w:r>
              <w:rPr>
                <w:rFonts w:eastAsia="Times New Roman"/>
                <w:color w:val="000000"/>
                <w:sz w:val="20"/>
                <w:szCs w:val="20"/>
              </w:rPr>
              <w:t>28</w:t>
            </w:r>
          </w:p>
        </w:tc>
        <w:tc>
          <w:tcPr>
            <w:tcW w:w="0" w:type="auto"/>
            <w:gridSpan w:val="3"/>
            <w:tcMar>
              <w:top w:w="0" w:type="dxa"/>
              <w:left w:w="20" w:type="dxa"/>
              <w:bottom w:w="0" w:type="dxa"/>
              <w:right w:w="20" w:type="dxa"/>
            </w:tcMar>
            <w:vAlign w:val="center"/>
            <w:hideMark/>
          </w:tcPr>
          <w:p w14:paraId="2CD87EFF" w14:textId="77777777" w:rsidR="00000000" w:rsidRDefault="00EE5306">
            <w:pPr>
              <w:spacing w:after="100"/>
              <w:jc w:val="center"/>
              <w:rPr>
                <w:rFonts w:eastAsia="Times New Roman"/>
              </w:rPr>
            </w:pPr>
          </w:p>
        </w:tc>
      </w:tr>
    </w:tbl>
    <w:p w14:paraId="1AFEFB2C" w14:textId="77777777" w:rsidR="00000000" w:rsidRDefault="00EE5306">
      <w:pPr>
        <w:rPr>
          <w:rFonts w:eastAsia="Times New Roman"/>
        </w:rPr>
      </w:pPr>
      <w:r>
        <w:rPr>
          <w:rFonts w:eastAsia="Times New Roman"/>
        </w:rPr>
        <w:pict w14:anchorId="3105E53B">
          <v:rect id="_x0000_i1054" style="width:0;height:1.5pt" o:hralign="center" o:hrstd="t" o:hr="t" fillcolor="#a0a0a0" stroked="f"/>
        </w:pict>
      </w:r>
    </w:p>
    <w:p w14:paraId="42F68267" w14:textId="77777777" w:rsidR="00000000" w:rsidRDefault="00EE5306">
      <w:pPr>
        <w:divId w:val="476578493"/>
        <w:rPr>
          <w:rFonts w:eastAsia="Times New Roman"/>
        </w:rPr>
      </w:pPr>
    </w:p>
    <w:p w14:paraId="05F584D6" w14:textId="77777777" w:rsidR="00000000" w:rsidRDefault="00EE5306">
      <w:pPr>
        <w:ind w:firstLine="540"/>
        <w:jc w:val="both"/>
        <w:divId w:val="1215433885"/>
        <w:rPr>
          <w:rFonts w:eastAsia="Times New Roman"/>
        </w:rPr>
      </w:pPr>
      <w:r>
        <w:rPr>
          <w:rFonts w:eastAsia="Times New Roman"/>
          <w:color w:val="000000"/>
          <w:sz w:val="20"/>
          <w:szCs w:val="20"/>
        </w:rPr>
        <w:t>The success of our business also depends on our ability to continue to develop and maintain a reliable omni-channel experience for our customers, as well as our ability to introduce new Connected Retail capabilities, s</w:t>
      </w:r>
      <w:r>
        <w:rPr>
          <w:rFonts w:eastAsia="Times New Roman"/>
          <w:color w:val="000000"/>
          <w:sz w:val="20"/>
          <w:szCs w:val="20"/>
        </w:rPr>
        <w:t>uch as virtual clienteling, Buy Online-Ship to Store, Buy Online-Pick Up in Store, curbside pickup, appointment scheduling, and mobile checkout. Our business has evolved from an in-store experience to a shopping experience through multiple technologies, in</w:t>
      </w:r>
      <w:r>
        <w:rPr>
          <w:rFonts w:eastAsia="Times New Roman"/>
          <w:color w:val="000000"/>
          <w:sz w:val="20"/>
          <w:szCs w:val="20"/>
        </w:rPr>
        <w:t>cluding computers, smartphones, tablets, and other devices, as our customers have become increasingly technologically savvy. We are increasingly using digital and social media platforms to interact with customers and enhance their shopping experience. If w</w:t>
      </w:r>
      <w:r>
        <w:rPr>
          <w:rFonts w:eastAsia="Times New Roman"/>
          <w:color w:val="000000"/>
          <w:sz w:val="20"/>
          <w:szCs w:val="20"/>
        </w:rPr>
        <w:t>e are unable to develop and continuously improve our customer-facing technologies, we may not be able to provide a convenient and consistent experience to our customers regardless of the sales channel. This could negatively affect our ability to compete wi</w:t>
      </w:r>
      <w:r>
        <w:rPr>
          <w:rFonts w:eastAsia="Times New Roman"/>
          <w:color w:val="000000"/>
          <w:sz w:val="20"/>
          <w:szCs w:val="20"/>
        </w:rPr>
        <w:t>th other retailers and result in diminished loyalty to our brands, which could adversely impact our business.</w:t>
      </w:r>
    </w:p>
    <w:p w14:paraId="36F5A9EF" w14:textId="77777777" w:rsidR="00000000" w:rsidRDefault="00EE5306">
      <w:pPr>
        <w:ind w:firstLine="540"/>
        <w:jc w:val="both"/>
        <w:divId w:val="1820686784"/>
        <w:rPr>
          <w:rFonts w:eastAsia="Times New Roman"/>
        </w:rPr>
      </w:pPr>
      <w:r>
        <w:rPr>
          <w:rFonts w:eastAsia="Times New Roman"/>
          <w:color w:val="000000"/>
          <w:sz w:val="20"/>
          <w:szCs w:val="20"/>
        </w:rPr>
        <w:t>We have also implemented, and expect to continue to implement, new store design concepts as part of our growth strategy. There can be no assurance</w:t>
      </w:r>
      <w:r>
        <w:rPr>
          <w:rFonts w:eastAsia="Times New Roman"/>
          <w:color w:val="000000"/>
          <w:sz w:val="20"/>
          <w:szCs w:val="20"/>
        </w:rPr>
        <w:t xml:space="preserve"> that any of our store designs will resonate with customers or otherwise achieve the desired sales and profitability measures necessary to recover our initial capital investments. If customers are not receptive to the design layout or visual merchandising </w:t>
      </w:r>
      <w:r>
        <w:rPr>
          <w:rFonts w:eastAsia="Times New Roman"/>
          <w:color w:val="000000"/>
          <w:sz w:val="20"/>
          <w:szCs w:val="20"/>
        </w:rPr>
        <w:t xml:space="preserve">of our stores, our business could be adversely affected. In addition, the failure of our store designs to achieve acceptable results could lead to our decision to close a store prior to the lease expiration date. For additional discussion of risks related </w:t>
      </w:r>
      <w:r>
        <w:rPr>
          <w:rFonts w:eastAsia="Times New Roman"/>
          <w:color w:val="000000"/>
          <w:sz w:val="20"/>
          <w:szCs w:val="20"/>
        </w:rPr>
        <w:t xml:space="preserve">to the early termination of our leases, see </w:t>
      </w:r>
      <w:r>
        <w:rPr>
          <w:rFonts w:eastAsia="Times New Roman"/>
          <w:i/>
          <w:iCs/>
          <w:color w:val="000000"/>
          <w:sz w:val="20"/>
          <w:szCs w:val="20"/>
        </w:rPr>
        <w:t xml:space="preserve">"Risks Related to our Business and Operations </w:t>
      </w:r>
      <w:r>
        <w:rPr>
          <w:rFonts w:eastAsia="Times New Roman"/>
          <w:color w:val="000000"/>
          <w:sz w:val="20"/>
          <w:szCs w:val="20"/>
        </w:rPr>
        <w:t xml:space="preserve">— </w:t>
      </w:r>
      <w:r>
        <w:rPr>
          <w:rFonts w:eastAsia="Times New Roman"/>
          <w:i/>
          <w:iCs/>
          <w:color w:val="000000"/>
          <w:sz w:val="20"/>
          <w:szCs w:val="20"/>
        </w:rPr>
        <w:t>Our business is subject to risks associated with leasing real estate and other assets under long-term, non-cancellable leases."</w:t>
      </w:r>
    </w:p>
    <w:p w14:paraId="09850567" w14:textId="77777777" w:rsidR="00000000" w:rsidRDefault="00EE5306">
      <w:pPr>
        <w:jc w:val="both"/>
        <w:divId w:val="1878352387"/>
        <w:rPr>
          <w:rFonts w:eastAsia="Times New Roman"/>
        </w:rPr>
      </w:pPr>
      <w:r>
        <w:rPr>
          <w:rFonts w:eastAsia="Times New Roman"/>
          <w:b/>
          <w:bCs/>
          <w:color w:val="000000"/>
          <w:sz w:val="20"/>
          <w:szCs w:val="20"/>
        </w:rPr>
        <w:t xml:space="preserve">Our profitability may decline if we </w:t>
      </w:r>
      <w:r>
        <w:rPr>
          <w:rFonts w:eastAsia="Times New Roman"/>
          <w:b/>
          <w:bCs/>
          <w:color w:val="000000"/>
          <w:sz w:val="20"/>
          <w:szCs w:val="20"/>
        </w:rPr>
        <w:t>are unable to effectively manage inventory or as a result of increasing pressure on margins.</w:t>
      </w:r>
    </w:p>
    <w:p w14:paraId="4F2CF026" w14:textId="77777777" w:rsidR="00000000" w:rsidRDefault="00EE5306">
      <w:pPr>
        <w:ind w:firstLine="540"/>
        <w:jc w:val="both"/>
        <w:divId w:val="580793317"/>
        <w:rPr>
          <w:rFonts w:eastAsia="Times New Roman"/>
        </w:rPr>
      </w:pPr>
      <w:r>
        <w:rPr>
          <w:rFonts w:eastAsia="Times New Roman"/>
          <w:color w:val="000000"/>
          <w:sz w:val="20"/>
          <w:szCs w:val="20"/>
        </w:rPr>
        <w:t>We have implemented key strategic initiatives designed to optimize our inventory levels and improve the efficiency and responsiveness of our supply chain. Although</w:t>
      </w:r>
      <w:r>
        <w:rPr>
          <w:rFonts w:eastAsia="Times New Roman"/>
          <w:color w:val="000000"/>
          <w:sz w:val="20"/>
          <w:szCs w:val="20"/>
        </w:rPr>
        <w:t xml:space="preserve"> we have shortened lead times for the design, sourcing, and production of certain of our product lines, we expect to continue to place orders with our vendors for the majority of products in advance of the related selling season. As a result, we are vulner</w:t>
      </w:r>
      <w:r>
        <w:rPr>
          <w:rFonts w:eastAsia="Times New Roman"/>
          <w:color w:val="000000"/>
          <w:sz w:val="20"/>
          <w:szCs w:val="20"/>
        </w:rPr>
        <w:t>able to changes in consumer preferences and demand and pricing shifts. Our failure to continue to shorten lead times or to correctly anticipate consumer preferences and demand could result in the build-up of excess inventory. Other factors beyond our contr</w:t>
      </w:r>
      <w:r>
        <w:rPr>
          <w:rFonts w:eastAsia="Times New Roman"/>
          <w:color w:val="000000"/>
          <w:sz w:val="20"/>
          <w:szCs w:val="20"/>
        </w:rPr>
        <w:t>ol could also result in the build-up of excess inventory, including unforeseen adverse economic conditions or business disruptions, such as those caused by the COVID-19 pandemic. Excess inventory levels could result in the utilization of less-preferred dis</w:t>
      </w:r>
      <w:r>
        <w:rPr>
          <w:rFonts w:eastAsia="Times New Roman"/>
          <w:color w:val="000000"/>
          <w:sz w:val="20"/>
          <w:szCs w:val="20"/>
        </w:rPr>
        <w:t>tribution channels, markdowns, promotional sales, donations, or destruction to dispose of such excess or slow-moving inventory, which may negatively impact our overall profitability and/or impair the image of our brands. Conversely, if we underestimate con</w:t>
      </w:r>
      <w:r>
        <w:rPr>
          <w:rFonts w:eastAsia="Times New Roman"/>
          <w:color w:val="000000"/>
          <w:sz w:val="20"/>
          <w:szCs w:val="20"/>
        </w:rPr>
        <w:t xml:space="preserve">sumer demand for our products or if manufacturers fail to supply quality products in a timely manner, we may experience inventory shortages, which may negatively impact customer relationships, diminish brand loyalty, and result in lost sales. Any of these </w:t>
      </w:r>
      <w:r>
        <w:rPr>
          <w:rFonts w:eastAsia="Times New Roman"/>
          <w:color w:val="000000"/>
          <w:sz w:val="20"/>
          <w:szCs w:val="20"/>
        </w:rPr>
        <w:t>outcomes could have a material adverse effect on our business.</w:t>
      </w:r>
    </w:p>
    <w:p w14:paraId="0A05B055" w14:textId="77777777" w:rsidR="00000000" w:rsidRDefault="00EE5306">
      <w:pPr>
        <w:ind w:firstLine="540"/>
        <w:jc w:val="both"/>
        <w:divId w:val="1698769203"/>
        <w:rPr>
          <w:rFonts w:eastAsia="Times New Roman"/>
        </w:rPr>
      </w:pPr>
      <w:r>
        <w:rPr>
          <w:rFonts w:eastAsia="Times New Roman"/>
          <w:color w:val="000000"/>
          <w:sz w:val="20"/>
          <w:szCs w:val="20"/>
        </w:rPr>
        <w:t>Additionally, our industry is subject to significant pricing pressure caused by many factors, including intense competition and a highly promotional retail environment, consolidation in the ret</w:t>
      </w:r>
      <w:r>
        <w:rPr>
          <w:rFonts w:eastAsia="Times New Roman"/>
          <w:color w:val="000000"/>
          <w:sz w:val="20"/>
          <w:szCs w:val="20"/>
        </w:rPr>
        <w:t>ail industry, pressure from retailers to reduce the costs of products, and changes in consumer spending patterns. Although we continue to limit our promotional activity in connection with our quality of sales initiatives, these factors may cause us to redu</w:t>
      </w:r>
      <w:r>
        <w:rPr>
          <w:rFonts w:eastAsia="Times New Roman"/>
          <w:color w:val="000000"/>
          <w:sz w:val="20"/>
          <w:szCs w:val="20"/>
        </w:rPr>
        <w:t>ce our sales prices to retailers and consumers, which could cause our gross margin to decline if we are unable to appropriately manage inventory levels and/or otherwise offset price reductions with comparable reductions in our costs. If our sales prices de</w:t>
      </w:r>
      <w:r>
        <w:rPr>
          <w:rFonts w:eastAsia="Times New Roman"/>
          <w:color w:val="000000"/>
          <w:sz w:val="20"/>
          <w:szCs w:val="20"/>
        </w:rPr>
        <w:t>cline and we fail to sufficiently reduce our product costs or operating expenses, our profitability will decline. In addition, changes in our customer, channel, and geographic sales mix could have a negative impact on our profitability. Any of these outcom</w:t>
      </w:r>
      <w:r>
        <w:rPr>
          <w:rFonts w:eastAsia="Times New Roman"/>
          <w:color w:val="000000"/>
          <w:sz w:val="20"/>
          <w:szCs w:val="20"/>
        </w:rPr>
        <w:t>es could have a material adverse effect on our business.</w:t>
      </w:r>
    </w:p>
    <w:p w14:paraId="174A6E25" w14:textId="77777777" w:rsidR="00000000" w:rsidRDefault="00EE5306">
      <w:pPr>
        <w:jc w:val="both"/>
        <w:divId w:val="602952959"/>
        <w:rPr>
          <w:rFonts w:eastAsia="Times New Roman"/>
        </w:rPr>
      </w:pPr>
      <w:r>
        <w:rPr>
          <w:rFonts w:eastAsia="Times New Roman"/>
          <w:b/>
          <w:bCs/>
          <w:color w:val="000000"/>
          <w:sz w:val="20"/>
          <w:szCs w:val="20"/>
        </w:rPr>
        <w:t>We may not fully realize the expected cost savings and/or operating efficiencies from our restructuring plans.</w:t>
      </w:r>
    </w:p>
    <w:p w14:paraId="1D703CF0" w14:textId="77777777" w:rsidR="00000000" w:rsidRDefault="00EE5306">
      <w:pPr>
        <w:ind w:firstLine="540"/>
        <w:jc w:val="both"/>
        <w:divId w:val="1371373052"/>
        <w:rPr>
          <w:rFonts w:eastAsia="Times New Roman"/>
        </w:rPr>
      </w:pPr>
      <w:r>
        <w:rPr>
          <w:rFonts w:eastAsia="Times New Roman"/>
          <w:color w:val="000000"/>
          <w:sz w:val="20"/>
          <w:szCs w:val="20"/>
        </w:rPr>
        <w:t>We have implemented restructuring plans to support key strategic initiatives, such as the Fiscal 2021 Strategic Realignment Plan, as described in</w:t>
      </w:r>
      <w:r>
        <w:rPr>
          <w:rFonts w:eastAsia="Times New Roman"/>
          <w:color w:val="000000"/>
          <w:sz w:val="20"/>
          <w:szCs w:val="20"/>
        </w:rPr>
        <w:t xml:space="preserve"> Item 1 — </w:t>
      </w:r>
      <w:r>
        <w:rPr>
          <w:rFonts w:eastAsia="Times New Roman"/>
          <w:i/>
          <w:iCs/>
          <w:color w:val="000000"/>
          <w:sz w:val="20"/>
          <w:szCs w:val="20"/>
        </w:rPr>
        <w:t>"Business — Recent Developments."</w:t>
      </w:r>
      <w:r>
        <w:rPr>
          <w:rFonts w:eastAsia="Times New Roman"/>
          <w:color w:val="000000"/>
          <w:sz w:val="20"/>
          <w:szCs w:val="20"/>
        </w:rPr>
        <w:t xml:space="preserve"> Although designed to deliver long-term sustainable growth, restructuring plans present significant potential risks that may impair our ability to achieve anticipated operating enhancements and/or cost reductions,</w:t>
      </w:r>
      <w:r>
        <w:rPr>
          <w:rFonts w:eastAsia="Times New Roman"/>
          <w:color w:val="000000"/>
          <w:sz w:val="20"/>
          <w:szCs w:val="20"/>
        </w:rPr>
        <w:t xml:space="preserve"> or otherwise harm our business, including:</w:t>
      </w:r>
    </w:p>
    <w:p w14:paraId="75DE7F34" w14:textId="77777777" w:rsidR="00000000" w:rsidRDefault="00EE5306">
      <w:pPr>
        <w:ind w:hanging="360"/>
        <w:jc w:val="both"/>
        <w:divId w:val="1527521681"/>
        <w:rPr>
          <w:rFonts w:eastAsia="Times New Roman"/>
        </w:rPr>
      </w:pPr>
      <w:r>
        <w:rPr>
          <w:rFonts w:eastAsia="Times New Roman"/>
          <w:color w:val="000000"/>
          <w:sz w:val="20"/>
          <w:szCs w:val="20"/>
        </w:rPr>
        <w:t>•higher than anticipated costs in implementing planned workforce reductions, particularly in highly regulated locations outside the U.S.;</w:t>
      </w:r>
    </w:p>
    <w:p w14:paraId="73C2DAAF" w14:textId="77777777" w:rsidR="00000000" w:rsidRDefault="00EE5306">
      <w:pPr>
        <w:ind w:hanging="360"/>
        <w:jc w:val="both"/>
        <w:divId w:val="1510679171"/>
        <w:rPr>
          <w:rFonts w:eastAsia="Times New Roman"/>
        </w:rPr>
      </w:pPr>
      <w:r>
        <w:rPr>
          <w:rFonts w:eastAsia="Times New Roman"/>
          <w:color w:val="000000"/>
          <w:sz w:val="20"/>
          <w:szCs w:val="20"/>
        </w:rPr>
        <w:t>•higher than anticipated lease termination and store or facility closure c</w:t>
      </w:r>
      <w:r>
        <w:rPr>
          <w:rFonts w:eastAsia="Times New Roman"/>
          <w:color w:val="000000"/>
          <w:sz w:val="20"/>
          <w:szCs w:val="20"/>
        </w:rPr>
        <w:t xml:space="preserve">osts (see </w:t>
      </w:r>
      <w:r>
        <w:rPr>
          <w:rFonts w:eastAsia="Times New Roman"/>
          <w:i/>
          <w:iCs/>
          <w:color w:val="000000"/>
          <w:sz w:val="20"/>
          <w:szCs w:val="20"/>
        </w:rPr>
        <w:t xml:space="preserve">"Risks Related to our Business and Operations </w:t>
      </w:r>
      <w:r>
        <w:rPr>
          <w:rFonts w:eastAsia="Times New Roman"/>
          <w:color w:val="000000"/>
          <w:sz w:val="20"/>
          <w:szCs w:val="20"/>
        </w:rPr>
        <w:t xml:space="preserve">— </w:t>
      </w:r>
      <w:r>
        <w:rPr>
          <w:rFonts w:eastAsia="Times New Roman"/>
          <w:i/>
          <w:iCs/>
          <w:color w:val="000000"/>
          <w:sz w:val="20"/>
          <w:szCs w:val="20"/>
        </w:rPr>
        <w:t>Our business is subject to risks associated with leasing real estate and other assets under long-term, non-cancellable leases"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54193E3" w14:textId="77777777">
        <w:trPr>
          <w:divId w:val="2110080085"/>
          <w:jc w:val="center"/>
        </w:trPr>
        <w:tc>
          <w:tcPr>
            <w:tcW w:w="50" w:type="pct"/>
            <w:vAlign w:val="center"/>
            <w:hideMark/>
          </w:tcPr>
          <w:p w14:paraId="154C61E4" w14:textId="77777777" w:rsidR="00000000" w:rsidRDefault="00EE5306">
            <w:pPr>
              <w:ind w:hanging="360"/>
              <w:jc w:val="both"/>
              <w:rPr>
                <w:rFonts w:eastAsia="Times New Roman"/>
              </w:rPr>
            </w:pPr>
          </w:p>
        </w:tc>
        <w:tc>
          <w:tcPr>
            <w:tcW w:w="1699" w:type="pct"/>
            <w:vAlign w:val="center"/>
            <w:hideMark/>
          </w:tcPr>
          <w:p w14:paraId="2E54141D" w14:textId="77777777" w:rsidR="00000000" w:rsidRDefault="00EE5306">
            <w:pPr>
              <w:spacing w:after="100"/>
              <w:rPr>
                <w:rFonts w:eastAsia="Times New Roman"/>
                <w:sz w:val="20"/>
                <w:szCs w:val="20"/>
              </w:rPr>
            </w:pPr>
          </w:p>
        </w:tc>
        <w:tc>
          <w:tcPr>
            <w:tcW w:w="5" w:type="pct"/>
            <w:vAlign w:val="center"/>
            <w:hideMark/>
          </w:tcPr>
          <w:p w14:paraId="6A945D6C" w14:textId="77777777" w:rsidR="00000000" w:rsidRDefault="00EE5306">
            <w:pPr>
              <w:spacing w:after="100"/>
              <w:rPr>
                <w:rFonts w:eastAsia="Times New Roman"/>
                <w:sz w:val="20"/>
                <w:szCs w:val="20"/>
              </w:rPr>
            </w:pPr>
          </w:p>
        </w:tc>
        <w:tc>
          <w:tcPr>
            <w:tcW w:w="50" w:type="pct"/>
            <w:vAlign w:val="center"/>
            <w:hideMark/>
          </w:tcPr>
          <w:p w14:paraId="58D0DD9C" w14:textId="77777777" w:rsidR="00000000" w:rsidRDefault="00EE5306">
            <w:pPr>
              <w:spacing w:after="100"/>
              <w:rPr>
                <w:rFonts w:eastAsia="Times New Roman"/>
                <w:sz w:val="20"/>
                <w:szCs w:val="20"/>
              </w:rPr>
            </w:pPr>
          </w:p>
        </w:tc>
        <w:tc>
          <w:tcPr>
            <w:tcW w:w="1436" w:type="pct"/>
            <w:vAlign w:val="center"/>
            <w:hideMark/>
          </w:tcPr>
          <w:p w14:paraId="5FD2A0A8" w14:textId="77777777" w:rsidR="00000000" w:rsidRDefault="00EE5306">
            <w:pPr>
              <w:spacing w:after="100"/>
              <w:rPr>
                <w:rFonts w:eastAsia="Times New Roman"/>
                <w:sz w:val="20"/>
                <w:szCs w:val="20"/>
              </w:rPr>
            </w:pPr>
          </w:p>
        </w:tc>
        <w:tc>
          <w:tcPr>
            <w:tcW w:w="5" w:type="pct"/>
            <w:vAlign w:val="center"/>
            <w:hideMark/>
          </w:tcPr>
          <w:p w14:paraId="2E6A37F5" w14:textId="77777777" w:rsidR="00000000" w:rsidRDefault="00EE5306">
            <w:pPr>
              <w:spacing w:after="100"/>
              <w:rPr>
                <w:rFonts w:eastAsia="Times New Roman"/>
                <w:sz w:val="20"/>
                <w:szCs w:val="20"/>
              </w:rPr>
            </w:pPr>
          </w:p>
        </w:tc>
        <w:tc>
          <w:tcPr>
            <w:tcW w:w="50" w:type="pct"/>
            <w:vAlign w:val="center"/>
            <w:hideMark/>
          </w:tcPr>
          <w:p w14:paraId="3BF16D33" w14:textId="77777777" w:rsidR="00000000" w:rsidRDefault="00EE5306">
            <w:pPr>
              <w:spacing w:after="100"/>
              <w:rPr>
                <w:rFonts w:eastAsia="Times New Roman"/>
                <w:sz w:val="20"/>
                <w:szCs w:val="20"/>
              </w:rPr>
            </w:pPr>
          </w:p>
        </w:tc>
        <w:tc>
          <w:tcPr>
            <w:tcW w:w="1699" w:type="pct"/>
            <w:vAlign w:val="center"/>
            <w:hideMark/>
          </w:tcPr>
          <w:p w14:paraId="37F70409" w14:textId="77777777" w:rsidR="00000000" w:rsidRDefault="00EE5306">
            <w:pPr>
              <w:spacing w:after="100"/>
              <w:rPr>
                <w:rFonts w:eastAsia="Times New Roman"/>
                <w:sz w:val="20"/>
                <w:szCs w:val="20"/>
              </w:rPr>
            </w:pPr>
          </w:p>
        </w:tc>
        <w:tc>
          <w:tcPr>
            <w:tcW w:w="5" w:type="pct"/>
            <w:vAlign w:val="center"/>
            <w:hideMark/>
          </w:tcPr>
          <w:p w14:paraId="1A62A430" w14:textId="77777777" w:rsidR="00000000" w:rsidRDefault="00EE5306">
            <w:pPr>
              <w:spacing w:after="100"/>
              <w:rPr>
                <w:rFonts w:eastAsia="Times New Roman"/>
                <w:sz w:val="20"/>
                <w:szCs w:val="20"/>
              </w:rPr>
            </w:pPr>
          </w:p>
        </w:tc>
      </w:tr>
      <w:tr w:rsidR="00000000" w14:paraId="66DD0893" w14:textId="77777777">
        <w:trPr>
          <w:divId w:val="2110080085"/>
          <w:jc w:val="center"/>
        </w:trPr>
        <w:tc>
          <w:tcPr>
            <w:tcW w:w="0" w:type="auto"/>
            <w:gridSpan w:val="3"/>
            <w:tcMar>
              <w:top w:w="0" w:type="dxa"/>
              <w:left w:w="20" w:type="dxa"/>
              <w:bottom w:w="0" w:type="dxa"/>
              <w:right w:w="20" w:type="dxa"/>
            </w:tcMar>
            <w:vAlign w:val="center"/>
            <w:hideMark/>
          </w:tcPr>
          <w:p w14:paraId="4FD34C1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81C273C" w14:textId="77777777" w:rsidR="00000000" w:rsidRDefault="00EE5306">
            <w:pPr>
              <w:spacing w:after="100"/>
              <w:jc w:val="center"/>
              <w:rPr>
                <w:rFonts w:eastAsia="Times New Roman"/>
              </w:rPr>
            </w:pPr>
            <w:r>
              <w:rPr>
                <w:rFonts w:eastAsia="Times New Roman"/>
                <w:color w:val="000000"/>
                <w:sz w:val="20"/>
                <w:szCs w:val="20"/>
              </w:rPr>
              <w:t>29</w:t>
            </w:r>
          </w:p>
        </w:tc>
        <w:tc>
          <w:tcPr>
            <w:tcW w:w="0" w:type="auto"/>
            <w:gridSpan w:val="3"/>
            <w:tcMar>
              <w:top w:w="0" w:type="dxa"/>
              <w:left w:w="20" w:type="dxa"/>
              <w:bottom w:w="0" w:type="dxa"/>
              <w:right w:w="20" w:type="dxa"/>
            </w:tcMar>
            <w:vAlign w:val="center"/>
            <w:hideMark/>
          </w:tcPr>
          <w:p w14:paraId="6B1A312A" w14:textId="77777777" w:rsidR="00000000" w:rsidRDefault="00EE5306">
            <w:pPr>
              <w:spacing w:after="100"/>
              <w:jc w:val="center"/>
              <w:rPr>
                <w:rFonts w:eastAsia="Times New Roman"/>
              </w:rPr>
            </w:pPr>
          </w:p>
        </w:tc>
      </w:tr>
    </w:tbl>
    <w:p w14:paraId="489ED408" w14:textId="77777777" w:rsidR="00000000" w:rsidRDefault="00EE5306">
      <w:pPr>
        <w:rPr>
          <w:rFonts w:eastAsia="Times New Roman"/>
        </w:rPr>
      </w:pPr>
      <w:r>
        <w:rPr>
          <w:rFonts w:eastAsia="Times New Roman"/>
        </w:rPr>
        <w:pict w14:anchorId="4A37E592">
          <v:rect id="_x0000_i1055" style="width:0;height:1.5pt" o:hralign="center" o:hrstd="t" o:hr="t" fillcolor="#a0a0a0" stroked="f"/>
        </w:pict>
      </w:r>
    </w:p>
    <w:p w14:paraId="10390E93" w14:textId="77777777" w:rsidR="00000000" w:rsidRDefault="00EE5306">
      <w:pPr>
        <w:divId w:val="795609330"/>
        <w:rPr>
          <w:rFonts w:eastAsia="Times New Roman"/>
        </w:rPr>
      </w:pPr>
    </w:p>
    <w:p w14:paraId="77F0E4CE" w14:textId="77777777" w:rsidR="00000000" w:rsidRDefault="00EE5306">
      <w:pPr>
        <w:ind w:hanging="360"/>
        <w:jc w:val="both"/>
        <w:divId w:val="759714687"/>
        <w:rPr>
          <w:rFonts w:eastAsia="Times New Roman"/>
        </w:rPr>
      </w:pPr>
      <w:r>
        <w:rPr>
          <w:rFonts w:eastAsia="Times New Roman"/>
          <w:color w:val="000000"/>
          <w:sz w:val="20"/>
          <w:szCs w:val="20"/>
        </w:rPr>
        <w:t>•failure to meet operational targets or customer requirements due to the loss of employees or inadequate transfer of knowledge;</w:t>
      </w:r>
    </w:p>
    <w:p w14:paraId="6F86B702" w14:textId="77777777" w:rsidR="00000000" w:rsidRDefault="00EE5306">
      <w:pPr>
        <w:ind w:hanging="360"/>
        <w:jc w:val="both"/>
        <w:divId w:val="1440101801"/>
        <w:rPr>
          <w:rFonts w:eastAsia="Times New Roman"/>
        </w:rPr>
      </w:pPr>
      <w:r>
        <w:rPr>
          <w:rFonts w:eastAsia="Times New Roman"/>
          <w:color w:val="000000"/>
          <w:sz w:val="20"/>
          <w:szCs w:val="20"/>
        </w:rPr>
        <w:t>•failure to maintain adequate controls and procedures while executing, and subsequent to c</w:t>
      </w:r>
      <w:r>
        <w:rPr>
          <w:rFonts w:eastAsia="Times New Roman"/>
          <w:color w:val="000000"/>
          <w:sz w:val="20"/>
          <w:szCs w:val="20"/>
        </w:rPr>
        <w:t>ompleting, our restructuring plans;</w:t>
      </w:r>
    </w:p>
    <w:p w14:paraId="1E27B174" w14:textId="77777777" w:rsidR="00000000" w:rsidRDefault="00EE5306">
      <w:pPr>
        <w:ind w:hanging="360"/>
        <w:jc w:val="both"/>
        <w:divId w:val="571475036"/>
        <w:rPr>
          <w:rFonts w:eastAsia="Times New Roman"/>
        </w:rPr>
      </w:pPr>
      <w:r>
        <w:rPr>
          <w:rFonts w:eastAsia="Times New Roman"/>
          <w:color w:val="000000"/>
          <w:sz w:val="20"/>
          <w:szCs w:val="20"/>
        </w:rPr>
        <w:t>•diversion of management attention and resources from ongoing business activities and/or a decrease in employee morale;</w:t>
      </w:r>
    </w:p>
    <w:p w14:paraId="73CF6E01" w14:textId="77777777" w:rsidR="00000000" w:rsidRDefault="00EE5306">
      <w:pPr>
        <w:ind w:hanging="360"/>
        <w:jc w:val="both"/>
        <w:divId w:val="1166288768"/>
        <w:rPr>
          <w:rFonts w:eastAsia="Times New Roman"/>
        </w:rPr>
      </w:pPr>
      <w:r>
        <w:rPr>
          <w:rFonts w:eastAsia="Times New Roman"/>
          <w:color w:val="000000"/>
          <w:sz w:val="20"/>
          <w:szCs w:val="20"/>
        </w:rPr>
        <w:t>•attrition beyond any planned reduction in workforce; and</w:t>
      </w:r>
    </w:p>
    <w:p w14:paraId="77BC0569" w14:textId="77777777" w:rsidR="00000000" w:rsidRDefault="00EE5306">
      <w:pPr>
        <w:ind w:hanging="360"/>
        <w:jc w:val="both"/>
        <w:divId w:val="1827472086"/>
        <w:rPr>
          <w:rFonts w:eastAsia="Times New Roman"/>
        </w:rPr>
      </w:pPr>
      <w:r>
        <w:rPr>
          <w:rFonts w:eastAsia="Times New Roman"/>
          <w:color w:val="000000"/>
          <w:sz w:val="20"/>
          <w:szCs w:val="20"/>
        </w:rPr>
        <w:t xml:space="preserve">•damage to our reputation and brand image </w:t>
      </w:r>
      <w:r>
        <w:rPr>
          <w:rFonts w:eastAsia="Times New Roman"/>
          <w:color w:val="000000"/>
          <w:sz w:val="20"/>
          <w:szCs w:val="20"/>
        </w:rPr>
        <w:t>due to our restructuring-related activities, including the closure of certain of our stores.</w:t>
      </w:r>
    </w:p>
    <w:p w14:paraId="03288077" w14:textId="77777777" w:rsidR="00000000" w:rsidRDefault="00EE5306">
      <w:pPr>
        <w:ind w:firstLine="540"/>
        <w:jc w:val="both"/>
        <w:divId w:val="1705325355"/>
        <w:rPr>
          <w:rFonts w:eastAsia="Times New Roman"/>
        </w:rPr>
      </w:pPr>
      <w:r>
        <w:rPr>
          <w:rFonts w:eastAsia="Times New Roman"/>
          <w:color w:val="000000"/>
          <w:sz w:val="20"/>
          <w:szCs w:val="20"/>
        </w:rPr>
        <w:t xml:space="preserve">If we are not successful in implementing and managing our restructuring plans, we may not be able to achieve targeted operating enhancements, sales growth, and/or </w:t>
      </w:r>
      <w:r>
        <w:rPr>
          <w:rFonts w:eastAsia="Times New Roman"/>
          <w:color w:val="000000"/>
          <w:sz w:val="20"/>
          <w:szCs w:val="20"/>
        </w:rPr>
        <w:t>cost reductions, which could adversely impact our business. Our failure to achieve targeted results for any reason, including business disruptions from pandemic diseases such as COVID-19, could also lead to the implementation of additional restructuring-re</w:t>
      </w:r>
      <w:r>
        <w:rPr>
          <w:rFonts w:eastAsia="Times New Roman"/>
          <w:color w:val="000000"/>
          <w:sz w:val="20"/>
          <w:szCs w:val="20"/>
        </w:rPr>
        <w:t>lated activities, which may be dilutive to our earnings in the short term.</w:t>
      </w:r>
    </w:p>
    <w:p w14:paraId="43D4F753" w14:textId="77777777" w:rsidR="00000000" w:rsidRDefault="00EE5306">
      <w:pPr>
        <w:jc w:val="both"/>
        <w:divId w:val="23097007"/>
        <w:rPr>
          <w:rFonts w:eastAsia="Times New Roman"/>
        </w:rPr>
      </w:pPr>
      <w:r>
        <w:rPr>
          <w:rFonts w:eastAsia="Times New Roman"/>
          <w:b/>
          <w:bCs/>
          <w:color w:val="000000"/>
          <w:sz w:val="20"/>
          <w:szCs w:val="20"/>
          <w:u w:val="single"/>
        </w:rPr>
        <w:t>Risks Related to our Business and Operations</w:t>
      </w:r>
    </w:p>
    <w:p w14:paraId="5C20F76E" w14:textId="77777777" w:rsidR="00000000" w:rsidRDefault="00EE5306">
      <w:pPr>
        <w:jc w:val="both"/>
        <w:divId w:val="1355574564"/>
        <w:rPr>
          <w:rFonts w:eastAsia="Times New Roman"/>
        </w:rPr>
      </w:pPr>
      <w:r>
        <w:rPr>
          <w:rFonts w:eastAsia="Times New Roman"/>
          <w:b/>
          <w:bCs/>
          <w:color w:val="000000"/>
          <w:sz w:val="20"/>
          <w:szCs w:val="20"/>
        </w:rPr>
        <w:t xml:space="preserve">The loss of the services of Mr. Ralph Lauren or any other changes to our executive and senior management team may be disruptive to, or cause uncertainty in, our business. </w:t>
      </w:r>
    </w:p>
    <w:p w14:paraId="77C1245A" w14:textId="77777777" w:rsidR="00000000" w:rsidRDefault="00EE5306">
      <w:pPr>
        <w:ind w:firstLine="540"/>
        <w:jc w:val="both"/>
        <w:divId w:val="454833186"/>
        <w:rPr>
          <w:rFonts w:eastAsia="Times New Roman"/>
        </w:rPr>
      </w:pPr>
      <w:r>
        <w:rPr>
          <w:rFonts w:eastAsia="Times New Roman"/>
          <w:color w:val="000000"/>
          <w:sz w:val="20"/>
          <w:szCs w:val="20"/>
        </w:rPr>
        <w:t xml:space="preserve">Mr. Ralph Lauren's leadership in the design and marketing areas of our business has </w:t>
      </w:r>
      <w:r>
        <w:rPr>
          <w:rFonts w:eastAsia="Times New Roman"/>
          <w:color w:val="000000"/>
          <w:sz w:val="20"/>
          <w:szCs w:val="20"/>
        </w:rPr>
        <w:t>been a critical element of our success since the inception of our Company. Mr. R. Lauren is instrumental to, and closely identified with, our brand that bears his name. Our ability to maintain our brand image and leverage the goodwill associated with Mr. R</w:t>
      </w:r>
      <w:r>
        <w:rPr>
          <w:rFonts w:eastAsia="Times New Roman"/>
          <w:color w:val="000000"/>
          <w:sz w:val="20"/>
          <w:szCs w:val="20"/>
        </w:rPr>
        <w:t xml:space="preserve">. Lauren's name may be damaged if we were to lose his services. The death or disability of Mr. R. Lauren or other extended or permanent loss of his services, or any negative market or industry perception with respect to him or arising from his loss, could </w:t>
      </w:r>
      <w:r>
        <w:rPr>
          <w:rFonts w:eastAsia="Times New Roman"/>
          <w:color w:val="000000"/>
          <w:sz w:val="20"/>
          <w:szCs w:val="20"/>
        </w:rPr>
        <w:t>have a material adverse effect on our business.</w:t>
      </w:r>
    </w:p>
    <w:p w14:paraId="479C9864" w14:textId="77777777" w:rsidR="00000000" w:rsidRDefault="00EE5306">
      <w:pPr>
        <w:ind w:firstLine="540"/>
        <w:jc w:val="both"/>
        <w:divId w:val="124351987"/>
        <w:rPr>
          <w:rFonts w:eastAsia="Times New Roman"/>
        </w:rPr>
      </w:pPr>
      <w:r>
        <w:rPr>
          <w:rFonts w:eastAsia="Times New Roman"/>
          <w:color w:val="000000"/>
          <w:sz w:val="20"/>
          <w:szCs w:val="20"/>
        </w:rPr>
        <w:t>We also depend on the service and management experience of other key executive officers and members of senior management who have substantial experience and expertise in our industry and our business and have</w:t>
      </w:r>
      <w:r>
        <w:rPr>
          <w:rFonts w:eastAsia="Times New Roman"/>
          <w:color w:val="000000"/>
          <w:sz w:val="20"/>
          <w:szCs w:val="20"/>
        </w:rPr>
        <w:t xml:space="preserve"> made significant contributions to our growth and success. Competition in our industry to attract and retain these employees is intense and is influenced by our reputation, our ability to offer competitive compensation and benefits, and economic conditions</w:t>
      </w:r>
      <w:r>
        <w:rPr>
          <w:rFonts w:eastAsia="Times New Roman"/>
          <w:color w:val="000000"/>
          <w:sz w:val="20"/>
          <w:szCs w:val="20"/>
        </w:rPr>
        <w:t>, among other factors. Any changes in our executive and senior management team, including those resulting from our restructuring actions, may be disruptive to, or cause uncertainty in, our business and future strategic direction. The departure of any key i</w:t>
      </w:r>
      <w:r>
        <w:rPr>
          <w:rFonts w:eastAsia="Times New Roman"/>
          <w:color w:val="000000"/>
          <w:sz w:val="20"/>
          <w:szCs w:val="20"/>
        </w:rPr>
        <w:t>ndividuals and the failure to ensure a smooth transition and effective transfer of knowledge involving senior employees could hinder or delay our strategic planning and execution, as well as adversely affect our ability to attract and retain other experien</w:t>
      </w:r>
      <w:r>
        <w:rPr>
          <w:rFonts w:eastAsia="Times New Roman"/>
          <w:color w:val="000000"/>
          <w:sz w:val="20"/>
          <w:szCs w:val="20"/>
        </w:rPr>
        <w:t>ced and talented employees. Such departures could also impede our ability to maintain an effective system of internal controls and compliance with the requirements under the Sarbanes-Oxley Act of 2002. Any such disruptions could have a material adverse imp</w:t>
      </w:r>
      <w:r>
        <w:rPr>
          <w:rFonts w:eastAsia="Times New Roman"/>
          <w:color w:val="000000"/>
          <w:sz w:val="20"/>
          <w:szCs w:val="20"/>
        </w:rPr>
        <w:t xml:space="preserve">act on our business. </w:t>
      </w:r>
    </w:p>
    <w:p w14:paraId="5D8F0C5E" w14:textId="77777777" w:rsidR="00000000" w:rsidRDefault="00EE5306">
      <w:pPr>
        <w:ind w:firstLine="540"/>
        <w:jc w:val="both"/>
        <w:divId w:val="475494287"/>
        <w:rPr>
          <w:rFonts w:eastAsia="Times New Roman"/>
        </w:rPr>
      </w:pPr>
      <w:r>
        <w:rPr>
          <w:rFonts w:eastAsia="Times New Roman"/>
          <w:color w:val="000000"/>
          <w:sz w:val="20"/>
          <w:szCs w:val="20"/>
        </w:rPr>
        <w:t>We are not protected by a material amount of key-man or similar life insurance covering our executive officers, including Mr. R. Lauren, or other members of senior management. We have entered into employment agreements with certain of</w:t>
      </w:r>
      <w:r>
        <w:rPr>
          <w:rFonts w:eastAsia="Times New Roman"/>
          <w:color w:val="000000"/>
          <w:sz w:val="20"/>
          <w:szCs w:val="20"/>
        </w:rPr>
        <w:t xml:space="preserve"> our executive officers, but competition for experienced executives in our industry is intense and the non-compete period with respect to certain of our executive officers could, in some circumstances in the event of their termination of employment with ou</w:t>
      </w:r>
      <w:r>
        <w:rPr>
          <w:rFonts w:eastAsia="Times New Roman"/>
          <w:color w:val="000000"/>
          <w:sz w:val="20"/>
          <w:szCs w:val="20"/>
        </w:rPr>
        <w:t>r Company, end prior to the employment term set forth in their employment agreements.</w:t>
      </w:r>
    </w:p>
    <w:p w14:paraId="53DA5C65" w14:textId="77777777" w:rsidR="00000000" w:rsidRDefault="00EE5306">
      <w:pPr>
        <w:jc w:val="both"/>
        <w:divId w:val="1304240068"/>
        <w:rPr>
          <w:rFonts w:eastAsia="Times New Roman"/>
        </w:rPr>
      </w:pPr>
      <w:r>
        <w:rPr>
          <w:rFonts w:eastAsia="Times New Roman"/>
          <w:b/>
          <w:bCs/>
          <w:color w:val="000000"/>
          <w:sz w:val="20"/>
          <w:szCs w:val="20"/>
        </w:rPr>
        <w:t>We face intense competition worldwide in the markets in which we operate.</w:t>
      </w:r>
    </w:p>
    <w:p w14:paraId="7B177E42" w14:textId="77777777" w:rsidR="00000000" w:rsidRDefault="00EE5306">
      <w:pPr>
        <w:ind w:firstLine="540"/>
        <w:jc w:val="both"/>
        <w:divId w:val="554781269"/>
        <w:rPr>
          <w:rFonts w:eastAsia="Times New Roman"/>
        </w:rPr>
      </w:pPr>
      <w:r>
        <w:rPr>
          <w:rFonts w:eastAsia="Times New Roman"/>
          <w:color w:val="000000"/>
          <w:sz w:val="20"/>
          <w:szCs w:val="20"/>
        </w:rPr>
        <w:t xml:space="preserve">We face increasing competition from companies selling apparel, footwear, accessories, home, and </w:t>
      </w:r>
      <w:r>
        <w:rPr>
          <w:rFonts w:eastAsia="Times New Roman"/>
          <w:color w:val="000000"/>
          <w:sz w:val="20"/>
          <w:szCs w:val="20"/>
        </w:rPr>
        <w:t>other of our product categories through the Internet. Although we sell our products through the Internet, increased competition and promotional activity in the worldwide apparel, footwear, accessory, and home product industries from Internet-based competit</w:t>
      </w:r>
      <w:r>
        <w:rPr>
          <w:rFonts w:eastAsia="Times New Roman"/>
          <w:color w:val="000000"/>
          <w:sz w:val="20"/>
          <w:szCs w:val="20"/>
        </w:rPr>
        <w:t>ors could reduce our sales, prices, and margins. We also face intense competition from other domestic and foreign fashion-oriented apparel, footwear, accessory, and casual apparel producers that sell products through brick and mortar stores and wholesale a</w:t>
      </w:r>
      <w:r>
        <w:rPr>
          <w:rFonts w:eastAsia="Times New Roman"/>
          <w:color w:val="000000"/>
          <w:sz w:val="20"/>
          <w:szCs w:val="20"/>
        </w:rPr>
        <w:t>nd licensing channels. We compete with these companies primarily on the basis of:</w:t>
      </w:r>
    </w:p>
    <w:p w14:paraId="4F539593" w14:textId="77777777" w:rsidR="00000000" w:rsidRDefault="00EE5306">
      <w:pPr>
        <w:ind w:hanging="360"/>
        <w:divId w:val="1168592776"/>
        <w:rPr>
          <w:rFonts w:eastAsia="Times New Roman"/>
        </w:rPr>
      </w:pPr>
      <w:r>
        <w:rPr>
          <w:rFonts w:eastAsia="Times New Roman"/>
          <w:color w:val="000000"/>
          <w:sz w:val="20"/>
          <w:szCs w:val="20"/>
        </w:rPr>
        <w:t>•anticipating and responding in a timely fashion to changing consumer demands and shopping preferences, including the ever-increasing shift to digital brand engagement, socia</w:t>
      </w:r>
      <w:r>
        <w:rPr>
          <w:rFonts w:eastAsia="Times New Roman"/>
          <w:color w:val="000000"/>
          <w:sz w:val="20"/>
          <w:szCs w:val="20"/>
        </w:rPr>
        <w:t>l media communications, and online shopping;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1A530A1" w14:textId="77777777">
        <w:trPr>
          <w:divId w:val="2083212683"/>
          <w:jc w:val="center"/>
        </w:trPr>
        <w:tc>
          <w:tcPr>
            <w:tcW w:w="50" w:type="pct"/>
            <w:vAlign w:val="center"/>
            <w:hideMark/>
          </w:tcPr>
          <w:p w14:paraId="549DFBF2" w14:textId="77777777" w:rsidR="00000000" w:rsidRDefault="00EE5306">
            <w:pPr>
              <w:ind w:hanging="360"/>
              <w:rPr>
                <w:rFonts w:eastAsia="Times New Roman"/>
              </w:rPr>
            </w:pPr>
          </w:p>
        </w:tc>
        <w:tc>
          <w:tcPr>
            <w:tcW w:w="1699" w:type="pct"/>
            <w:vAlign w:val="center"/>
            <w:hideMark/>
          </w:tcPr>
          <w:p w14:paraId="4BD7610F" w14:textId="77777777" w:rsidR="00000000" w:rsidRDefault="00EE5306">
            <w:pPr>
              <w:spacing w:after="100"/>
              <w:rPr>
                <w:rFonts w:eastAsia="Times New Roman"/>
                <w:sz w:val="20"/>
                <w:szCs w:val="20"/>
              </w:rPr>
            </w:pPr>
          </w:p>
        </w:tc>
        <w:tc>
          <w:tcPr>
            <w:tcW w:w="5" w:type="pct"/>
            <w:vAlign w:val="center"/>
            <w:hideMark/>
          </w:tcPr>
          <w:p w14:paraId="20B356BD" w14:textId="77777777" w:rsidR="00000000" w:rsidRDefault="00EE5306">
            <w:pPr>
              <w:spacing w:after="100"/>
              <w:rPr>
                <w:rFonts w:eastAsia="Times New Roman"/>
                <w:sz w:val="20"/>
                <w:szCs w:val="20"/>
              </w:rPr>
            </w:pPr>
          </w:p>
        </w:tc>
        <w:tc>
          <w:tcPr>
            <w:tcW w:w="50" w:type="pct"/>
            <w:vAlign w:val="center"/>
            <w:hideMark/>
          </w:tcPr>
          <w:p w14:paraId="1B1365C8" w14:textId="77777777" w:rsidR="00000000" w:rsidRDefault="00EE5306">
            <w:pPr>
              <w:spacing w:after="100"/>
              <w:rPr>
                <w:rFonts w:eastAsia="Times New Roman"/>
                <w:sz w:val="20"/>
                <w:szCs w:val="20"/>
              </w:rPr>
            </w:pPr>
          </w:p>
        </w:tc>
        <w:tc>
          <w:tcPr>
            <w:tcW w:w="1436" w:type="pct"/>
            <w:vAlign w:val="center"/>
            <w:hideMark/>
          </w:tcPr>
          <w:p w14:paraId="52346A52" w14:textId="77777777" w:rsidR="00000000" w:rsidRDefault="00EE5306">
            <w:pPr>
              <w:spacing w:after="100"/>
              <w:rPr>
                <w:rFonts w:eastAsia="Times New Roman"/>
                <w:sz w:val="20"/>
                <w:szCs w:val="20"/>
              </w:rPr>
            </w:pPr>
          </w:p>
        </w:tc>
        <w:tc>
          <w:tcPr>
            <w:tcW w:w="5" w:type="pct"/>
            <w:vAlign w:val="center"/>
            <w:hideMark/>
          </w:tcPr>
          <w:p w14:paraId="3FDF9C43" w14:textId="77777777" w:rsidR="00000000" w:rsidRDefault="00EE5306">
            <w:pPr>
              <w:spacing w:after="100"/>
              <w:rPr>
                <w:rFonts w:eastAsia="Times New Roman"/>
                <w:sz w:val="20"/>
                <w:szCs w:val="20"/>
              </w:rPr>
            </w:pPr>
          </w:p>
        </w:tc>
        <w:tc>
          <w:tcPr>
            <w:tcW w:w="50" w:type="pct"/>
            <w:vAlign w:val="center"/>
            <w:hideMark/>
          </w:tcPr>
          <w:p w14:paraId="007A9354" w14:textId="77777777" w:rsidR="00000000" w:rsidRDefault="00EE5306">
            <w:pPr>
              <w:spacing w:after="100"/>
              <w:rPr>
                <w:rFonts w:eastAsia="Times New Roman"/>
                <w:sz w:val="20"/>
                <w:szCs w:val="20"/>
              </w:rPr>
            </w:pPr>
          </w:p>
        </w:tc>
        <w:tc>
          <w:tcPr>
            <w:tcW w:w="1699" w:type="pct"/>
            <w:vAlign w:val="center"/>
            <w:hideMark/>
          </w:tcPr>
          <w:p w14:paraId="7972C0F3" w14:textId="77777777" w:rsidR="00000000" w:rsidRDefault="00EE5306">
            <w:pPr>
              <w:spacing w:after="100"/>
              <w:rPr>
                <w:rFonts w:eastAsia="Times New Roman"/>
                <w:sz w:val="20"/>
                <w:szCs w:val="20"/>
              </w:rPr>
            </w:pPr>
          </w:p>
        </w:tc>
        <w:tc>
          <w:tcPr>
            <w:tcW w:w="5" w:type="pct"/>
            <w:vAlign w:val="center"/>
            <w:hideMark/>
          </w:tcPr>
          <w:p w14:paraId="42611666" w14:textId="77777777" w:rsidR="00000000" w:rsidRDefault="00EE5306">
            <w:pPr>
              <w:spacing w:after="100"/>
              <w:rPr>
                <w:rFonts w:eastAsia="Times New Roman"/>
                <w:sz w:val="20"/>
                <w:szCs w:val="20"/>
              </w:rPr>
            </w:pPr>
          </w:p>
        </w:tc>
      </w:tr>
      <w:tr w:rsidR="00000000" w14:paraId="7F70F824" w14:textId="77777777">
        <w:trPr>
          <w:divId w:val="2083212683"/>
          <w:jc w:val="center"/>
        </w:trPr>
        <w:tc>
          <w:tcPr>
            <w:tcW w:w="0" w:type="auto"/>
            <w:gridSpan w:val="3"/>
            <w:tcMar>
              <w:top w:w="0" w:type="dxa"/>
              <w:left w:w="20" w:type="dxa"/>
              <w:bottom w:w="0" w:type="dxa"/>
              <w:right w:w="20" w:type="dxa"/>
            </w:tcMar>
            <w:vAlign w:val="center"/>
            <w:hideMark/>
          </w:tcPr>
          <w:p w14:paraId="594767B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624EB7" w14:textId="77777777" w:rsidR="00000000" w:rsidRDefault="00EE5306">
            <w:pPr>
              <w:spacing w:after="100"/>
              <w:jc w:val="center"/>
              <w:rPr>
                <w:rFonts w:eastAsia="Times New Roman"/>
              </w:rPr>
            </w:pPr>
            <w:r>
              <w:rPr>
                <w:rFonts w:eastAsia="Times New Roman"/>
                <w:color w:val="000000"/>
                <w:sz w:val="20"/>
                <w:szCs w:val="20"/>
              </w:rPr>
              <w:t>30</w:t>
            </w:r>
          </w:p>
        </w:tc>
        <w:tc>
          <w:tcPr>
            <w:tcW w:w="0" w:type="auto"/>
            <w:gridSpan w:val="3"/>
            <w:tcMar>
              <w:top w:w="0" w:type="dxa"/>
              <w:left w:w="20" w:type="dxa"/>
              <w:bottom w:w="0" w:type="dxa"/>
              <w:right w:w="20" w:type="dxa"/>
            </w:tcMar>
            <w:vAlign w:val="center"/>
            <w:hideMark/>
          </w:tcPr>
          <w:p w14:paraId="0D7292A8" w14:textId="77777777" w:rsidR="00000000" w:rsidRDefault="00EE5306">
            <w:pPr>
              <w:spacing w:after="100"/>
              <w:jc w:val="center"/>
              <w:rPr>
                <w:rFonts w:eastAsia="Times New Roman"/>
              </w:rPr>
            </w:pPr>
          </w:p>
        </w:tc>
      </w:tr>
    </w:tbl>
    <w:p w14:paraId="2BEC775D" w14:textId="77777777" w:rsidR="00000000" w:rsidRDefault="00EE5306">
      <w:pPr>
        <w:rPr>
          <w:rFonts w:eastAsia="Times New Roman"/>
        </w:rPr>
      </w:pPr>
      <w:r>
        <w:rPr>
          <w:rFonts w:eastAsia="Times New Roman"/>
        </w:rPr>
        <w:pict w14:anchorId="5D6EE369">
          <v:rect id="_x0000_i1056" style="width:0;height:1.5pt" o:hralign="center" o:hrstd="t" o:hr="t" fillcolor="#a0a0a0" stroked="f"/>
        </w:pict>
      </w:r>
    </w:p>
    <w:p w14:paraId="29ABEF0C" w14:textId="77777777" w:rsidR="00000000" w:rsidRDefault="00EE5306">
      <w:pPr>
        <w:divId w:val="713849422"/>
        <w:rPr>
          <w:rFonts w:eastAsia="Times New Roman"/>
        </w:rPr>
      </w:pPr>
    </w:p>
    <w:p w14:paraId="43FE650B" w14:textId="77777777" w:rsidR="00000000" w:rsidRDefault="00EE5306">
      <w:pPr>
        <w:ind w:hanging="360"/>
        <w:divId w:val="1839998396"/>
        <w:rPr>
          <w:rFonts w:eastAsia="Times New Roman"/>
        </w:rPr>
      </w:pPr>
      <w:r>
        <w:rPr>
          <w:rFonts w:eastAsia="Times New Roman"/>
          <w:color w:val="000000"/>
          <w:sz w:val="20"/>
          <w:szCs w:val="20"/>
        </w:rPr>
        <w:t>•creating and maintaining favorable brand recognition, loyalty, and a reputation for quality;</w:t>
      </w:r>
    </w:p>
    <w:p w14:paraId="11772DFE" w14:textId="77777777" w:rsidR="00000000" w:rsidRDefault="00EE5306">
      <w:pPr>
        <w:ind w:hanging="360"/>
        <w:divId w:val="1059745945"/>
        <w:rPr>
          <w:rFonts w:eastAsia="Times New Roman"/>
        </w:rPr>
      </w:pPr>
      <w:r>
        <w:rPr>
          <w:rFonts w:eastAsia="Times New Roman"/>
          <w:color w:val="000000"/>
          <w:sz w:val="20"/>
          <w:szCs w:val="20"/>
        </w:rPr>
        <w:t>•developing and producing innovative, high-quality products in sizes, colors, and styles that appeal to consumers of varying</w:t>
      </w:r>
      <w:r>
        <w:rPr>
          <w:rFonts w:eastAsia="Times New Roman"/>
          <w:color w:val="000000"/>
          <w:sz w:val="20"/>
          <w:szCs w:val="20"/>
        </w:rPr>
        <w:t xml:space="preserve"> age groups;</w:t>
      </w:r>
    </w:p>
    <w:p w14:paraId="242C1855" w14:textId="77777777" w:rsidR="00000000" w:rsidRDefault="00EE5306">
      <w:pPr>
        <w:ind w:hanging="360"/>
        <w:divId w:val="939414675"/>
        <w:rPr>
          <w:rFonts w:eastAsia="Times New Roman"/>
        </w:rPr>
      </w:pPr>
      <w:r>
        <w:rPr>
          <w:rFonts w:eastAsia="Times New Roman"/>
          <w:color w:val="000000"/>
          <w:sz w:val="20"/>
          <w:szCs w:val="20"/>
        </w:rPr>
        <w:t>•competitively pricing our products and creating an acceptable value proposition for consumers;</w:t>
      </w:r>
    </w:p>
    <w:p w14:paraId="4AAE2B0D" w14:textId="77777777" w:rsidR="00000000" w:rsidRDefault="00EE5306">
      <w:pPr>
        <w:ind w:hanging="360"/>
        <w:divId w:val="867521611"/>
        <w:rPr>
          <w:rFonts w:eastAsia="Times New Roman"/>
        </w:rPr>
      </w:pPr>
      <w:r>
        <w:rPr>
          <w:rFonts w:eastAsia="Times New Roman"/>
          <w:color w:val="000000"/>
          <w:sz w:val="20"/>
          <w:szCs w:val="20"/>
        </w:rPr>
        <w:t>•providing strong and effective marketing support;</w:t>
      </w:r>
    </w:p>
    <w:p w14:paraId="16B67814" w14:textId="77777777" w:rsidR="00000000" w:rsidRDefault="00EE5306">
      <w:pPr>
        <w:ind w:hanging="360"/>
        <w:divId w:val="1776241739"/>
        <w:rPr>
          <w:rFonts w:eastAsia="Times New Roman"/>
        </w:rPr>
      </w:pPr>
      <w:r>
        <w:rPr>
          <w:rFonts w:eastAsia="Times New Roman"/>
          <w:color w:val="000000"/>
          <w:sz w:val="20"/>
          <w:szCs w:val="20"/>
        </w:rPr>
        <w:t>•providing attractive, reliable, secure, and user-friendly digital commerce sites;</w:t>
      </w:r>
    </w:p>
    <w:p w14:paraId="71294F62" w14:textId="77777777" w:rsidR="00000000" w:rsidRDefault="00EE5306">
      <w:pPr>
        <w:ind w:hanging="360"/>
        <w:divId w:val="1892573842"/>
        <w:rPr>
          <w:rFonts w:eastAsia="Times New Roman"/>
        </w:rPr>
      </w:pPr>
      <w:r>
        <w:rPr>
          <w:rFonts w:eastAsia="Times New Roman"/>
          <w:color w:val="000000"/>
          <w:sz w:val="20"/>
          <w:szCs w:val="20"/>
        </w:rPr>
        <w:t>•</w:t>
      </w:r>
      <w:r>
        <w:rPr>
          <w:rFonts w:eastAsia="Times New Roman"/>
          <w:color w:val="000000"/>
          <w:sz w:val="20"/>
          <w:szCs w:val="20"/>
        </w:rPr>
        <w:t>obtaining sufficient retail floor space and effective presentation of our products at stores and shop-within-shops;</w:t>
      </w:r>
    </w:p>
    <w:p w14:paraId="58D764AD" w14:textId="77777777" w:rsidR="00000000" w:rsidRDefault="00EE5306">
      <w:pPr>
        <w:ind w:hanging="360"/>
        <w:divId w:val="677847222"/>
        <w:rPr>
          <w:rFonts w:eastAsia="Times New Roman"/>
        </w:rPr>
      </w:pPr>
      <w:r>
        <w:rPr>
          <w:rFonts w:eastAsia="Times New Roman"/>
          <w:color w:val="000000"/>
          <w:sz w:val="20"/>
          <w:szCs w:val="20"/>
        </w:rPr>
        <w:t xml:space="preserve">•attracting consumer traffic to stores, shop-within-shops, and digital commerce sites; </w:t>
      </w:r>
    </w:p>
    <w:p w14:paraId="5A3E2746" w14:textId="77777777" w:rsidR="00000000" w:rsidRDefault="00EE5306">
      <w:pPr>
        <w:ind w:hanging="360"/>
        <w:divId w:val="1849171975"/>
        <w:rPr>
          <w:rFonts w:eastAsia="Times New Roman"/>
        </w:rPr>
      </w:pPr>
      <w:r>
        <w:rPr>
          <w:rFonts w:eastAsia="Times New Roman"/>
          <w:color w:val="000000"/>
          <w:sz w:val="20"/>
          <w:szCs w:val="20"/>
        </w:rPr>
        <w:t>•sourcing raw materials at cost-effective prices;</w:t>
      </w:r>
    </w:p>
    <w:p w14:paraId="1D758DE3" w14:textId="77777777" w:rsidR="00000000" w:rsidRDefault="00EE5306">
      <w:pPr>
        <w:ind w:hanging="360"/>
        <w:divId w:val="1360739334"/>
        <w:rPr>
          <w:rFonts w:eastAsia="Times New Roman"/>
        </w:rPr>
      </w:pPr>
      <w:r>
        <w:rPr>
          <w:rFonts w:eastAsia="Times New Roman"/>
          <w:color w:val="000000"/>
          <w:sz w:val="20"/>
          <w:szCs w:val="20"/>
        </w:rPr>
        <w:t>•a</w:t>
      </w:r>
      <w:r>
        <w:rPr>
          <w:rFonts w:eastAsia="Times New Roman"/>
          <w:color w:val="000000"/>
          <w:sz w:val="20"/>
          <w:szCs w:val="20"/>
        </w:rPr>
        <w:t>nticipating and maintaining proper inventory levels;</w:t>
      </w:r>
    </w:p>
    <w:p w14:paraId="41D0EEB1" w14:textId="77777777" w:rsidR="00000000" w:rsidRDefault="00EE5306">
      <w:pPr>
        <w:ind w:hanging="360"/>
        <w:divId w:val="978609730"/>
        <w:rPr>
          <w:rFonts w:eastAsia="Times New Roman"/>
        </w:rPr>
      </w:pPr>
      <w:r>
        <w:rPr>
          <w:rFonts w:eastAsia="Times New Roman"/>
          <w:color w:val="000000"/>
          <w:sz w:val="20"/>
          <w:szCs w:val="20"/>
        </w:rPr>
        <w:t>•ensuring product availability and optimizing supply chain and distribution efficiencies with third-party manufacturers and retailers;</w:t>
      </w:r>
    </w:p>
    <w:p w14:paraId="0761E31B" w14:textId="77777777" w:rsidR="00000000" w:rsidRDefault="00EE5306">
      <w:pPr>
        <w:ind w:hanging="360"/>
        <w:divId w:val="471748437"/>
        <w:rPr>
          <w:rFonts w:eastAsia="Times New Roman"/>
        </w:rPr>
      </w:pPr>
      <w:r>
        <w:rPr>
          <w:rFonts w:eastAsia="Times New Roman"/>
          <w:color w:val="000000"/>
          <w:sz w:val="20"/>
          <w:szCs w:val="20"/>
        </w:rPr>
        <w:t>•maintaining and growing market share;</w:t>
      </w:r>
    </w:p>
    <w:p w14:paraId="51523E60" w14:textId="77777777" w:rsidR="00000000" w:rsidRDefault="00EE5306">
      <w:pPr>
        <w:ind w:hanging="360"/>
        <w:divId w:val="2118914061"/>
        <w:rPr>
          <w:rFonts w:eastAsia="Times New Roman"/>
        </w:rPr>
      </w:pPr>
      <w:r>
        <w:rPr>
          <w:rFonts w:eastAsia="Times New Roman"/>
          <w:color w:val="000000"/>
          <w:sz w:val="20"/>
          <w:szCs w:val="20"/>
        </w:rPr>
        <w:t>•recruiting and retaining key</w:t>
      </w:r>
      <w:r>
        <w:rPr>
          <w:rFonts w:eastAsia="Times New Roman"/>
          <w:color w:val="000000"/>
          <w:sz w:val="20"/>
          <w:szCs w:val="20"/>
        </w:rPr>
        <w:t xml:space="preserve"> employees;</w:t>
      </w:r>
    </w:p>
    <w:p w14:paraId="5B2FD239" w14:textId="77777777" w:rsidR="00000000" w:rsidRDefault="00EE5306">
      <w:pPr>
        <w:ind w:hanging="360"/>
        <w:divId w:val="1470131153"/>
        <w:rPr>
          <w:rFonts w:eastAsia="Times New Roman"/>
        </w:rPr>
      </w:pPr>
      <w:r>
        <w:rPr>
          <w:rFonts w:eastAsia="Times New Roman"/>
          <w:color w:val="000000"/>
          <w:sz w:val="20"/>
          <w:szCs w:val="20"/>
        </w:rPr>
        <w:t>•protecting our intellectual property; and</w:t>
      </w:r>
    </w:p>
    <w:p w14:paraId="54A0BD62" w14:textId="77777777" w:rsidR="00000000" w:rsidRDefault="00EE5306">
      <w:pPr>
        <w:ind w:hanging="360"/>
        <w:divId w:val="1368719904"/>
        <w:rPr>
          <w:rFonts w:eastAsia="Times New Roman"/>
        </w:rPr>
      </w:pPr>
      <w:r>
        <w:rPr>
          <w:rFonts w:eastAsia="Times New Roman"/>
          <w:color w:val="000000"/>
          <w:sz w:val="20"/>
          <w:szCs w:val="20"/>
        </w:rPr>
        <w:t>•ability to withstand prolonged periods of adverse economic conditions or business disruptions.</w:t>
      </w:r>
    </w:p>
    <w:p w14:paraId="358E28ED" w14:textId="77777777" w:rsidR="00000000" w:rsidRDefault="00EE5306">
      <w:pPr>
        <w:ind w:firstLine="540"/>
        <w:jc w:val="both"/>
        <w:divId w:val="131674387"/>
        <w:rPr>
          <w:rFonts w:eastAsia="Times New Roman"/>
        </w:rPr>
      </w:pPr>
      <w:r>
        <w:rPr>
          <w:rFonts w:eastAsia="Times New Roman"/>
          <w:color w:val="000000"/>
          <w:sz w:val="20"/>
          <w:szCs w:val="20"/>
        </w:rPr>
        <w:t>Some of our competitors may be significantly larger and more diversified and may have greater financial, marketing, and distribution resources, more desirable store locations, and/or greater digital commerce presence than us, among other competitive advant</w:t>
      </w:r>
      <w:r>
        <w:rPr>
          <w:rFonts w:eastAsia="Times New Roman"/>
          <w:color w:val="000000"/>
          <w:sz w:val="20"/>
          <w:szCs w:val="20"/>
        </w:rPr>
        <w:t>ages. Such competitive advantages may enable them to better withstand unfavorable economic conditions, compete more effectively on the basis of price and production, and/or more quickly respond to rapidly changing fashion trends and consumer preferences th</w:t>
      </w:r>
      <w:r>
        <w:rPr>
          <w:rFonts w:eastAsia="Times New Roman"/>
          <w:color w:val="000000"/>
          <w:sz w:val="20"/>
          <w:szCs w:val="20"/>
        </w:rPr>
        <w:t xml:space="preserve">an us. In addition, technological advances and the retail industry's low barriers to entry allow for the introduction of new competitors and products at a rapid pace. Any increased competition, or our failure to adequately address any of these competitive </w:t>
      </w:r>
      <w:r>
        <w:rPr>
          <w:rFonts w:eastAsia="Times New Roman"/>
          <w:color w:val="000000"/>
          <w:sz w:val="20"/>
          <w:szCs w:val="20"/>
        </w:rPr>
        <w:t>factors, could result in reduced market share or sales, which could adversely affect our business.</w:t>
      </w:r>
    </w:p>
    <w:p w14:paraId="29C4DB26" w14:textId="77777777" w:rsidR="00000000" w:rsidRDefault="00EE5306">
      <w:pPr>
        <w:jc w:val="both"/>
        <w:divId w:val="1176922990"/>
        <w:rPr>
          <w:rFonts w:eastAsia="Times New Roman"/>
        </w:rPr>
      </w:pPr>
      <w:r>
        <w:rPr>
          <w:rFonts w:eastAsia="Times New Roman"/>
          <w:b/>
          <w:bCs/>
          <w:color w:val="000000"/>
          <w:sz w:val="20"/>
          <w:szCs w:val="20"/>
        </w:rPr>
        <w:t>The success of our business depends on our ability to retain the value and reputation of our brands.</w:t>
      </w:r>
    </w:p>
    <w:p w14:paraId="00180C7D" w14:textId="77777777" w:rsidR="00000000" w:rsidRDefault="00EE5306">
      <w:pPr>
        <w:ind w:firstLine="540"/>
        <w:jc w:val="both"/>
        <w:divId w:val="2137066113"/>
        <w:rPr>
          <w:rFonts w:eastAsia="Times New Roman"/>
        </w:rPr>
      </w:pPr>
      <w:r>
        <w:rPr>
          <w:rFonts w:eastAsia="Times New Roman"/>
          <w:color w:val="000000"/>
          <w:sz w:val="20"/>
          <w:szCs w:val="20"/>
        </w:rPr>
        <w:t>Our success depends on the value and reputation of our b</w:t>
      </w:r>
      <w:r>
        <w:rPr>
          <w:rFonts w:eastAsia="Times New Roman"/>
          <w:color w:val="000000"/>
          <w:sz w:val="20"/>
          <w:szCs w:val="20"/>
        </w:rPr>
        <w:t>rands and our ability to consistently anticipate, identify, and respond to customers' demands, preferences, and fashion trends in the design, pricing, and production of our products, including the preference for certain products to be manufactured in the U</w:t>
      </w:r>
      <w:r>
        <w:rPr>
          <w:rFonts w:eastAsia="Times New Roman"/>
          <w:color w:val="000000"/>
          <w:sz w:val="20"/>
          <w:szCs w:val="20"/>
        </w:rPr>
        <w:t>.S. Any negative publicity regarding Mr. R. Lauren, or other members of our executive and senior management team, or our Company as a whole, especially through social media which accelerates and increases the potential scope of negative publicity, could ne</w:t>
      </w:r>
      <w:r>
        <w:rPr>
          <w:rFonts w:eastAsia="Times New Roman"/>
          <w:color w:val="000000"/>
          <w:sz w:val="20"/>
          <w:szCs w:val="20"/>
        </w:rPr>
        <w:t>gatively impact the image of our brands with our customers and result in diminished loyalty to our brands, even if the subject of such publicity is unverified or inaccurate and we seek to correct it. There is also increased focus from consumers, employees,</w:t>
      </w:r>
      <w:r>
        <w:rPr>
          <w:rFonts w:eastAsia="Times New Roman"/>
          <w:color w:val="000000"/>
          <w:sz w:val="20"/>
          <w:szCs w:val="20"/>
        </w:rPr>
        <w:t xml:space="preserve"> investors, and other stakeholders concerning corporate citizenship and sustainability matters. Although we have established certain long-term initiatives and goals regarding our impact on the environment and society as a whole, including our diversity and</w:t>
      </w:r>
      <w:r>
        <w:rPr>
          <w:rFonts w:eastAsia="Times New Roman"/>
          <w:color w:val="000000"/>
          <w:sz w:val="20"/>
          <w:szCs w:val="20"/>
        </w:rPr>
        <w:t xml:space="preserve"> inclusion initiatives, there can be no assurance that our various stakeholders will agree with our initiatives or if we will be successful in achieving our goals. Our failure to comply with ethical, social, product safety, labor, health, environmental, pr</w:t>
      </w:r>
      <w:r>
        <w:rPr>
          <w:rFonts w:eastAsia="Times New Roman"/>
          <w:color w:val="000000"/>
          <w:sz w:val="20"/>
          <w:szCs w:val="20"/>
        </w:rPr>
        <w:t>ivacy, or other standards and regulations could damage the reputation of our brands and lead to adverse consumer actions and/or investment decisions by investors, as well as expose us to government enforcement action and/or private litigation. Even if we r</w:t>
      </w:r>
      <w:r>
        <w:rPr>
          <w:rFonts w:eastAsia="Times New Roman"/>
          <w:color w:val="000000"/>
          <w:sz w:val="20"/>
          <w:szCs w:val="20"/>
        </w:rPr>
        <w:t>eact appropriately to negative publicity, our customers' perception of our brand image and our reputation could be negatively impacted. Any failure on our part to retain the value and reputation of brands could adversely impact our business.</w:t>
      </w:r>
    </w:p>
    <w:p w14:paraId="35A3B60F" w14:textId="77777777" w:rsidR="00000000" w:rsidRDefault="00EE5306">
      <w:pPr>
        <w:jc w:val="both"/>
        <w:divId w:val="157429291"/>
        <w:rPr>
          <w:rFonts w:eastAsia="Times New Roman"/>
        </w:rPr>
      </w:pPr>
      <w:r>
        <w:rPr>
          <w:rFonts w:eastAsia="Times New Roman"/>
          <w:b/>
          <w:bCs/>
          <w:color w:val="000000"/>
          <w:sz w:val="20"/>
          <w:szCs w:val="20"/>
        </w:rPr>
        <w:t>Our trademarks</w:t>
      </w:r>
      <w:r>
        <w:rPr>
          <w:rFonts w:eastAsia="Times New Roman"/>
          <w:b/>
          <w:bCs/>
          <w:color w:val="000000"/>
          <w:sz w:val="20"/>
          <w:szCs w:val="20"/>
        </w:rPr>
        <w:t xml:space="preserve"> and other intellectual property rights may not be adequately protected outside the U.S.</w:t>
      </w:r>
    </w:p>
    <w:p w14:paraId="648C1C17" w14:textId="77777777" w:rsidR="00000000" w:rsidRDefault="00EE5306">
      <w:pPr>
        <w:ind w:firstLine="540"/>
        <w:jc w:val="both"/>
        <w:divId w:val="1320420891"/>
        <w:rPr>
          <w:rFonts w:eastAsia="Times New Roman"/>
        </w:rPr>
      </w:pPr>
      <w:r>
        <w:rPr>
          <w:rFonts w:eastAsia="Times New Roman"/>
          <w:color w:val="000000"/>
          <w:sz w:val="20"/>
          <w:szCs w:val="20"/>
        </w:rPr>
        <w:t>We believe that our trademarks, intellectual property, and other proprietary rights are extremely important to our success and our competitive position. We devote subs</w:t>
      </w:r>
      <w:r>
        <w:rPr>
          <w:rFonts w:eastAsia="Times New Roman"/>
          <w:color w:val="000000"/>
          <w:sz w:val="20"/>
          <w:szCs w:val="20"/>
        </w:rPr>
        <w:t>tantial resources to the establishment and protection of our trademarks and anti-counterfeiting activities worldwide. However, significant counterfeiting and imitation of our products continue to exist. In addition, the laws of certain foreign countries ma</w:t>
      </w:r>
      <w:r>
        <w:rPr>
          <w:rFonts w:eastAsia="Times New Roman"/>
          <w:color w:val="000000"/>
          <w:sz w:val="20"/>
          <w:szCs w:val="20"/>
        </w:rPr>
        <w:t>y not protect trademarks or other proprietary rights to the same extent as do the laws of the U.S. and, as a result, our intellectual property may be more vulnerable and difficult to protect in such countries. Over the course of our international expansion</w:t>
      </w:r>
      <w:r>
        <w:rPr>
          <w:rFonts w:eastAsia="Times New Roman"/>
          <w:color w:val="000000"/>
          <w:sz w:val="20"/>
          <w:szCs w:val="20"/>
        </w:rPr>
        <w:t xml:space="preserve">, we have experienced conflicts with various third parties that have acquired or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50B1F4C" w14:textId="77777777">
        <w:trPr>
          <w:divId w:val="1703624964"/>
          <w:jc w:val="center"/>
        </w:trPr>
        <w:tc>
          <w:tcPr>
            <w:tcW w:w="50" w:type="pct"/>
            <w:vAlign w:val="center"/>
            <w:hideMark/>
          </w:tcPr>
          <w:p w14:paraId="6E1E8022" w14:textId="77777777" w:rsidR="00000000" w:rsidRDefault="00EE5306">
            <w:pPr>
              <w:ind w:firstLine="540"/>
              <w:jc w:val="both"/>
              <w:rPr>
                <w:rFonts w:eastAsia="Times New Roman"/>
              </w:rPr>
            </w:pPr>
          </w:p>
        </w:tc>
        <w:tc>
          <w:tcPr>
            <w:tcW w:w="1699" w:type="pct"/>
            <w:vAlign w:val="center"/>
            <w:hideMark/>
          </w:tcPr>
          <w:p w14:paraId="23269A21" w14:textId="77777777" w:rsidR="00000000" w:rsidRDefault="00EE5306">
            <w:pPr>
              <w:spacing w:after="100"/>
              <w:rPr>
                <w:rFonts w:eastAsia="Times New Roman"/>
                <w:sz w:val="20"/>
                <w:szCs w:val="20"/>
              </w:rPr>
            </w:pPr>
          </w:p>
        </w:tc>
        <w:tc>
          <w:tcPr>
            <w:tcW w:w="5" w:type="pct"/>
            <w:vAlign w:val="center"/>
            <w:hideMark/>
          </w:tcPr>
          <w:p w14:paraId="1AF3AE8B" w14:textId="77777777" w:rsidR="00000000" w:rsidRDefault="00EE5306">
            <w:pPr>
              <w:spacing w:after="100"/>
              <w:rPr>
                <w:rFonts w:eastAsia="Times New Roman"/>
                <w:sz w:val="20"/>
                <w:szCs w:val="20"/>
              </w:rPr>
            </w:pPr>
          </w:p>
        </w:tc>
        <w:tc>
          <w:tcPr>
            <w:tcW w:w="50" w:type="pct"/>
            <w:vAlign w:val="center"/>
            <w:hideMark/>
          </w:tcPr>
          <w:p w14:paraId="117BDA13" w14:textId="77777777" w:rsidR="00000000" w:rsidRDefault="00EE5306">
            <w:pPr>
              <w:spacing w:after="100"/>
              <w:rPr>
                <w:rFonts w:eastAsia="Times New Roman"/>
                <w:sz w:val="20"/>
                <w:szCs w:val="20"/>
              </w:rPr>
            </w:pPr>
          </w:p>
        </w:tc>
        <w:tc>
          <w:tcPr>
            <w:tcW w:w="1436" w:type="pct"/>
            <w:vAlign w:val="center"/>
            <w:hideMark/>
          </w:tcPr>
          <w:p w14:paraId="5769BAA1" w14:textId="77777777" w:rsidR="00000000" w:rsidRDefault="00EE5306">
            <w:pPr>
              <w:spacing w:after="100"/>
              <w:rPr>
                <w:rFonts w:eastAsia="Times New Roman"/>
                <w:sz w:val="20"/>
                <w:szCs w:val="20"/>
              </w:rPr>
            </w:pPr>
          </w:p>
        </w:tc>
        <w:tc>
          <w:tcPr>
            <w:tcW w:w="5" w:type="pct"/>
            <w:vAlign w:val="center"/>
            <w:hideMark/>
          </w:tcPr>
          <w:p w14:paraId="0E29A761" w14:textId="77777777" w:rsidR="00000000" w:rsidRDefault="00EE5306">
            <w:pPr>
              <w:spacing w:after="100"/>
              <w:rPr>
                <w:rFonts w:eastAsia="Times New Roman"/>
                <w:sz w:val="20"/>
                <w:szCs w:val="20"/>
              </w:rPr>
            </w:pPr>
          </w:p>
        </w:tc>
        <w:tc>
          <w:tcPr>
            <w:tcW w:w="50" w:type="pct"/>
            <w:vAlign w:val="center"/>
            <w:hideMark/>
          </w:tcPr>
          <w:p w14:paraId="6F06F580" w14:textId="77777777" w:rsidR="00000000" w:rsidRDefault="00EE5306">
            <w:pPr>
              <w:spacing w:after="100"/>
              <w:rPr>
                <w:rFonts w:eastAsia="Times New Roman"/>
                <w:sz w:val="20"/>
                <w:szCs w:val="20"/>
              </w:rPr>
            </w:pPr>
          </w:p>
        </w:tc>
        <w:tc>
          <w:tcPr>
            <w:tcW w:w="1699" w:type="pct"/>
            <w:vAlign w:val="center"/>
            <w:hideMark/>
          </w:tcPr>
          <w:p w14:paraId="7905115A" w14:textId="77777777" w:rsidR="00000000" w:rsidRDefault="00EE5306">
            <w:pPr>
              <w:spacing w:after="100"/>
              <w:rPr>
                <w:rFonts w:eastAsia="Times New Roman"/>
                <w:sz w:val="20"/>
                <w:szCs w:val="20"/>
              </w:rPr>
            </w:pPr>
          </w:p>
        </w:tc>
        <w:tc>
          <w:tcPr>
            <w:tcW w:w="5" w:type="pct"/>
            <w:vAlign w:val="center"/>
            <w:hideMark/>
          </w:tcPr>
          <w:p w14:paraId="5277B297" w14:textId="77777777" w:rsidR="00000000" w:rsidRDefault="00EE5306">
            <w:pPr>
              <w:spacing w:after="100"/>
              <w:rPr>
                <w:rFonts w:eastAsia="Times New Roman"/>
                <w:sz w:val="20"/>
                <w:szCs w:val="20"/>
              </w:rPr>
            </w:pPr>
          </w:p>
        </w:tc>
      </w:tr>
      <w:tr w:rsidR="00000000" w14:paraId="4C344F73" w14:textId="77777777">
        <w:trPr>
          <w:divId w:val="1703624964"/>
          <w:jc w:val="center"/>
        </w:trPr>
        <w:tc>
          <w:tcPr>
            <w:tcW w:w="0" w:type="auto"/>
            <w:gridSpan w:val="3"/>
            <w:tcMar>
              <w:top w:w="0" w:type="dxa"/>
              <w:left w:w="20" w:type="dxa"/>
              <w:bottom w:w="0" w:type="dxa"/>
              <w:right w:w="20" w:type="dxa"/>
            </w:tcMar>
            <w:vAlign w:val="center"/>
            <w:hideMark/>
          </w:tcPr>
          <w:p w14:paraId="26BC9BA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ABFE81" w14:textId="77777777" w:rsidR="00000000" w:rsidRDefault="00EE5306">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5D4F747A" w14:textId="77777777" w:rsidR="00000000" w:rsidRDefault="00EE5306">
            <w:pPr>
              <w:spacing w:after="100"/>
              <w:jc w:val="center"/>
              <w:rPr>
                <w:rFonts w:eastAsia="Times New Roman"/>
              </w:rPr>
            </w:pPr>
          </w:p>
        </w:tc>
      </w:tr>
    </w:tbl>
    <w:p w14:paraId="0DD8D489" w14:textId="77777777" w:rsidR="00000000" w:rsidRDefault="00EE5306">
      <w:pPr>
        <w:rPr>
          <w:rFonts w:eastAsia="Times New Roman"/>
        </w:rPr>
      </w:pPr>
      <w:r>
        <w:rPr>
          <w:rFonts w:eastAsia="Times New Roman"/>
        </w:rPr>
        <w:pict w14:anchorId="02171707">
          <v:rect id="_x0000_i1057" style="width:0;height:1.5pt" o:hralign="center" o:hrstd="t" o:hr="t" fillcolor="#a0a0a0" stroked="f"/>
        </w:pict>
      </w:r>
    </w:p>
    <w:p w14:paraId="525E3282" w14:textId="77777777" w:rsidR="00000000" w:rsidRDefault="00EE5306">
      <w:pPr>
        <w:divId w:val="1712414578"/>
        <w:rPr>
          <w:rFonts w:eastAsia="Times New Roman"/>
        </w:rPr>
      </w:pPr>
    </w:p>
    <w:p w14:paraId="02C47B8C" w14:textId="77777777" w:rsidR="00000000" w:rsidRDefault="00EE5306">
      <w:pPr>
        <w:jc w:val="both"/>
        <w:divId w:val="686713320"/>
        <w:rPr>
          <w:rFonts w:eastAsia="Times New Roman"/>
        </w:rPr>
      </w:pPr>
      <w:r>
        <w:rPr>
          <w:rFonts w:eastAsia="Times New Roman"/>
          <w:color w:val="000000"/>
          <w:sz w:val="20"/>
          <w:szCs w:val="20"/>
        </w:rPr>
        <w:t>claimed ownership rights to some of our key trademarks that include Polo and/or a representation of a polo player astride a horse, or otherwise have contested our rights to our trademarks. We have resolved certain of t</w:t>
      </w:r>
      <w:r>
        <w:rPr>
          <w:rFonts w:eastAsia="Times New Roman"/>
          <w:color w:val="000000"/>
          <w:sz w:val="20"/>
          <w:szCs w:val="20"/>
        </w:rPr>
        <w:t>hese conflicts through both legal action and negotiated settlements. We cannot guarantee that the actions we have taken to establish and protect our trademarks and other proprietary rights will be adequate to prevent counterfeiting, lost business, or brand</w:t>
      </w:r>
      <w:r>
        <w:rPr>
          <w:rFonts w:eastAsia="Times New Roman"/>
          <w:color w:val="000000"/>
          <w:sz w:val="20"/>
          <w:szCs w:val="20"/>
        </w:rPr>
        <w:t xml:space="preserve"> dilution, any of which may have a material adverse effect on our business. We expect to continue to devote substantial resources to challenge brands arising from imitation of our products. Also, there can be no assurance that others will not assert rights</w:t>
      </w:r>
      <w:r>
        <w:rPr>
          <w:rFonts w:eastAsia="Times New Roman"/>
          <w:color w:val="000000"/>
          <w:sz w:val="20"/>
          <w:szCs w:val="20"/>
        </w:rPr>
        <w:t xml:space="preserve"> in, or ownership of, trademarks and other proprietary rights of ours or that we will be able to successfully resolve these types of conflicts to our satisfaction or at all. See Item 1 — </w:t>
      </w:r>
      <w:r>
        <w:rPr>
          <w:rFonts w:eastAsia="Times New Roman"/>
          <w:i/>
          <w:iCs/>
          <w:color w:val="000000"/>
          <w:sz w:val="20"/>
          <w:szCs w:val="20"/>
        </w:rPr>
        <w:t>"Business — Trademarks," and Item 3 — "Legal Proceedings."</w:t>
      </w:r>
    </w:p>
    <w:p w14:paraId="46C466ED" w14:textId="77777777" w:rsidR="00000000" w:rsidRDefault="00EE5306">
      <w:pPr>
        <w:jc w:val="both"/>
        <w:divId w:val="440881675"/>
        <w:rPr>
          <w:rFonts w:eastAsia="Times New Roman"/>
        </w:rPr>
      </w:pPr>
      <w:r>
        <w:rPr>
          <w:rFonts w:eastAsia="Times New Roman"/>
          <w:b/>
          <w:bCs/>
          <w:color w:val="000000"/>
          <w:sz w:val="20"/>
          <w:szCs w:val="20"/>
        </w:rPr>
        <w:t>Our busine</w:t>
      </w:r>
      <w:r>
        <w:rPr>
          <w:rFonts w:eastAsia="Times New Roman"/>
          <w:b/>
          <w:bCs/>
          <w:color w:val="000000"/>
          <w:sz w:val="20"/>
          <w:szCs w:val="20"/>
        </w:rPr>
        <w:t>ss is subject to risks associated with importing products and the ability of our manufacturers to produce our goods on time and to our specifications.</w:t>
      </w:r>
    </w:p>
    <w:p w14:paraId="77AD6D5C" w14:textId="77777777" w:rsidR="00000000" w:rsidRDefault="00EE5306">
      <w:pPr>
        <w:ind w:firstLine="540"/>
        <w:jc w:val="both"/>
        <w:divId w:val="573049389"/>
        <w:rPr>
          <w:rFonts w:eastAsia="Times New Roman"/>
        </w:rPr>
      </w:pPr>
      <w:r>
        <w:rPr>
          <w:rFonts w:eastAsia="Times New Roman"/>
          <w:color w:val="000000"/>
          <w:sz w:val="20"/>
          <w:szCs w:val="20"/>
        </w:rPr>
        <w:t>We do not own or operate any manufacturing facilities and depend exclusively on independent third parties</w:t>
      </w:r>
      <w:r>
        <w:rPr>
          <w:rFonts w:eastAsia="Times New Roman"/>
          <w:color w:val="000000"/>
          <w:sz w:val="20"/>
          <w:szCs w:val="20"/>
        </w:rPr>
        <w:t xml:space="preserve"> for the manufacture of our products. Our products are manufactured to our specifications through arrangements with over 300 foreign manufacturers in various countries. In Fiscal 2021, approximately 97% of our products (by dollar value) were produced outsi</w:t>
      </w:r>
      <w:r>
        <w:rPr>
          <w:rFonts w:eastAsia="Times New Roman"/>
          <w:color w:val="000000"/>
          <w:sz w:val="20"/>
          <w:szCs w:val="20"/>
        </w:rPr>
        <w:t>de of the U.S., primarily in Asia, Europe, and Latin America, with approximately 20% of our products sourced from China and another 20% from Vietnam. Risks inherent in importing our products include:</w:t>
      </w:r>
    </w:p>
    <w:p w14:paraId="53495C67" w14:textId="77777777" w:rsidR="00000000" w:rsidRDefault="00EE5306">
      <w:pPr>
        <w:ind w:hanging="360"/>
        <w:jc w:val="both"/>
        <w:divId w:val="1737585776"/>
        <w:rPr>
          <w:rFonts w:eastAsia="Times New Roman"/>
        </w:rPr>
      </w:pPr>
      <w:r>
        <w:rPr>
          <w:rFonts w:eastAsia="Times New Roman"/>
          <w:color w:val="000000"/>
          <w:sz w:val="20"/>
          <w:szCs w:val="20"/>
        </w:rPr>
        <w:t>•pandemic diseases, such as COVID-19, which could result</w:t>
      </w:r>
      <w:r>
        <w:rPr>
          <w:rFonts w:eastAsia="Times New Roman"/>
          <w:color w:val="000000"/>
          <w:sz w:val="20"/>
          <w:szCs w:val="20"/>
        </w:rPr>
        <w:t xml:space="preserve"> in closed factories, reduced workforces, scarcity of raw materials, port congestion, and scrutiny or embargoing of goods produced in infected areas;</w:t>
      </w:r>
    </w:p>
    <w:p w14:paraId="406AD088" w14:textId="77777777" w:rsidR="00000000" w:rsidRDefault="00EE5306">
      <w:pPr>
        <w:ind w:hanging="360"/>
        <w:jc w:val="both"/>
        <w:divId w:val="637884865"/>
        <w:rPr>
          <w:rFonts w:eastAsia="Times New Roman"/>
        </w:rPr>
      </w:pPr>
      <w:r>
        <w:rPr>
          <w:rFonts w:eastAsia="Times New Roman"/>
          <w:color w:val="000000"/>
          <w:sz w:val="20"/>
          <w:szCs w:val="20"/>
        </w:rPr>
        <w:t>•changes in social, political, and economic conditions or terrorist acts that could result in the disrupti</w:t>
      </w:r>
      <w:r>
        <w:rPr>
          <w:rFonts w:eastAsia="Times New Roman"/>
          <w:color w:val="000000"/>
          <w:sz w:val="20"/>
          <w:szCs w:val="20"/>
        </w:rPr>
        <w:t>on of trade from the countries in which our manufacturers or suppliers are located;</w:t>
      </w:r>
    </w:p>
    <w:p w14:paraId="5CCEC793" w14:textId="77777777" w:rsidR="00000000" w:rsidRDefault="00EE5306">
      <w:pPr>
        <w:ind w:hanging="360"/>
        <w:jc w:val="both"/>
        <w:divId w:val="1464275823"/>
        <w:rPr>
          <w:rFonts w:eastAsia="Times New Roman"/>
        </w:rPr>
      </w:pPr>
      <w:r>
        <w:rPr>
          <w:rFonts w:eastAsia="Times New Roman"/>
          <w:color w:val="000000"/>
          <w:sz w:val="20"/>
          <w:szCs w:val="20"/>
        </w:rPr>
        <w:t>•the imposition of additional regulations, quotas, or safeguards relating to imports or exports, and costs of complying with such regulations and other laws relating to the</w:t>
      </w:r>
      <w:r>
        <w:rPr>
          <w:rFonts w:eastAsia="Times New Roman"/>
          <w:color w:val="000000"/>
          <w:sz w:val="20"/>
          <w:szCs w:val="20"/>
        </w:rPr>
        <w:t xml:space="preserve"> identification and reporting of the sources of raw materials used in our products;</w:t>
      </w:r>
    </w:p>
    <w:p w14:paraId="03CB27E6" w14:textId="77777777" w:rsidR="00000000" w:rsidRDefault="00EE5306">
      <w:pPr>
        <w:ind w:hanging="360"/>
        <w:jc w:val="both"/>
        <w:divId w:val="202909447"/>
        <w:rPr>
          <w:rFonts w:eastAsia="Times New Roman"/>
        </w:rPr>
      </w:pPr>
      <w:r>
        <w:rPr>
          <w:rFonts w:eastAsia="Times New Roman"/>
          <w:color w:val="000000"/>
          <w:sz w:val="20"/>
          <w:szCs w:val="20"/>
        </w:rPr>
        <w:t>•the imposition of additional duties, tariffs, taxes, and other charges on imports or exports;</w:t>
      </w:r>
    </w:p>
    <w:p w14:paraId="23C65FB3" w14:textId="77777777" w:rsidR="00000000" w:rsidRDefault="00EE5306">
      <w:pPr>
        <w:ind w:hanging="360"/>
        <w:jc w:val="both"/>
        <w:divId w:val="1532575590"/>
        <w:rPr>
          <w:rFonts w:eastAsia="Times New Roman"/>
        </w:rPr>
      </w:pPr>
      <w:r>
        <w:rPr>
          <w:rFonts w:eastAsia="Times New Roman"/>
          <w:color w:val="000000"/>
          <w:sz w:val="20"/>
          <w:szCs w:val="20"/>
        </w:rPr>
        <w:t>•unfavorable changes in the availability, cost, or quality of raw materials a</w:t>
      </w:r>
      <w:r>
        <w:rPr>
          <w:rFonts w:eastAsia="Times New Roman"/>
          <w:color w:val="000000"/>
          <w:sz w:val="20"/>
          <w:szCs w:val="20"/>
        </w:rPr>
        <w:t>nd commodities;</w:t>
      </w:r>
    </w:p>
    <w:p w14:paraId="0C5211E6" w14:textId="77777777" w:rsidR="00000000" w:rsidRDefault="00EE5306">
      <w:pPr>
        <w:ind w:hanging="360"/>
        <w:jc w:val="both"/>
        <w:divId w:val="1480726284"/>
        <w:rPr>
          <w:rFonts w:eastAsia="Times New Roman"/>
        </w:rPr>
      </w:pPr>
      <w:r>
        <w:rPr>
          <w:rFonts w:eastAsia="Times New Roman"/>
          <w:color w:val="000000"/>
          <w:sz w:val="20"/>
          <w:szCs w:val="20"/>
        </w:rPr>
        <w:t>•increases in the cost of labor, travel, and transportation;</w:t>
      </w:r>
    </w:p>
    <w:p w14:paraId="43855D0D" w14:textId="77777777" w:rsidR="00000000" w:rsidRDefault="00EE5306">
      <w:pPr>
        <w:ind w:hanging="360"/>
        <w:jc w:val="both"/>
        <w:divId w:val="922296885"/>
        <w:rPr>
          <w:rFonts w:eastAsia="Times New Roman"/>
        </w:rPr>
      </w:pPr>
      <w:r>
        <w:rPr>
          <w:rFonts w:eastAsia="Times New Roman"/>
          <w:color w:val="000000"/>
          <w:sz w:val="20"/>
          <w:szCs w:val="20"/>
        </w:rPr>
        <w:t>•disruptions of shipping and international trade caused by natural and man-made disasters, labor shortages (stemming from labor disputes, strikes, or otherwise), or other unforese</w:t>
      </w:r>
      <w:r>
        <w:rPr>
          <w:rFonts w:eastAsia="Times New Roman"/>
          <w:color w:val="000000"/>
          <w:sz w:val="20"/>
          <w:szCs w:val="20"/>
        </w:rPr>
        <w:t>en events;</w:t>
      </w:r>
    </w:p>
    <w:p w14:paraId="6E4F93E9" w14:textId="77777777" w:rsidR="00000000" w:rsidRDefault="00EE5306">
      <w:pPr>
        <w:ind w:hanging="360"/>
        <w:jc w:val="both"/>
        <w:divId w:val="1292177059"/>
        <w:rPr>
          <w:rFonts w:eastAsia="Times New Roman"/>
        </w:rPr>
      </w:pPr>
      <w:r>
        <w:rPr>
          <w:rFonts w:eastAsia="Times New Roman"/>
          <w:color w:val="000000"/>
          <w:sz w:val="20"/>
          <w:szCs w:val="20"/>
        </w:rPr>
        <w:t>•heightened terrorism-related cargo and supply chain security concerns, which could subject imported or exported goods to additional, more frequent, or more thorough inspections, leading to delays in the delivery of cargo;</w:t>
      </w:r>
    </w:p>
    <w:p w14:paraId="7DEA49D3" w14:textId="77777777" w:rsidR="00000000" w:rsidRDefault="00EE5306">
      <w:pPr>
        <w:ind w:hanging="360"/>
        <w:jc w:val="both"/>
        <w:divId w:val="354616"/>
        <w:rPr>
          <w:rFonts w:eastAsia="Times New Roman"/>
        </w:rPr>
      </w:pPr>
      <w:r>
        <w:rPr>
          <w:rFonts w:eastAsia="Times New Roman"/>
          <w:color w:val="000000"/>
          <w:sz w:val="20"/>
          <w:szCs w:val="20"/>
        </w:rPr>
        <w:t>•decreased scrutiny by</w:t>
      </w:r>
      <w:r>
        <w:rPr>
          <w:rFonts w:eastAsia="Times New Roman"/>
          <w:color w:val="000000"/>
          <w:sz w:val="20"/>
          <w:szCs w:val="20"/>
        </w:rPr>
        <w:t xml:space="preserve"> customs officials for counterfeit goods, leading to lost sales, increased costs for our anti-counterfeiting measures, and damage to the reputation of our brands; and</w:t>
      </w:r>
    </w:p>
    <w:p w14:paraId="201F3158" w14:textId="77777777" w:rsidR="00000000" w:rsidRDefault="00EE5306">
      <w:pPr>
        <w:ind w:hanging="360"/>
        <w:jc w:val="both"/>
        <w:divId w:val="593787038"/>
        <w:rPr>
          <w:rFonts w:eastAsia="Times New Roman"/>
        </w:rPr>
      </w:pPr>
      <w:r>
        <w:rPr>
          <w:rFonts w:eastAsia="Times New Roman"/>
          <w:color w:val="000000"/>
          <w:sz w:val="20"/>
          <w:szCs w:val="20"/>
        </w:rPr>
        <w:t>•the imposition of sanctions in the form of additional duties either by the U.S. or its t</w:t>
      </w:r>
      <w:r>
        <w:rPr>
          <w:rFonts w:eastAsia="Times New Roman"/>
          <w:color w:val="000000"/>
          <w:sz w:val="20"/>
          <w:szCs w:val="20"/>
        </w:rPr>
        <w:t xml:space="preserve">rading partners to remedy perceived illegal actions by national governments. </w:t>
      </w:r>
    </w:p>
    <w:p w14:paraId="67B4C306" w14:textId="77777777" w:rsidR="00000000" w:rsidRDefault="00EE5306">
      <w:pPr>
        <w:ind w:firstLine="540"/>
        <w:jc w:val="both"/>
        <w:divId w:val="2083021104"/>
        <w:rPr>
          <w:rFonts w:eastAsia="Times New Roman"/>
        </w:rPr>
      </w:pPr>
      <w:r>
        <w:rPr>
          <w:rFonts w:eastAsia="Times New Roman"/>
          <w:color w:val="000000"/>
          <w:sz w:val="20"/>
          <w:szCs w:val="20"/>
        </w:rPr>
        <w:t>In addition, the inability of a manufacturer to ship orders of our products in a timely manner or to meet our strict quality standards could cause us to miss the delivery date re</w:t>
      </w:r>
      <w:r>
        <w:rPr>
          <w:rFonts w:eastAsia="Times New Roman"/>
          <w:color w:val="000000"/>
          <w:sz w:val="20"/>
          <w:szCs w:val="20"/>
        </w:rPr>
        <w:t>quirements of our customers for those items, which could result in cancellation of orders, refusal to accept deliveries, or a substantial reduction in purchase prices. Prices of raw materials used to manufacture our products may also fluctuate significantl</w:t>
      </w:r>
      <w:r>
        <w:rPr>
          <w:rFonts w:eastAsia="Times New Roman"/>
          <w:color w:val="000000"/>
          <w:sz w:val="20"/>
          <w:szCs w:val="20"/>
        </w:rPr>
        <w:t xml:space="preserve">y as a result of many factors, including general economic conditions, energy prices, crop yields, and availability of labor and the related costs of such labor. Any increases in prices of such raw materials could have a material adverse effect on our cost </w:t>
      </w:r>
      <w:r>
        <w:rPr>
          <w:rFonts w:eastAsia="Times New Roman"/>
          <w:color w:val="000000"/>
          <w:sz w:val="20"/>
          <w:szCs w:val="20"/>
        </w:rPr>
        <w:t>of sales. Furthermore, the cost of labor at many of our third-party manufacturers has been increasing significantly and, as the middle class in developing countries such as China continues to grow, it is unlikely that such cost pressure will abate. The cos</w:t>
      </w:r>
      <w:r>
        <w:rPr>
          <w:rFonts w:eastAsia="Times New Roman"/>
          <w:color w:val="000000"/>
          <w:sz w:val="20"/>
          <w:szCs w:val="20"/>
        </w:rPr>
        <w:t>t of transportation remains significant as well, and it is likely that such cost will fluctuate significantly if oil prices remain volatile. We may not be able to offset such increases in raw materials, freight, or labor costs through pricing actions or ot</w:t>
      </w:r>
      <w:r>
        <w:rPr>
          <w:rFonts w:eastAsia="Times New Roman"/>
          <w:color w:val="000000"/>
          <w:sz w:val="20"/>
          <w:szCs w:val="20"/>
        </w:rPr>
        <w:t>her means.</w:t>
      </w:r>
    </w:p>
    <w:p w14:paraId="1CAAB704" w14:textId="77777777" w:rsidR="00000000" w:rsidRDefault="00EE5306">
      <w:pPr>
        <w:ind w:firstLine="540"/>
        <w:jc w:val="both"/>
        <w:divId w:val="124858775"/>
        <w:rPr>
          <w:rFonts w:eastAsia="Times New Roman"/>
        </w:rPr>
      </w:pPr>
      <w:r>
        <w:rPr>
          <w:rFonts w:eastAsia="Times New Roman"/>
          <w:color w:val="000000"/>
          <w:sz w:val="20"/>
          <w:szCs w:val="20"/>
        </w:rPr>
        <w:t xml:space="preserve">Any one of these factors could have a material adverse effect on our business. For a discussion of risks related to the potential imposition of additional regulations and laws, see </w:t>
      </w:r>
      <w:r>
        <w:rPr>
          <w:rFonts w:eastAsia="Times New Roman"/>
          <w:i/>
          <w:iCs/>
          <w:color w:val="000000"/>
          <w:sz w:val="20"/>
          <w:szCs w:val="20"/>
        </w:rPr>
        <w:t xml:space="preserve">"Risks Related to Regulatory, Legal, and Tax Matters </w:t>
      </w:r>
      <w:r>
        <w:rPr>
          <w:rFonts w:eastAsia="Times New Roman"/>
          <w:color w:val="000000"/>
          <w:sz w:val="20"/>
          <w:szCs w:val="20"/>
        </w:rPr>
        <w:t xml:space="preserve">— </w:t>
      </w:r>
      <w:r>
        <w:rPr>
          <w:rFonts w:eastAsia="Times New Roman"/>
          <w:i/>
          <w:iCs/>
          <w:color w:val="000000"/>
          <w:sz w:val="20"/>
          <w:szCs w:val="20"/>
        </w:rPr>
        <w:t>Our ability to condu</w:t>
      </w:r>
      <w:r>
        <w:rPr>
          <w:rFonts w:eastAsia="Times New Roman"/>
          <w:i/>
          <w:iCs/>
          <w:color w:val="000000"/>
          <w:sz w:val="20"/>
          <w:szCs w:val="20"/>
        </w:rPr>
        <w:t>ct business globally may be affected by a variety of legal, regulatory, political, and economic risks."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7A730AB" w14:textId="77777777">
        <w:trPr>
          <w:divId w:val="271935832"/>
          <w:jc w:val="center"/>
        </w:trPr>
        <w:tc>
          <w:tcPr>
            <w:tcW w:w="50" w:type="pct"/>
            <w:vAlign w:val="center"/>
            <w:hideMark/>
          </w:tcPr>
          <w:p w14:paraId="5C3BD544" w14:textId="77777777" w:rsidR="00000000" w:rsidRDefault="00EE5306">
            <w:pPr>
              <w:ind w:firstLine="540"/>
              <w:jc w:val="both"/>
              <w:rPr>
                <w:rFonts w:eastAsia="Times New Roman"/>
              </w:rPr>
            </w:pPr>
          </w:p>
        </w:tc>
        <w:tc>
          <w:tcPr>
            <w:tcW w:w="1699" w:type="pct"/>
            <w:vAlign w:val="center"/>
            <w:hideMark/>
          </w:tcPr>
          <w:p w14:paraId="7E71701C" w14:textId="77777777" w:rsidR="00000000" w:rsidRDefault="00EE5306">
            <w:pPr>
              <w:spacing w:after="100"/>
              <w:rPr>
                <w:rFonts w:eastAsia="Times New Roman"/>
                <w:sz w:val="20"/>
                <w:szCs w:val="20"/>
              </w:rPr>
            </w:pPr>
          </w:p>
        </w:tc>
        <w:tc>
          <w:tcPr>
            <w:tcW w:w="5" w:type="pct"/>
            <w:vAlign w:val="center"/>
            <w:hideMark/>
          </w:tcPr>
          <w:p w14:paraId="60E6DD47" w14:textId="77777777" w:rsidR="00000000" w:rsidRDefault="00EE5306">
            <w:pPr>
              <w:spacing w:after="100"/>
              <w:rPr>
                <w:rFonts w:eastAsia="Times New Roman"/>
                <w:sz w:val="20"/>
                <w:szCs w:val="20"/>
              </w:rPr>
            </w:pPr>
          </w:p>
        </w:tc>
        <w:tc>
          <w:tcPr>
            <w:tcW w:w="50" w:type="pct"/>
            <w:vAlign w:val="center"/>
            <w:hideMark/>
          </w:tcPr>
          <w:p w14:paraId="13C3D76B" w14:textId="77777777" w:rsidR="00000000" w:rsidRDefault="00EE5306">
            <w:pPr>
              <w:spacing w:after="100"/>
              <w:rPr>
                <w:rFonts w:eastAsia="Times New Roman"/>
                <w:sz w:val="20"/>
                <w:szCs w:val="20"/>
              </w:rPr>
            </w:pPr>
          </w:p>
        </w:tc>
        <w:tc>
          <w:tcPr>
            <w:tcW w:w="1436" w:type="pct"/>
            <w:vAlign w:val="center"/>
            <w:hideMark/>
          </w:tcPr>
          <w:p w14:paraId="5B2BE98E" w14:textId="77777777" w:rsidR="00000000" w:rsidRDefault="00EE5306">
            <w:pPr>
              <w:spacing w:after="100"/>
              <w:rPr>
                <w:rFonts w:eastAsia="Times New Roman"/>
                <w:sz w:val="20"/>
                <w:szCs w:val="20"/>
              </w:rPr>
            </w:pPr>
          </w:p>
        </w:tc>
        <w:tc>
          <w:tcPr>
            <w:tcW w:w="5" w:type="pct"/>
            <w:vAlign w:val="center"/>
            <w:hideMark/>
          </w:tcPr>
          <w:p w14:paraId="3EABC394" w14:textId="77777777" w:rsidR="00000000" w:rsidRDefault="00EE5306">
            <w:pPr>
              <w:spacing w:after="100"/>
              <w:rPr>
                <w:rFonts w:eastAsia="Times New Roman"/>
                <w:sz w:val="20"/>
                <w:szCs w:val="20"/>
              </w:rPr>
            </w:pPr>
          </w:p>
        </w:tc>
        <w:tc>
          <w:tcPr>
            <w:tcW w:w="50" w:type="pct"/>
            <w:vAlign w:val="center"/>
            <w:hideMark/>
          </w:tcPr>
          <w:p w14:paraId="5E7ADA2F" w14:textId="77777777" w:rsidR="00000000" w:rsidRDefault="00EE5306">
            <w:pPr>
              <w:spacing w:after="100"/>
              <w:rPr>
                <w:rFonts w:eastAsia="Times New Roman"/>
                <w:sz w:val="20"/>
                <w:szCs w:val="20"/>
              </w:rPr>
            </w:pPr>
          </w:p>
        </w:tc>
        <w:tc>
          <w:tcPr>
            <w:tcW w:w="1699" w:type="pct"/>
            <w:vAlign w:val="center"/>
            <w:hideMark/>
          </w:tcPr>
          <w:p w14:paraId="2A11199D" w14:textId="77777777" w:rsidR="00000000" w:rsidRDefault="00EE5306">
            <w:pPr>
              <w:spacing w:after="100"/>
              <w:rPr>
                <w:rFonts w:eastAsia="Times New Roman"/>
                <w:sz w:val="20"/>
                <w:szCs w:val="20"/>
              </w:rPr>
            </w:pPr>
          </w:p>
        </w:tc>
        <w:tc>
          <w:tcPr>
            <w:tcW w:w="5" w:type="pct"/>
            <w:vAlign w:val="center"/>
            <w:hideMark/>
          </w:tcPr>
          <w:p w14:paraId="6D105C06" w14:textId="77777777" w:rsidR="00000000" w:rsidRDefault="00EE5306">
            <w:pPr>
              <w:spacing w:after="100"/>
              <w:rPr>
                <w:rFonts w:eastAsia="Times New Roman"/>
                <w:sz w:val="20"/>
                <w:szCs w:val="20"/>
              </w:rPr>
            </w:pPr>
          </w:p>
        </w:tc>
      </w:tr>
      <w:tr w:rsidR="00000000" w14:paraId="5BE5BADC" w14:textId="77777777">
        <w:trPr>
          <w:divId w:val="271935832"/>
          <w:jc w:val="center"/>
        </w:trPr>
        <w:tc>
          <w:tcPr>
            <w:tcW w:w="0" w:type="auto"/>
            <w:gridSpan w:val="3"/>
            <w:tcMar>
              <w:top w:w="0" w:type="dxa"/>
              <w:left w:w="20" w:type="dxa"/>
              <w:bottom w:w="0" w:type="dxa"/>
              <w:right w:w="20" w:type="dxa"/>
            </w:tcMar>
            <w:vAlign w:val="center"/>
            <w:hideMark/>
          </w:tcPr>
          <w:p w14:paraId="5402C58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96152E5" w14:textId="77777777" w:rsidR="00000000" w:rsidRDefault="00EE5306">
            <w:pPr>
              <w:spacing w:after="100"/>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75B5D628" w14:textId="77777777" w:rsidR="00000000" w:rsidRDefault="00EE5306">
            <w:pPr>
              <w:spacing w:after="100"/>
              <w:jc w:val="center"/>
              <w:rPr>
                <w:rFonts w:eastAsia="Times New Roman"/>
              </w:rPr>
            </w:pPr>
          </w:p>
        </w:tc>
      </w:tr>
    </w:tbl>
    <w:p w14:paraId="173E6D5B" w14:textId="77777777" w:rsidR="00000000" w:rsidRDefault="00EE5306">
      <w:pPr>
        <w:rPr>
          <w:rFonts w:eastAsia="Times New Roman"/>
        </w:rPr>
      </w:pPr>
      <w:r>
        <w:rPr>
          <w:rFonts w:eastAsia="Times New Roman"/>
        </w:rPr>
        <w:pict w14:anchorId="4ADB1FE4">
          <v:rect id="_x0000_i1058" style="width:0;height:1.5pt" o:hralign="center" o:hrstd="t" o:hr="t" fillcolor="#a0a0a0" stroked="f"/>
        </w:pict>
      </w:r>
    </w:p>
    <w:p w14:paraId="50F5F0F5" w14:textId="77777777" w:rsidR="00000000" w:rsidRDefault="00EE5306">
      <w:pPr>
        <w:divId w:val="1450125012"/>
        <w:rPr>
          <w:rFonts w:eastAsia="Times New Roman"/>
        </w:rPr>
      </w:pPr>
    </w:p>
    <w:p w14:paraId="0629C9FD" w14:textId="77777777" w:rsidR="00000000" w:rsidRDefault="00EE5306">
      <w:pPr>
        <w:jc w:val="both"/>
        <w:divId w:val="984427530"/>
        <w:rPr>
          <w:rFonts w:eastAsia="Times New Roman"/>
        </w:rPr>
      </w:pPr>
      <w:r>
        <w:rPr>
          <w:rFonts w:eastAsia="Times New Roman"/>
          <w:b/>
          <w:bCs/>
          <w:color w:val="000000"/>
          <w:sz w:val="20"/>
          <w:szCs w:val="20"/>
        </w:rPr>
        <w:t>Our business could suffer if we need to replace manufacturers or distribution centers.</w:t>
      </w:r>
    </w:p>
    <w:p w14:paraId="0C36A05E" w14:textId="77777777" w:rsidR="00000000" w:rsidRDefault="00EE5306">
      <w:pPr>
        <w:ind w:firstLine="540"/>
        <w:jc w:val="both"/>
        <w:divId w:val="466360416"/>
        <w:rPr>
          <w:rFonts w:eastAsia="Times New Roman"/>
        </w:rPr>
      </w:pPr>
      <w:r>
        <w:rPr>
          <w:rFonts w:eastAsia="Times New Roman"/>
          <w:color w:val="000000"/>
          <w:sz w:val="20"/>
          <w:szCs w:val="20"/>
        </w:rPr>
        <w:t>We do not own or operate any manufacturing facilities and depend exclusively on independent third parties for the manufacture of ou</w:t>
      </w:r>
      <w:r>
        <w:rPr>
          <w:rFonts w:eastAsia="Times New Roman"/>
          <w:color w:val="000000"/>
          <w:sz w:val="20"/>
          <w:szCs w:val="20"/>
        </w:rPr>
        <w:t>r products. We compete with other companies for the production capacity of our manufacturers. Some of these competitors may place larger orders than we do, and thus may have an advantage in securing production capacity. If we experience a significant incre</w:t>
      </w:r>
      <w:r>
        <w:rPr>
          <w:rFonts w:eastAsia="Times New Roman"/>
          <w:color w:val="000000"/>
          <w:sz w:val="20"/>
          <w:szCs w:val="20"/>
        </w:rPr>
        <w:t xml:space="preserve">ase in demand, or if an existing manufacturer of ours must be replaced, we may have to expand our third-party manufacturing capacity. We cannot guarantee that this additional capacity will be available when required on terms that are acceptable to us. See </w:t>
      </w:r>
      <w:r>
        <w:rPr>
          <w:rFonts w:eastAsia="Times New Roman"/>
          <w:color w:val="000000"/>
          <w:sz w:val="20"/>
          <w:szCs w:val="20"/>
        </w:rPr>
        <w:t xml:space="preserve">Item 1 — </w:t>
      </w:r>
      <w:r>
        <w:rPr>
          <w:rFonts w:eastAsia="Times New Roman"/>
          <w:i/>
          <w:iCs/>
          <w:color w:val="000000"/>
          <w:sz w:val="20"/>
          <w:szCs w:val="20"/>
        </w:rPr>
        <w:t>"Business — Sourcing, Production and Quality."</w:t>
      </w:r>
      <w:r>
        <w:rPr>
          <w:rFonts w:eastAsia="Times New Roman"/>
          <w:color w:val="000000"/>
          <w:sz w:val="20"/>
          <w:szCs w:val="20"/>
        </w:rPr>
        <w:t xml:space="preserve"> We enter into purchase order commitments each season specifying a time for delivery, method of payment, design and quality specifications, and other standard industry provisions, but do not have long-</w:t>
      </w:r>
      <w:r>
        <w:rPr>
          <w:rFonts w:eastAsia="Times New Roman"/>
          <w:color w:val="000000"/>
          <w:sz w:val="20"/>
          <w:szCs w:val="20"/>
        </w:rPr>
        <w:t>term contracts with any manufacturer. None of the manufacturers we use produce our products exclusively.</w:t>
      </w:r>
    </w:p>
    <w:p w14:paraId="26B2E521" w14:textId="77777777" w:rsidR="00000000" w:rsidRDefault="00EE5306">
      <w:pPr>
        <w:ind w:firstLine="540"/>
        <w:jc w:val="both"/>
        <w:divId w:val="914709256"/>
        <w:rPr>
          <w:rFonts w:eastAsia="Times New Roman"/>
        </w:rPr>
      </w:pPr>
      <w:r>
        <w:rPr>
          <w:rFonts w:eastAsia="Times New Roman"/>
          <w:color w:val="000000"/>
          <w:sz w:val="20"/>
          <w:szCs w:val="20"/>
        </w:rPr>
        <w:t>In addition, we rely on a number of owned, leased, and independently-operated distribution facilities around the world to warehouse and ship products t</w:t>
      </w:r>
      <w:r>
        <w:rPr>
          <w:rFonts w:eastAsia="Times New Roman"/>
          <w:color w:val="000000"/>
          <w:sz w:val="20"/>
          <w:szCs w:val="20"/>
        </w:rPr>
        <w:t>o our customers and perform other related logistic services. Our ability to meet the needs of our customers depends on the proper operation of these distribution centers. Our distributions centers generally utilize computer-controlled and automated equipme</w:t>
      </w:r>
      <w:r>
        <w:rPr>
          <w:rFonts w:eastAsia="Times New Roman"/>
          <w:color w:val="000000"/>
          <w:sz w:val="20"/>
          <w:szCs w:val="20"/>
        </w:rPr>
        <w:t>nt, which are subject to various risks, including software viruses, security breaches, power interruptions, or other system failures. If any of our distribution centers were to close or become inoperable or inaccessible for any reason, including pandemic d</w:t>
      </w:r>
      <w:r>
        <w:rPr>
          <w:rFonts w:eastAsia="Times New Roman"/>
          <w:color w:val="000000"/>
          <w:sz w:val="20"/>
          <w:szCs w:val="20"/>
        </w:rPr>
        <w:t>iseases such as COVID-19, or if we fail to successfully consolidate existing facilities or transition to new facilities, we could experience a substantial loss of inventory, disruption of deliveries to our customers and our stores, increased costs, and lon</w:t>
      </w:r>
      <w:r>
        <w:rPr>
          <w:rFonts w:eastAsia="Times New Roman"/>
          <w:color w:val="000000"/>
          <w:sz w:val="20"/>
          <w:szCs w:val="20"/>
        </w:rPr>
        <w:t>ger lead times associated with the distribution of products during the period that would be required to reopen or replace the facility. Any such disruptions could have a material adverse effect on our business.</w:t>
      </w:r>
    </w:p>
    <w:p w14:paraId="380CF88F" w14:textId="77777777" w:rsidR="00000000" w:rsidRDefault="00EE5306">
      <w:pPr>
        <w:ind w:firstLine="540"/>
        <w:jc w:val="both"/>
        <w:divId w:val="2001695063"/>
        <w:rPr>
          <w:rFonts w:eastAsia="Times New Roman"/>
        </w:rPr>
      </w:pPr>
      <w:r>
        <w:rPr>
          <w:rFonts w:eastAsia="Times New Roman"/>
          <w:color w:val="000000"/>
          <w:sz w:val="20"/>
          <w:szCs w:val="20"/>
        </w:rPr>
        <w:t xml:space="preserve">We also rely upon third-party transportation </w:t>
      </w:r>
      <w:r>
        <w:rPr>
          <w:rFonts w:eastAsia="Times New Roman"/>
          <w:color w:val="000000"/>
          <w:sz w:val="20"/>
          <w:szCs w:val="20"/>
        </w:rPr>
        <w:t>providers for substantially all of our product shipments, including shipments to and from our distribution centers, to our stores and shop-within-shops, and to our digital commerce and wholesale customers. Our utilization of these shipping services is subj</w:t>
      </w:r>
      <w:r>
        <w:rPr>
          <w:rFonts w:eastAsia="Times New Roman"/>
          <w:color w:val="000000"/>
          <w:sz w:val="20"/>
          <w:szCs w:val="20"/>
        </w:rPr>
        <w:t xml:space="preserve">ect to various risks, including, but not limited to, potential labor shortages (stemming from labor disputes, strikes, or otherwise), severe weather, and pandemic diseases, which could delay the timing of shipments, and increases in wages and fuel prices, </w:t>
      </w:r>
      <w:r>
        <w:rPr>
          <w:rFonts w:eastAsia="Times New Roman"/>
          <w:color w:val="000000"/>
          <w:sz w:val="20"/>
          <w:szCs w:val="20"/>
        </w:rPr>
        <w:t>which could result in higher transportation costs. Any delays in the timing of our product shipments or increases in transportation costs could have a material adverse effect on our business.</w:t>
      </w:r>
    </w:p>
    <w:p w14:paraId="64A84A0F" w14:textId="77777777" w:rsidR="00000000" w:rsidRDefault="00EE5306">
      <w:pPr>
        <w:jc w:val="both"/>
        <w:divId w:val="1130709590"/>
        <w:rPr>
          <w:rFonts w:eastAsia="Times New Roman"/>
        </w:rPr>
      </w:pPr>
      <w:r>
        <w:rPr>
          <w:rFonts w:eastAsia="Times New Roman"/>
          <w:b/>
          <w:bCs/>
          <w:color w:val="000000"/>
          <w:sz w:val="20"/>
          <w:szCs w:val="20"/>
        </w:rPr>
        <w:t>Our business is subject to risks associated with leasing real es</w:t>
      </w:r>
      <w:r>
        <w:rPr>
          <w:rFonts w:eastAsia="Times New Roman"/>
          <w:b/>
          <w:bCs/>
          <w:color w:val="000000"/>
          <w:sz w:val="20"/>
          <w:szCs w:val="20"/>
        </w:rPr>
        <w:t>tate and other assets under long-term, non-cancellable leases.</w:t>
      </w:r>
    </w:p>
    <w:p w14:paraId="272DFF90" w14:textId="77777777" w:rsidR="00000000" w:rsidRDefault="00EE5306">
      <w:pPr>
        <w:ind w:firstLine="720"/>
        <w:jc w:val="both"/>
        <w:divId w:val="1900438345"/>
        <w:rPr>
          <w:rFonts w:eastAsia="Times New Roman"/>
        </w:rPr>
      </w:pPr>
      <w:r>
        <w:rPr>
          <w:rFonts w:eastAsia="Times New Roman"/>
          <w:color w:val="000000"/>
          <w:sz w:val="20"/>
          <w:szCs w:val="20"/>
        </w:rPr>
        <w:t>We generally operate most of our stores and corporate facilities under long-term, non-cancellable leasing arrangements. Our retail store leases typically require us to make minimum rental payme</w:t>
      </w:r>
      <w:r>
        <w:rPr>
          <w:rFonts w:eastAsia="Times New Roman"/>
          <w:color w:val="000000"/>
          <w:sz w:val="20"/>
          <w:szCs w:val="20"/>
        </w:rPr>
        <w:t xml:space="preserve">nts, and often contingent rental payments based upon sales. In addition, our leases generally require us to pay our proportionate share of the cost of insurance, taxes, maintenance, and utilities. We generally cannot cancel our leases at our option. If we </w:t>
      </w:r>
      <w:r>
        <w:rPr>
          <w:rFonts w:eastAsia="Times New Roman"/>
          <w:color w:val="000000"/>
          <w:sz w:val="20"/>
          <w:szCs w:val="20"/>
        </w:rPr>
        <w:t>decide to close a store, or if we decide to downsize, consolidate, or relocate any of our corporate facilities, we may be required to record an impairment charge and/or exit costs associated with the disposal of the store or corporate facility. In addition</w:t>
      </w:r>
      <w:r>
        <w:rPr>
          <w:rFonts w:eastAsia="Times New Roman"/>
          <w:color w:val="000000"/>
          <w:sz w:val="20"/>
          <w:szCs w:val="20"/>
        </w:rPr>
        <w:t>, we may remain obligated under the applicable lease for, among other things, payment of the base rent for the remaining lease term, even after the space is exited or otherwise closed and even if such closures are beyond our control (such as the recent for</w:t>
      </w:r>
      <w:r>
        <w:rPr>
          <w:rFonts w:eastAsia="Times New Roman"/>
          <w:color w:val="000000"/>
          <w:sz w:val="20"/>
          <w:szCs w:val="20"/>
        </w:rPr>
        <w:t>ced store closures resulting from the COVID-19 pandemic). Such costs and obligations related to the early or temporary closure of our stores or termination of our leases could have a material adverse effect on our business. In addition, as each of our leas</w:t>
      </w:r>
      <w:r>
        <w:rPr>
          <w:rFonts w:eastAsia="Times New Roman"/>
          <w:color w:val="000000"/>
          <w:sz w:val="20"/>
          <w:szCs w:val="20"/>
        </w:rPr>
        <w:t>es naturally expires, we may be unable to negotiate renewals, either on commercially acceptable terms or at all, which could lead to store closures resulting in lost sales.</w:t>
      </w:r>
    </w:p>
    <w:p w14:paraId="2AB1F02F" w14:textId="77777777" w:rsidR="00000000" w:rsidRDefault="00EE5306">
      <w:pPr>
        <w:jc w:val="both"/>
        <w:divId w:val="410398514"/>
        <w:rPr>
          <w:rFonts w:eastAsia="Times New Roman"/>
        </w:rPr>
      </w:pPr>
      <w:r>
        <w:rPr>
          <w:rFonts w:eastAsia="Times New Roman"/>
          <w:b/>
          <w:bCs/>
          <w:color w:val="000000"/>
          <w:sz w:val="20"/>
          <w:szCs w:val="20"/>
        </w:rPr>
        <w:t>A substantial portion of our revenue is derived from a limited number of large whol</w:t>
      </w:r>
      <w:r>
        <w:rPr>
          <w:rFonts w:eastAsia="Times New Roman"/>
          <w:b/>
          <w:bCs/>
          <w:color w:val="000000"/>
          <w:sz w:val="20"/>
          <w:szCs w:val="20"/>
        </w:rPr>
        <w:t>esale customers. Our business could be adversely affected as a result of consolidations, liquidations, restructurings, other ownership changes in the retail industry, and/or any financial instability of our large wholesale customers.</w:t>
      </w:r>
    </w:p>
    <w:p w14:paraId="07580FBF" w14:textId="77777777" w:rsidR="00000000" w:rsidRDefault="00EE5306">
      <w:pPr>
        <w:ind w:firstLine="540"/>
        <w:jc w:val="both"/>
        <w:divId w:val="643975209"/>
        <w:rPr>
          <w:rFonts w:eastAsia="Times New Roman"/>
        </w:rPr>
      </w:pPr>
      <w:r>
        <w:rPr>
          <w:rFonts w:eastAsia="Times New Roman"/>
          <w:color w:val="000000"/>
          <w:sz w:val="20"/>
          <w:szCs w:val="20"/>
        </w:rPr>
        <w:t xml:space="preserve">Several of our department store customers, including some under common ownership, account for a significant portion of our wholesale net sales. A substantial portion of sales of our licensed products by our domestic licensing partners are also made to our </w:t>
      </w:r>
      <w:r>
        <w:rPr>
          <w:rFonts w:eastAsia="Times New Roman"/>
          <w:color w:val="000000"/>
          <w:sz w:val="20"/>
          <w:szCs w:val="20"/>
        </w:rPr>
        <w:t>largest department store customers. Sales to our three largest wholesale customers accounted for approximately 14% of total net revenues for Fiscal 2021, and these customers accounted for approximately 30% of our total gross trade accounts receivable outst</w:t>
      </w:r>
      <w:r>
        <w:rPr>
          <w:rFonts w:eastAsia="Times New Roman"/>
          <w:color w:val="000000"/>
          <w:sz w:val="20"/>
          <w:szCs w:val="20"/>
        </w:rPr>
        <w:t>anding as of March 27, 2021. Substantially all sales to our three largest wholesale customers related to our North America segment.</w:t>
      </w:r>
    </w:p>
    <w:p w14:paraId="5860CF9A" w14:textId="77777777" w:rsidR="00000000" w:rsidRDefault="00EE5306">
      <w:pPr>
        <w:ind w:firstLine="540"/>
        <w:jc w:val="both"/>
        <w:divId w:val="1670791536"/>
        <w:rPr>
          <w:rFonts w:eastAsia="Times New Roman"/>
        </w:rPr>
      </w:pPr>
      <w:r>
        <w:rPr>
          <w:rFonts w:eastAsia="Times New Roman"/>
          <w:color w:val="000000"/>
          <w:sz w:val="20"/>
          <w:szCs w:val="20"/>
        </w:rPr>
        <w:t>We typically do not enter into long-term agreements with our customers. Instead, we enter into a number of purchase order co</w:t>
      </w:r>
      <w:r>
        <w:rPr>
          <w:rFonts w:eastAsia="Times New Roman"/>
          <w:color w:val="000000"/>
          <w:sz w:val="20"/>
          <w:szCs w:val="20"/>
        </w:rPr>
        <w:t xml:space="preserve">mmitments with our customers for each of our product lines every season. A decision by the controlling owner of a group of stores or any other significant customer, whether motivated by economic conditions, financial difficulties, competitive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6706C47" w14:textId="77777777">
        <w:trPr>
          <w:divId w:val="255021387"/>
          <w:jc w:val="center"/>
        </w:trPr>
        <w:tc>
          <w:tcPr>
            <w:tcW w:w="50" w:type="pct"/>
            <w:vAlign w:val="center"/>
            <w:hideMark/>
          </w:tcPr>
          <w:p w14:paraId="15093026" w14:textId="77777777" w:rsidR="00000000" w:rsidRDefault="00EE5306">
            <w:pPr>
              <w:ind w:firstLine="540"/>
              <w:jc w:val="both"/>
              <w:rPr>
                <w:rFonts w:eastAsia="Times New Roman"/>
              </w:rPr>
            </w:pPr>
          </w:p>
        </w:tc>
        <w:tc>
          <w:tcPr>
            <w:tcW w:w="1699" w:type="pct"/>
            <w:vAlign w:val="center"/>
            <w:hideMark/>
          </w:tcPr>
          <w:p w14:paraId="1C88D62F" w14:textId="77777777" w:rsidR="00000000" w:rsidRDefault="00EE5306">
            <w:pPr>
              <w:spacing w:after="100"/>
              <w:rPr>
                <w:rFonts w:eastAsia="Times New Roman"/>
                <w:sz w:val="20"/>
                <w:szCs w:val="20"/>
              </w:rPr>
            </w:pPr>
          </w:p>
        </w:tc>
        <w:tc>
          <w:tcPr>
            <w:tcW w:w="5" w:type="pct"/>
            <w:vAlign w:val="center"/>
            <w:hideMark/>
          </w:tcPr>
          <w:p w14:paraId="488D7B47" w14:textId="77777777" w:rsidR="00000000" w:rsidRDefault="00EE5306">
            <w:pPr>
              <w:spacing w:after="100"/>
              <w:rPr>
                <w:rFonts w:eastAsia="Times New Roman"/>
                <w:sz w:val="20"/>
                <w:szCs w:val="20"/>
              </w:rPr>
            </w:pPr>
          </w:p>
        </w:tc>
        <w:tc>
          <w:tcPr>
            <w:tcW w:w="50" w:type="pct"/>
            <w:vAlign w:val="center"/>
            <w:hideMark/>
          </w:tcPr>
          <w:p w14:paraId="76BF2117" w14:textId="77777777" w:rsidR="00000000" w:rsidRDefault="00EE5306">
            <w:pPr>
              <w:spacing w:after="100"/>
              <w:rPr>
                <w:rFonts w:eastAsia="Times New Roman"/>
                <w:sz w:val="20"/>
                <w:szCs w:val="20"/>
              </w:rPr>
            </w:pPr>
          </w:p>
        </w:tc>
        <w:tc>
          <w:tcPr>
            <w:tcW w:w="1436" w:type="pct"/>
            <w:vAlign w:val="center"/>
            <w:hideMark/>
          </w:tcPr>
          <w:p w14:paraId="1D656871" w14:textId="77777777" w:rsidR="00000000" w:rsidRDefault="00EE5306">
            <w:pPr>
              <w:spacing w:after="100"/>
              <w:rPr>
                <w:rFonts w:eastAsia="Times New Roman"/>
                <w:sz w:val="20"/>
                <w:szCs w:val="20"/>
              </w:rPr>
            </w:pPr>
          </w:p>
        </w:tc>
        <w:tc>
          <w:tcPr>
            <w:tcW w:w="5" w:type="pct"/>
            <w:vAlign w:val="center"/>
            <w:hideMark/>
          </w:tcPr>
          <w:p w14:paraId="56647EE8" w14:textId="77777777" w:rsidR="00000000" w:rsidRDefault="00EE5306">
            <w:pPr>
              <w:spacing w:after="100"/>
              <w:rPr>
                <w:rFonts w:eastAsia="Times New Roman"/>
                <w:sz w:val="20"/>
                <w:szCs w:val="20"/>
              </w:rPr>
            </w:pPr>
          </w:p>
        </w:tc>
        <w:tc>
          <w:tcPr>
            <w:tcW w:w="50" w:type="pct"/>
            <w:vAlign w:val="center"/>
            <w:hideMark/>
          </w:tcPr>
          <w:p w14:paraId="68656B89" w14:textId="77777777" w:rsidR="00000000" w:rsidRDefault="00EE5306">
            <w:pPr>
              <w:spacing w:after="100"/>
              <w:rPr>
                <w:rFonts w:eastAsia="Times New Roman"/>
                <w:sz w:val="20"/>
                <w:szCs w:val="20"/>
              </w:rPr>
            </w:pPr>
          </w:p>
        </w:tc>
        <w:tc>
          <w:tcPr>
            <w:tcW w:w="1699" w:type="pct"/>
            <w:vAlign w:val="center"/>
            <w:hideMark/>
          </w:tcPr>
          <w:p w14:paraId="15DB5E22" w14:textId="77777777" w:rsidR="00000000" w:rsidRDefault="00EE5306">
            <w:pPr>
              <w:spacing w:after="100"/>
              <w:rPr>
                <w:rFonts w:eastAsia="Times New Roman"/>
                <w:sz w:val="20"/>
                <w:szCs w:val="20"/>
              </w:rPr>
            </w:pPr>
          </w:p>
        </w:tc>
        <w:tc>
          <w:tcPr>
            <w:tcW w:w="5" w:type="pct"/>
            <w:vAlign w:val="center"/>
            <w:hideMark/>
          </w:tcPr>
          <w:p w14:paraId="1BB6FF64" w14:textId="77777777" w:rsidR="00000000" w:rsidRDefault="00EE5306">
            <w:pPr>
              <w:spacing w:after="100"/>
              <w:rPr>
                <w:rFonts w:eastAsia="Times New Roman"/>
                <w:sz w:val="20"/>
                <w:szCs w:val="20"/>
              </w:rPr>
            </w:pPr>
          </w:p>
        </w:tc>
      </w:tr>
      <w:tr w:rsidR="00000000" w14:paraId="41B6D456" w14:textId="77777777">
        <w:trPr>
          <w:divId w:val="255021387"/>
          <w:jc w:val="center"/>
        </w:trPr>
        <w:tc>
          <w:tcPr>
            <w:tcW w:w="0" w:type="auto"/>
            <w:gridSpan w:val="3"/>
            <w:tcMar>
              <w:top w:w="0" w:type="dxa"/>
              <w:left w:w="20" w:type="dxa"/>
              <w:bottom w:w="0" w:type="dxa"/>
              <w:right w:w="20" w:type="dxa"/>
            </w:tcMar>
            <w:vAlign w:val="center"/>
            <w:hideMark/>
          </w:tcPr>
          <w:p w14:paraId="31F6CE8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5E4971" w14:textId="77777777" w:rsidR="00000000" w:rsidRDefault="00EE5306">
            <w:pPr>
              <w:spacing w:after="100"/>
              <w:jc w:val="center"/>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14:paraId="10344E91" w14:textId="77777777" w:rsidR="00000000" w:rsidRDefault="00EE5306">
            <w:pPr>
              <w:spacing w:after="100"/>
              <w:jc w:val="center"/>
              <w:rPr>
                <w:rFonts w:eastAsia="Times New Roman"/>
              </w:rPr>
            </w:pPr>
          </w:p>
        </w:tc>
      </w:tr>
    </w:tbl>
    <w:p w14:paraId="1DFCC1E8" w14:textId="77777777" w:rsidR="00000000" w:rsidRDefault="00EE5306">
      <w:pPr>
        <w:rPr>
          <w:rFonts w:eastAsia="Times New Roman"/>
        </w:rPr>
      </w:pPr>
      <w:r>
        <w:rPr>
          <w:rFonts w:eastAsia="Times New Roman"/>
        </w:rPr>
        <w:pict w14:anchorId="53633815">
          <v:rect id="_x0000_i1059" style="width:0;height:1.5pt" o:hralign="center" o:hrstd="t" o:hr="t" fillcolor="#a0a0a0" stroked="f"/>
        </w:pict>
      </w:r>
    </w:p>
    <w:p w14:paraId="04A7B2E2" w14:textId="77777777" w:rsidR="00000000" w:rsidRDefault="00EE5306">
      <w:pPr>
        <w:divId w:val="157430783"/>
        <w:rPr>
          <w:rFonts w:eastAsia="Times New Roman"/>
        </w:rPr>
      </w:pPr>
    </w:p>
    <w:p w14:paraId="30863429" w14:textId="77777777" w:rsidR="00000000" w:rsidRDefault="00EE5306">
      <w:pPr>
        <w:jc w:val="both"/>
        <w:divId w:val="1832866078"/>
        <w:rPr>
          <w:rFonts w:eastAsia="Times New Roman"/>
        </w:rPr>
      </w:pPr>
      <w:r>
        <w:rPr>
          <w:rFonts w:eastAsia="Times New Roman"/>
          <w:color w:val="000000"/>
          <w:sz w:val="20"/>
          <w:szCs w:val="20"/>
        </w:rPr>
        <w:t>conditions, or otherwise, to decrease or eliminate the amount of merchandise purchased from us or our licensing partners or to change their manner of doing business with us or our licensing partners or their new strate</w:t>
      </w:r>
      <w:r>
        <w:rPr>
          <w:rFonts w:eastAsia="Times New Roman"/>
          <w:color w:val="000000"/>
          <w:sz w:val="20"/>
          <w:szCs w:val="20"/>
        </w:rPr>
        <w:t>gic and operational initiatives, including their continued focus on further development of their "private label" initiatives, could have a material adverse effect on our business.</w:t>
      </w:r>
    </w:p>
    <w:p w14:paraId="278BDB3E" w14:textId="77777777" w:rsidR="00000000" w:rsidRDefault="00EE5306">
      <w:pPr>
        <w:ind w:firstLine="540"/>
        <w:jc w:val="both"/>
        <w:divId w:val="257636826"/>
        <w:rPr>
          <w:rFonts w:eastAsia="Times New Roman"/>
        </w:rPr>
      </w:pPr>
      <w:r>
        <w:rPr>
          <w:rFonts w:eastAsia="Times New Roman"/>
          <w:color w:val="000000"/>
          <w:sz w:val="20"/>
          <w:szCs w:val="20"/>
        </w:rPr>
        <w:t>The department store sector has also experienced numerous consolidations, re</w:t>
      </w:r>
      <w:r>
        <w:rPr>
          <w:rFonts w:eastAsia="Times New Roman"/>
          <w:color w:val="000000"/>
          <w:sz w:val="20"/>
          <w:szCs w:val="20"/>
        </w:rPr>
        <w:t>structurings, reorganizations, and other ownership changes in recent years, which could potentially increase in frequency as a result of prolonged periods of adverse economic conditions, such as those being caused by the COVID-19 pandemic, or changes in co</w:t>
      </w:r>
      <w:r>
        <w:rPr>
          <w:rFonts w:eastAsia="Times New Roman"/>
          <w:color w:val="000000"/>
          <w:sz w:val="20"/>
          <w:szCs w:val="20"/>
        </w:rPr>
        <w:t>nsumer shopping preferences, such as the increasing shift away from traditional brick and mortar wholesale retailers to larger online retailers. Our wholesale customers have experienced significant business disruptions as a result of the pandemic, includin</w:t>
      </w:r>
      <w:r>
        <w:rPr>
          <w:rFonts w:eastAsia="Times New Roman"/>
          <w:color w:val="000000"/>
          <w:sz w:val="20"/>
          <w:szCs w:val="20"/>
        </w:rPr>
        <w:t xml:space="preserve">g declines in retail traffic, temporary store closures, and other operational restrictions. There can be no assurance that our wholesale customers have adequate financial resources and/or access to additional capital to withstand prolonged periods of such </w:t>
      </w:r>
      <w:r>
        <w:rPr>
          <w:rFonts w:eastAsia="Times New Roman"/>
          <w:color w:val="000000"/>
          <w:sz w:val="20"/>
          <w:szCs w:val="20"/>
        </w:rPr>
        <w:t>adverse economic conditions. The loss of one or more significant wholesale customers, or the loss of a large number of smaller wholesale customers, could have a material adverse effect on our business.</w:t>
      </w:r>
    </w:p>
    <w:p w14:paraId="3B66A4E7" w14:textId="77777777" w:rsidR="00000000" w:rsidRDefault="00EE5306">
      <w:pPr>
        <w:ind w:firstLine="540"/>
        <w:jc w:val="both"/>
        <w:divId w:val="163279315"/>
        <w:rPr>
          <w:rFonts w:eastAsia="Times New Roman"/>
        </w:rPr>
      </w:pPr>
      <w:r>
        <w:rPr>
          <w:rFonts w:eastAsia="Times New Roman"/>
          <w:color w:val="000000"/>
          <w:sz w:val="20"/>
          <w:szCs w:val="20"/>
        </w:rPr>
        <w:t xml:space="preserve">Further, even prior to the COVID-19 pandemic, certain </w:t>
      </w:r>
      <w:r>
        <w:rPr>
          <w:rFonts w:eastAsia="Times New Roman"/>
          <w:color w:val="000000"/>
          <w:sz w:val="20"/>
          <w:szCs w:val="20"/>
        </w:rPr>
        <w:t>of our large wholesale customers, particularly those located in the U.S., have been highly promotional and have aggressively marked down their merchandise, including our products. The continuation of such promotional activity could negatively impact our br</w:t>
      </w:r>
      <w:r>
        <w:rPr>
          <w:rFonts w:eastAsia="Times New Roman"/>
          <w:color w:val="000000"/>
          <w:sz w:val="20"/>
          <w:szCs w:val="20"/>
        </w:rPr>
        <w:t>and image and/or lead to requests from those customers for increased markdown allowances at the end of the season. In response and in connection with our growth plan, we strategically reduce shipments to certain of our customers and close less productive d</w:t>
      </w:r>
      <w:r>
        <w:rPr>
          <w:rFonts w:eastAsia="Times New Roman"/>
          <w:color w:val="000000"/>
          <w:sz w:val="20"/>
          <w:szCs w:val="20"/>
        </w:rPr>
        <w:t>oors when deemed appropriate.</w:t>
      </w:r>
    </w:p>
    <w:p w14:paraId="6BD1016A" w14:textId="77777777" w:rsidR="00000000" w:rsidRDefault="00EE5306">
      <w:pPr>
        <w:ind w:firstLine="540"/>
        <w:jc w:val="both"/>
        <w:divId w:val="1404645723"/>
        <w:rPr>
          <w:rFonts w:eastAsia="Times New Roman"/>
        </w:rPr>
      </w:pPr>
      <w:r>
        <w:rPr>
          <w:rFonts w:eastAsia="Times New Roman"/>
          <w:color w:val="000000"/>
          <w:sz w:val="20"/>
          <w:szCs w:val="20"/>
        </w:rPr>
        <w:t>We sell our wholesale merchandise primarily to major department stores, specialty stores, and third-party digital partners across North America, Europe, Asia, and Australia, and extend credit based on an evaluation of each who</w:t>
      </w:r>
      <w:r>
        <w:rPr>
          <w:rFonts w:eastAsia="Times New Roman"/>
          <w:color w:val="000000"/>
          <w:sz w:val="20"/>
          <w:szCs w:val="20"/>
        </w:rPr>
        <w:t>lesale customer's financial condition, usually without requiring collateral. However, the financial difficulties of a wholesale customer, including those resulting from the COVID-19 pandemic, could cause us to limit or eliminate our business with that cust</w:t>
      </w:r>
      <w:r>
        <w:rPr>
          <w:rFonts w:eastAsia="Times New Roman"/>
          <w:color w:val="000000"/>
          <w:sz w:val="20"/>
          <w:szCs w:val="20"/>
        </w:rPr>
        <w:t xml:space="preserve">omer. We may also assume more credit risk relating to that customer's receivables. Our inability to collect on our trade accounts receivable from any one of these customers could have a material adverse effect on our business. See Item 1 — </w:t>
      </w:r>
      <w:r>
        <w:rPr>
          <w:rFonts w:eastAsia="Times New Roman"/>
          <w:i/>
          <w:iCs/>
          <w:color w:val="000000"/>
          <w:sz w:val="20"/>
          <w:szCs w:val="20"/>
        </w:rPr>
        <w:t>"Business — Whol</w:t>
      </w:r>
      <w:r>
        <w:rPr>
          <w:rFonts w:eastAsia="Times New Roman"/>
          <w:i/>
          <w:iCs/>
          <w:color w:val="000000"/>
          <w:sz w:val="20"/>
          <w:szCs w:val="20"/>
        </w:rPr>
        <w:t>esale Credit Control."</w:t>
      </w:r>
    </w:p>
    <w:p w14:paraId="4C3034FF" w14:textId="77777777" w:rsidR="00000000" w:rsidRDefault="00EE5306">
      <w:pPr>
        <w:jc w:val="both"/>
        <w:divId w:val="1971401991"/>
        <w:rPr>
          <w:rFonts w:eastAsia="Times New Roman"/>
        </w:rPr>
      </w:pPr>
      <w:r>
        <w:rPr>
          <w:rFonts w:eastAsia="Times New Roman"/>
          <w:b/>
          <w:bCs/>
          <w:color w:val="000000"/>
          <w:sz w:val="20"/>
          <w:szCs w:val="20"/>
        </w:rPr>
        <w:t xml:space="preserve">We have a substantial amount of indebtedness which could restrict our ability to engage in additional capital-related transactions in the future. </w:t>
      </w:r>
    </w:p>
    <w:p w14:paraId="706DED48" w14:textId="77777777" w:rsidR="00000000" w:rsidRDefault="00EE5306">
      <w:pPr>
        <w:ind w:firstLine="540"/>
        <w:jc w:val="both"/>
        <w:divId w:val="1853493189"/>
        <w:rPr>
          <w:rFonts w:eastAsia="Times New Roman"/>
        </w:rPr>
      </w:pPr>
      <w:r>
        <w:rPr>
          <w:rFonts w:eastAsia="Times New Roman"/>
          <w:color w:val="000000"/>
          <w:sz w:val="20"/>
          <w:szCs w:val="20"/>
        </w:rPr>
        <w:t xml:space="preserve">As of March 27, 2021, our consolidated indebtedness was approximately $1.633 billion, </w:t>
      </w:r>
      <w:r>
        <w:rPr>
          <w:rFonts w:eastAsia="Times New Roman"/>
          <w:color w:val="000000"/>
          <w:sz w:val="20"/>
          <w:szCs w:val="20"/>
        </w:rPr>
        <w:t xml:space="preserve">comprised of our outstanding borrowings under Senior Notes. We also maintain several credit and overdraft facilities, including our Global Credit Facility, which collectively had a remaining availability of approximately $571 million as of March 27, 2021. </w:t>
      </w:r>
      <w:r>
        <w:rPr>
          <w:rFonts w:eastAsia="Times New Roman"/>
          <w:color w:val="000000"/>
          <w:sz w:val="20"/>
          <w:szCs w:val="20"/>
        </w:rPr>
        <w:t xml:space="preserve">Accordingly, the amount of our indebtedness could further increase materially if we decide to draw upon our credit or overdraft facilities. </w:t>
      </w:r>
    </w:p>
    <w:p w14:paraId="4434CA68" w14:textId="77777777" w:rsidR="00000000" w:rsidRDefault="00EE5306">
      <w:pPr>
        <w:ind w:firstLine="540"/>
        <w:jc w:val="both"/>
        <w:divId w:val="50156316"/>
        <w:rPr>
          <w:rFonts w:eastAsia="Times New Roman"/>
        </w:rPr>
      </w:pPr>
      <w:r>
        <w:rPr>
          <w:rFonts w:eastAsia="Times New Roman"/>
          <w:color w:val="000000"/>
          <w:sz w:val="20"/>
          <w:szCs w:val="20"/>
        </w:rPr>
        <w:t>We rely on our operating cash flows to repay our outstanding borrowings, as well as to fund any working capital nee</w:t>
      </w:r>
      <w:r>
        <w:rPr>
          <w:rFonts w:eastAsia="Times New Roman"/>
          <w:color w:val="000000"/>
          <w:sz w:val="20"/>
          <w:szCs w:val="20"/>
        </w:rPr>
        <w:t>ds, capital expenditures, dividend payments, share repurchases, and other general corporate purposes. Prolonged periods of adverse economic conditions or business disruptions in any of our key regions, or a combination thereof, such as those resulting from</w:t>
      </w:r>
      <w:r>
        <w:rPr>
          <w:rFonts w:eastAsia="Times New Roman"/>
          <w:color w:val="000000"/>
          <w:sz w:val="20"/>
          <w:szCs w:val="20"/>
        </w:rPr>
        <w:t xml:space="preserve"> the COVID-19 pandemic, could impede our ability to pay our obligations as they become due or return value to our shareholders, as well as delay previously planned expenditures related to our operations. Credit rating agencies also periodically review our </w:t>
      </w:r>
      <w:r>
        <w:rPr>
          <w:rFonts w:eastAsia="Times New Roman"/>
          <w:color w:val="000000"/>
          <w:sz w:val="20"/>
          <w:szCs w:val="20"/>
        </w:rPr>
        <w:t>capital structure and our ability to generate earnings. A prolonged period of deteriorated financial performance or our inability to comply with debt covenants (as discussed below) could make future financing more difficult to secure and/or expensive. Furt</w:t>
      </w:r>
      <w:r>
        <w:rPr>
          <w:rFonts w:eastAsia="Times New Roman"/>
          <w:color w:val="000000"/>
          <w:sz w:val="20"/>
          <w:szCs w:val="20"/>
        </w:rPr>
        <w:t>her, factors beyond our control, such as adverse economic conditions, could disrupt capital markets and limit the availability or willingness of financial institutions to extend capital to us in the future.</w:t>
      </w:r>
    </w:p>
    <w:p w14:paraId="3845DD4F" w14:textId="77777777" w:rsidR="00000000" w:rsidRDefault="00EE5306">
      <w:pPr>
        <w:ind w:firstLine="540"/>
        <w:jc w:val="both"/>
        <w:divId w:val="1800803599"/>
        <w:rPr>
          <w:rFonts w:eastAsia="Times New Roman"/>
        </w:rPr>
      </w:pPr>
      <w:r>
        <w:rPr>
          <w:rFonts w:eastAsia="Times New Roman"/>
          <w:color w:val="000000"/>
          <w:sz w:val="20"/>
          <w:szCs w:val="20"/>
        </w:rPr>
        <w:t xml:space="preserve">Certain of our debt instruments contain a number </w:t>
      </w:r>
      <w:r>
        <w:rPr>
          <w:rFonts w:eastAsia="Times New Roman"/>
          <w:color w:val="000000"/>
          <w:sz w:val="20"/>
          <w:szCs w:val="20"/>
        </w:rPr>
        <w:t xml:space="preserve">of affirmative and negative covenants. On May 26, 2020, we entered into an amendment to our Global Credit Facility that relaxed certain financial covenants while providing additional restrictions under our negative covenants for a specified period of time </w:t>
      </w:r>
      <w:r>
        <w:rPr>
          <w:rFonts w:eastAsia="Times New Roman"/>
          <w:color w:val="000000"/>
          <w:sz w:val="20"/>
          <w:szCs w:val="20"/>
        </w:rPr>
        <w:t>as further described in Note 11 to the accompanying consolidated financial statements. Our amended Global Credit Facility also contains representations and warranties, including that there has been no material adverse change in the business, operations, pr</w:t>
      </w:r>
      <w:r>
        <w:rPr>
          <w:rFonts w:eastAsia="Times New Roman"/>
          <w:color w:val="000000"/>
          <w:sz w:val="20"/>
          <w:szCs w:val="20"/>
        </w:rPr>
        <w:t>operty, or condition (financial or otherwise) of the Company and its subsidiaries, taken as a whole. Our failure to comply with such covenants or representations and warranties, or otherwise secure temporary waivers of non-compliance, could result in the t</w:t>
      </w:r>
      <w:r>
        <w:rPr>
          <w:rFonts w:eastAsia="Times New Roman"/>
          <w:color w:val="000000"/>
          <w:sz w:val="20"/>
          <w:szCs w:val="20"/>
        </w:rPr>
        <w:t>ermination of the related facilities and/or our lenders demanding any amounts outstanding to be immediately repaid, which could have a material adverse effect on our business. Further, even if we are able to obtain waivers of non-compliance, such waivers m</w:t>
      </w:r>
      <w:r>
        <w:rPr>
          <w:rFonts w:eastAsia="Times New Roman"/>
          <w:color w:val="000000"/>
          <w:sz w:val="20"/>
          <w:szCs w:val="20"/>
        </w:rPr>
        <w:t xml:space="preserve">ay result in incremental fees, higher interest rates, and/or additional restrictions and covenants.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5021C03" w14:textId="77777777">
        <w:trPr>
          <w:divId w:val="234517840"/>
          <w:jc w:val="center"/>
        </w:trPr>
        <w:tc>
          <w:tcPr>
            <w:tcW w:w="50" w:type="pct"/>
            <w:vAlign w:val="center"/>
            <w:hideMark/>
          </w:tcPr>
          <w:p w14:paraId="6B47FE42" w14:textId="77777777" w:rsidR="00000000" w:rsidRDefault="00EE5306">
            <w:pPr>
              <w:ind w:firstLine="540"/>
              <w:jc w:val="both"/>
              <w:rPr>
                <w:rFonts w:eastAsia="Times New Roman"/>
              </w:rPr>
            </w:pPr>
          </w:p>
        </w:tc>
        <w:tc>
          <w:tcPr>
            <w:tcW w:w="1699" w:type="pct"/>
            <w:vAlign w:val="center"/>
            <w:hideMark/>
          </w:tcPr>
          <w:p w14:paraId="43F20CA8" w14:textId="77777777" w:rsidR="00000000" w:rsidRDefault="00EE5306">
            <w:pPr>
              <w:spacing w:after="100"/>
              <w:rPr>
                <w:rFonts w:eastAsia="Times New Roman"/>
                <w:sz w:val="20"/>
                <w:szCs w:val="20"/>
              </w:rPr>
            </w:pPr>
          </w:p>
        </w:tc>
        <w:tc>
          <w:tcPr>
            <w:tcW w:w="5" w:type="pct"/>
            <w:vAlign w:val="center"/>
            <w:hideMark/>
          </w:tcPr>
          <w:p w14:paraId="37DC6B6A" w14:textId="77777777" w:rsidR="00000000" w:rsidRDefault="00EE5306">
            <w:pPr>
              <w:spacing w:after="100"/>
              <w:rPr>
                <w:rFonts w:eastAsia="Times New Roman"/>
                <w:sz w:val="20"/>
                <w:szCs w:val="20"/>
              </w:rPr>
            </w:pPr>
          </w:p>
        </w:tc>
        <w:tc>
          <w:tcPr>
            <w:tcW w:w="50" w:type="pct"/>
            <w:vAlign w:val="center"/>
            <w:hideMark/>
          </w:tcPr>
          <w:p w14:paraId="1E1187F1" w14:textId="77777777" w:rsidR="00000000" w:rsidRDefault="00EE5306">
            <w:pPr>
              <w:spacing w:after="100"/>
              <w:rPr>
                <w:rFonts w:eastAsia="Times New Roman"/>
                <w:sz w:val="20"/>
                <w:szCs w:val="20"/>
              </w:rPr>
            </w:pPr>
          </w:p>
        </w:tc>
        <w:tc>
          <w:tcPr>
            <w:tcW w:w="1436" w:type="pct"/>
            <w:vAlign w:val="center"/>
            <w:hideMark/>
          </w:tcPr>
          <w:p w14:paraId="2198F880" w14:textId="77777777" w:rsidR="00000000" w:rsidRDefault="00EE5306">
            <w:pPr>
              <w:spacing w:after="100"/>
              <w:rPr>
                <w:rFonts w:eastAsia="Times New Roman"/>
                <w:sz w:val="20"/>
                <w:szCs w:val="20"/>
              </w:rPr>
            </w:pPr>
          </w:p>
        </w:tc>
        <w:tc>
          <w:tcPr>
            <w:tcW w:w="5" w:type="pct"/>
            <w:vAlign w:val="center"/>
            <w:hideMark/>
          </w:tcPr>
          <w:p w14:paraId="04821913" w14:textId="77777777" w:rsidR="00000000" w:rsidRDefault="00EE5306">
            <w:pPr>
              <w:spacing w:after="100"/>
              <w:rPr>
                <w:rFonts w:eastAsia="Times New Roman"/>
                <w:sz w:val="20"/>
                <w:szCs w:val="20"/>
              </w:rPr>
            </w:pPr>
          </w:p>
        </w:tc>
        <w:tc>
          <w:tcPr>
            <w:tcW w:w="50" w:type="pct"/>
            <w:vAlign w:val="center"/>
            <w:hideMark/>
          </w:tcPr>
          <w:p w14:paraId="0E08A7D3" w14:textId="77777777" w:rsidR="00000000" w:rsidRDefault="00EE5306">
            <w:pPr>
              <w:spacing w:after="100"/>
              <w:rPr>
                <w:rFonts w:eastAsia="Times New Roman"/>
                <w:sz w:val="20"/>
                <w:szCs w:val="20"/>
              </w:rPr>
            </w:pPr>
          </w:p>
        </w:tc>
        <w:tc>
          <w:tcPr>
            <w:tcW w:w="1699" w:type="pct"/>
            <w:vAlign w:val="center"/>
            <w:hideMark/>
          </w:tcPr>
          <w:p w14:paraId="7D1B0CC9" w14:textId="77777777" w:rsidR="00000000" w:rsidRDefault="00EE5306">
            <w:pPr>
              <w:spacing w:after="100"/>
              <w:rPr>
                <w:rFonts w:eastAsia="Times New Roman"/>
                <w:sz w:val="20"/>
                <w:szCs w:val="20"/>
              </w:rPr>
            </w:pPr>
          </w:p>
        </w:tc>
        <w:tc>
          <w:tcPr>
            <w:tcW w:w="5" w:type="pct"/>
            <w:vAlign w:val="center"/>
            <w:hideMark/>
          </w:tcPr>
          <w:p w14:paraId="11C671A2" w14:textId="77777777" w:rsidR="00000000" w:rsidRDefault="00EE5306">
            <w:pPr>
              <w:spacing w:after="100"/>
              <w:rPr>
                <w:rFonts w:eastAsia="Times New Roman"/>
                <w:sz w:val="20"/>
                <w:szCs w:val="20"/>
              </w:rPr>
            </w:pPr>
          </w:p>
        </w:tc>
      </w:tr>
      <w:tr w:rsidR="00000000" w14:paraId="21D7481F" w14:textId="77777777">
        <w:trPr>
          <w:divId w:val="234517840"/>
          <w:jc w:val="center"/>
        </w:trPr>
        <w:tc>
          <w:tcPr>
            <w:tcW w:w="0" w:type="auto"/>
            <w:gridSpan w:val="3"/>
            <w:tcMar>
              <w:top w:w="0" w:type="dxa"/>
              <w:left w:w="20" w:type="dxa"/>
              <w:bottom w:w="0" w:type="dxa"/>
              <w:right w:w="20" w:type="dxa"/>
            </w:tcMar>
            <w:vAlign w:val="center"/>
            <w:hideMark/>
          </w:tcPr>
          <w:p w14:paraId="3CF94F7E"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36B7BA6" w14:textId="77777777" w:rsidR="00000000" w:rsidRDefault="00EE5306">
            <w:pPr>
              <w:spacing w:after="100"/>
              <w:jc w:val="center"/>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14:paraId="0D737835" w14:textId="77777777" w:rsidR="00000000" w:rsidRDefault="00EE5306">
            <w:pPr>
              <w:spacing w:after="100"/>
              <w:jc w:val="center"/>
              <w:rPr>
                <w:rFonts w:eastAsia="Times New Roman"/>
              </w:rPr>
            </w:pPr>
          </w:p>
        </w:tc>
      </w:tr>
    </w:tbl>
    <w:p w14:paraId="5AF68FF2" w14:textId="77777777" w:rsidR="00000000" w:rsidRDefault="00EE5306">
      <w:pPr>
        <w:rPr>
          <w:rFonts w:eastAsia="Times New Roman"/>
        </w:rPr>
      </w:pPr>
      <w:r>
        <w:rPr>
          <w:rFonts w:eastAsia="Times New Roman"/>
        </w:rPr>
        <w:pict w14:anchorId="206B6EB3">
          <v:rect id="_x0000_i1060" style="width:0;height:1.5pt" o:hralign="center" o:hrstd="t" o:hr="t" fillcolor="#a0a0a0" stroked="f"/>
        </w:pict>
      </w:r>
    </w:p>
    <w:p w14:paraId="3FFD2A14" w14:textId="77777777" w:rsidR="00000000" w:rsidRDefault="00EE5306">
      <w:pPr>
        <w:divId w:val="1770924424"/>
        <w:rPr>
          <w:rFonts w:eastAsia="Times New Roman"/>
        </w:rPr>
      </w:pPr>
    </w:p>
    <w:p w14:paraId="6E442212" w14:textId="77777777" w:rsidR="00000000" w:rsidRDefault="00EE5306">
      <w:pPr>
        <w:jc w:val="both"/>
        <w:divId w:val="1902866182"/>
        <w:rPr>
          <w:rFonts w:eastAsia="Times New Roman"/>
        </w:rPr>
      </w:pPr>
      <w:r>
        <w:rPr>
          <w:rFonts w:eastAsia="Times New Roman"/>
          <w:b/>
          <w:bCs/>
          <w:color w:val="000000"/>
          <w:sz w:val="20"/>
          <w:szCs w:val="20"/>
        </w:rPr>
        <w:t>We rely on our licensing partners to preserve the value of our licenses. Failure to maintain licensing partners could harm our business.</w:t>
      </w:r>
    </w:p>
    <w:p w14:paraId="46DC0074" w14:textId="77777777" w:rsidR="00000000" w:rsidRDefault="00EE5306">
      <w:pPr>
        <w:ind w:firstLine="540"/>
        <w:jc w:val="both"/>
        <w:divId w:val="1849058539"/>
        <w:rPr>
          <w:rFonts w:eastAsia="Times New Roman"/>
        </w:rPr>
      </w:pPr>
      <w:r>
        <w:rPr>
          <w:rFonts w:eastAsia="Times New Roman"/>
          <w:color w:val="000000"/>
          <w:sz w:val="20"/>
          <w:szCs w:val="20"/>
        </w:rPr>
        <w:t>The risks associated with our own products also apply to our licensed products in</w:t>
      </w:r>
      <w:r>
        <w:rPr>
          <w:rFonts w:eastAsia="Times New Roman"/>
          <w:color w:val="000000"/>
          <w:sz w:val="20"/>
          <w:szCs w:val="20"/>
        </w:rPr>
        <w:t xml:space="preserve"> addition to any number of possible risks specific to a licensing partner's business, including risks associated with a particular licensing partner's ability to (i) obtain capital; (ii) execute its business plans; (iii) manage its labor relations; (iv) ma</w:t>
      </w:r>
      <w:r>
        <w:rPr>
          <w:rFonts w:eastAsia="Times New Roman"/>
          <w:color w:val="000000"/>
          <w:sz w:val="20"/>
          <w:szCs w:val="20"/>
        </w:rPr>
        <w:t>intain relationships with its suppliers and customers; (v) generate sufficient cash flows to fund its operations and pay its obligations as they become due, including minimum royalties due to us; (vi) withstand prolonged periods of adverse economic conditi</w:t>
      </w:r>
      <w:r>
        <w:rPr>
          <w:rFonts w:eastAsia="Times New Roman"/>
          <w:color w:val="000000"/>
          <w:sz w:val="20"/>
          <w:szCs w:val="20"/>
        </w:rPr>
        <w:t>ons, such as those being caused by the COVID-19 pandemic; and (vii) manage its credit and bankruptcy risks effectively.</w:t>
      </w:r>
    </w:p>
    <w:p w14:paraId="010A3BFC" w14:textId="77777777" w:rsidR="00000000" w:rsidRDefault="00EE5306">
      <w:pPr>
        <w:ind w:firstLine="540"/>
        <w:jc w:val="both"/>
        <w:divId w:val="520751992"/>
        <w:rPr>
          <w:rFonts w:eastAsia="Times New Roman"/>
        </w:rPr>
      </w:pPr>
      <w:r>
        <w:rPr>
          <w:rFonts w:eastAsia="Times New Roman"/>
          <w:color w:val="000000"/>
          <w:sz w:val="20"/>
          <w:szCs w:val="20"/>
        </w:rPr>
        <w:t>Although a number of our license agreements prohibit our licensing partners from entering into licensing arrangements with our competito</w:t>
      </w:r>
      <w:r>
        <w:rPr>
          <w:rFonts w:eastAsia="Times New Roman"/>
          <w:color w:val="000000"/>
          <w:sz w:val="20"/>
          <w:szCs w:val="20"/>
        </w:rPr>
        <w:t>rs, our licensing partners generally are not precluded from offering, under other non-competitor brands, the types of products covered by their license agreements with us. A substantial portion of sales of our products by our domestic licensing partners ar</w:t>
      </w:r>
      <w:r>
        <w:rPr>
          <w:rFonts w:eastAsia="Times New Roman"/>
          <w:color w:val="000000"/>
          <w:sz w:val="20"/>
          <w:szCs w:val="20"/>
        </w:rPr>
        <w:t>e also made to our largest customers. While we have significant control over our licensing partners' products and advertising, we rely on our licensing partners for, among other things, operational and financial control over their businesses. Changes in ma</w:t>
      </w:r>
      <w:r>
        <w:rPr>
          <w:rFonts w:eastAsia="Times New Roman"/>
          <w:color w:val="000000"/>
          <w:sz w:val="20"/>
          <w:szCs w:val="20"/>
        </w:rPr>
        <w:t>nagement, reduced sales of licensed products, poor execution, or financial difficulties with respect to any of our licensing partners could adversely affect our revenues, both directly from reduced licensing revenue received and indirectly from reduced sal</w:t>
      </w:r>
      <w:r>
        <w:rPr>
          <w:rFonts w:eastAsia="Times New Roman"/>
          <w:color w:val="000000"/>
          <w:sz w:val="20"/>
          <w:szCs w:val="20"/>
        </w:rPr>
        <w:t>es of our other products. Although we believe that we could replace our existing licensing partners in most circumstances, if necessary, our inability to do so for any period of time could adversely affect our revenues, both directly from reduced licensing</w:t>
      </w:r>
      <w:r>
        <w:rPr>
          <w:rFonts w:eastAsia="Times New Roman"/>
          <w:color w:val="000000"/>
          <w:sz w:val="20"/>
          <w:szCs w:val="20"/>
        </w:rPr>
        <w:t xml:space="preserve"> revenue received and indirectly from reduced sales of our other products. See Item 1 — </w:t>
      </w:r>
      <w:r>
        <w:rPr>
          <w:rFonts w:eastAsia="Times New Roman"/>
          <w:i/>
          <w:iCs/>
          <w:color w:val="000000"/>
          <w:sz w:val="20"/>
          <w:szCs w:val="20"/>
        </w:rPr>
        <w:t>"Business — Our Licensing Business."</w:t>
      </w:r>
    </w:p>
    <w:p w14:paraId="00ABDDDC" w14:textId="77777777" w:rsidR="00000000" w:rsidRDefault="00EE5306">
      <w:pPr>
        <w:jc w:val="both"/>
        <w:divId w:val="1985506390"/>
        <w:rPr>
          <w:rFonts w:eastAsia="Times New Roman"/>
        </w:rPr>
      </w:pPr>
      <w:r>
        <w:rPr>
          <w:rFonts w:eastAsia="Times New Roman"/>
          <w:b/>
          <w:bCs/>
          <w:color w:val="000000"/>
          <w:sz w:val="20"/>
          <w:szCs w:val="20"/>
        </w:rPr>
        <w:t>Our business could be adversely affected by man-made or natural disasters and other catastrophic events in the locations in which w</w:t>
      </w:r>
      <w:r>
        <w:rPr>
          <w:rFonts w:eastAsia="Times New Roman"/>
          <w:b/>
          <w:bCs/>
          <w:color w:val="000000"/>
          <w:sz w:val="20"/>
          <w:szCs w:val="20"/>
        </w:rPr>
        <w:t>e or our customers or suppliers operate.</w:t>
      </w:r>
    </w:p>
    <w:p w14:paraId="5C6AF3F3" w14:textId="77777777" w:rsidR="00000000" w:rsidRDefault="00EE5306">
      <w:pPr>
        <w:ind w:firstLine="540"/>
        <w:jc w:val="both"/>
        <w:divId w:val="1129010655"/>
        <w:rPr>
          <w:rFonts w:eastAsia="Times New Roman"/>
        </w:rPr>
      </w:pPr>
      <w:r>
        <w:rPr>
          <w:rFonts w:eastAsia="Times New Roman"/>
          <w:color w:val="000000"/>
          <w:sz w:val="20"/>
          <w:szCs w:val="20"/>
        </w:rPr>
        <w:t>Our operations, including retail, distribution, and warehousing operations, are susceptible to man-made or natural disasters, including pandemic diseases such as COVID-19, severe weather, geological events, and othe</w:t>
      </w:r>
      <w:r>
        <w:rPr>
          <w:rFonts w:eastAsia="Times New Roman"/>
          <w:color w:val="000000"/>
          <w:sz w:val="20"/>
          <w:szCs w:val="20"/>
        </w:rPr>
        <w:t>r catastrophic events, such as terrorist attacks and military conflict, any of which could disrupt our operations. In addition, the operations of our customers and suppliers could experience similar disruptions. The occurrence of natural disasters or other</w:t>
      </w:r>
      <w:r>
        <w:rPr>
          <w:rFonts w:eastAsia="Times New Roman"/>
          <w:color w:val="000000"/>
          <w:sz w:val="20"/>
          <w:szCs w:val="20"/>
        </w:rPr>
        <w:t xml:space="preserve"> catastrophic events may result in sudden disruptions in the business operations of the local economies affected, as well as of the regional and global economies. The occurrence of such events could also adversely affect financial markets and the availabil</w:t>
      </w:r>
      <w:r>
        <w:rPr>
          <w:rFonts w:eastAsia="Times New Roman"/>
          <w:color w:val="000000"/>
          <w:sz w:val="20"/>
          <w:szCs w:val="20"/>
        </w:rPr>
        <w:t>ity of capital. In addition, our business can be affected by unseasonable weather conditions, such as extended periods of unseasonably warm temperatures in the winter or unseasonably cold temperatures in the summer. Any of these events could result in decr</w:t>
      </w:r>
      <w:r>
        <w:rPr>
          <w:rFonts w:eastAsia="Times New Roman"/>
          <w:color w:val="000000"/>
          <w:sz w:val="20"/>
          <w:szCs w:val="20"/>
        </w:rPr>
        <w:t>eased demand for our products and disruptions in our sales channels and manufacturing and distribution networks, which could have a material adverse effect on our business.</w:t>
      </w:r>
    </w:p>
    <w:p w14:paraId="0E1D8B01" w14:textId="77777777" w:rsidR="00000000" w:rsidRDefault="00EE5306">
      <w:pPr>
        <w:jc w:val="both"/>
        <w:divId w:val="1847748206"/>
        <w:rPr>
          <w:rFonts w:eastAsia="Times New Roman"/>
        </w:rPr>
      </w:pPr>
      <w:r>
        <w:rPr>
          <w:rFonts w:eastAsia="Times New Roman"/>
          <w:b/>
          <w:bCs/>
          <w:color w:val="000000"/>
          <w:sz w:val="20"/>
          <w:szCs w:val="20"/>
          <w:u w:val="single"/>
        </w:rPr>
        <w:t>Risks Related to Information Systems and Data Security</w:t>
      </w:r>
    </w:p>
    <w:p w14:paraId="1E6A68CD" w14:textId="77777777" w:rsidR="00000000" w:rsidRDefault="00EE5306">
      <w:pPr>
        <w:jc w:val="both"/>
        <w:divId w:val="582761923"/>
        <w:rPr>
          <w:rFonts w:eastAsia="Times New Roman"/>
        </w:rPr>
      </w:pPr>
      <w:r>
        <w:rPr>
          <w:rFonts w:eastAsia="Times New Roman"/>
          <w:b/>
          <w:bCs/>
          <w:color w:val="000000"/>
          <w:sz w:val="20"/>
          <w:szCs w:val="20"/>
        </w:rPr>
        <w:t>A data security or privacy b</w:t>
      </w:r>
      <w:r>
        <w:rPr>
          <w:rFonts w:eastAsia="Times New Roman"/>
          <w:b/>
          <w:bCs/>
          <w:color w:val="000000"/>
          <w:sz w:val="20"/>
          <w:szCs w:val="20"/>
        </w:rPr>
        <w:t>reach could damage our reputation and our relationships with our customers or employees, expose us to litigation risk, and adversely affect our business.</w:t>
      </w:r>
    </w:p>
    <w:p w14:paraId="7343463A" w14:textId="77777777" w:rsidR="00000000" w:rsidRDefault="00EE5306">
      <w:pPr>
        <w:ind w:firstLine="540"/>
        <w:jc w:val="both"/>
        <w:divId w:val="166482281"/>
        <w:rPr>
          <w:rFonts w:eastAsia="Times New Roman"/>
        </w:rPr>
      </w:pPr>
      <w:r>
        <w:rPr>
          <w:rFonts w:eastAsia="Times New Roman"/>
          <w:color w:val="000000"/>
          <w:sz w:val="20"/>
          <w:szCs w:val="20"/>
        </w:rPr>
        <w:t>We are dependent on information technology systems and networks, including the Internet, for a signifi</w:t>
      </w:r>
      <w:r>
        <w:rPr>
          <w:rFonts w:eastAsia="Times New Roman"/>
          <w:color w:val="000000"/>
          <w:sz w:val="20"/>
          <w:szCs w:val="20"/>
        </w:rPr>
        <w:t>cant portion of our direct-to-consumer sales, including our digital commerce operations and retail business credit card transaction authorization and processing. We are also responsible for storing data relating to our customers and employees and rely on t</w:t>
      </w:r>
      <w:r>
        <w:rPr>
          <w:rFonts w:eastAsia="Times New Roman"/>
          <w:color w:val="000000"/>
          <w:sz w:val="20"/>
          <w:szCs w:val="20"/>
        </w:rPr>
        <w:t>hird parties for the operation of our digital commerce sites and for the various social media tools and websites we use as part of our marketing strategy. In our normal course of business, we often collect, transmit, and/or retain certain sensitive and con</w:t>
      </w:r>
      <w:r>
        <w:rPr>
          <w:rFonts w:eastAsia="Times New Roman"/>
          <w:color w:val="000000"/>
          <w:sz w:val="20"/>
          <w:szCs w:val="20"/>
        </w:rPr>
        <w:t>fidential customer information, including credit card information. There is significant concern by consumers, employees, and lawmakers alike over the security of personal information transmitted over the Internet, consumer identity theft, and user privacy,</w:t>
      </w:r>
      <w:r>
        <w:rPr>
          <w:rFonts w:eastAsia="Times New Roman"/>
          <w:color w:val="000000"/>
          <w:sz w:val="20"/>
          <w:szCs w:val="20"/>
        </w:rPr>
        <w:t xml:space="preserve"> as cyber-criminals are becoming increasingly more sophisticated in their attempts to gain unauthorized access to computer systems and confidential or sensitive data.</w:t>
      </w:r>
    </w:p>
    <w:p w14:paraId="76EA2364" w14:textId="77777777" w:rsidR="00000000" w:rsidRDefault="00EE5306">
      <w:pPr>
        <w:ind w:firstLine="540"/>
        <w:jc w:val="both"/>
        <w:divId w:val="1343313418"/>
        <w:rPr>
          <w:rFonts w:eastAsia="Times New Roman"/>
        </w:rPr>
      </w:pPr>
      <w:r>
        <w:rPr>
          <w:rFonts w:eastAsia="Times New Roman"/>
          <w:color w:val="000000"/>
          <w:sz w:val="20"/>
          <w:szCs w:val="20"/>
        </w:rPr>
        <w:t>Despite the security measures we currently have in place (including those described in It</w:t>
      </w:r>
      <w:r>
        <w:rPr>
          <w:rFonts w:eastAsia="Times New Roman"/>
          <w:color w:val="000000"/>
          <w:sz w:val="20"/>
          <w:szCs w:val="20"/>
        </w:rPr>
        <w:t xml:space="preserve">em 1 — </w:t>
      </w:r>
      <w:r>
        <w:rPr>
          <w:rFonts w:eastAsia="Times New Roman"/>
          <w:i/>
          <w:iCs/>
          <w:color w:val="000000"/>
          <w:sz w:val="20"/>
          <w:szCs w:val="20"/>
        </w:rPr>
        <w:t>"Business — Information Systems"</w:t>
      </w:r>
      <w:r>
        <w:rPr>
          <w:rFonts w:eastAsia="Times New Roman"/>
          <w:color w:val="000000"/>
          <w:sz w:val="20"/>
          <w:szCs w:val="20"/>
        </w:rPr>
        <w:t xml:space="preserve">), our facilities and systems and those of our third-party service providers may be vulnerable to security breaches, acts of vandalism, phishing attacks, computer viruses, malware, ransomware, misplaced or lost data, </w:t>
      </w:r>
      <w:r>
        <w:rPr>
          <w:rFonts w:eastAsia="Times New Roman"/>
          <w:color w:val="000000"/>
          <w:sz w:val="20"/>
          <w:szCs w:val="20"/>
        </w:rPr>
        <w:t>programming and/or human errors, or other Internet or email events. The increased use of smartphones, tablets, and other wireless devices, as well as the need for a substantial portion of our corporate employees to work remotely during the COVID-19 pandemi</w:t>
      </w:r>
      <w:r>
        <w:rPr>
          <w:rFonts w:eastAsia="Times New Roman"/>
          <w:color w:val="000000"/>
          <w:sz w:val="20"/>
          <w:szCs w:val="20"/>
        </w:rPr>
        <w:t>c, may also heighten these and other operational risks. The retail industry in particular continues to be the target of many cyber-attacks, which are becoming increasingly more difficult to anticipate and prevent due to their rapidly evolving nature. Altho</w:t>
      </w:r>
      <w:r>
        <w:rPr>
          <w:rFonts w:eastAsia="Times New Roman"/>
          <w:color w:val="000000"/>
          <w:sz w:val="20"/>
          <w:szCs w:val="20"/>
        </w:rPr>
        <w:t xml:space="preserve">ugh we have purchased network security and cyber liability insurance to provide a level of financial protection should a data breach occur,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C2FAF18" w14:textId="77777777">
        <w:trPr>
          <w:divId w:val="1381006164"/>
          <w:jc w:val="center"/>
        </w:trPr>
        <w:tc>
          <w:tcPr>
            <w:tcW w:w="50" w:type="pct"/>
            <w:vAlign w:val="center"/>
            <w:hideMark/>
          </w:tcPr>
          <w:p w14:paraId="0F5CAB24" w14:textId="77777777" w:rsidR="00000000" w:rsidRDefault="00EE5306">
            <w:pPr>
              <w:ind w:firstLine="540"/>
              <w:jc w:val="both"/>
              <w:rPr>
                <w:rFonts w:eastAsia="Times New Roman"/>
              </w:rPr>
            </w:pPr>
          </w:p>
        </w:tc>
        <w:tc>
          <w:tcPr>
            <w:tcW w:w="1699" w:type="pct"/>
            <w:vAlign w:val="center"/>
            <w:hideMark/>
          </w:tcPr>
          <w:p w14:paraId="711E48A3" w14:textId="77777777" w:rsidR="00000000" w:rsidRDefault="00EE5306">
            <w:pPr>
              <w:spacing w:after="100"/>
              <w:rPr>
                <w:rFonts w:eastAsia="Times New Roman"/>
                <w:sz w:val="20"/>
                <w:szCs w:val="20"/>
              </w:rPr>
            </w:pPr>
          </w:p>
        </w:tc>
        <w:tc>
          <w:tcPr>
            <w:tcW w:w="5" w:type="pct"/>
            <w:vAlign w:val="center"/>
            <w:hideMark/>
          </w:tcPr>
          <w:p w14:paraId="31D576C6" w14:textId="77777777" w:rsidR="00000000" w:rsidRDefault="00EE5306">
            <w:pPr>
              <w:spacing w:after="100"/>
              <w:rPr>
                <w:rFonts w:eastAsia="Times New Roman"/>
                <w:sz w:val="20"/>
                <w:szCs w:val="20"/>
              </w:rPr>
            </w:pPr>
          </w:p>
        </w:tc>
        <w:tc>
          <w:tcPr>
            <w:tcW w:w="50" w:type="pct"/>
            <w:vAlign w:val="center"/>
            <w:hideMark/>
          </w:tcPr>
          <w:p w14:paraId="653A5096" w14:textId="77777777" w:rsidR="00000000" w:rsidRDefault="00EE5306">
            <w:pPr>
              <w:spacing w:after="100"/>
              <w:rPr>
                <w:rFonts w:eastAsia="Times New Roman"/>
                <w:sz w:val="20"/>
                <w:szCs w:val="20"/>
              </w:rPr>
            </w:pPr>
          </w:p>
        </w:tc>
        <w:tc>
          <w:tcPr>
            <w:tcW w:w="1436" w:type="pct"/>
            <w:vAlign w:val="center"/>
            <w:hideMark/>
          </w:tcPr>
          <w:p w14:paraId="09326F59" w14:textId="77777777" w:rsidR="00000000" w:rsidRDefault="00EE5306">
            <w:pPr>
              <w:spacing w:after="100"/>
              <w:rPr>
                <w:rFonts w:eastAsia="Times New Roman"/>
                <w:sz w:val="20"/>
                <w:szCs w:val="20"/>
              </w:rPr>
            </w:pPr>
          </w:p>
        </w:tc>
        <w:tc>
          <w:tcPr>
            <w:tcW w:w="5" w:type="pct"/>
            <w:vAlign w:val="center"/>
            <w:hideMark/>
          </w:tcPr>
          <w:p w14:paraId="6EE66F8A" w14:textId="77777777" w:rsidR="00000000" w:rsidRDefault="00EE5306">
            <w:pPr>
              <w:spacing w:after="100"/>
              <w:rPr>
                <w:rFonts w:eastAsia="Times New Roman"/>
                <w:sz w:val="20"/>
                <w:szCs w:val="20"/>
              </w:rPr>
            </w:pPr>
          </w:p>
        </w:tc>
        <w:tc>
          <w:tcPr>
            <w:tcW w:w="50" w:type="pct"/>
            <w:vAlign w:val="center"/>
            <w:hideMark/>
          </w:tcPr>
          <w:p w14:paraId="1951E28B" w14:textId="77777777" w:rsidR="00000000" w:rsidRDefault="00EE5306">
            <w:pPr>
              <w:spacing w:after="100"/>
              <w:rPr>
                <w:rFonts w:eastAsia="Times New Roman"/>
                <w:sz w:val="20"/>
                <w:szCs w:val="20"/>
              </w:rPr>
            </w:pPr>
          </w:p>
        </w:tc>
        <w:tc>
          <w:tcPr>
            <w:tcW w:w="1699" w:type="pct"/>
            <w:vAlign w:val="center"/>
            <w:hideMark/>
          </w:tcPr>
          <w:p w14:paraId="756CA710" w14:textId="77777777" w:rsidR="00000000" w:rsidRDefault="00EE5306">
            <w:pPr>
              <w:spacing w:after="100"/>
              <w:rPr>
                <w:rFonts w:eastAsia="Times New Roman"/>
                <w:sz w:val="20"/>
                <w:szCs w:val="20"/>
              </w:rPr>
            </w:pPr>
          </w:p>
        </w:tc>
        <w:tc>
          <w:tcPr>
            <w:tcW w:w="5" w:type="pct"/>
            <w:vAlign w:val="center"/>
            <w:hideMark/>
          </w:tcPr>
          <w:p w14:paraId="64521655" w14:textId="77777777" w:rsidR="00000000" w:rsidRDefault="00EE5306">
            <w:pPr>
              <w:spacing w:after="100"/>
              <w:rPr>
                <w:rFonts w:eastAsia="Times New Roman"/>
                <w:sz w:val="20"/>
                <w:szCs w:val="20"/>
              </w:rPr>
            </w:pPr>
          </w:p>
        </w:tc>
      </w:tr>
      <w:tr w:rsidR="00000000" w14:paraId="382AE2CE" w14:textId="77777777">
        <w:trPr>
          <w:divId w:val="1381006164"/>
          <w:jc w:val="center"/>
        </w:trPr>
        <w:tc>
          <w:tcPr>
            <w:tcW w:w="0" w:type="auto"/>
            <w:gridSpan w:val="3"/>
            <w:tcMar>
              <w:top w:w="0" w:type="dxa"/>
              <w:left w:w="20" w:type="dxa"/>
              <w:bottom w:w="0" w:type="dxa"/>
              <w:right w:w="20" w:type="dxa"/>
            </w:tcMar>
            <w:vAlign w:val="center"/>
            <w:hideMark/>
          </w:tcPr>
          <w:p w14:paraId="0C5CFAF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15C2DB" w14:textId="77777777" w:rsidR="00000000" w:rsidRDefault="00EE5306">
            <w:pPr>
              <w:spacing w:after="100"/>
              <w:jc w:val="center"/>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14:paraId="6BE12A91" w14:textId="77777777" w:rsidR="00000000" w:rsidRDefault="00EE5306">
            <w:pPr>
              <w:spacing w:after="100"/>
              <w:jc w:val="center"/>
              <w:rPr>
                <w:rFonts w:eastAsia="Times New Roman"/>
              </w:rPr>
            </w:pPr>
          </w:p>
        </w:tc>
      </w:tr>
    </w:tbl>
    <w:p w14:paraId="604BC27D" w14:textId="77777777" w:rsidR="00000000" w:rsidRDefault="00EE5306">
      <w:pPr>
        <w:rPr>
          <w:rFonts w:eastAsia="Times New Roman"/>
        </w:rPr>
      </w:pPr>
      <w:r>
        <w:rPr>
          <w:rFonts w:eastAsia="Times New Roman"/>
        </w:rPr>
        <w:pict w14:anchorId="5482802C">
          <v:rect id="_x0000_i1061" style="width:0;height:1.5pt" o:hralign="center" o:hrstd="t" o:hr="t" fillcolor="#a0a0a0" stroked="f"/>
        </w:pict>
      </w:r>
    </w:p>
    <w:p w14:paraId="55712474" w14:textId="77777777" w:rsidR="00000000" w:rsidRDefault="00EE5306">
      <w:pPr>
        <w:divId w:val="1917982404"/>
        <w:rPr>
          <w:rFonts w:eastAsia="Times New Roman"/>
        </w:rPr>
      </w:pPr>
    </w:p>
    <w:p w14:paraId="70905752" w14:textId="77777777" w:rsidR="00000000" w:rsidRDefault="00EE5306">
      <w:pPr>
        <w:jc w:val="both"/>
        <w:divId w:val="950892141"/>
        <w:rPr>
          <w:rFonts w:eastAsia="Times New Roman"/>
        </w:rPr>
      </w:pPr>
      <w:r>
        <w:rPr>
          <w:rFonts w:eastAsia="Times New Roman"/>
          <w:color w:val="000000"/>
          <w:sz w:val="20"/>
          <w:szCs w:val="20"/>
        </w:rPr>
        <w:t>such insurance may not cover us against all claims or costs associated with such a breach. Additionally, the technology we use to protect our systems from being breached or compromised could become outdated as a result</w:t>
      </w:r>
      <w:r>
        <w:rPr>
          <w:rFonts w:eastAsia="Times New Roman"/>
          <w:color w:val="000000"/>
          <w:sz w:val="20"/>
          <w:szCs w:val="20"/>
        </w:rPr>
        <w:t xml:space="preserve"> of advances in computer capabilities or other technological developments. Further, measures we implement to protect our computer systems against cyber-attacks may make them harder to use or reduce the speed at which they operate, which in turn could negat</w:t>
      </w:r>
      <w:r>
        <w:rPr>
          <w:rFonts w:eastAsia="Times New Roman"/>
          <w:color w:val="000000"/>
          <w:sz w:val="20"/>
          <w:szCs w:val="20"/>
        </w:rPr>
        <w:t>ively impact our customers' shopping experience resulting in reduced website traffic, diminished loyalty to our brands, and lost sales.</w:t>
      </w:r>
    </w:p>
    <w:p w14:paraId="6C72D52E" w14:textId="77777777" w:rsidR="00000000" w:rsidRDefault="00EE5306">
      <w:pPr>
        <w:ind w:firstLine="540"/>
        <w:jc w:val="both"/>
        <w:divId w:val="1797479155"/>
        <w:rPr>
          <w:rFonts w:eastAsia="Times New Roman"/>
        </w:rPr>
      </w:pPr>
      <w:r>
        <w:rPr>
          <w:rFonts w:eastAsia="Times New Roman"/>
          <w:color w:val="000000"/>
          <w:sz w:val="20"/>
          <w:szCs w:val="20"/>
        </w:rPr>
        <w:t>Any perceived or actual electronic or physical security breach involving the misappropriation, loss, or other unauthoriz</w:t>
      </w:r>
      <w:r>
        <w:rPr>
          <w:rFonts w:eastAsia="Times New Roman"/>
          <w:color w:val="000000"/>
          <w:sz w:val="20"/>
          <w:szCs w:val="20"/>
        </w:rPr>
        <w:t>ed disclosure of confidential or personally identifiable information, including penetration of our network security, whether by us or by a third party, could disrupt our business, severely damage our reputation and our relationships with our customers or e</w:t>
      </w:r>
      <w:r>
        <w:rPr>
          <w:rFonts w:eastAsia="Times New Roman"/>
          <w:color w:val="000000"/>
          <w:sz w:val="20"/>
          <w:szCs w:val="20"/>
        </w:rPr>
        <w:t>mployees, expose us to risks of litigation, significant fines and penalties, and liability, and result in deterioration in our customers' and employees' confidence in us, and adversely affect our business, results of operations, and financial condition. Si</w:t>
      </w:r>
      <w:r>
        <w:rPr>
          <w:rFonts w:eastAsia="Times New Roman"/>
          <w:color w:val="000000"/>
          <w:sz w:val="20"/>
          <w:szCs w:val="20"/>
        </w:rPr>
        <w:t>nce we do not control third-party service providers and cannot guarantee that no electronic or physical computer break-ins and security breaches will occur in the future, any perceived or actual unauthorized disclosure of personally identifiable informatio</w:t>
      </w:r>
      <w:r>
        <w:rPr>
          <w:rFonts w:eastAsia="Times New Roman"/>
          <w:color w:val="000000"/>
          <w:sz w:val="20"/>
          <w:szCs w:val="20"/>
        </w:rPr>
        <w:t>n regarding our employees, customers, or website visitors could harm our reputation and credibility, result in lost sales, impair our ability to attract website visitors, and/or reduce our ability to attract and retain employees and customers. As these thr</w:t>
      </w:r>
      <w:r>
        <w:rPr>
          <w:rFonts w:eastAsia="Times New Roman"/>
          <w:color w:val="000000"/>
          <w:sz w:val="20"/>
          <w:szCs w:val="20"/>
        </w:rPr>
        <w:t>eats develop and grow, we may find it necessary to make significant further investments to protect data and our infrastructure, including the implementation of new computer systems or upgrades to existing systems, deployment of additional personnel and pro</w:t>
      </w:r>
      <w:r>
        <w:rPr>
          <w:rFonts w:eastAsia="Times New Roman"/>
          <w:color w:val="000000"/>
          <w:sz w:val="20"/>
          <w:szCs w:val="20"/>
        </w:rPr>
        <w:t>tection-related technologies, engagement of third-party consultants, and training of employees.</w:t>
      </w:r>
    </w:p>
    <w:p w14:paraId="0C69313D" w14:textId="77777777" w:rsidR="00000000" w:rsidRDefault="00EE5306">
      <w:pPr>
        <w:ind w:firstLine="540"/>
        <w:jc w:val="both"/>
        <w:divId w:val="858349199"/>
        <w:rPr>
          <w:rFonts w:eastAsia="Times New Roman"/>
        </w:rPr>
      </w:pPr>
      <w:r>
        <w:rPr>
          <w:rFonts w:eastAsia="Times New Roman"/>
          <w:color w:val="000000"/>
          <w:sz w:val="20"/>
          <w:szCs w:val="20"/>
        </w:rPr>
        <w:t>In addition, the regulatory environment relating to information security and privacy is becoming increasingly more demanding with frequent new requirements surr</w:t>
      </w:r>
      <w:r>
        <w:rPr>
          <w:rFonts w:eastAsia="Times New Roman"/>
          <w:color w:val="000000"/>
          <w:sz w:val="20"/>
          <w:szCs w:val="20"/>
        </w:rPr>
        <w:t>ounding the handling, protection, and use of personal and sensitive information. We may incur significant costs in complying with the various applicable state, federal, and foreign laws regarding protection of, and unauthorized disclosure of, personal info</w:t>
      </w:r>
      <w:r>
        <w:rPr>
          <w:rFonts w:eastAsia="Times New Roman"/>
          <w:color w:val="000000"/>
          <w:sz w:val="20"/>
          <w:szCs w:val="20"/>
        </w:rPr>
        <w:t>rmation. Additionally, failing to comply with such laws and regulations could damage the reputation of our brands and lead to adverse consumer actions, as well as expose us to government enforcement action and/or private litigation, any of which could adve</w:t>
      </w:r>
      <w:r>
        <w:rPr>
          <w:rFonts w:eastAsia="Times New Roman"/>
          <w:color w:val="000000"/>
          <w:sz w:val="20"/>
          <w:szCs w:val="20"/>
        </w:rPr>
        <w:t>rsely affect our business.</w:t>
      </w:r>
    </w:p>
    <w:p w14:paraId="3A929773" w14:textId="77777777" w:rsidR="00000000" w:rsidRDefault="00EE5306">
      <w:pPr>
        <w:jc w:val="both"/>
        <w:divId w:val="1230919962"/>
        <w:rPr>
          <w:rFonts w:eastAsia="Times New Roman"/>
        </w:rPr>
      </w:pPr>
      <w:r>
        <w:rPr>
          <w:rFonts w:eastAsia="Times New Roman"/>
          <w:b/>
          <w:bCs/>
          <w:color w:val="000000"/>
          <w:sz w:val="20"/>
          <w:szCs w:val="20"/>
        </w:rPr>
        <w:t>Our business could suffer if our computer systems and websites are disrupted or cease to operate effectively.</w:t>
      </w:r>
    </w:p>
    <w:p w14:paraId="24C8E9A6" w14:textId="77777777" w:rsidR="00000000" w:rsidRDefault="00EE5306">
      <w:pPr>
        <w:ind w:firstLine="540"/>
        <w:jc w:val="both"/>
        <w:divId w:val="1321229836"/>
        <w:rPr>
          <w:rFonts w:eastAsia="Times New Roman"/>
        </w:rPr>
      </w:pPr>
      <w:r>
        <w:rPr>
          <w:rFonts w:eastAsia="Times New Roman"/>
          <w:color w:val="000000"/>
          <w:sz w:val="20"/>
          <w:szCs w:val="20"/>
        </w:rPr>
        <w:t>We are dependent on our computer systems to record and process transactions and manage and operate our business, including designing, marketing, manufacturing, importing, tracking, and distributing our products, processing payments, accounting for and repo</w:t>
      </w:r>
      <w:r>
        <w:rPr>
          <w:rFonts w:eastAsia="Times New Roman"/>
          <w:color w:val="000000"/>
          <w:sz w:val="20"/>
          <w:szCs w:val="20"/>
        </w:rPr>
        <w:t>rting financial results, and managing our employees and employee benefit programs. In addition, we have digital commerce and other informational websites in North America, Europe, and Asia, including Australia and New Zealand, and have plans for additional</w:t>
      </w:r>
      <w:r>
        <w:rPr>
          <w:rFonts w:eastAsia="Times New Roman"/>
          <w:color w:val="000000"/>
          <w:sz w:val="20"/>
          <w:szCs w:val="20"/>
        </w:rPr>
        <w:t xml:space="preserve"> digital commerce sites in the future. Given the complexity of our business and the significant number of transactions that we engage in on a daily basis, it is imperative that we maintain uninterrupted operation of our computer hardware and software syste</w:t>
      </w:r>
      <w:r>
        <w:rPr>
          <w:rFonts w:eastAsia="Times New Roman"/>
          <w:color w:val="000000"/>
          <w:sz w:val="20"/>
          <w:szCs w:val="20"/>
        </w:rPr>
        <w:t>ms.</w:t>
      </w:r>
    </w:p>
    <w:p w14:paraId="4AB85B19" w14:textId="77777777" w:rsidR="00000000" w:rsidRDefault="00EE5306">
      <w:pPr>
        <w:ind w:firstLine="540"/>
        <w:jc w:val="both"/>
        <w:divId w:val="637496121"/>
        <w:rPr>
          <w:rFonts w:eastAsia="Times New Roman"/>
        </w:rPr>
      </w:pPr>
      <w:r>
        <w:rPr>
          <w:rFonts w:eastAsia="Times New Roman"/>
          <w:color w:val="000000"/>
          <w:sz w:val="20"/>
          <w:szCs w:val="20"/>
        </w:rPr>
        <w:t>Despite our preventative efforts, our systems are vulnerable to damage or interruption from, among other things, security breaches, computer viruses, technical malfunctions, inadequate system capacity, power outages, natural disasters, and usage errors</w:t>
      </w:r>
      <w:r>
        <w:rPr>
          <w:rFonts w:eastAsia="Times New Roman"/>
          <w:color w:val="000000"/>
          <w:sz w:val="20"/>
          <w:szCs w:val="20"/>
        </w:rPr>
        <w:t xml:space="preserve"> by our employees or third-party consultants. If our information technology systems become damaged or otherwise cease to function properly, we may have to make significant investments to repair or replace them. Additionally, confidential or sensitive data </w:t>
      </w:r>
      <w:r>
        <w:rPr>
          <w:rFonts w:eastAsia="Times New Roman"/>
          <w:color w:val="000000"/>
          <w:sz w:val="20"/>
          <w:szCs w:val="20"/>
        </w:rPr>
        <w:t>related to our customers or employees could be lost or compromised. We are continually improving and upgrading our computer systems and software, which also involves risks and uncertainties. Any disruptions, delays, or deficiencies in the design, implement</w:t>
      </w:r>
      <w:r>
        <w:rPr>
          <w:rFonts w:eastAsia="Times New Roman"/>
          <w:color w:val="000000"/>
          <w:sz w:val="20"/>
          <w:szCs w:val="20"/>
        </w:rPr>
        <w:t>ation, or transition of such systems could result in increased costs, disruptions in the sourcing, sale, and shipment of our product, delays in the collection of cash from our customers, and/or adversely affect our ability to accurately report our financia</w:t>
      </w:r>
      <w:r>
        <w:rPr>
          <w:rFonts w:eastAsia="Times New Roman"/>
          <w:color w:val="000000"/>
          <w:sz w:val="20"/>
          <w:szCs w:val="20"/>
        </w:rPr>
        <w:t>l results in a timely manner. Any material disruptions in our information technology systems could have a material adverse effect on our business.</w:t>
      </w:r>
    </w:p>
    <w:p w14:paraId="1D8BA719" w14:textId="77777777" w:rsidR="00000000" w:rsidRDefault="00EE5306">
      <w:pPr>
        <w:jc w:val="both"/>
        <w:divId w:val="160043716"/>
        <w:rPr>
          <w:rFonts w:eastAsia="Times New Roman"/>
        </w:rPr>
      </w:pPr>
      <w:r>
        <w:rPr>
          <w:rFonts w:eastAsia="Times New Roman"/>
          <w:b/>
          <w:bCs/>
          <w:color w:val="000000"/>
          <w:sz w:val="20"/>
          <w:szCs w:val="20"/>
          <w:u w:val="single"/>
        </w:rPr>
        <w:t>Risks Related to Regulatory, Legal, and Tax Matters</w:t>
      </w:r>
    </w:p>
    <w:p w14:paraId="11963BD5" w14:textId="77777777" w:rsidR="00000000" w:rsidRDefault="00EE5306">
      <w:pPr>
        <w:jc w:val="both"/>
        <w:divId w:val="1761099011"/>
        <w:rPr>
          <w:rFonts w:eastAsia="Times New Roman"/>
        </w:rPr>
      </w:pPr>
      <w:r>
        <w:rPr>
          <w:rFonts w:eastAsia="Times New Roman"/>
          <w:b/>
          <w:bCs/>
          <w:color w:val="000000"/>
          <w:sz w:val="20"/>
          <w:szCs w:val="20"/>
        </w:rPr>
        <w:t xml:space="preserve">Our ability to conduct business globally may be affected </w:t>
      </w:r>
      <w:r>
        <w:rPr>
          <w:rFonts w:eastAsia="Times New Roman"/>
          <w:b/>
          <w:bCs/>
          <w:color w:val="000000"/>
          <w:sz w:val="20"/>
          <w:szCs w:val="20"/>
        </w:rPr>
        <w:t>by a variety of legal, regulatory, political, and economic risks.</w:t>
      </w:r>
    </w:p>
    <w:p w14:paraId="4B82145F" w14:textId="77777777" w:rsidR="00000000" w:rsidRDefault="00EE5306">
      <w:pPr>
        <w:ind w:firstLine="540"/>
        <w:jc w:val="both"/>
        <w:divId w:val="1029063573"/>
        <w:rPr>
          <w:rFonts w:eastAsia="Times New Roman"/>
        </w:rPr>
      </w:pPr>
      <w:r>
        <w:rPr>
          <w:rFonts w:eastAsia="Times New Roman"/>
          <w:color w:val="000000"/>
          <w:sz w:val="20"/>
          <w:szCs w:val="20"/>
        </w:rPr>
        <w:t>Our ability to capitalize on growth in new international markets and to maintain our current level of operations in our existing markets is subject to certain risks associated with operating</w:t>
      </w:r>
      <w:r>
        <w:rPr>
          <w:rFonts w:eastAsia="Times New Roman"/>
          <w:color w:val="000000"/>
          <w:sz w:val="20"/>
          <w:szCs w:val="20"/>
        </w:rPr>
        <w:t xml:space="preserve"> in various locations around the globe. These include, but are not limited to:</w:t>
      </w:r>
    </w:p>
    <w:p w14:paraId="585470FA" w14:textId="77777777" w:rsidR="00000000" w:rsidRDefault="00EE5306">
      <w:pPr>
        <w:ind w:hanging="360"/>
        <w:divId w:val="1361780355"/>
        <w:rPr>
          <w:rFonts w:eastAsia="Times New Roman"/>
        </w:rPr>
      </w:pPr>
      <w:r>
        <w:rPr>
          <w:rFonts w:eastAsia="Times New Roman"/>
          <w:color w:val="000000"/>
          <w:sz w:val="20"/>
          <w:szCs w:val="20"/>
        </w:rPr>
        <w:t>•complying with a variety of U.S. and foreign laws and regulations, including, but not limited to, trade, labor, product labeling, and product safety restrictions, as well as th</w:t>
      </w:r>
      <w:r>
        <w:rPr>
          <w:rFonts w:eastAsia="Times New Roman"/>
          <w:color w:val="000000"/>
          <w:sz w:val="20"/>
          <w:szCs w:val="20"/>
        </w:rPr>
        <w:t xml:space="preserve">e Foreign Corrupt Practices Act, which prohibits U.S. companies from making improper payments to foreign officials for the purpose of obtaining or retaining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302C79B" w14:textId="77777777">
        <w:trPr>
          <w:divId w:val="2088843035"/>
          <w:jc w:val="center"/>
        </w:trPr>
        <w:tc>
          <w:tcPr>
            <w:tcW w:w="50" w:type="pct"/>
            <w:vAlign w:val="center"/>
            <w:hideMark/>
          </w:tcPr>
          <w:p w14:paraId="3A7F1950" w14:textId="77777777" w:rsidR="00000000" w:rsidRDefault="00EE5306">
            <w:pPr>
              <w:ind w:hanging="360"/>
              <w:rPr>
                <w:rFonts w:eastAsia="Times New Roman"/>
              </w:rPr>
            </w:pPr>
          </w:p>
        </w:tc>
        <w:tc>
          <w:tcPr>
            <w:tcW w:w="1699" w:type="pct"/>
            <w:vAlign w:val="center"/>
            <w:hideMark/>
          </w:tcPr>
          <w:p w14:paraId="38FADA85" w14:textId="77777777" w:rsidR="00000000" w:rsidRDefault="00EE5306">
            <w:pPr>
              <w:spacing w:after="100"/>
              <w:rPr>
                <w:rFonts w:eastAsia="Times New Roman"/>
                <w:sz w:val="20"/>
                <w:szCs w:val="20"/>
              </w:rPr>
            </w:pPr>
          </w:p>
        </w:tc>
        <w:tc>
          <w:tcPr>
            <w:tcW w:w="5" w:type="pct"/>
            <w:vAlign w:val="center"/>
            <w:hideMark/>
          </w:tcPr>
          <w:p w14:paraId="0A9DEC99" w14:textId="77777777" w:rsidR="00000000" w:rsidRDefault="00EE5306">
            <w:pPr>
              <w:spacing w:after="100"/>
              <w:rPr>
                <w:rFonts w:eastAsia="Times New Roman"/>
                <w:sz w:val="20"/>
                <w:szCs w:val="20"/>
              </w:rPr>
            </w:pPr>
          </w:p>
        </w:tc>
        <w:tc>
          <w:tcPr>
            <w:tcW w:w="50" w:type="pct"/>
            <w:vAlign w:val="center"/>
            <w:hideMark/>
          </w:tcPr>
          <w:p w14:paraId="678A599C" w14:textId="77777777" w:rsidR="00000000" w:rsidRDefault="00EE5306">
            <w:pPr>
              <w:spacing w:after="100"/>
              <w:rPr>
                <w:rFonts w:eastAsia="Times New Roman"/>
                <w:sz w:val="20"/>
                <w:szCs w:val="20"/>
              </w:rPr>
            </w:pPr>
          </w:p>
        </w:tc>
        <w:tc>
          <w:tcPr>
            <w:tcW w:w="1436" w:type="pct"/>
            <w:vAlign w:val="center"/>
            <w:hideMark/>
          </w:tcPr>
          <w:p w14:paraId="419CA012" w14:textId="77777777" w:rsidR="00000000" w:rsidRDefault="00EE5306">
            <w:pPr>
              <w:spacing w:after="100"/>
              <w:rPr>
                <w:rFonts w:eastAsia="Times New Roman"/>
                <w:sz w:val="20"/>
                <w:szCs w:val="20"/>
              </w:rPr>
            </w:pPr>
          </w:p>
        </w:tc>
        <w:tc>
          <w:tcPr>
            <w:tcW w:w="5" w:type="pct"/>
            <w:vAlign w:val="center"/>
            <w:hideMark/>
          </w:tcPr>
          <w:p w14:paraId="30B5A9AF" w14:textId="77777777" w:rsidR="00000000" w:rsidRDefault="00EE5306">
            <w:pPr>
              <w:spacing w:after="100"/>
              <w:rPr>
                <w:rFonts w:eastAsia="Times New Roman"/>
                <w:sz w:val="20"/>
                <w:szCs w:val="20"/>
              </w:rPr>
            </w:pPr>
          </w:p>
        </w:tc>
        <w:tc>
          <w:tcPr>
            <w:tcW w:w="50" w:type="pct"/>
            <w:vAlign w:val="center"/>
            <w:hideMark/>
          </w:tcPr>
          <w:p w14:paraId="443B5B91" w14:textId="77777777" w:rsidR="00000000" w:rsidRDefault="00EE5306">
            <w:pPr>
              <w:spacing w:after="100"/>
              <w:rPr>
                <w:rFonts w:eastAsia="Times New Roman"/>
                <w:sz w:val="20"/>
                <w:szCs w:val="20"/>
              </w:rPr>
            </w:pPr>
          </w:p>
        </w:tc>
        <w:tc>
          <w:tcPr>
            <w:tcW w:w="1699" w:type="pct"/>
            <w:vAlign w:val="center"/>
            <w:hideMark/>
          </w:tcPr>
          <w:p w14:paraId="34349DF9" w14:textId="77777777" w:rsidR="00000000" w:rsidRDefault="00EE5306">
            <w:pPr>
              <w:spacing w:after="100"/>
              <w:rPr>
                <w:rFonts w:eastAsia="Times New Roman"/>
                <w:sz w:val="20"/>
                <w:szCs w:val="20"/>
              </w:rPr>
            </w:pPr>
          </w:p>
        </w:tc>
        <w:tc>
          <w:tcPr>
            <w:tcW w:w="5" w:type="pct"/>
            <w:vAlign w:val="center"/>
            <w:hideMark/>
          </w:tcPr>
          <w:p w14:paraId="619D1A31" w14:textId="77777777" w:rsidR="00000000" w:rsidRDefault="00EE5306">
            <w:pPr>
              <w:spacing w:after="100"/>
              <w:rPr>
                <w:rFonts w:eastAsia="Times New Roman"/>
                <w:sz w:val="20"/>
                <w:szCs w:val="20"/>
              </w:rPr>
            </w:pPr>
          </w:p>
        </w:tc>
      </w:tr>
      <w:tr w:rsidR="00000000" w14:paraId="19699494" w14:textId="77777777">
        <w:trPr>
          <w:divId w:val="2088843035"/>
          <w:jc w:val="center"/>
        </w:trPr>
        <w:tc>
          <w:tcPr>
            <w:tcW w:w="0" w:type="auto"/>
            <w:gridSpan w:val="3"/>
            <w:tcMar>
              <w:top w:w="0" w:type="dxa"/>
              <w:left w:w="20" w:type="dxa"/>
              <w:bottom w:w="0" w:type="dxa"/>
              <w:right w:w="20" w:type="dxa"/>
            </w:tcMar>
            <w:vAlign w:val="center"/>
            <w:hideMark/>
          </w:tcPr>
          <w:p w14:paraId="7CB05E2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519A829" w14:textId="77777777" w:rsidR="00000000" w:rsidRDefault="00EE5306">
            <w:pPr>
              <w:spacing w:after="100"/>
              <w:jc w:val="center"/>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14:paraId="1454EF36" w14:textId="77777777" w:rsidR="00000000" w:rsidRDefault="00EE5306">
            <w:pPr>
              <w:spacing w:after="100"/>
              <w:jc w:val="center"/>
              <w:rPr>
                <w:rFonts w:eastAsia="Times New Roman"/>
              </w:rPr>
            </w:pPr>
          </w:p>
        </w:tc>
      </w:tr>
    </w:tbl>
    <w:p w14:paraId="0275C0D2" w14:textId="77777777" w:rsidR="00000000" w:rsidRDefault="00EE5306">
      <w:pPr>
        <w:rPr>
          <w:rFonts w:eastAsia="Times New Roman"/>
        </w:rPr>
      </w:pPr>
      <w:r>
        <w:rPr>
          <w:rFonts w:eastAsia="Times New Roman"/>
        </w:rPr>
        <w:pict w14:anchorId="2D7C0C33">
          <v:rect id="_x0000_i1062" style="width:0;height:1.5pt" o:hralign="center" o:hrstd="t" o:hr="t" fillcolor="#a0a0a0" stroked="f"/>
        </w:pict>
      </w:r>
    </w:p>
    <w:p w14:paraId="7A72DD9A" w14:textId="77777777" w:rsidR="00000000" w:rsidRDefault="00EE5306">
      <w:pPr>
        <w:divId w:val="1299147840"/>
        <w:rPr>
          <w:rFonts w:eastAsia="Times New Roman"/>
        </w:rPr>
      </w:pPr>
    </w:p>
    <w:p w14:paraId="23AC4852" w14:textId="77777777" w:rsidR="00000000" w:rsidRDefault="00EE5306">
      <w:pPr>
        <w:divId w:val="164243591"/>
        <w:rPr>
          <w:rFonts w:eastAsia="Times New Roman"/>
        </w:rPr>
      </w:pPr>
      <w:r>
        <w:rPr>
          <w:rFonts w:eastAsia="Times New Roman"/>
          <w:color w:val="000000"/>
          <w:sz w:val="20"/>
          <w:szCs w:val="20"/>
        </w:rPr>
        <w:t>business, and similar foreign country laws, such as the U.K. Bribery Act, which prohibits U.K. and related companies from any form of bribery;</w:t>
      </w:r>
    </w:p>
    <w:p w14:paraId="235F476F" w14:textId="77777777" w:rsidR="00000000" w:rsidRDefault="00EE5306">
      <w:pPr>
        <w:ind w:hanging="360"/>
        <w:divId w:val="1228223829"/>
        <w:rPr>
          <w:rFonts w:eastAsia="Times New Roman"/>
        </w:rPr>
      </w:pPr>
      <w:r>
        <w:rPr>
          <w:rFonts w:eastAsia="Times New Roman"/>
          <w:color w:val="000000"/>
          <w:sz w:val="20"/>
          <w:szCs w:val="20"/>
        </w:rPr>
        <w:t>•adapting to local customs and culture;</w:t>
      </w:r>
    </w:p>
    <w:p w14:paraId="19443868" w14:textId="77777777" w:rsidR="00000000" w:rsidRDefault="00EE5306">
      <w:pPr>
        <w:ind w:hanging="360"/>
        <w:divId w:val="668488451"/>
        <w:rPr>
          <w:rFonts w:eastAsia="Times New Roman"/>
        </w:rPr>
      </w:pPr>
      <w:r>
        <w:rPr>
          <w:rFonts w:eastAsia="Times New Roman"/>
          <w:color w:val="000000"/>
          <w:sz w:val="20"/>
          <w:szCs w:val="20"/>
        </w:rPr>
        <w:t>•unexpected changes in laws, judici</w:t>
      </w:r>
      <w:r>
        <w:rPr>
          <w:rFonts w:eastAsia="Times New Roman"/>
          <w:color w:val="000000"/>
          <w:sz w:val="20"/>
          <w:szCs w:val="20"/>
        </w:rPr>
        <w:t>al processes, or regulatory requirements;</w:t>
      </w:r>
    </w:p>
    <w:p w14:paraId="6934A168" w14:textId="77777777" w:rsidR="00000000" w:rsidRDefault="00EE5306">
      <w:pPr>
        <w:ind w:hanging="360"/>
        <w:divId w:val="840701692"/>
        <w:rPr>
          <w:rFonts w:eastAsia="Times New Roman"/>
        </w:rPr>
      </w:pPr>
      <w:r>
        <w:rPr>
          <w:rFonts w:eastAsia="Times New Roman"/>
          <w:color w:val="000000"/>
          <w:sz w:val="20"/>
          <w:szCs w:val="20"/>
        </w:rPr>
        <w:t>•the imposition of additional duties, tariffs, taxes, and other charges or other barriers to trade;</w:t>
      </w:r>
    </w:p>
    <w:p w14:paraId="2320F264" w14:textId="77777777" w:rsidR="00000000" w:rsidRDefault="00EE5306">
      <w:pPr>
        <w:ind w:hanging="360"/>
        <w:divId w:val="1267926362"/>
        <w:rPr>
          <w:rFonts w:eastAsia="Times New Roman"/>
        </w:rPr>
      </w:pPr>
      <w:r>
        <w:rPr>
          <w:rFonts w:eastAsia="Times New Roman"/>
          <w:color w:val="000000"/>
          <w:sz w:val="20"/>
          <w:szCs w:val="20"/>
        </w:rPr>
        <w:t>•changes in diplomatic and trade relationships;</w:t>
      </w:r>
    </w:p>
    <w:p w14:paraId="41FFB77A" w14:textId="77777777" w:rsidR="00000000" w:rsidRDefault="00EE5306">
      <w:pPr>
        <w:ind w:hanging="360"/>
        <w:divId w:val="1522694951"/>
        <w:rPr>
          <w:rFonts w:eastAsia="Times New Roman"/>
        </w:rPr>
      </w:pPr>
      <w:r>
        <w:rPr>
          <w:rFonts w:eastAsia="Times New Roman"/>
          <w:color w:val="000000"/>
          <w:sz w:val="20"/>
          <w:szCs w:val="20"/>
        </w:rPr>
        <w:t>•civil and political instability, such as the recent protests in t</w:t>
      </w:r>
      <w:r>
        <w:rPr>
          <w:rFonts w:eastAsia="Times New Roman"/>
          <w:color w:val="000000"/>
          <w:sz w:val="20"/>
          <w:szCs w:val="20"/>
        </w:rPr>
        <w:t xml:space="preserve">he U.S., and terrorist attacks; </w:t>
      </w:r>
    </w:p>
    <w:p w14:paraId="0A2E924C" w14:textId="77777777" w:rsidR="00000000" w:rsidRDefault="00EE5306">
      <w:pPr>
        <w:ind w:hanging="360"/>
        <w:divId w:val="998272199"/>
        <w:rPr>
          <w:rFonts w:eastAsia="Times New Roman"/>
        </w:rPr>
      </w:pPr>
      <w:r>
        <w:rPr>
          <w:rFonts w:eastAsia="Times New Roman"/>
          <w:color w:val="000000"/>
          <w:sz w:val="20"/>
          <w:szCs w:val="20"/>
        </w:rPr>
        <w:t>•pandemic diseases, such as COVID-19; and</w:t>
      </w:r>
    </w:p>
    <w:p w14:paraId="37AF3252" w14:textId="77777777" w:rsidR="00000000" w:rsidRDefault="00EE5306">
      <w:pPr>
        <w:ind w:hanging="360"/>
        <w:divId w:val="611059117"/>
        <w:rPr>
          <w:rFonts w:eastAsia="Times New Roman"/>
        </w:rPr>
      </w:pPr>
      <w:r>
        <w:rPr>
          <w:rFonts w:eastAsia="Times New Roman"/>
          <w:color w:val="000000"/>
          <w:sz w:val="20"/>
          <w:szCs w:val="20"/>
        </w:rPr>
        <w:t>•general economic fluctuations in specific countries or markets.</w:t>
      </w:r>
    </w:p>
    <w:p w14:paraId="572A3CEB" w14:textId="77777777" w:rsidR="00000000" w:rsidRDefault="00EE5306">
      <w:pPr>
        <w:ind w:firstLine="540"/>
        <w:jc w:val="both"/>
        <w:divId w:val="1471943032"/>
        <w:rPr>
          <w:rFonts w:eastAsia="Times New Roman"/>
        </w:rPr>
      </w:pPr>
      <w:r>
        <w:rPr>
          <w:rFonts w:eastAsia="Times New Roman"/>
          <w:color w:val="000000"/>
          <w:sz w:val="20"/>
          <w:szCs w:val="20"/>
        </w:rPr>
        <w:t>Changes in regulatory, geopolitical, social, economic, or monetary policies and other factors may have a material ad</w:t>
      </w:r>
      <w:r>
        <w:rPr>
          <w:rFonts w:eastAsia="Times New Roman"/>
          <w:color w:val="000000"/>
          <w:sz w:val="20"/>
          <w:szCs w:val="20"/>
        </w:rPr>
        <w:t>verse effect on our business in the future or may require us to exit a particular market or significantly modify our current business practices. For example, in recent years both the U.S. and China have imposed new tariffs on each other related to the impo</w:t>
      </w:r>
      <w:r>
        <w:rPr>
          <w:rFonts w:eastAsia="Times New Roman"/>
          <w:color w:val="000000"/>
          <w:sz w:val="20"/>
          <w:szCs w:val="20"/>
        </w:rPr>
        <w:t>rtation of certain product categories, including imports of apparel into the U.S. from China. As a result of actions to mitigate our exposure to the resulting tariffs, which have included diverting production to and sourcing from other countries, driving p</w:t>
      </w:r>
      <w:r>
        <w:rPr>
          <w:rFonts w:eastAsia="Times New Roman"/>
          <w:color w:val="000000"/>
          <w:sz w:val="20"/>
          <w:szCs w:val="20"/>
        </w:rPr>
        <w:t>roductivity within our existing supplier base, and taking pricing actions, the tariffs enacted to date have not had a material adverse impact on our business operations. However, if the U.S. decides to impose additional tariffs on apparel or other of our g</w:t>
      </w:r>
      <w:r>
        <w:rPr>
          <w:rFonts w:eastAsia="Times New Roman"/>
          <w:color w:val="000000"/>
          <w:sz w:val="20"/>
          <w:szCs w:val="20"/>
        </w:rPr>
        <w:t>oods imported from China, there can be no assurance that we will be able to offset all related increased costs, which could be material to our business operations as approximately 20% of our products are sourced from China. We cannot predict if, and to wha</w:t>
      </w:r>
      <w:r>
        <w:rPr>
          <w:rFonts w:eastAsia="Times New Roman"/>
          <w:color w:val="000000"/>
          <w:sz w:val="20"/>
          <w:szCs w:val="20"/>
        </w:rPr>
        <w:t xml:space="preserve">t extent, there will be changes to international trade agreements or the resulting impact any such changes would have on our business operations, which could be material. For a discussion of risks associated with the importation of products, see </w:t>
      </w:r>
      <w:r>
        <w:rPr>
          <w:rFonts w:eastAsia="Times New Roman"/>
          <w:i/>
          <w:iCs/>
          <w:color w:val="000000"/>
          <w:sz w:val="20"/>
          <w:szCs w:val="20"/>
        </w:rPr>
        <w:t>"Risks Rel</w:t>
      </w:r>
      <w:r>
        <w:rPr>
          <w:rFonts w:eastAsia="Times New Roman"/>
          <w:i/>
          <w:iCs/>
          <w:color w:val="000000"/>
          <w:sz w:val="20"/>
          <w:szCs w:val="20"/>
        </w:rPr>
        <w:t xml:space="preserve">ated to our Business and Operations </w:t>
      </w:r>
      <w:r>
        <w:rPr>
          <w:rFonts w:eastAsia="Times New Roman"/>
          <w:color w:val="000000"/>
          <w:sz w:val="20"/>
          <w:szCs w:val="20"/>
        </w:rPr>
        <w:t xml:space="preserve">— </w:t>
      </w:r>
      <w:r>
        <w:rPr>
          <w:rFonts w:eastAsia="Times New Roman"/>
          <w:i/>
          <w:iCs/>
          <w:color w:val="000000"/>
          <w:sz w:val="20"/>
          <w:szCs w:val="20"/>
        </w:rPr>
        <w:t>Our business is subject to risks associated with importing products and the ability of our manufacturers to produce our goods on time and to our specifications."</w:t>
      </w:r>
    </w:p>
    <w:p w14:paraId="0A6FE801" w14:textId="77777777" w:rsidR="00000000" w:rsidRDefault="00EE5306">
      <w:pPr>
        <w:ind w:firstLine="540"/>
        <w:jc w:val="both"/>
        <w:divId w:val="1111976068"/>
        <w:rPr>
          <w:rFonts w:eastAsia="Times New Roman"/>
        </w:rPr>
      </w:pPr>
      <w:r>
        <w:rPr>
          <w:rFonts w:eastAsia="Times New Roman"/>
          <w:color w:val="000000"/>
          <w:sz w:val="20"/>
          <w:szCs w:val="20"/>
        </w:rPr>
        <w:t>Our business could also be impacted by changes to the ta</w:t>
      </w:r>
      <w:r>
        <w:rPr>
          <w:rFonts w:eastAsia="Times New Roman"/>
          <w:color w:val="000000"/>
          <w:sz w:val="20"/>
          <w:szCs w:val="20"/>
        </w:rPr>
        <w:t xml:space="preserve">x laws and regulations in the countries where we operate. For example, the Organisation for Economic Co-operation and Development (the "OECD"), which represents a coalition of member countries, has proposed changes to numerous long-standing tax principles </w:t>
      </w:r>
      <w:r>
        <w:rPr>
          <w:rFonts w:eastAsia="Times New Roman"/>
          <w:color w:val="000000"/>
          <w:sz w:val="20"/>
          <w:szCs w:val="20"/>
        </w:rPr>
        <w:t>through its Base Erosion and Profit Shifting project, which is focused on a number of issues, including the shifting of profits among affiliated entities located in different tax jurisdictions. In response, certain member countries are beginning to impleme</w:t>
      </w:r>
      <w:r>
        <w:rPr>
          <w:rFonts w:eastAsia="Times New Roman"/>
          <w:color w:val="000000"/>
          <w:sz w:val="20"/>
          <w:szCs w:val="20"/>
        </w:rPr>
        <w:t>nt legislation to align their international tax rules with the OECD's recommendations, such as Switzerland’s recently enacted Swiss Tax Act, as described in Item 7 — "</w:t>
      </w:r>
      <w:r>
        <w:rPr>
          <w:rFonts w:eastAsia="Times New Roman"/>
          <w:i/>
          <w:iCs/>
          <w:color w:val="000000"/>
          <w:sz w:val="20"/>
          <w:szCs w:val="20"/>
        </w:rPr>
        <w:t>Management's Discussion and Analysis of Financial Condition and Results of Operations — R</w:t>
      </w:r>
      <w:r>
        <w:rPr>
          <w:rFonts w:eastAsia="Times New Roman"/>
          <w:i/>
          <w:iCs/>
          <w:color w:val="000000"/>
          <w:sz w:val="20"/>
          <w:szCs w:val="20"/>
        </w:rPr>
        <w:t>ecent Developments."</w:t>
      </w:r>
      <w:r>
        <w:rPr>
          <w:rFonts w:eastAsia="Times New Roman"/>
          <w:color w:val="000000"/>
          <w:sz w:val="20"/>
          <w:szCs w:val="20"/>
        </w:rPr>
        <w:t xml:space="preserve"> Additionally, the Biden Administration has proposed to increase the U.S. corporate income tax rate from 21% up to as much as 28%, as well as increase U.S. taxation on foreign earnings. Other taxing authorities of certain state, local, </w:t>
      </w:r>
      <w:r>
        <w:rPr>
          <w:rFonts w:eastAsia="Times New Roman"/>
          <w:color w:val="000000"/>
          <w:sz w:val="20"/>
          <w:szCs w:val="20"/>
        </w:rPr>
        <w:t xml:space="preserve">and other foreign jurisdictions may also decide to modify existing tax laws. We cannot predict which, if any, of these items or others will be enacted into law or the resulting impact any such enactment will have on our business operations, which could be </w:t>
      </w:r>
      <w:r>
        <w:rPr>
          <w:rFonts w:eastAsia="Times New Roman"/>
          <w:color w:val="000000"/>
          <w:sz w:val="20"/>
          <w:szCs w:val="20"/>
        </w:rPr>
        <w:t>material.</w:t>
      </w:r>
    </w:p>
    <w:p w14:paraId="02241FAC" w14:textId="77777777" w:rsidR="00000000" w:rsidRDefault="00EE5306">
      <w:pPr>
        <w:ind w:firstLine="540"/>
        <w:jc w:val="both"/>
        <w:divId w:val="1005550010"/>
        <w:rPr>
          <w:rFonts w:eastAsia="Times New Roman"/>
        </w:rPr>
      </w:pPr>
      <w:r>
        <w:rPr>
          <w:rFonts w:eastAsia="Times New Roman"/>
          <w:color w:val="000000"/>
          <w:sz w:val="20"/>
          <w:szCs w:val="20"/>
        </w:rPr>
        <w:t>Additionally, the United Kingdom recently withdrew from the European Union, commonly referred to as "Brexit," whereby it ceased to be a member effective January 31, 2020. In December 2020, the United Kingdom and the European Union entered into an</w:t>
      </w:r>
      <w:r>
        <w:rPr>
          <w:rFonts w:eastAsia="Times New Roman"/>
          <w:color w:val="000000"/>
          <w:sz w:val="20"/>
          <w:szCs w:val="20"/>
        </w:rPr>
        <w:t xml:space="preserve"> agreement that defines their future relationship, including terms of trade, that among its provisions will result in new tariffs on goods imported to the United Kingdom from the European Union that were manufactured elsewhere, as well as require additiona</w:t>
      </w:r>
      <w:r>
        <w:rPr>
          <w:rFonts w:eastAsia="Times New Roman"/>
          <w:color w:val="000000"/>
          <w:sz w:val="20"/>
          <w:szCs w:val="20"/>
        </w:rPr>
        <w:t>l administrative effort to import and export goods, adding friction and cost to transportation. The United Kingdom's future relationship with the European Union could also adversely impact consumer and investor confidence, and the level of consumer purchas</w:t>
      </w:r>
      <w:r>
        <w:rPr>
          <w:rFonts w:eastAsia="Times New Roman"/>
          <w:color w:val="000000"/>
          <w:sz w:val="20"/>
          <w:szCs w:val="20"/>
        </w:rPr>
        <w:t>es of discretionary items and luxury retail products, including our products. Although we are closely monitoring the latest Brexit developments, including the December 2020 trade agreement, and are assessing risks and opportunities and developing strategie</w:t>
      </w:r>
      <w:r>
        <w:rPr>
          <w:rFonts w:eastAsia="Times New Roman"/>
          <w:color w:val="000000"/>
          <w:sz w:val="20"/>
          <w:szCs w:val="20"/>
        </w:rPr>
        <w:t>s to mitigate our exposure, Brexit and its resulting impacts to the economy could materially adversely affect our business.</w:t>
      </w:r>
    </w:p>
    <w:p w14:paraId="3EDFAA87" w14:textId="77777777" w:rsidR="00000000" w:rsidRDefault="00EE5306">
      <w:pPr>
        <w:jc w:val="both"/>
        <w:divId w:val="2121104165"/>
        <w:rPr>
          <w:rFonts w:eastAsia="Times New Roman"/>
        </w:rPr>
      </w:pPr>
      <w:r>
        <w:rPr>
          <w:rFonts w:eastAsia="Times New Roman"/>
          <w:b/>
          <w:bCs/>
          <w:color w:val="000000"/>
          <w:sz w:val="20"/>
          <w:szCs w:val="20"/>
        </w:rPr>
        <w:t>Fluctuations in our tax obligations and effective tax rate may result in volatility of our operating results.</w:t>
      </w:r>
    </w:p>
    <w:p w14:paraId="259DDADC" w14:textId="77777777" w:rsidR="00000000" w:rsidRDefault="00EE5306">
      <w:pPr>
        <w:ind w:firstLine="720"/>
        <w:jc w:val="both"/>
        <w:divId w:val="1681348634"/>
        <w:rPr>
          <w:rFonts w:eastAsia="Times New Roman"/>
        </w:rPr>
      </w:pPr>
      <w:r>
        <w:rPr>
          <w:rFonts w:eastAsia="Times New Roman"/>
          <w:color w:val="000000"/>
          <w:sz w:val="20"/>
          <w:szCs w:val="20"/>
        </w:rPr>
        <w:t>We are subject to inco</w:t>
      </w:r>
      <w:r>
        <w:rPr>
          <w:rFonts w:eastAsia="Times New Roman"/>
          <w:color w:val="000000"/>
          <w:sz w:val="20"/>
          <w:szCs w:val="20"/>
        </w:rPr>
        <w:t>me and non-income taxes in many U.S. and certain foreign jurisdictions, with the applicable tax rates varying by jurisdiction. We record tax expense based on our estimates of future payments, which include reserves for uncertain tax positions in multiple t</w:t>
      </w:r>
      <w:r>
        <w:rPr>
          <w:rFonts w:eastAsia="Times New Roman"/>
          <w:color w:val="000000"/>
          <w:sz w:val="20"/>
          <w:szCs w:val="20"/>
        </w:rPr>
        <w:t>ax jurisdictions. At any given time, multiple tax years are subject to audit by various taxing authorities. The results of these audits and negotiations with taxing authorities may affect the ultimate settlement of these issues. As a result, we expect that</w:t>
      </w:r>
      <w:r>
        <w:rPr>
          <w:rFonts w:eastAsia="Times New Roman"/>
          <w:color w:val="000000"/>
          <w:sz w:val="20"/>
          <w:szCs w:val="20"/>
        </w:rPr>
        <w:t xml:space="preserve"> throughout the year there could be ongoing variability in our quarterly tax rates as events occur and exposures are evaluated. Our effective tax rate in a given financial statement period may also be materially impacted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30CE702" w14:textId="77777777">
        <w:trPr>
          <w:divId w:val="2028679295"/>
          <w:jc w:val="center"/>
        </w:trPr>
        <w:tc>
          <w:tcPr>
            <w:tcW w:w="50" w:type="pct"/>
            <w:vAlign w:val="center"/>
            <w:hideMark/>
          </w:tcPr>
          <w:p w14:paraId="33E1DDEC" w14:textId="77777777" w:rsidR="00000000" w:rsidRDefault="00EE5306">
            <w:pPr>
              <w:ind w:firstLine="720"/>
              <w:jc w:val="both"/>
              <w:rPr>
                <w:rFonts w:eastAsia="Times New Roman"/>
              </w:rPr>
            </w:pPr>
          </w:p>
        </w:tc>
        <w:tc>
          <w:tcPr>
            <w:tcW w:w="1699" w:type="pct"/>
            <w:vAlign w:val="center"/>
            <w:hideMark/>
          </w:tcPr>
          <w:p w14:paraId="7B0B82D1" w14:textId="77777777" w:rsidR="00000000" w:rsidRDefault="00EE5306">
            <w:pPr>
              <w:spacing w:after="100"/>
              <w:rPr>
                <w:rFonts w:eastAsia="Times New Roman"/>
                <w:sz w:val="20"/>
                <w:szCs w:val="20"/>
              </w:rPr>
            </w:pPr>
          </w:p>
        </w:tc>
        <w:tc>
          <w:tcPr>
            <w:tcW w:w="5" w:type="pct"/>
            <w:vAlign w:val="center"/>
            <w:hideMark/>
          </w:tcPr>
          <w:p w14:paraId="03A69533" w14:textId="77777777" w:rsidR="00000000" w:rsidRDefault="00EE5306">
            <w:pPr>
              <w:spacing w:after="100"/>
              <w:rPr>
                <w:rFonts w:eastAsia="Times New Roman"/>
                <w:sz w:val="20"/>
                <w:szCs w:val="20"/>
              </w:rPr>
            </w:pPr>
          </w:p>
        </w:tc>
        <w:tc>
          <w:tcPr>
            <w:tcW w:w="50" w:type="pct"/>
            <w:vAlign w:val="center"/>
            <w:hideMark/>
          </w:tcPr>
          <w:p w14:paraId="28B67003" w14:textId="77777777" w:rsidR="00000000" w:rsidRDefault="00EE5306">
            <w:pPr>
              <w:spacing w:after="100"/>
              <w:rPr>
                <w:rFonts w:eastAsia="Times New Roman"/>
                <w:sz w:val="20"/>
                <w:szCs w:val="20"/>
              </w:rPr>
            </w:pPr>
          </w:p>
        </w:tc>
        <w:tc>
          <w:tcPr>
            <w:tcW w:w="1436" w:type="pct"/>
            <w:vAlign w:val="center"/>
            <w:hideMark/>
          </w:tcPr>
          <w:p w14:paraId="79F3FC8D" w14:textId="77777777" w:rsidR="00000000" w:rsidRDefault="00EE5306">
            <w:pPr>
              <w:spacing w:after="100"/>
              <w:rPr>
                <w:rFonts w:eastAsia="Times New Roman"/>
                <w:sz w:val="20"/>
                <w:szCs w:val="20"/>
              </w:rPr>
            </w:pPr>
          </w:p>
        </w:tc>
        <w:tc>
          <w:tcPr>
            <w:tcW w:w="5" w:type="pct"/>
            <w:vAlign w:val="center"/>
            <w:hideMark/>
          </w:tcPr>
          <w:p w14:paraId="202CA8C8" w14:textId="77777777" w:rsidR="00000000" w:rsidRDefault="00EE5306">
            <w:pPr>
              <w:spacing w:after="100"/>
              <w:rPr>
                <w:rFonts w:eastAsia="Times New Roman"/>
                <w:sz w:val="20"/>
                <w:szCs w:val="20"/>
              </w:rPr>
            </w:pPr>
          </w:p>
        </w:tc>
        <w:tc>
          <w:tcPr>
            <w:tcW w:w="50" w:type="pct"/>
            <w:vAlign w:val="center"/>
            <w:hideMark/>
          </w:tcPr>
          <w:p w14:paraId="6C53C85C" w14:textId="77777777" w:rsidR="00000000" w:rsidRDefault="00EE5306">
            <w:pPr>
              <w:spacing w:after="100"/>
              <w:rPr>
                <w:rFonts w:eastAsia="Times New Roman"/>
                <w:sz w:val="20"/>
                <w:szCs w:val="20"/>
              </w:rPr>
            </w:pPr>
          </w:p>
        </w:tc>
        <w:tc>
          <w:tcPr>
            <w:tcW w:w="1699" w:type="pct"/>
            <w:vAlign w:val="center"/>
            <w:hideMark/>
          </w:tcPr>
          <w:p w14:paraId="653A6B1A" w14:textId="77777777" w:rsidR="00000000" w:rsidRDefault="00EE5306">
            <w:pPr>
              <w:spacing w:after="100"/>
              <w:rPr>
                <w:rFonts w:eastAsia="Times New Roman"/>
                <w:sz w:val="20"/>
                <w:szCs w:val="20"/>
              </w:rPr>
            </w:pPr>
          </w:p>
        </w:tc>
        <w:tc>
          <w:tcPr>
            <w:tcW w:w="5" w:type="pct"/>
            <w:vAlign w:val="center"/>
            <w:hideMark/>
          </w:tcPr>
          <w:p w14:paraId="0D2BC40D" w14:textId="77777777" w:rsidR="00000000" w:rsidRDefault="00EE5306">
            <w:pPr>
              <w:spacing w:after="100"/>
              <w:rPr>
                <w:rFonts w:eastAsia="Times New Roman"/>
                <w:sz w:val="20"/>
                <w:szCs w:val="20"/>
              </w:rPr>
            </w:pPr>
          </w:p>
        </w:tc>
      </w:tr>
      <w:tr w:rsidR="00000000" w14:paraId="3EECDEEF" w14:textId="77777777">
        <w:trPr>
          <w:divId w:val="2028679295"/>
          <w:jc w:val="center"/>
        </w:trPr>
        <w:tc>
          <w:tcPr>
            <w:tcW w:w="0" w:type="auto"/>
            <w:gridSpan w:val="3"/>
            <w:tcMar>
              <w:top w:w="0" w:type="dxa"/>
              <w:left w:w="20" w:type="dxa"/>
              <w:bottom w:w="0" w:type="dxa"/>
              <w:right w:w="20" w:type="dxa"/>
            </w:tcMar>
            <w:vAlign w:val="center"/>
            <w:hideMark/>
          </w:tcPr>
          <w:p w14:paraId="0107321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194139" w14:textId="77777777" w:rsidR="00000000" w:rsidRDefault="00EE5306">
            <w:pPr>
              <w:spacing w:after="100"/>
              <w:jc w:val="center"/>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14:paraId="3FE7E945" w14:textId="77777777" w:rsidR="00000000" w:rsidRDefault="00EE5306">
            <w:pPr>
              <w:spacing w:after="100"/>
              <w:jc w:val="center"/>
              <w:rPr>
                <w:rFonts w:eastAsia="Times New Roman"/>
              </w:rPr>
            </w:pPr>
          </w:p>
        </w:tc>
      </w:tr>
    </w:tbl>
    <w:p w14:paraId="20315756" w14:textId="77777777" w:rsidR="00000000" w:rsidRDefault="00EE5306">
      <w:pPr>
        <w:rPr>
          <w:rFonts w:eastAsia="Times New Roman"/>
        </w:rPr>
      </w:pPr>
      <w:r>
        <w:rPr>
          <w:rFonts w:eastAsia="Times New Roman"/>
        </w:rPr>
        <w:pict w14:anchorId="0AECCFCE">
          <v:rect id="_x0000_i1063" style="width:0;height:1.5pt" o:hralign="center" o:hrstd="t" o:hr="t" fillcolor="#a0a0a0" stroked="f"/>
        </w:pict>
      </w:r>
    </w:p>
    <w:p w14:paraId="1FF02FEC" w14:textId="77777777" w:rsidR="00000000" w:rsidRDefault="00EE5306">
      <w:pPr>
        <w:divId w:val="217665376"/>
        <w:rPr>
          <w:rFonts w:eastAsia="Times New Roman"/>
        </w:rPr>
      </w:pPr>
    </w:p>
    <w:p w14:paraId="5C6B349E" w14:textId="77777777" w:rsidR="00000000" w:rsidRDefault="00EE5306">
      <w:pPr>
        <w:jc w:val="both"/>
        <w:divId w:val="1196236811"/>
        <w:rPr>
          <w:rFonts w:eastAsia="Times New Roman"/>
        </w:rPr>
      </w:pPr>
      <w:r>
        <w:rPr>
          <w:rFonts w:eastAsia="Times New Roman"/>
          <w:color w:val="000000"/>
          <w:sz w:val="20"/>
          <w:szCs w:val="20"/>
        </w:rPr>
        <w:t>by changes in the mix and level of earnings by jurisdiction or by changes to existing accounting rules. Additionally, our products are subject to import and excise duties, and/or sales, consumption, value-added taxes (</w:t>
      </w:r>
      <w:r>
        <w:rPr>
          <w:rFonts w:eastAsia="Times New Roman"/>
          <w:color w:val="000000"/>
          <w:sz w:val="20"/>
          <w:szCs w:val="20"/>
        </w:rPr>
        <w:t>"VAT"), and other non-income taxes in certain international jurisdictions. Failure to correctly calculate or submit the appropriate amount of income or non-income taxes could subject us to substantial fines and penalties and adversely affect our business.</w:t>
      </w:r>
    </w:p>
    <w:p w14:paraId="17CE80F8" w14:textId="77777777" w:rsidR="00000000" w:rsidRDefault="00EE5306">
      <w:pPr>
        <w:ind w:firstLine="720"/>
        <w:jc w:val="both"/>
        <w:divId w:val="1464888637"/>
        <w:rPr>
          <w:rFonts w:eastAsia="Times New Roman"/>
        </w:rPr>
      </w:pPr>
      <w:r>
        <w:rPr>
          <w:rFonts w:eastAsia="Times New Roman"/>
          <w:color w:val="000000"/>
          <w:sz w:val="20"/>
          <w:szCs w:val="20"/>
        </w:rPr>
        <w:t>In addition, the tax laws and regulations in the countries where we operate may change, or there may be changes in interpretation and enforcement of existing tax laws, which could materially affect our income tax expense in our consolidated financial state</w:t>
      </w:r>
      <w:r>
        <w:rPr>
          <w:rFonts w:eastAsia="Times New Roman"/>
          <w:color w:val="000000"/>
          <w:sz w:val="20"/>
          <w:szCs w:val="20"/>
        </w:rPr>
        <w:t xml:space="preserve">ments. For a discussion of risks related to the potential imposition of additional regulations and laws, see </w:t>
      </w:r>
      <w:r>
        <w:rPr>
          <w:rFonts w:eastAsia="Times New Roman"/>
          <w:i/>
          <w:iCs/>
          <w:color w:val="000000"/>
          <w:sz w:val="20"/>
          <w:szCs w:val="20"/>
        </w:rPr>
        <w:t xml:space="preserve">"Risks Related to Regulatory, Legal, and Tax Matters </w:t>
      </w:r>
      <w:r>
        <w:rPr>
          <w:rFonts w:eastAsia="Times New Roman"/>
          <w:color w:val="000000"/>
          <w:sz w:val="20"/>
          <w:szCs w:val="20"/>
        </w:rPr>
        <w:t xml:space="preserve">— </w:t>
      </w:r>
      <w:r>
        <w:rPr>
          <w:rFonts w:eastAsia="Times New Roman"/>
          <w:i/>
          <w:iCs/>
          <w:color w:val="000000"/>
          <w:sz w:val="20"/>
          <w:szCs w:val="20"/>
        </w:rPr>
        <w:t xml:space="preserve">Our ability to conduct business globally may be affected by a variety of legal, regulatory, </w:t>
      </w:r>
      <w:r>
        <w:rPr>
          <w:rFonts w:eastAsia="Times New Roman"/>
          <w:i/>
          <w:iCs/>
          <w:color w:val="000000"/>
          <w:sz w:val="20"/>
          <w:szCs w:val="20"/>
        </w:rPr>
        <w:t>political, and economic risks."</w:t>
      </w:r>
    </w:p>
    <w:p w14:paraId="68366F53" w14:textId="77777777" w:rsidR="00000000" w:rsidRDefault="00EE5306">
      <w:pPr>
        <w:jc w:val="both"/>
        <w:divId w:val="1755391886"/>
        <w:rPr>
          <w:rFonts w:eastAsia="Times New Roman"/>
        </w:rPr>
      </w:pPr>
      <w:r>
        <w:rPr>
          <w:rFonts w:eastAsia="Times New Roman"/>
          <w:b/>
          <w:bCs/>
          <w:color w:val="000000"/>
          <w:sz w:val="20"/>
          <w:szCs w:val="20"/>
        </w:rPr>
        <w:t>Our business could suffer if we fail to comply with labor laws or if one of our manufacturers fails to use acceptable labor or environmental practices.</w:t>
      </w:r>
    </w:p>
    <w:p w14:paraId="0B59BD10" w14:textId="77777777" w:rsidR="00000000" w:rsidRDefault="00EE5306">
      <w:pPr>
        <w:ind w:firstLine="540"/>
        <w:jc w:val="both"/>
        <w:divId w:val="2141023747"/>
        <w:rPr>
          <w:rFonts w:eastAsia="Times New Roman"/>
        </w:rPr>
      </w:pPr>
      <w:r>
        <w:rPr>
          <w:rFonts w:eastAsia="Times New Roman"/>
          <w:color w:val="000000"/>
          <w:sz w:val="20"/>
          <w:szCs w:val="20"/>
        </w:rPr>
        <w:t>We are subject to labor laws governing relationships with employees, inc</w:t>
      </w:r>
      <w:r>
        <w:rPr>
          <w:rFonts w:eastAsia="Times New Roman"/>
          <w:color w:val="000000"/>
          <w:sz w:val="20"/>
          <w:szCs w:val="20"/>
        </w:rPr>
        <w:t>luding minimum wage requirements, overtime, working conditions, and citizenship requirements. Compliance with these laws may lead to increased costs and operational complexity and may increase our exposure to governmental investigations or litigation.</w:t>
      </w:r>
    </w:p>
    <w:p w14:paraId="0CB6D699" w14:textId="77777777" w:rsidR="00000000" w:rsidRDefault="00EE5306">
      <w:pPr>
        <w:ind w:firstLine="540"/>
        <w:jc w:val="both"/>
        <w:divId w:val="210919667"/>
        <w:rPr>
          <w:rFonts w:eastAsia="Times New Roman"/>
        </w:rPr>
      </w:pPr>
      <w:r>
        <w:rPr>
          <w:rFonts w:eastAsia="Times New Roman"/>
          <w:color w:val="000000"/>
          <w:sz w:val="20"/>
          <w:szCs w:val="20"/>
        </w:rPr>
        <w:t>In a</w:t>
      </w:r>
      <w:r>
        <w:rPr>
          <w:rFonts w:eastAsia="Times New Roman"/>
          <w:color w:val="000000"/>
          <w:sz w:val="20"/>
          <w:szCs w:val="20"/>
        </w:rPr>
        <w:t>ddition, we require our licensing partners and independent manufacturers to operate in compliance with applicable laws and regulations. While our internal and vendor operating guidelines promote ethical business practices and our employees periodically vis</w:t>
      </w:r>
      <w:r>
        <w:rPr>
          <w:rFonts w:eastAsia="Times New Roman"/>
          <w:color w:val="000000"/>
          <w:sz w:val="20"/>
          <w:szCs w:val="20"/>
        </w:rPr>
        <w:t>it and monitor the operations of our independent manufacturers, we do not control these manufacturers or their labor practices. The violation of labor, environmental, or other laws by an independent manufacturer used by us or one of our licensing partners,</w:t>
      </w:r>
      <w:r>
        <w:rPr>
          <w:rFonts w:eastAsia="Times New Roman"/>
          <w:color w:val="000000"/>
          <w:sz w:val="20"/>
          <w:szCs w:val="20"/>
        </w:rPr>
        <w:t xml:space="preserve"> or the divergence of an independent manufacturer's or licensing partner's labor or environmental practices from those generally accepted as ethical or appropriate in the U.S., could interrupt or otherwise disrupt the shipment of finished products to us or</w:t>
      </w:r>
      <w:r>
        <w:rPr>
          <w:rFonts w:eastAsia="Times New Roman"/>
          <w:color w:val="000000"/>
          <w:sz w:val="20"/>
          <w:szCs w:val="20"/>
        </w:rPr>
        <w:t xml:space="preserve"> damage our reputation. Any of these events, in turn, could have a material adverse effect on our business.</w:t>
      </w:r>
    </w:p>
    <w:p w14:paraId="5D535F82" w14:textId="77777777" w:rsidR="00000000" w:rsidRDefault="00EE5306">
      <w:pPr>
        <w:jc w:val="both"/>
        <w:divId w:val="1871533584"/>
        <w:rPr>
          <w:rFonts w:eastAsia="Times New Roman"/>
        </w:rPr>
      </w:pPr>
      <w:r>
        <w:rPr>
          <w:rFonts w:eastAsia="Times New Roman"/>
          <w:b/>
          <w:bCs/>
          <w:color w:val="000000"/>
          <w:sz w:val="20"/>
          <w:szCs w:val="20"/>
        </w:rPr>
        <w:t>Certain legal proceedings, regulatory matters, and accounting changes could adversely affect our business.</w:t>
      </w:r>
    </w:p>
    <w:p w14:paraId="6283D358" w14:textId="77777777" w:rsidR="00000000" w:rsidRDefault="00EE5306">
      <w:pPr>
        <w:ind w:firstLine="540"/>
        <w:jc w:val="both"/>
        <w:divId w:val="1294797632"/>
        <w:rPr>
          <w:rFonts w:eastAsia="Times New Roman"/>
        </w:rPr>
      </w:pPr>
      <w:r>
        <w:rPr>
          <w:rFonts w:eastAsia="Times New Roman"/>
          <w:color w:val="000000"/>
          <w:sz w:val="20"/>
          <w:szCs w:val="20"/>
        </w:rPr>
        <w:t xml:space="preserve">We are involved in certain legal proceedings and regulatory matters and are subject from time to time to various claims involving alleged breach of contract claims, intellectual property and other related claims, escheatment and unclaimed property, credit </w:t>
      </w:r>
      <w:r>
        <w:rPr>
          <w:rFonts w:eastAsia="Times New Roman"/>
          <w:color w:val="000000"/>
          <w:sz w:val="20"/>
          <w:szCs w:val="20"/>
        </w:rPr>
        <w:t>card fraud, security breaches in certain of our retail store information systems, employment issues, consumer matters, and other litigation. Certain of these lawsuits and claims, if decided adversely to us or settled by us, could result in material liabili</w:t>
      </w:r>
      <w:r>
        <w:rPr>
          <w:rFonts w:eastAsia="Times New Roman"/>
          <w:color w:val="000000"/>
          <w:sz w:val="20"/>
          <w:szCs w:val="20"/>
        </w:rPr>
        <w:t>ty to our Company or have a negative impact on our reputation or relations with our employees, customers, licensing partners, or other third parties. Other potential claimants may also be encouraged to bring suits against us based on a settlement from us o</w:t>
      </w:r>
      <w:r>
        <w:rPr>
          <w:rFonts w:eastAsia="Times New Roman"/>
          <w:color w:val="000000"/>
          <w:sz w:val="20"/>
          <w:szCs w:val="20"/>
        </w:rPr>
        <w:t>r adverse court decision against us for similar claims or allegations as their own. In addition, regardless of the outcome of any litigation or regulatory proceedings, such proceedings could result in substantial costs and may require our Company to devote</w:t>
      </w:r>
      <w:r>
        <w:rPr>
          <w:rFonts w:eastAsia="Times New Roman"/>
          <w:color w:val="000000"/>
          <w:sz w:val="20"/>
          <w:szCs w:val="20"/>
        </w:rPr>
        <w:t xml:space="preserve"> substantial time and resources to defend itself. Further, changes in governmental regulations both in the U.S. and in other countries where we conduct business operations could have an adverse impact on our business. See Item 3 — </w:t>
      </w:r>
      <w:r>
        <w:rPr>
          <w:rFonts w:eastAsia="Times New Roman"/>
          <w:i/>
          <w:iCs/>
          <w:color w:val="000000"/>
          <w:sz w:val="20"/>
          <w:szCs w:val="20"/>
        </w:rPr>
        <w:t>"Legal Proceedings"</w:t>
      </w:r>
      <w:r>
        <w:rPr>
          <w:rFonts w:eastAsia="Times New Roman"/>
          <w:color w:val="000000"/>
          <w:sz w:val="20"/>
          <w:szCs w:val="20"/>
        </w:rPr>
        <w:t xml:space="preserve"> for f</w:t>
      </w:r>
      <w:r>
        <w:rPr>
          <w:rFonts w:eastAsia="Times New Roman"/>
          <w:color w:val="000000"/>
          <w:sz w:val="20"/>
          <w:szCs w:val="20"/>
        </w:rPr>
        <w:t>urther discussion of our Company's legal matters.</w:t>
      </w:r>
    </w:p>
    <w:p w14:paraId="764FBDFE" w14:textId="77777777" w:rsidR="00000000" w:rsidRDefault="00EE5306">
      <w:pPr>
        <w:ind w:firstLine="540"/>
        <w:jc w:val="both"/>
        <w:divId w:val="510679815"/>
        <w:rPr>
          <w:rFonts w:eastAsia="Times New Roman"/>
        </w:rPr>
      </w:pPr>
      <w:r>
        <w:rPr>
          <w:rFonts w:eastAsia="Times New Roman"/>
          <w:color w:val="000000"/>
          <w:sz w:val="20"/>
          <w:szCs w:val="20"/>
        </w:rPr>
        <w:t>In addition, we are subject to changes in accounting rules and interpretations issued by the Financial Accounting Standards Board and other regulatory agencies. If and when effective, such changes to accoun</w:t>
      </w:r>
      <w:r>
        <w:rPr>
          <w:rFonts w:eastAsia="Times New Roman"/>
          <w:color w:val="000000"/>
          <w:sz w:val="20"/>
          <w:szCs w:val="20"/>
        </w:rPr>
        <w:t>ting standards could have a material impact on our consolidated financial statements. See Note 4 to the accompanying consolidated financial statements for a discussion of certain recently issued accounting standards.</w:t>
      </w:r>
    </w:p>
    <w:p w14:paraId="6C38B01B" w14:textId="77777777" w:rsidR="00000000" w:rsidRDefault="00EE5306">
      <w:pPr>
        <w:divId w:val="862062201"/>
        <w:rPr>
          <w:rFonts w:eastAsia="Times New Roman"/>
        </w:rPr>
      </w:pPr>
    </w:p>
    <w:p w14:paraId="55C8FF4F" w14:textId="77777777" w:rsidR="00000000" w:rsidRDefault="00EE5306">
      <w:pPr>
        <w:divId w:val="1798181236"/>
        <w:rPr>
          <w:rFonts w:eastAsia="Times New Roman"/>
        </w:rPr>
      </w:pPr>
      <w:r>
        <w:rPr>
          <w:rFonts w:eastAsia="Times New Roman"/>
          <w:b/>
          <w:bCs/>
          <w:color w:val="000000"/>
          <w:sz w:val="20"/>
          <w:szCs w:val="20"/>
          <w:u w:val="single"/>
        </w:rPr>
        <w:t>Risks Related to our Common Stock</w:t>
      </w:r>
    </w:p>
    <w:p w14:paraId="1AF74B26" w14:textId="77777777" w:rsidR="00000000" w:rsidRDefault="00EE5306">
      <w:pPr>
        <w:divId w:val="153449586"/>
        <w:rPr>
          <w:rFonts w:eastAsia="Times New Roman"/>
        </w:rPr>
      </w:pPr>
    </w:p>
    <w:p w14:paraId="1C0AB54B" w14:textId="77777777" w:rsidR="00000000" w:rsidRDefault="00EE5306">
      <w:pPr>
        <w:divId w:val="1822698149"/>
        <w:rPr>
          <w:rFonts w:eastAsia="Times New Roman"/>
        </w:rPr>
      </w:pPr>
      <w:r>
        <w:rPr>
          <w:rFonts w:eastAsia="Times New Roman"/>
          <w:b/>
          <w:bCs/>
          <w:color w:val="000000"/>
          <w:sz w:val="20"/>
          <w:szCs w:val="20"/>
        </w:rPr>
        <w:t>T</w:t>
      </w:r>
      <w:r>
        <w:rPr>
          <w:rFonts w:eastAsia="Times New Roman"/>
          <w:b/>
          <w:bCs/>
          <w:color w:val="000000"/>
          <w:sz w:val="20"/>
          <w:szCs w:val="20"/>
        </w:rPr>
        <w:t>he trading prices of our securities periodically may rise or fall based on the accuracy of predictions of our earnings or other financial performance, including our ability to return value to shareholders.</w:t>
      </w:r>
    </w:p>
    <w:p w14:paraId="61D9B278" w14:textId="77777777" w:rsidR="00000000" w:rsidRDefault="00EE5306">
      <w:pPr>
        <w:ind w:firstLine="540"/>
        <w:jc w:val="both"/>
        <w:divId w:val="255722187"/>
        <w:rPr>
          <w:rFonts w:eastAsia="Times New Roman"/>
        </w:rPr>
      </w:pPr>
      <w:r>
        <w:rPr>
          <w:rFonts w:eastAsia="Times New Roman"/>
          <w:color w:val="000000"/>
          <w:sz w:val="20"/>
          <w:szCs w:val="20"/>
        </w:rPr>
        <w:t>Our business planning process is designed to maxim</w:t>
      </w:r>
      <w:r>
        <w:rPr>
          <w:rFonts w:eastAsia="Times New Roman"/>
          <w:color w:val="000000"/>
          <w:sz w:val="20"/>
          <w:szCs w:val="20"/>
        </w:rPr>
        <w:t>ize our long-term strength, growth, and profitability, and not to achieve an earnings target in any particular fiscal quarter. We believe that this longer-term focus is in the best interests of our Company and our stockholders. However, we also recognize t</w:t>
      </w:r>
      <w:r>
        <w:rPr>
          <w:rFonts w:eastAsia="Times New Roman"/>
          <w:color w:val="000000"/>
          <w:sz w:val="20"/>
          <w:szCs w:val="20"/>
        </w:rPr>
        <w:t xml:space="preserve">hat, from time to time, it may be helpful to provide investors with guidance as to our quarterly and annual forecast of net sales and earnings. While we generally expect to provide updates to our guidance when we report our results each fiscal quarter, we </w:t>
      </w:r>
      <w:r>
        <w:rPr>
          <w:rFonts w:eastAsia="Times New Roman"/>
          <w:color w:val="000000"/>
          <w:sz w:val="20"/>
          <w:szCs w:val="20"/>
        </w:rPr>
        <w:t>do not have any responsibility to update any of our guidance or other forward-looking statements at such times or otherwise. In addition, any longer-term guidance that we provide is based on goals that we believe, at the time guidance is given, are reasona</w:t>
      </w:r>
      <w:r>
        <w:rPr>
          <w:rFonts w:eastAsia="Times New Roman"/>
          <w:color w:val="000000"/>
          <w:sz w:val="20"/>
          <w:szCs w:val="20"/>
        </w:rPr>
        <w:t>bly attainable. However, such long-range targets are more difficult to predict than our current quarter and full fiscal year expectations. Additionally, external analysts and investors may publish their own independent predictions of our future performance</w:t>
      </w:r>
      <w:r>
        <w:rPr>
          <w:rFonts w:eastAsia="Times New Roman"/>
          <w:color w:val="000000"/>
          <w:sz w:val="20"/>
          <w:szCs w:val="20"/>
        </w:rPr>
        <w:t xml:space="preserve">. We do not endorse such predictions or assume any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A88FD34" w14:textId="77777777">
        <w:trPr>
          <w:divId w:val="2003001029"/>
          <w:jc w:val="center"/>
        </w:trPr>
        <w:tc>
          <w:tcPr>
            <w:tcW w:w="50" w:type="pct"/>
            <w:vAlign w:val="center"/>
            <w:hideMark/>
          </w:tcPr>
          <w:p w14:paraId="77A09695" w14:textId="77777777" w:rsidR="00000000" w:rsidRDefault="00EE5306">
            <w:pPr>
              <w:ind w:firstLine="540"/>
              <w:jc w:val="both"/>
              <w:rPr>
                <w:rFonts w:eastAsia="Times New Roman"/>
              </w:rPr>
            </w:pPr>
          </w:p>
        </w:tc>
        <w:tc>
          <w:tcPr>
            <w:tcW w:w="1699" w:type="pct"/>
            <w:vAlign w:val="center"/>
            <w:hideMark/>
          </w:tcPr>
          <w:p w14:paraId="66BDCF08" w14:textId="77777777" w:rsidR="00000000" w:rsidRDefault="00EE5306">
            <w:pPr>
              <w:spacing w:after="100"/>
              <w:rPr>
                <w:rFonts w:eastAsia="Times New Roman"/>
                <w:sz w:val="20"/>
                <w:szCs w:val="20"/>
              </w:rPr>
            </w:pPr>
          </w:p>
        </w:tc>
        <w:tc>
          <w:tcPr>
            <w:tcW w:w="5" w:type="pct"/>
            <w:vAlign w:val="center"/>
            <w:hideMark/>
          </w:tcPr>
          <w:p w14:paraId="1ABC5E52" w14:textId="77777777" w:rsidR="00000000" w:rsidRDefault="00EE5306">
            <w:pPr>
              <w:spacing w:after="100"/>
              <w:rPr>
                <w:rFonts w:eastAsia="Times New Roman"/>
                <w:sz w:val="20"/>
                <w:szCs w:val="20"/>
              </w:rPr>
            </w:pPr>
          </w:p>
        </w:tc>
        <w:tc>
          <w:tcPr>
            <w:tcW w:w="50" w:type="pct"/>
            <w:vAlign w:val="center"/>
            <w:hideMark/>
          </w:tcPr>
          <w:p w14:paraId="477B1F4B" w14:textId="77777777" w:rsidR="00000000" w:rsidRDefault="00EE5306">
            <w:pPr>
              <w:spacing w:after="100"/>
              <w:rPr>
                <w:rFonts w:eastAsia="Times New Roman"/>
                <w:sz w:val="20"/>
                <w:szCs w:val="20"/>
              </w:rPr>
            </w:pPr>
          </w:p>
        </w:tc>
        <w:tc>
          <w:tcPr>
            <w:tcW w:w="1436" w:type="pct"/>
            <w:vAlign w:val="center"/>
            <w:hideMark/>
          </w:tcPr>
          <w:p w14:paraId="596C603A" w14:textId="77777777" w:rsidR="00000000" w:rsidRDefault="00EE5306">
            <w:pPr>
              <w:spacing w:after="100"/>
              <w:rPr>
                <w:rFonts w:eastAsia="Times New Roman"/>
                <w:sz w:val="20"/>
                <w:szCs w:val="20"/>
              </w:rPr>
            </w:pPr>
          </w:p>
        </w:tc>
        <w:tc>
          <w:tcPr>
            <w:tcW w:w="5" w:type="pct"/>
            <w:vAlign w:val="center"/>
            <w:hideMark/>
          </w:tcPr>
          <w:p w14:paraId="2DB48510" w14:textId="77777777" w:rsidR="00000000" w:rsidRDefault="00EE5306">
            <w:pPr>
              <w:spacing w:after="100"/>
              <w:rPr>
                <w:rFonts w:eastAsia="Times New Roman"/>
                <w:sz w:val="20"/>
                <w:szCs w:val="20"/>
              </w:rPr>
            </w:pPr>
          </w:p>
        </w:tc>
        <w:tc>
          <w:tcPr>
            <w:tcW w:w="50" w:type="pct"/>
            <w:vAlign w:val="center"/>
            <w:hideMark/>
          </w:tcPr>
          <w:p w14:paraId="01617130" w14:textId="77777777" w:rsidR="00000000" w:rsidRDefault="00EE5306">
            <w:pPr>
              <w:spacing w:after="100"/>
              <w:rPr>
                <w:rFonts w:eastAsia="Times New Roman"/>
                <w:sz w:val="20"/>
                <w:szCs w:val="20"/>
              </w:rPr>
            </w:pPr>
          </w:p>
        </w:tc>
        <w:tc>
          <w:tcPr>
            <w:tcW w:w="1699" w:type="pct"/>
            <w:vAlign w:val="center"/>
            <w:hideMark/>
          </w:tcPr>
          <w:p w14:paraId="123FDEA9" w14:textId="77777777" w:rsidR="00000000" w:rsidRDefault="00EE5306">
            <w:pPr>
              <w:spacing w:after="100"/>
              <w:rPr>
                <w:rFonts w:eastAsia="Times New Roman"/>
                <w:sz w:val="20"/>
                <w:szCs w:val="20"/>
              </w:rPr>
            </w:pPr>
          </w:p>
        </w:tc>
        <w:tc>
          <w:tcPr>
            <w:tcW w:w="5" w:type="pct"/>
            <w:vAlign w:val="center"/>
            <w:hideMark/>
          </w:tcPr>
          <w:p w14:paraId="374DB0EB" w14:textId="77777777" w:rsidR="00000000" w:rsidRDefault="00EE5306">
            <w:pPr>
              <w:spacing w:after="100"/>
              <w:rPr>
                <w:rFonts w:eastAsia="Times New Roman"/>
                <w:sz w:val="20"/>
                <w:szCs w:val="20"/>
              </w:rPr>
            </w:pPr>
          </w:p>
        </w:tc>
      </w:tr>
      <w:tr w:rsidR="00000000" w14:paraId="3727DB71" w14:textId="77777777">
        <w:trPr>
          <w:divId w:val="2003001029"/>
          <w:jc w:val="center"/>
        </w:trPr>
        <w:tc>
          <w:tcPr>
            <w:tcW w:w="0" w:type="auto"/>
            <w:gridSpan w:val="3"/>
            <w:tcMar>
              <w:top w:w="0" w:type="dxa"/>
              <w:left w:w="20" w:type="dxa"/>
              <w:bottom w:w="0" w:type="dxa"/>
              <w:right w:w="20" w:type="dxa"/>
            </w:tcMar>
            <w:vAlign w:val="center"/>
            <w:hideMark/>
          </w:tcPr>
          <w:p w14:paraId="34667D2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ADCCD2F" w14:textId="77777777" w:rsidR="00000000" w:rsidRDefault="00EE5306">
            <w:pPr>
              <w:spacing w:after="100"/>
              <w:jc w:val="center"/>
              <w:rPr>
                <w:rFonts w:eastAsia="Times New Roman"/>
              </w:rPr>
            </w:pPr>
            <w:r>
              <w:rPr>
                <w:rFonts w:eastAsia="Times New Roman"/>
                <w:color w:val="000000"/>
                <w:sz w:val="20"/>
                <w:szCs w:val="20"/>
              </w:rPr>
              <w:t>38</w:t>
            </w:r>
          </w:p>
        </w:tc>
        <w:tc>
          <w:tcPr>
            <w:tcW w:w="0" w:type="auto"/>
            <w:gridSpan w:val="3"/>
            <w:tcMar>
              <w:top w:w="0" w:type="dxa"/>
              <w:left w:w="20" w:type="dxa"/>
              <w:bottom w:w="0" w:type="dxa"/>
              <w:right w:w="20" w:type="dxa"/>
            </w:tcMar>
            <w:vAlign w:val="center"/>
            <w:hideMark/>
          </w:tcPr>
          <w:p w14:paraId="63B879DC" w14:textId="77777777" w:rsidR="00000000" w:rsidRDefault="00EE5306">
            <w:pPr>
              <w:spacing w:after="100"/>
              <w:jc w:val="center"/>
              <w:rPr>
                <w:rFonts w:eastAsia="Times New Roman"/>
              </w:rPr>
            </w:pPr>
          </w:p>
        </w:tc>
      </w:tr>
    </w:tbl>
    <w:p w14:paraId="0F1A54D2" w14:textId="77777777" w:rsidR="00000000" w:rsidRDefault="00EE5306">
      <w:pPr>
        <w:rPr>
          <w:rFonts w:eastAsia="Times New Roman"/>
        </w:rPr>
      </w:pPr>
      <w:r>
        <w:rPr>
          <w:rFonts w:eastAsia="Times New Roman"/>
        </w:rPr>
        <w:pict w14:anchorId="39ECCC0E">
          <v:rect id="_x0000_i1064" style="width:0;height:1.5pt" o:hralign="center" o:hrstd="t" o:hr="t" fillcolor="#a0a0a0" stroked="f"/>
        </w:pict>
      </w:r>
    </w:p>
    <w:p w14:paraId="0034BCCE" w14:textId="77777777" w:rsidR="00000000" w:rsidRDefault="00EE5306">
      <w:pPr>
        <w:divId w:val="1483497085"/>
        <w:rPr>
          <w:rFonts w:eastAsia="Times New Roman"/>
        </w:rPr>
      </w:pPr>
    </w:p>
    <w:p w14:paraId="023BED60" w14:textId="77777777" w:rsidR="00000000" w:rsidRDefault="00EE5306">
      <w:pPr>
        <w:jc w:val="both"/>
        <w:divId w:val="1553954751"/>
        <w:rPr>
          <w:rFonts w:eastAsia="Times New Roman"/>
        </w:rPr>
      </w:pPr>
      <w:r>
        <w:rPr>
          <w:rFonts w:eastAsia="Times New Roman"/>
          <w:color w:val="000000"/>
          <w:sz w:val="20"/>
          <w:szCs w:val="20"/>
        </w:rPr>
        <w:t>responsibility to correct such predictions when they differ from our own expectations. If, or when, we announce actual results that differ from those that have been predicted by us, outside analysts, or others, the mar</w:t>
      </w:r>
      <w:r>
        <w:rPr>
          <w:rFonts w:eastAsia="Times New Roman"/>
          <w:color w:val="000000"/>
          <w:sz w:val="20"/>
          <w:szCs w:val="20"/>
        </w:rPr>
        <w:t xml:space="preserve">ket price of our securities could be adversely affected. Investors who rely on these predictions when making investment decisions with respect to our securities do so at their own risk. We take no responsibility for any losses suffered as a result of such </w:t>
      </w:r>
      <w:r>
        <w:rPr>
          <w:rFonts w:eastAsia="Times New Roman"/>
          <w:color w:val="000000"/>
          <w:sz w:val="20"/>
          <w:szCs w:val="20"/>
        </w:rPr>
        <w:t>changes in the prices of our securities.</w:t>
      </w:r>
    </w:p>
    <w:p w14:paraId="500E3ABE" w14:textId="77777777" w:rsidR="00000000" w:rsidRDefault="00EE5306">
      <w:pPr>
        <w:ind w:firstLine="540"/>
        <w:jc w:val="both"/>
        <w:divId w:val="1972981257"/>
        <w:rPr>
          <w:rFonts w:eastAsia="Times New Roman"/>
        </w:rPr>
      </w:pPr>
      <w:r>
        <w:rPr>
          <w:rFonts w:eastAsia="Times New Roman"/>
          <w:color w:val="000000"/>
          <w:sz w:val="20"/>
          <w:szCs w:val="20"/>
        </w:rPr>
        <w:t>In addition, we have historically returned value to shareholders through our payment of quarterly cash dividends and common stock share repurchases. Investors may have an expectation that we will continue to pay qua</w:t>
      </w:r>
      <w:r>
        <w:rPr>
          <w:rFonts w:eastAsia="Times New Roman"/>
          <w:color w:val="000000"/>
          <w:sz w:val="20"/>
          <w:szCs w:val="20"/>
        </w:rPr>
        <w:t>rterly cash dividends, further increase our cash dividend rate, and/or repurchase shares available under our Class A common stock repurchase program. Our ability to pay quarterly cash dividends and repurchase our Class A common stock will depend on our abi</w:t>
      </w:r>
      <w:r>
        <w:rPr>
          <w:rFonts w:eastAsia="Times New Roman"/>
          <w:color w:val="000000"/>
          <w:sz w:val="20"/>
          <w:szCs w:val="20"/>
        </w:rPr>
        <w:t>lity to generate sufficient cash flows from operations in the future. This ability may be subject to certain economic, financial, competitive, and other factors that are beyond our control, such as impacts related to the COVID-19 pandemic, which has result</w:t>
      </w:r>
      <w:r>
        <w:rPr>
          <w:rFonts w:eastAsia="Times New Roman"/>
          <w:color w:val="000000"/>
          <w:sz w:val="20"/>
          <w:szCs w:val="20"/>
        </w:rPr>
        <w:t>ed in us temporarily suspending our quarterly cash dividend and share repurchases, effective beginning in the first quarter of Fiscal 2021. Further, our Board of Directors may, at its discretion, elect to suspend or otherwise alter these programs at any ti</w:t>
      </w:r>
      <w:r>
        <w:rPr>
          <w:rFonts w:eastAsia="Times New Roman"/>
          <w:color w:val="000000"/>
          <w:sz w:val="20"/>
          <w:szCs w:val="20"/>
        </w:rPr>
        <w:t>me. The market price of our securities could be adversely affected if our cash dividend payments and/or Class A common stock share repurchase activity differ from investors' expectations.</w:t>
      </w:r>
    </w:p>
    <w:p w14:paraId="4CF05C15" w14:textId="77777777" w:rsidR="00000000" w:rsidRDefault="00EE5306">
      <w:pPr>
        <w:jc w:val="both"/>
        <w:divId w:val="1581403589"/>
        <w:rPr>
          <w:rFonts w:eastAsia="Times New Roman"/>
        </w:rPr>
      </w:pPr>
      <w:r>
        <w:rPr>
          <w:rFonts w:eastAsia="Times New Roman"/>
          <w:b/>
          <w:bCs/>
          <w:color w:val="000000"/>
          <w:sz w:val="20"/>
          <w:szCs w:val="20"/>
        </w:rPr>
        <w:t>The voting shares of our Company's stock are concentrated in one maj</w:t>
      </w:r>
      <w:r>
        <w:rPr>
          <w:rFonts w:eastAsia="Times New Roman"/>
          <w:b/>
          <w:bCs/>
          <w:color w:val="000000"/>
          <w:sz w:val="20"/>
          <w:szCs w:val="20"/>
        </w:rPr>
        <w:t>ority stockholder.</w:t>
      </w:r>
    </w:p>
    <w:p w14:paraId="3C098013" w14:textId="77777777" w:rsidR="00000000" w:rsidRDefault="00EE5306">
      <w:pPr>
        <w:ind w:firstLine="540"/>
        <w:jc w:val="both"/>
        <w:divId w:val="461773902"/>
        <w:rPr>
          <w:rFonts w:eastAsia="Times New Roman"/>
        </w:rPr>
      </w:pPr>
      <w:r>
        <w:rPr>
          <w:rFonts w:eastAsia="Times New Roman"/>
          <w:color w:val="000000"/>
          <w:sz w:val="20"/>
          <w:szCs w:val="20"/>
        </w:rPr>
        <w:t>As of March 27, 2021, Mr. Ralph Lauren, or entities controlled by the Lauren family, held approximately 84% of the voting power of the outstanding common stock of our Company. In addition, Mr. R. Lauren serves as our Executive Chairman a</w:t>
      </w:r>
      <w:r>
        <w:rPr>
          <w:rFonts w:eastAsia="Times New Roman"/>
          <w:color w:val="000000"/>
          <w:sz w:val="20"/>
          <w:szCs w:val="20"/>
        </w:rPr>
        <w:t>nd Chief Creative Officer, Mr. R. Lauren's son, Mr. David Lauren, serves as our Chief Innovation Officer, Strategic Advisor to the CEO, and Vice Chairman of the Board of Directors, and we employ other members of the Lauren family. From time to time, we may</w:t>
      </w:r>
      <w:r>
        <w:rPr>
          <w:rFonts w:eastAsia="Times New Roman"/>
          <w:color w:val="000000"/>
          <w:sz w:val="20"/>
          <w:szCs w:val="20"/>
        </w:rPr>
        <w:t xml:space="preserve"> have other business dealings with Mr. R. Lauren, members of the Lauren family, or entities affiliated with Mr. R. Lauren or the Lauren family. As a result of his stock ownership and position in our Company, Mr. R. Lauren has the ability to exercise signif</w:t>
      </w:r>
      <w:r>
        <w:rPr>
          <w:rFonts w:eastAsia="Times New Roman"/>
          <w:color w:val="000000"/>
          <w:sz w:val="20"/>
          <w:szCs w:val="20"/>
        </w:rPr>
        <w:t>icant control over our business, including, without limitation, (i) the election of our Class B common stock directors, voting separately as a class and (ii) any action requiring the approval of our stockholders, including the adoption of amendments to our</w:t>
      </w:r>
      <w:r>
        <w:rPr>
          <w:rFonts w:eastAsia="Times New Roman"/>
          <w:color w:val="000000"/>
          <w:sz w:val="20"/>
          <w:szCs w:val="20"/>
        </w:rPr>
        <w:t xml:space="preserve"> certificate of incorporation and the approval of mergers or sales of all or substantially all of our assets.</w:t>
      </w:r>
    </w:p>
    <w:p w14:paraId="538328B3" w14:textId="77777777" w:rsidR="00000000" w:rsidRDefault="00EE5306">
      <w:pPr>
        <w:ind w:hanging="900"/>
        <w:divId w:val="1678995968"/>
        <w:rPr>
          <w:rFonts w:eastAsia="Times New Roman"/>
        </w:rPr>
      </w:pPr>
      <w:r>
        <w:rPr>
          <w:rFonts w:eastAsia="Times New Roman"/>
          <w:b/>
          <w:bCs/>
          <w:color w:val="000000"/>
          <w:sz w:val="20"/>
          <w:szCs w:val="20"/>
        </w:rPr>
        <w:t>Item 1B.    </w:t>
      </w:r>
      <w:r>
        <w:rPr>
          <w:rFonts w:eastAsia="Times New Roman"/>
          <w:b/>
          <w:bCs/>
          <w:i/>
          <w:iCs/>
          <w:color w:val="000000"/>
          <w:sz w:val="20"/>
          <w:szCs w:val="20"/>
        </w:rPr>
        <w:t>Unresolved Staff Comments.</w:t>
      </w:r>
    </w:p>
    <w:p w14:paraId="69BD4606" w14:textId="77777777" w:rsidR="00000000" w:rsidRDefault="00EE5306">
      <w:pPr>
        <w:ind w:firstLine="540"/>
        <w:jc w:val="both"/>
        <w:divId w:val="272633987"/>
        <w:rPr>
          <w:rFonts w:eastAsia="Times New Roman"/>
        </w:rPr>
      </w:pPr>
      <w:r>
        <w:rPr>
          <w:rFonts w:eastAsia="Times New Roman"/>
          <w:color w:val="000000"/>
          <w:sz w:val="20"/>
          <w:szCs w:val="20"/>
        </w:rPr>
        <w:t>Not applicable.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76401273" w14:textId="77777777">
        <w:trPr>
          <w:divId w:val="19624941"/>
          <w:jc w:val="center"/>
        </w:trPr>
        <w:tc>
          <w:tcPr>
            <w:tcW w:w="50" w:type="pct"/>
            <w:vAlign w:val="center"/>
            <w:hideMark/>
          </w:tcPr>
          <w:p w14:paraId="1D343CB5" w14:textId="77777777" w:rsidR="00000000" w:rsidRDefault="00EE5306">
            <w:pPr>
              <w:ind w:firstLine="540"/>
              <w:jc w:val="both"/>
              <w:rPr>
                <w:rFonts w:eastAsia="Times New Roman"/>
              </w:rPr>
            </w:pPr>
          </w:p>
        </w:tc>
        <w:tc>
          <w:tcPr>
            <w:tcW w:w="1699" w:type="pct"/>
            <w:vAlign w:val="center"/>
            <w:hideMark/>
          </w:tcPr>
          <w:p w14:paraId="7809AE23" w14:textId="77777777" w:rsidR="00000000" w:rsidRDefault="00EE5306">
            <w:pPr>
              <w:spacing w:after="100"/>
              <w:rPr>
                <w:rFonts w:eastAsia="Times New Roman"/>
                <w:sz w:val="20"/>
                <w:szCs w:val="20"/>
              </w:rPr>
            </w:pPr>
          </w:p>
        </w:tc>
        <w:tc>
          <w:tcPr>
            <w:tcW w:w="5" w:type="pct"/>
            <w:vAlign w:val="center"/>
            <w:hideMark/>
          </w:tcPr>
          <w:p w14:paraId="266A725F" w14:textId="77777777" w:rsidR="00000000" w:rsidRDefault="00EE5306">
            <w:pPr>
              <w:spacing w:after="100"/>
              <w:rPr>
                <w:rFonts w:eastAsia="Times New Roman"/>
                <w:sz w:val="20"/>
                <w:szCs w:val="20"/>
              </w:rPr>
            </w:pPr>
          </w:p>
        </w:tc>
        <w:tc>
          <w:tcPr>
            <w:tcW w:w="50" w:type="pct"/>
            <w:vAlign w:val="center"/>
            <w:hideMark/>
          </w:tcPr>
          <w:p w14:paraId="5CB27183" w14:textId="77777777" w:rsidR="00000000" w:rsidRDefault="00EE5306">
            <w:pPr>
              <w:spacing w:after="100"/>
              <w:rPr>
                <w:rFonts w:eastAsia="Times New Roman"/>
                <w:sz w:val="20"/>
                <w:szCs w:val="20"/>
              </w:rPr>
            </w:pPr>
          </w:p>
        </w:tc>
        <w:tc>
          <w:tcPr>
            <w:tcW w:w="1436" w:type="pct"/>
            <w:vAlign w:val="center"/>
            <w:hideMark/>
          </w:tcPr>
          <w:p w14:paraId="44B9A7F9" w14:textId="77777777" w:rsidR="00000000" w:rsidRDefault="00EE5306">
            <w:pPr>
              <w:spacing w:after="100"/>
              <w:rPr>
                <w:rFonts w:eastAsia="Times New Roman"/>
                <w:sz w:val="20"/>
                <w:szCs w:val="20"/>
              </w:rPr>
            </w:pPr>
          </w:p>
        </w:tc>
        <w:tc>
          <w:tcPr>
            <w:tcW w:w="5" w:type="pct"/>
            <w:vAlign w:val="center"/>
            <w:hideMark/>
          </w:tcPr>
          <w:p w14:paraId="216DDF30" w14:textId="77777777" w:rsidR="00000000" w:rsidRDefault="00EE5306">
            <w:pPr>
              <w:spacing w:after="100"/>
              <w:rPr>
                <w:rFonts w:eastAsia="Times New Roman"/>
                <w:sz w:val="20"/>
                <w:szCs w:val="20"/>
              </w:rPr>
            </w:pPr>
          </w:p>
        </w:tc>
        <w:tc>
          <w:tcPr>
            <w:tcW w:w="50" w:type="pct"/>
            <w:vAlign w:val="center"/>
            <w:hideMark/>
          </w:tcPr>
          <w:p w14:paraId="0F180537" w14:textId="77777777" w:rsidR="00000000" w:rsidRDefault="00EE5306">
            <w:pPr>
              <w:spacing w:after="100"/>
              <w:rPr>
                <w:rFonts w:eastAsia="Times New Roman"/>
                <w:sz w:val="20"/>
                <w:szCs w:val="20"/>
              </w:rPr>
            </w:pPr>
          </w:p>
        </w:tc>
        <w:tc>
          <w:tcPr>
            <w:tcW w:w="1699" w:type="pct"/>
            <w:vAlign w:val="center"/>
            <w:hideMark/>
          </w:tcPr>
          <w:p w14:paraId="278CBB1D" w14:textId="77777777" w:rsidR="00000000" w:rsidRDefault="00EE5306">
            <w:pPr>
              <w:spacing w:after="100"/>
              <w:rPr>
                <w:rFonts w:eastAsia="Times New Roman"/>
                <w:sz w:val="20"/>
                <w:szCs w:val="20"/>
              </w:rPr>
            </w:pPr>
          </w:p>
        </w:tc>
        <w:tc>
          <w:tcPr>
            <w:tcW w:w="5" w:type="pct"/>
            <w:vAlign w:val="center"/>
            <w:hideMark/>
          </w:tcPr>
          <w:p w14:paraId="5CF320D9" w14:textId="77777777" w:rsidR="00000000" w:rsidRDefault="00EE5306">
            <w:pPr>
              <w:spacing w:after="100"/>
              <w:rPr>
                <w:rFonts w:eastAsia="Times New Roman"/>
                <w:sz w:val="20"/>
                <w:szCs w:val="20"/>
              </w:rPr>
            </w:pPr>
          </w:p>
        </w:tc>
      </w:tr>
      <w:tr w:rsidR="00000000" w14:paraId="67F55A50" w14:textId="77777777">
        <w:trPr>
          <w:divId w:val="19624941"/>
          <w:jc w:val="center"/>
        </w:trPr>
        <w:tc>
          <w:tcPr>
            <w:tcW w:w="0" w:type="auto"/>
            <w:gridSpan w:val="3"/>
            <w:tcMar>
              <w:top w:w="0" w:type="dxa"/>
              <w:left w:w="20" w:type="dxa"/>
              <w:bottom w:w="0" w:type="dxa"/>
              <w:right w:w="20" w:type="dxa"/>
            </w:tcMar>
            <w:vAlign w:val="center"/>
            <w:hideMark/>
          </w:tcPr>
          <w:p w14:paraId="1310BC0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409B136" w14:textId="77777777" w:rsidR="00000000" w:rsidRDefault="00EE5306">
            <w:pPr>
              <w:spacing w:after="100"/>
              <w:jc w:val="center"/>
              <w:rPr>
                <w:rFonts w:eastAsia="Times New Roman"/>
              </w:rPr>
            </w:pPr>
            <w:r>
              <w:rPr>
                <w:rFonts w:eastAsia="Times New Roman"/>
                <w:color w:val="000000"/>
                <w:sz w:val="20"/>
                <w:szCs w:val="20"/>
              </w:rPr>
              <w:t>39</w:t>
            </w:r>
          </w:p>
        </w:tc>
        <w:tc>
          <w:tcPr>
            <w:tcW w:w="0" w:type="auto"/>
            <w:gridSpan w:val="3"/>
            <w:tcMar>
              <w:top w:w="0" w:type="dxa"/>
              <w:left w:w="20" w:type="dxa"/>
              <w:bottom w:w="0" w:type="dxa"/>
              <w:right w:w="20" w:type="dxa"/>
            </w:tcMar>
            <w:vAlign w:val="center"/>
            <w:hideMark/>
          </w:tcPr>
          <w:p w14:paraId="02E00A3C" w14:textId="77777777" w:rsidR="00000000" w:rsidRDefault="00EE5306">
            <w:pPr>
              <w:spacing w:after="100"/>
              <w:jc w:val="center"/>
              <w:rPr>
                <w:rFonts w:eastAsia="Times New Roman"/>
              </w:rPr>
            </w:pPr>
          </w:p>
        </w:tc>
      </w:tr>
    </w:tbl>
    <w:p w14:paraId="4A96A9F2" w14:textId="77777777" w:rsidR="00000000" w:rsidRDefault="00EE5306">
      <w:pPr>
        <w:rPr>
          <w:rFonts w:eastAsia="Times New Roman"/>
        </w:rPr>
      </w:pPr>
      <w:r>
        <w:rPr>
          <w:rFonts w:eastAsia="Times New Roman"/>
        </w:rPr>
        <w:pict w14:anchorId="4C5D1418">
          <v:rect id="_x0000_i1065" style="width:0;height:1.5pt" o:hralign="center" o:hrstd="t" o:hr="t" fillcolor="#a0a0a0" stroked="f"/>
        </w:pict>
      </w:r>
    </w:p>
    <w:p w14:paraId="11029590" w14:textId="77777777" w:rsidR="00000000" w:rsidRDefault="00EE5306">
      <w:pPr>
        <w:divId w:val="2078506198"/>
        <w:rPr>
          <w:rFonts w:eastAsia="Times New Roman"/>
        </w:rPr>
      </w:pPr>
    </w:p>
    <w:p w14:paraId="2B307753" w14:textId="77777777" w:rsidR="00000000" w:rsidRDefault="00EE5306">
      <w:pPr>
        <w:ind w:hanging="900"/>
        <w:divId w:val="896282824"/>
        <w:rPr>
          <w:rFonts w:eastAsia="Times New Roman"/>
        </w:rPr>
      </w:pPr>
      <w:r>
        <w:rPr>
          <w:rFonts w:eastAsia="Times New Roman"/>
          <w:b/>
          <w:bCs/>
          <w:color w:val="000000"/>
          <w:sz w:val="20"/>
          <w:szCs w:val="20"/>
        </w:rPr>
        <w:t>Item 2.    </w:t>
      </w:r>
      <w:r>
        <w:rPr>
          <w:rFonts w:eastAsia="Times New Roman"/>
          <w:b/>
          <w:bCs/>
          <w:i/>
          <w:iCs/>
          <w:color w:val="000000"/>
          <w:sz w:val="20"/>
          <w:szCs w:val="20"/>
        </w:rPr>
        <w:t>Properties.</w:t>
      </w:r>
    </w:p>
    <w:p w14:paraId="7D5E85F6" w14:textId="77777777" w:rsidR="00000000" w:rsidRDefault="00EE5306">
      <w:pPr>
        <w:ind w:firstLine="540"/>
        <w:jc w:val="both"/>
        <w:divId w:val="105471175"/>
        <w:rPr>
          <w:rFonts w:eastAsia="Times New Roman"/>
        </w:rPr>
      </w:pPr>
      <w:r>
        <w:rPr>
          <w:rFonts w:eastAsia="Times New Roman"/>
          <w:color w:val="000000"/>
          <w:sz w:val="20"/>
          <w:szCs w:val="20"/>
        </w:rPr>
        <w:t>We lease space for our retail stores, showrooms, warehouses, and offices in various domestic and international locations. We do not own any real property except for our retail digital commerce ca</w:t>
      </w:r>
      <w:r>
        <w:rPr>
          <w:rFonts w:eastAsia="Times New Roman"/>
          <w:color w:val="000000"/>
          <w:sz w:val="20"/>
          <w:szCs w:val="20"/>
        </w:rPr>
        <w:t>ll center and distribution facility in High Point, North Carolina; and our retail stores in Southampton and Easthampton, New York, and Nantucket, Massachusetts.</w:t>
      </w:r>
    </w:p>
    <w:p w14:paraId="2E463444" w14:textId="77777777" w:rsidR="00000000" w:rsidRDefault="00EE5306">
      <w:pPr>
        <w:ind w:firstLine="540"/>
        <w:jc w:val="both"/>
        <w:divId w:val="1336104024"/>
        <w:rPr>
          <w:rFonts w:eastAsia="Times New Roman"/>
        </w:rPr>
      </w:pPr>
      <w:r>
        <w:rPr>
          <w:rFonts w:eastAsia="Times New Roman"/>
          <w:color w:val="000000"/>
          <w:sz w:val="20"/>
          <w:szCs w:val="20"/>
        </w:rPr>
        <w:t>We believe that our existing facilities are well maintained, in good operating condition, and a</w:t>
      </w:r>
      <w:r>
        <w:rPr>
          <w:rFonts w:eastAsia="Times New Roman"/>
          <w:color w:val="000000"/>
          <w:sz w:val="20"/>
          <w:szCs w:val="20"/>
        </w:rPr>
        <w:t>re adequate for our present level of operations.</w:t>
      </w:r>
    </w:p>
    <w:p w14:paraId="564FDEF5" w14:textId="77777777" w:rsidR="00000000" w:rsidRDefault="00EE5306">
      <w:pPr>
        <w:ind w:firstLine="540"/>
        <w:jc w:val="both"/>
        <w:divId w:val="1459491857"/>
        <w:rPr>
          <w:rFonts w:eastAsia="Times New Roman"/>
        </w:rPr>
      </w:pPr>
      <w:r>
        <w:rPr>
          <w:rFonts w:eastAsia="Times New Roman"/>
          <w:color w:val="000000"/>
          <w:sz w:val="20"/>
          <w:szCs w:val="20"/>
        </w:rPr>
        <w:t>The following table sets forth information relating to our principal properties as of March 27, 2021:</w:t>
      </w:r>
    </w:p>
    <w:tbl>
      <w:tblPr>
        <w:tblW w:w="4985" w:type="pct"/>
        <w:tblCellMar>
          <w:top w:w="15" w:type="dxa"/>
          <w:left w:w="15" w:type="dxa"/>
          <w:bottom w:w="15" w:type="dxa"/>
          <w:right w:w="15" w:type="dxa"/>
        </w:tblCellMar>
        <w:tblLook w:val="04A0" w:firstRow="1" w:lastRow="0" w:firstColumn="1" w:lastColumn="0" w:noHBand="0" w:noVBand="1"/>
      </w:tblPr>
      <w:tblGrid>
        <w:gridCol w:w="58"/>
        <w:gridCol w:w="2471"/>
        <w:gridCol w:w="38"/>
        <w:gridCol w:w="36"/>
        <w:gridCol w:w="36"/>
        <w:gridCol w:w="36"/>
        <w:gridCol w:w="40"/>
        <w:gridCol w:w="4197"/>
        <w:gridCol w:w="37"/>
        <w:gridCol w:w="36"/>
        <w:gridCol w:w="36"/>
        <w:gridCol w:w="36"/>
        <w:gridCol w:w="70"/>
        <w:gridCol w:w="1118"/>
        <w:gridCol w:w="36"/>
      </w:tblGrid>
      <w:tr w:rsidR="00000000" w14:paraId="7CD6AF9B" w14:textId="77777777">
        <w:trPr>
          <w:divId w:val="22487978"/>
        </w:trPr>
        <w:tc>
          <w:tcPr>
            <w:tcW w:w="50" w:type="pct"/>
            <w:vAlign w:val="center"/>
            <w:hideMark/>
          </w:tcPr>
          <w:p w14:paraId="51293711" w14:textId="77777777" w:rsidR="00000000" w:rsidRDefault="00EE5306">
            <w:pPr>
              <w:ind w:firstLine="540"/>
              <w:jc w:val="both"/>
              <w:rPr>
                <w:rFonts w:eastAsia="Times New Roman"/>
              </w:rPr>
            </w:pPr>
          </w:p>
        </w:tc>
        <w:tc>
          <w:tcPr>
            <w:tcW w:w="1506" w:type="pct"/>
            <w:vAlign w:val="center"/>
            <w:hideMark/>
          </w:tcPr>
          <w:p w14:paraId="35326DC1" w14:textId="77777777" w:rsidR="00000000" w:rsidRDefault="00EE5306">
            <w:pPr>
              <w:spacing w:after="100"/>
              <w:rPr>
                <w:rFonts w:eastAsia="Times New Roman"/>
                <w:sz w:val="20"/>
                <w:szCs w:val="20"/>
              </w:rPr>
            </w:pPr>
          </w:p>
        </w:tc>
        <w:tc>
          <w:tcPr>
            <w:tcW w:w="5" w:type="pct"/>
            <w:vAlign w:val="center"/>
            <w:hideMark/>
          </w:tcPr>
          <w:p w14:paraId="6AA95223" w14:textId="77777777" w:rsidR="00000000" w:rsidRDefault="00EE5306">
            <w:pPr>
              <w:spacing w:after="100"/>
              <w:rPr>
                <w:rFonts w:eastAsia="Times New Roman"/>
                <w:sz w:val="20"/>
                <w:szCs w:val="20"/>
              </w:rPr>
            </w:pPr>
          </w:p>
        </w:tc>
        <w:tc>
          <w:tcPr>
            <w:tcW w:w="5" w:type="pct"/>
            <w:vAlign w:val="center"/>
            <w:hideMark/>
          </w:tcPr>
          <w:p w14:paraId="7CC0FE6C" w14:textId="77777777" w:rsidR="00000000" w:rsidRDefault="00EE5306">
            <w:pPr>
              <w:spacing w:after="100"/>
              <w:rPr>
                <w:rFonts w:eastAsia="Times New Roman"/>
                <w:sz w:val="20"/>
                <w:szCs w:val="20"/>
              </w:rPr>
            </w:pPr>
          </w:p>
        </w:tc>
        <w:tc>
          <w:tcPr>
            <w:tcW w:w="26" w:type="pct"/>
            <w:vAlign w:val="center"/>
            <w:hideMark/>
          </w:tcPr>
          <w:p w14:paraId="12ED8327" w14:textId="77777777" w:rsidR="00000000" w:rsidRDefault="00EE5306">
            <w:pPr>
              <w:spacing w:after="100"/>
              <w:rPr>
                <w:rFonts w:eastAsia="Times New Roman"/>
                <w:sz w:val="20"/>
                <w:szCs w:val="20"/>
              </w:rPr>
            </w:pPr>
          </w:p>
        </w:tc>
        <w:tc>
          <w:tcPr>
            <w:tcW w:w="5" w:type="pct"/>
            <w:vAlign w:val="center"/>
            <w:hideMark/>
          </w:tcPr>
          <w:p w14:paraId="3CCD23D8" w14:textId="77777777" w:rsidR="00000000" w:rsidRDefault="00EE5306">
            <w:pPr>
              <w:spacing w:after="100"/>
              <w:rPr>
                <w:rFonts w:eastAsia="Times New Roman"/>
                <w:sz w:val="20"/>
                <w:szCs w:val="20"/>
              </w:rPr>
            </w:pPr>
          </w:p>
        </w:tc>
        <w:tc>
          <w:tcPr>
            <w:tcW w:w="50" w:type="pct"/>
            <w:vAlign w:val="center"/>
            <w:hideMark/>
          </w:tcPr>
          <w:p w14:paraId="24E4E38C" w14:textId="77777777" w:rsidR="00000000" w:rsidRDefault="00EE5306">
            <w:pPr>
              <w:spacing w:after="100"/>
              <w:rPr>
                <w:rFonts w:eastAsia="Times New Roman"/>
                <w:sz w:val="20"/>
                <w:szCs w:val="20"/>
              </w:rPr>
            </w:pPr>
          </w:p>
        </w:tc>
        <w:tc>
          <w:tcPr>
            <w:tcW w:w="2547" w:type="pct"/>
            <w:vAlign w:val="center"/>
            <w:hideMark/>
          </w:tcPr>
          <w:p w14:paraId="7BFA2FAC" w14:textId="77777777" w:rsidR="00000000" w:rsidRDefault="00EE5306">
            <w:pPr>
              <w:spacing w:after="100"/>
              <w:rPr>
                <w:rFonts w:eastAsia="Times New Roman"/>
                <w:sz w:val="20"/>
                <w:szCs w:val="20"/>
              </w:rPr>
            </w:pPr>
          </w:p>
        </w:tc>
        <w:tc>
          <w:tcPr>
            <w:tcW w:w="5" w:type="pct"/>
            <w:vAlign w:val="center"/>
            <w:hideMark/>
          </w:tcPr>
          <w:p w14:paraId="4803D411" w14:textId="77777777" w:rsidR="00000000" w:rsidRDefault="00EE5306">
            <w:pPr>
              <w:spacing w:after="100"/>
              <w:rPr>
                <w:rFonts w:eastAsia="Times New Roman"/>
                <w:sz w:val="20"/>
                <w:szCs w:val="20"/>
              </w:rPr>
            </w:pPr>
          </w:p>
        </w:tc>
        <w:tc>
          <w:tcPr>
            <w:tcW w:w="5" w:type="pct"/>
            <w:vAlign w:val="center"/>
            <w:hideMark/>
          </w:tcPr>
          <w:p w14:paraId="55EB704F" w14:textId="77777777" w:rsidR="00000000" w:rsidRDefault="00EE5306">
            <w:pPr>
              <w:spacing w:after="100"/>
              <w:rPr>
                <w:rFonts w:eastAsia="Times New Roman"/>
                <w:sz w:val="20"/>
                <w:szCs w:val="20"/>
              </w:rPr>
            </w:pPr>
          </w:p>
        </w:tc>
        <w:tc>
          <w:tcPr>
            <w:tcW w:w="26" w:type="pct"/>
            <w:vAlign w:val="center"/>
            <w:hideMark/>
          </w:tcPr>
          <w:p w14:paraId="44406243" w14:textId="77777777" w:rsidR="00000000" w:rsidRDefault="00EE5306">
            <w:pPr>
              <w:spacing w:after="100"/>
              <w:rPr>
                <w:rFonts w:eastAsia="Times New Roman"/>
                <w:sz w:val="20"/>
                <w:szCs w:val="20"/>
              </w:rPr>
            </w:pPr>
          </w:p>
        </w:tc>
        <w:tc>
          <w:tcPr>
            <w:tcW w:w="5" w:type="pct"/>
            <w:vAlign w:val="center"/>
            <w:hideMark/>
          </w:tcPr>
          <w:p w14:paraId="75067CD4" w14:textId="77777777" w:rsidR="00000000" w:rsidRDefault="00EE5306">
            <w:pPr>
              <w:spacing w:after="100"/>
              <w:rPr>
                <w:rFonts w:eastAsia="Times New Roman"/>
                <w:sz w:val="20"/>
                <w:szCs w:val="20"/>
              </w:rPr>
            </w:pPr>
          </w:p>
        </w:tc>
        <w:tc>
          <w:tcPr>
            <w:tcW w:w="50" w:type="pct"/>
            <w:vAlign w:val="center"/>
            <w:hideMark/>
          </w:tcPr>
          <w:p w14:paraId="14EFBEB7" w14:textId="77777777" w:rsidR="00000000" w:rsidRDefault="00EE5306">
            <w:pPr>
              <w:spacing w:after="100"/>
              <w:rPr>
                <w:rFonts w:eastAsia="Times New Roman"/>
                <w:sz w:val="20"/>
                <w:szCs w:val="20"/>
              </w:rPr>
            </w:pPr>
          </w:p>
        </w:tc>
        <w:tc>
          <w:tcPr>
            <w:tcW w:w="707" w:type="pct"/>
            <w:vAlign w:val="center"/>
            <w:hideMark/>
          </w:tcPr>
          <w:p w14:paraId="4C7422F5" w14:textId="77777777" w:rsidR="00000000" w:rsidRDefault="00EE5306">
            <w:pPr>
              <w:spacing w:after="100"/>
              <w:rPr>
                <w:rFonts w:eastAsia="Times New Roman"/>
                <w:sz w:val="20"/>
                <w:szCs w:val="20"/>
              </w:rPr>
            </w:pPr>
          </w:p>
        </w:tc>
        <w:tc>
          <w:tcPr>
            <w:tcW w:w="5" w:type="pct"/>
            <w:vAlign w:val="center"/>
            <w:hideMark/>
          </w:tcPr>
          <w:p w14:paraId="1E6DFEDA" w14:textId="77777777" w:rsidR="00000000" w:rsidRDefault="00EE5306">
            <w:pPr>
              <w:spacing w:after="100"/>
              <w:rPr>
                <w:rFonts w:eastAsia="Times New Roman"/>
                <w:sz w:val="20"/>
                <w:szCs w:val="20"/>
              </w:rPr>
            </w:pPr>
          </w:p>
        </w:tc>
      </w:tr>
      <w:tr w:rsidR="00000000" w14:paraId="6E53475F" w14:textId="77777777">
        <w:trPr>
          <w:divId w:val="22487978"/>
        </w:trPr>
        <w:tc>
          <w:tcPr>
            <w:tcW w:w="0" w:type="auto"/>
            <w:gridSpan w:val="3"/>
            <w:tcMar>
              <w:top w:w="30" w:type="dxa"/>
              <w:left w:w="20" w:type="dxa"/>
              <w:bottom w:w="30" w:type="dxa"/>
              <w:right w:w="20" w:type="dxa"/>
            </w:tcMar>
            <w:vAlign w:val="bottom"/>
            <w:hideMark/>
          </w:tcPr>
          <w:p w14:paraId="531BD946" w14:textId="77777777" w:rsidR="00000000" w:rsidRDefault="00EE5306">
            <w:pPr>
              <w:spacing w:after="100"/>
              <w:jc w:val="center"/>
              <w:rPr>
                <w:rFonts w:eastAsia="Times New Roman"/>
              </w:rPr>
            </w:pPr>
            <w:r>
              <w:rPr>
                <w:rFonts w:eastAsia="Times New Roman"/>
                <w:b/>
                <w:bCs/>
                <w:color w:val="000000"/>
                <w:sz w:val="18"/>
                <w:szCs w:val="18"/>
              </w:rPr>
              <w:t>Location</w:t>
            </w:r>
          </w:p>
        </w:tc>
        <w:tc>
          <w:tcPr>
            <w:tcW w:w="0" w:type="auto"/>
            <w:gridSpan w:val="3"/>
            <w:tcMar>
              <w:top w:w="0" w:type="dxa"/>
              <w:left w:w="20" w:type="dxa"/>
              <w:bottom w:w="0" w:type="dxa"/>
              <w:right w:w="20" w:type="dxa"/>
            </w:tcMar>
            <w:vAlign w:val="center"/>
            <w:hideMark/>
          </w:tcPr>
          <w:p w14:paraId="6E6B37F4"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24E9091" w14:textId="77777777" w:rsidR="00000000" w:rsidRDefault="00EE5306">
            <w:pPr>
              <w:spacing w:after="100"/>
              <w:jc w:val="center"/>
              <w:rPr>
                <w:rFonts w:eastAsia="Times New Roman"/>
              </w:rPr>
            </w:pPr>
            <w:r>
              <w:rPr>
                <w:rFonts w:eastAsia="Times New Roman"/>
                <w:b/>
                <w:bCs/>
                <w:color w:val="000000"/>
                <w:sz w:val="18"/>
                <w:szCs w:val="18"/>
              </w:rPr>
              <w:t>Use</w:t>
            </w:r>
          </w:p>
        </w:tc>
        <w:tc>
          <w:tcPr>
            <w:tcW w:w="0" w:type="auto"/>
            <w:gridSpan w:val="3"/>
            <w:tcMar>
              <w:top w:w="0" w:type="dxa"/>
              <w:left w:w="20" w:type="dxa"/>
              <w:bottom w:w="0" w:type="dxa"/>
              <w:right w:w="20" w:type="dxa"/>
            </w:tcMar>
            <w:vAlign w:val="center"/>
            <w:hideMark/>
          </w:tcPr>
          <w:p w14:paraId="3B0CC725"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40A051" w14:textId="77777777" w:rsidR="00000000" w:rsidRDefault="00EE5306">
            <w:pPr>
              <w:spacing w:after="100"/>
              <w:jc w:val="center"/>
              <w:rPr>
                <w:rFonts w:eastAsia="Times New Roman"/>
              </w:rPr>
            </w:pPr>
            <w:r>
              <w:rPr>
                <w:rFonts w:eastAsia="Times New Roman"/>
                <w:b/>
                <w:bCs/>
                <w:color w:val="000000"/>
                <w:sz w:val="18"/>
                <w:szCs w:val="18"/>
              </w:rPr>
              <w:t>Approximate</w:t>
            </w:r>
            <w:r>
              <w:rPr>
                <w:rFonts w:eastAsia="Times New Roman"/>
                <w:b/>
                <w:bCs/>
                <w:color w:val="000000"/>
                <w:sz w:val="18"/>
                <w:szCs w:val="18"/>
              </w:rPr>
              <w:br/>
              <w:t>Square Feet</w:t>
            </w:r>
          </w:p>
        </w:tc>
      </w:tr>
      <w:tr w:rsidR="00000000" w14:paraId="60A114F7" w14:textId="77777777">
        <w:trPr>
          <w:divId w:val="22487978"/>
          <w:trHeight w:val="60"/>
        </w:trPr>
        <w:tc>
          <w:tcPr>
            <w:tcW w:w="0" w:type="auto"/>
            <w:gridSpan w:val="3"/>
            <w:tcBorders>
              <w:top w:val="single" w:sz="8" w:space="0" w:color="000000"/>
            </w:tcBorders>
            <w:tcMar>
              <w:top w:w="0" w:type="dxa"/>
              <w:left w:w="20" w:type="dxa"/>
              <w:bottom w:w="0" w:type="dxa"/>
              <w:right w:w="20" w:type="dxa"/>
            </w:tcMar>
            <w:vAlign w:val="center"/>
            <w:hideMark/>
          </w:tcPr>
          <w:p w14:paraId="0BE602C6"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20511C4"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8749A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2116AF"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7005F3" w14:textId="77777777" w:rsidR="00000000" w:rsidRDefault="00EE5306">
            <w:pPr>
              <w:spacing w:after="100"/>
              <w:rPr>
                <w:rFonts w:eastAsia="Times New Roman"/>
                <w:sz w:val="20"/>
                <w:szCs w:val="20"/>
              </w:rPr>
            </w:pPr>
          </w:p>
        </w:tc>
      </w:tr>
      <w:tr w:rsidR="00000000" w14:paraId="6722F7DD" w14:textId="77777777">
        <w:trPr>
          <w:divId w:val="22487978"/>
        </w:trPr>
        <w:tc>
          <w:tcPr>
            <w:tcW w:w="0" w:type="auto"/>
            <w:gridSpan w:val="3"/>
            <w:shd w:val="clear" w:color="auto" w:fill="CCEEFF"/>
            <w:tcMar>
              <w:top w:w="30" w:type="dxa"/>
              <w:left w:w="20" w:type="dxa"/>
              <w:bottom w:w="30" w:type="dxa"/>
              <w:right w:w="20" w:type="dxa"/>
            </w:tcMar>
            <w:hideMark/>
          </w:tcPr>
          <w:p w14:paraId="1EAE31D5" w14:textId="77777777" w:rsidR="00000000" w:rsidRDefault="00EE5306">
            <w:pPr>
              <w:spacing w:after="100"/>
              <w:rPr>
                <w:rFonts w:eastAsia="Times New Roman"/>
              </w:rPr>
            </w:pPr>
            <w:r>
              <w:rPr>
                <w:rFonts w:eastAsia="Times New Roman"/>
                <w:color w:val="000000"/>
                <w:sz w:val="20"/>
                <w:szCs w:val="20"/>
              </w:rPr>
              <w:t>NC Highway 66, High Point, NC</w:t>
            </w:r>
          </w:p>
        </w:tc>
        <w:tc>
          <w:tcPr>
            <w:tcW w:w="0" w:type="auto"/>
            <w:gridSpan w:val="3"/>
            <w:shd w:val="clear" w:color="auto" w:fill="CCEEFF"/>
            <w:tcMar>
              <w:top w:w="0" w:type="dxa"/>
              <w:left w:w="20" w:type="dxa"/>
              <w:bottom w:w="0" w:type="dxa"/>
              <w:right w:w="20" w:type="dxa"/>
            </w:tcMar>
            <w:vAlign w:val="center"/>
            <w:hideMark/>
          </w:tcPr>
          <w:p w14:paraId="1BBA73A6"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AF374C7" w14:textId="77777777" w:rsidR="00000000" w:rsidRDefault="00EE5306">
            <w:pPr>
              <w:spacing w:after="100"/>
              <w:rPr>
                <w:rFonts w:eastAsia="Times New Roman"/>
              </w:rPr>
            </w:pPr>
            <w:r>
              <w:rPr>
                <w:rFonts w:eastAsia="Times New Roman"/>
                <w:color w:val="000000"/>
                <w:sz w:val="20"/>
                <w:szCs w:val="20"/>
              </w:rPr>
              <w:t>Wholesale and retail distribution facility</w:t>
            </w:r>
          </w:p>
        </w:tc>
        <w:tc>
          <w:tcPr>
            <w:tcW w:w="0" w:type="auto"/>
            <w:gridSpan w:val="3"/>
            <w:shd w:val="clear" w:color="auto" w:fill="CCEEFF"/>
            <w:tcMar>
              <w:top w:w="0" w:type="dxa"/>
              <w:left w:w="20" w:type="dxa"/>
              <w:bottom w:w="0" w:type="dxa"/>
              <w:right w:w="20" w:type="dxa"/>
            </w:tcMar>
            <w:vAlign w:val="center"/>
            <w:hideMark/>
          </w:tcPr>
          <w:p w14:paraId="48D3EF74"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59603F8" w14:textId="77777777" w:rsidR="00000000" w:rsidRDefault="00EE5306">
            <w:pPr>
              <w:spacing w:after="100"/>
              <w:jc w:val="center"/>
              <w:rPr>
                <w:rFonts w:eastAsia="Times New Roman"/>
              </w:rPr>
            </w:pPr>
            <w:r>
              <w:rPr>
                <w:rFonts w:eastAsia="Times New Roman"/>
                <w:color w:val="000000"/>
                <w:sz w:val="20"/>
                <w:szCs w:val="20"/>
              </w:rPr>
              <w:t>847,000</w:t>
            </w:r>
          </w:p>
        </w:tc>
      </w:tr>
      <w:tr w:rsidR="00000000" w14:paraId="345E914D" w14:textId="77777777">
        <w:trPr>
          <w:divId w:val="22487978"/>
        </w:trPr>
        <w:tc>
          <w:tcPr>
            <w:tcW w:w="0" w:type="auto"/>
            <w:gridSpan w:val="3"/>
            <w:shd w:val="clear" w:color="auto" w:fill="FFFFFF"/>
            <w:tcMar>
              <w:top w:w="30" w:type="dxa"/>
              <w:left w:w="20" w:type="dxa"/>
              <w:bottom w:w="30" w:type="dxa"/>
              <w:right w:w="20" w:type="dxa"/>
            </w:tcMar>
            <w:hideMark/>
          </w:tcPr>
          <w:p w14:paraId="438BD105" w14:textId="77777777" w:rsidR="00000000" w:rsidRDefault="00EE5306">
            <w:pPr>
              <w:spacing w:after="100"/>
              <w:rPr>
                <w:rFonts w:eastAsia="Times New Roman"/>
              </w:rPr>
            </w:pPr>
            <w:r>
              <w:rPr>
                <w:rFonts w:eastAsia="Times New Roman"/>
                <w:color w:val="000000"/>
                <w:sz w:val="20"/>
                <w:szCs w:val="20"/>
              </w:rPr>
              <w:t>N. Pendleton Street, High Point, NC</w:t>
            </w:r>
          </w:p>
        </w:tc>
        <w:tc>
          <w:tcPr>
            <w:tcW w:w="0" w:type="auto"/>
            <w:gridSpan w:val="3"/>
            <w:shd w:val="clear" w:color="auto" w:fill="FFFFFF"/>
            <w:tcMar>
              <w:top w:w="0" w:type="dxa"/>
              <w:left w:w="20" w:type="dxa"/>
              <w:bottom w:w="0" w:type="dxa"/>
              <w:right w:w="20" w:type="dxa"/>
            </w:tcMar>
            <w:vAlign w:val="center"/>
            <w:hideMark/>
          </w:tcPr>
          <w:p w14:paraId="65DE90B2"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661DB60" w14:textId="77777777" w:rsidR="00000000" w:rsidRDefault="00EE5306">
            <w:pPr>
              <w:spacing w:after="100"/>
              <w:rPr>
                <w:rFonts w:eastAsia="Times New Roman"/>
              </w:rPr>
            </w:pPr>
            <w:r>
              <w:rPr>
                <w:rFonts w:eastAsia="Times New Roman"/>
                <w:color w:val="000000"/>
                <w:sz w:val="20"/>
                <w:szCs w:val="20"/>
              </w:rPr>
              <w:t xml:space="preserve">Retail digital commerce call center and distribution facility </w:t>
            </w:r>
          </w:p>
        </w:tc>
        <w:tc>
          <w:tcPr>
            <w:tcW w:w="0" w:type="auto"/>
            <w:gridSpan w:val="3"/>
            <w:shd w:val="clear" w:color="auto" w:fill="FFFFFF"/>
            <w:tcMar>
              <w:top w:w="0" w:type="dxa"/>
              <w:left w:w="20" w:type="dxa"/>
              <w:bottom w:w="0" w:type="dxa"/>
              <w:right w:w="20" w:type="dxa"/>
            </w:tcMar>
            <w:vAlign w:val="center"/>
            <w:hideMark/>
          </w:tcPr>
          <w:p w14:paraId="1329BC22"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323180D" w14:textId="77777777" w:rsidR="00000000" w:rsidRDefault="00EE5306">
            <w:pPr>
              <w:spacing w:after="100"/>
              <w:jc w:val="center"/>
              <w:rPr>
                <w:rFonts w:eastAsia="Times New Roman"/>
              </w:rPr>
            </w:pPr>
            <w:r>
              <w:rPr>
                <w:rFonts w:eastAsia="Times New Roman"/>
                <w:color w:val="000000"/>
                <w:sz w:val="20"/>
                <w:szCs w:val="20"/>
              </w:rPr>
              <w:t>805,000</w:t>
            </w:r>
          </w:p>
        </w:tc>
      </w:tr>
      <w:tr w:rsidR="00000000" w14:paraId="6F5A9490" w14:textId="77777777">
        <w:trPr>
          <w:divId w:val="22487978"/>
        </w:trPr>
        <w:tc>
          <w:tcPr>
            <w:tcW w:w="0" w:type="auto"/>
            <w:gridSpan w:val="3"/>
            <w:shd w:val="clear" w:color="auto" w:fill="CCEEFF"/>
            <w:tcMar>
              <w:top w:w="30" w:type="dxa"/>
              <w:left w:w="20" w:type="dxa"/>
              <w:bottom w:w="30" w:type="dxa"/>
              <w:right w:w="20" w:type="dxa"/>
            </w:tcMar>
            <w:hideMark/>
          </w:tcPr>
          <w:p w14:paraId="2AF90400" w14:textId="77777777" w:rsidR="00000000" w:rsidRDefault="00EE5306">
            <w:pPr>
              <w:spacing w:after="100"/>
              <w:rPr>
                <w:rFonts w:eastAsia="Times New Roman"/>
              </w:rPr>
            </w:pPr>
            <w:r>
              <w:rPr>
                <w:rFonts w:eastAsia="Times New Roman"/>
                <w:color w:val="000000"/>
                <w:sz w:val="20"/>
                <w:szCs w:val="20"/>
              </w:rPr>
              <w:t>Greensboro, NC</w:t>
            </w:r>
          </w:p>
        </w:tc>
        <w:tc>
          <w:tcPr>
            <w:tcW w:w="0" w:type="auto"/>
            <w:gridSpan w:val="3"/>
            <w:shd w:val="clear" w:color="auto" w:fill="CCEEFF"/>
            <w:tcMar>
              <w:top w:w="0" w:type="dxa"/>
              <w:left w:w="20" w:type="dxa"/>
              <w:bottom w:w="0" w:type="dxa"/>
              <w:right w:w="20" w:type="dxa"/>
            </w:tcMar>
            <w:vAlign w:val="center"/>
            <w:hideMark/>
          </w:tcPr>
          <w:p w14:paraId="2E1B435A"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6F394E2" w14:textId="77777777" w:rsidR="00000000" w:rsidRDefault="00EE5306">
            <w:pPr>
              <w:spacing w:after="100"/>
              <w:rPr>
                <w:rFonts w:eastAsia="Times New Roman"/>
              </w:rPr>
            </w:pPr>
            <w:r>
              <w:rPr>
                <w:rFonts w:eastAsia="Times New Roman"/>
                <w:color w:val="000000"/>
                <w:sz w:val="20"/>
                <w:szCs w:val="20"/>
              </w:rPr>
              <w:t>Wholesale and retail distribution facility</w:t>
            </w:r>
          </w:p>
        </w:tc>
        <w:tc>
          <w:tcPr>
            <w:tcW w:w="0" w:type="auto"/>
            <w:gridSpan w:val="3"/>
            <w:shd w:val="clear" w:color="auto" w:fill="CCEEFF"/>
            <w:tcMar>
              <w:top w:w="0" w:type="dxa"/>
              <w:left w:w="20" w:type="dxa"/>
              <w:bottom w:w="0" w:type="dxa"/>
              <w:right w:w="20" w:type="dxa"/>
            </w:tcMar>
            <w:vAlign w:val="center"/>
            <w:hideMark/>
          </w:tcPr>
          <w:p w14:paraId="29A37CFE"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FFEDC69" w14:textId="77777777" w:rsidR="00000000" w:rsidRDefault="00EE5306">
            <w:pPr>
              <w:spacing w:after="100"/>
              <w:jc w:val="center"/>
              <w:rPr>
                <w:rFonts w:eastAsia="Times New Roman"/>
              </w:rPr>
            </w:pPr>
            <w:r>
              <w:rPr>
                <w:rFonts w:eastAsia="Times New Roman"/>
                <w:color w:val="000000"/>
                <w:sz w:val="20"/>
                <w:szCs w:val="20"/>
              </w:rPr>
              <w:t>337,700</w:t>
            </w:r>
          </w:p>
        </w:tc>
      </w:tr>
      <w:tr w:rsidR="00000000" w14:paraId="606903B5" w14:textId="77777777">
        <w:trPr>
          <w:divId w:val="22487978"/>
        </w:trPr>
        <w:tc>
          <w:tcPr>
            <w:tcW w:w="0" w:type="auto"/>
            <w:gridSpan w:val="3"/>
            <w:shd w:val="clear" w:color="auto" w:fill="FFFFFF"/>
            <w:tcMar>
              <w:top w:w="30" w:type="dxa"/>
              <w:left w:w="20" w:type="dxa"/>
              <w:bottom w:w="30" w:type="dxa"/>
              <w:right w:w="20" w:type="dxa"/>
            </w:tcMar>
            <w:hideMark/>
          </w:tcPr>
          <w:p w14:paraId="0102523A" w14:textId="77777777" w:rsidR="00000000" w:rsidRDefault="00EE5306">
            <w:pPr>
              <w:spacing w:after="100"/>
              <w:rPr>
                <w:rFonts w:eastAsia="Times New Roman"/>
              </w:rPr>
            </w:pPr>
            <w:r>
              <w:rPr>
                <w:rFonts w:eastAsia="Times New Roman"/>
                <w:color w:val="000000"/>
                <w:sz w:val="20"/>
                <w:szCs w:val="20"/>
              </w:rPr>
              <w:t>650 Madison Avenue, NYC</w:t>
            </w:r>
          </w:p>
        </w:tc>
        <w:tc>
          <w:tcPr>
            <w:tcW w:w="0" w:type="auto"/>
            <w:gridSpan w:val="3"/>
            <w:shd w:val="clear" w:color="auto" w:fill="FFFFFF"/>
            <w:tcMar>
              <w:top w:w="0" w:type="dxa"/>
              <w:left w:w="20" w:type="dxa"/>
              <w:bottom w:w="0" w:type="dxa"/>
              <w:right w:w="20" w:type="dxa"/>
            </w:tcMar>
            <w:vAlign w:val="center"/>
            <w:hideMark/>
          </w:tcPr>
          <w:p w14:paraId="51191C90"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B69A192" w14:textId="77777777" w:rsidR="00000000" w:rsidRDefault="00EE5306">
            <w:pPr>
              <w:spacing w:after="100"/>
              <w:rPr>
                <w:rFonts w:eastAsia="Times New Roman"/>
              </w:rPr>
            </w:pPr>
            <w:r>
              <w:rPr>
                <w:rFonts w:eastAsia="Times New Roman"/>
                <w:color w:val="000000"/>
                <w:sz w:val="20"/>
                <w:szCs w:val="20"/>
              </w:rPr>
              <w:t>Executive and corporate offices, design studio, and showrooms</w:t>
            </w:r>
          </w:p>
        </w:tc>
        <w:tc>
          <w:tcPr>
            <w:tcW w:w="0" w:type="auto"/>
            <w:gridSpan w:val="3"/>
            <w:shd w:val="clear" w:color="auto" w:fill="FFFFFF"/>
            <w:tcMar>
              <w:top w:w="0" w:type="dxa"/>
              <w:left w:w="20" w:type="dxa"/>
              <w:bottom w:w="0" w:type="dxa"/>
              <w:right w:w="20" w:type="dxa"/>
            </w:tcMar>
            <w:vAlign w:val="center"/>
            <w:hideMark/>
          </w:tcPr>
          <w:p w14:paraId="2E683A81"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F991FE2" w14:textId="77777777" w:rsidR="00000000" w:rsidRDefault="00EE5306">
            <w:pPr>
              <w:spacing w:after="100"/>
              <w:jc w:val="center"/>
              <w:rPr>
                <w:rFonts w:eastAsia="Times New Roman"/>
              </w:rPr>
            </w:pPr>
            <w:r>
              <w:rPr>
                <w:rFonts w:eastAsia="Times New Roman"/>
                <w:color w:val="000000"/>
                <w:sz w:val="20"/>
                <w:szCs w:val="20"/>
              </w:rPr>
              <w:t>273,200</w:t>
            </w:r>
          </w:p>
        </w:tc>
      </w:tr>
      <w:tr w:rsidR="00000000" w14:paraId="0DA82BDB" w14:textId="77777777">
        <w:trPr>
          <w:divId w:val="22487978"/>
        </w:trPr>
        <w:tc>
          <w:tcPr>
            <w:tcW w:w="0" w:type="auto"/>
            <w:gridSpan w:val="3"/>
            <w:shd w:val="clear" w:color="auto" w:fill="CCEEFF"/>
            <w:tcMar>
              <w:top w:w="30" w:type="dxa"/>
              <w:left w:w="20" w:type="dxa"/>
              <w:bottom w:w="30" w:type="dxa"/>
              <w:right w:w="20" w:type="dxa"/>
            </w:tcMar>
            <w:hideMark/>
          </w:tcPr>
          <w:p w14:paraId="37C01218" w14:textId="77777777" w:rsidR="00000000" w:rsidRDefault="00EE5306">
            <w:pPr>
              <w:spacing w:after="100"/>
              <w:rPr>
                <w:rFonts w:eastAsia="Times New Roman"/>
              </w:rPr>
            </w:pPr>
            <w:r>
              <w:rPr>
                <w:rFonts w:eastAsia="Times New Roman"/>
                <w:color w:val="000000"/>
                <w:sz w:val="20"/>
                <w:szCs w:val="20"/>
              </w:rPr>
              <w:t>601 West 26th Street, NYC</w:t>
            </w:r>
          </w:p>
        </w:tc>
        <w:tc>
          <w:tcPr>
            <w:tcW w:w="0" w:type="auto"/>
            <w:gridSpan w:val="3"/>
            <w:shd w:val="clear" w:color="auto" w:fill="CCEEFF"/>
            <w:tcMar>
              <w:top w:w="0" w:type="dxa"/>
              <w:left w:w="20" w:type="dxa"/>
              <w:bottom w:w="0" w:type="dxa"/>
              <w:right w:w="20" w:type="dxa"/>
            </w:tcMar>
            <w:vAlign w:val="center"/>
            <w:hideMark/>
          </w:tcPr>
          <w:p w14:paraId="5E82E64D"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ECA1207" w14:textId="77777777" w:rsidR="00000000" w:rsidRDefault="00EE5306">
            <w:pPr>
              <w:spacing w:after="100"/>
              <w:rPr>
                <w:rFonts w:eastAsia="Times New Roman"/>
              </w:rPr>
            </w:pPr>
            <w:r>
              <w:rPr>
                <w:rFonts w:eastAsia="Times New Roman"/>
                <w:color w:val="000000"/>
                <w:sz w:val="20"/>
                <w:szCs w:val="20"/>
              </w:rPr>
              <w:t>Corporate offices</w:t>
            </w:r>
          </w:p>
        </w:tc>
        <w:tc>
          <w:tcPr>
            <w:tcW w:w="0" w:type="auto"/>
            <w:gridSpan w:val="3"/>
            <w:shd w:val="clear" w:color="auto" w:fill="CCEEFF"/>
            <w:tcMar>
              <w:top w:w="0" w:type="dxa"/>
              <w:left w:w="20" w:type="dxa"/>
              <w:bottom w:w="0" w:type="dxa"/>
              <w:right w:w="20" w:type="dxa"/>
            </w:tcMar>
            <w:vAlign w:val="center"/>
            <w:hideMark/>
          </w:tcPr>
          <w:p w14:paraId="092292A1"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E5FD62D" w14:textId="77777777" w:rsidR="00000000" w:rsidRDefault="00EE5306">
            <w:pPr>
              <w:spacing w:after="100"/>
              <w:jc w:val="center"/>
              <w:rPr>
                <w:rFonts w:eastAsia="Times New Roman"/>
              </w:rPr>
            </w:pPr>
            <w:r>
              <w:rPr>
                <w:rFonts w:eastAsia="Times New Roman"/>
                <w:color w:val="000000"/>
                <w:sz w:val="20"/>
                <w:szCs w:val="20"/>
              </w:rPr>
              <w:t>263,000</w:t>
            </w:r>
          </w:p>
        </w:tc>
      </w:tr>
      <w:tr w:rsidR="00000000" w14:paraId="296E5BAB" w14:textId="77777777">
        <w:trPr>
          <w:divId w:val="22487978"/>
        </w:trPr>
        <w:tc>
          <w:tcPr>
            <w:tcW w:w="0" w:type="auto"/>
            <w:gridSpan w:val="3"/>
            <w:shd w:val="clear" w:color="auto" w:fill="FFFFFF"/>
            <w:tcMar>
              <w:top w:w="30" w:type="dxa"/>
              <w:left w:w="20" w:type="dxa"/>
              <w:bottom w:w="30" w:type="dxa"/>
              <w:right w:w="20" w:type="dxa"/>
            </w:tcMar>
            <w:hideMark/>
          </w:tcPr>
          <w:p w14:paraId="07A72A2F" w14:textId="77777777" w:rsidR="00000000" w:rsidRDefault="00EE5306">
            <w:pPr>
              <w:spacing w:after="100"/>
              <w:rPr>
                <w:rFonts w:eastAsia="Times New Roman"/>
              </w:rPr>
            </w:pPr>
            <w:r>
              <w:rPr>
                <w:rFonts w:eastAsia="Times New Roman"/>
                <w:color w:val="000000"/>
                <w:sz w:val="20"/>
                <w:szCs w:val="20"/>
              </w:rPr>
              <w:t>Nutley, NJ</w:t>
            </w:r>
          </w:p>
        </w:tc>
        <w:tc>
          <w:tcPr>
            <w:tcW w:w="0" w:type="auto"/>
            <w:gridSpan w:val="3"/>
            <w:shd w:val="clear" w:color="auto" w:fill="FFFFFF"/>
            <w:tcMar>
              <w:top w:w="0" w:type="dxa"/>
              <w:left w:w="20" w:type="dxa"/>
              <w:bottom w:w="0" w:type="dxa"/>
              <w:right w:w="20" w:type="dxa"/>
            </w:tcMar>
            <w:vAlign w:val="center"/>
            <w:hideMark/>
          </w:tcPr>
          <w:p w14:paraId="3309F456"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FEF67FA" w14:textId="77777777" w:rsidR="00000000" w:rsidRDefault="00EE5306">
            <w:pPr>
              <w:spacing w:after="100"/>
              <w:rPr>
                <w:rFonts w:eastAsia="Times New Roman"/>
              </w:rPr>
            </w:pPr>
            <w:r>
              <w:rPr>
                <w:rFonts w:eastAsia="Times New Roman"/>
                <w:color w:val="000000"/>
                <w:sz w:val="20"/>
                <w:szCs w:val="20"/>
              </w:rPr>
              <w:t>Corporate and retail administrative offices and showrooms</w:t>
            </w:r>
          </w:p>
        </w:tc>
        <w:tc>
          <w:tcPr>
            <w:tcW w:w="0" w:type="auto"/>
            <w:gridSpan w:val="3"/>
            <w:shd w:val="clear" w:color="auto" w:fill="FFFFFF"/>
            <w:tcMar>
              <w:top w:w="0" w:type="dxa"/>
              <w:left w:w="20" w:type="dxa"/>
              <w:bottom w:w="0" w:type="dxa"/>
              <w:right w:w="20" w:type="dxa"/>
            </w:tcMar>
            <w:vAlign w:val="center"/>
            <w:hideMark/>
          </w:tcPr>
          <w:p w14:paraId="3E74A867"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C6D554E" w14:textId="77777777" w:rsidR="00000000" w:rsidRDefault="00EE5306">
            <w:pPr>
              <w:spacing w:after="100"/>
              <w:jc w:val="center"/>
              <w:rPr>
                <w:rFonts w:eastAsia="Times New Roman"/>
              </w:rPr>
            </w:pPr>
            <w:r>
              <w:rPr>
                <w:rFonts w:eastAsia="Times New Roman"/>
                <w:color w:val="000000"/>
                <w:sz w:val="20"/>
                <w:szCs w:val="20"/>
              </w:rPr>
              <w:t>255,000</w:t>
            </w:r>
          </w:p>
        </w:tc>
      </w:tr>
      <w:tr w:rsidR="00000000" w14:paraId="7349AFAA" w14:textId="77777777">
        <w:trPr>
          <w:divId w:val="22487978"/>
        </w:trPr>
        <w:tc>
          <w:tcPr>
            <w:tcW w:w="0" w:type="auto"/>
            <w:gridSpan w:val="3"/>
            <w:shd w:val="clear" w:color="auto" w:fill="CCEEFF"/>
            <w:tcMar>
              <w:top w:w="30" w:type="dxa"/>
              <w:left w:w="20" w:type="dxa"/>
              <w:bottom w:w="30" w:type="dxa"/>
              <w:right w:w="20" w:type="dxa"/>
            </w:tcMar>
            <w:hideMark/>
          </w:tcPr>
          <w:p w14:paraId="09BF69CB" w14:textId="77777777" w:rsidR="00000000" w:rsidRDefault="00EE5306">
            <w:pPr>
              <w:spacing w:after="100"/>
              <w:rPr>
                <w:rFonts w:eastAsia="Times New Roman"/>
              </w:rPr>
            </w:pPr>
            <w:r>
              <w:rPr>
                <w:rFonts w:eastAsia="Times New Roman"/>
                <w:color w:val="000000"/>
                <w:sz w:val="20"/>
                <w:szCs w:val="20"/>
              </w:rPr>
              <w:t>Geneva, Switzerland</w:t>
            </w:r>
          </w:p>
        </w:tc>
        <w:tc>
          <w:tcPr>
            <w:tcW w:w="0" w:type="auto"/>
            <w:gridSpan w:val="3"/>
            <w:shd w:val="clear" w:color="auto" w:fill="CCEEFF"/>
            <w:tcMar>
              <w:top w:w="0" w:type="dxa"/>
              <w:left w:w="20" w:type="dxa"/>
              <w:bottom w:w="0" w:type="dxa"/>
              <w:right w:w="20" w:type="dxa"/>
            </w:tcMar>
            <w:vAlign w:val="center"/>
            <w:hideMark/>
          </w:tcPr>
          <w:p w14:paraId="0F4A4CD8"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072A182" w14:textId="77777777" w:rsidR="00000000" w:rsidRDefault="00EE5306">
            <w:pPr>
              <w:spacing w:after="100"/>
              <w:rPr>
                <w:rFonts w:eastAsia="Times New Roman"/>
              </w:rPr>
            </w:pPr>
            <w:r>
              <w:rPr>
                <w:rFonts w:eastAsia="Times New Roman"/>
                <w:color w:val="000000"/>
                <w:sz w:val="20"/>
                <w:szCs w:val="20"/>
              </w:rPr>
              <w:t>European corporate offices</w:t>
            </w:r>
          </w:p>
        </w:tc>
        <w:tc>
          <w:tcPr>
            <w:tcW w:w="0" w:type="auto"/>
            <w:gridSpan w:val="3"/>
            <w:shd w:val="clear" w:color="auto" w:fill="CCEEFF"/>
            <w:tcMar>
              <w:top w:w="0" w:type="dxa"/>
              <w:left w:w="20" w:type="dxa"/>
              <w:bottom w:w="0" w:type="dxa"/>
              <w:right w:w="20" w:type="dxa"/>
            </w:tcMar>
            <w:vAlign w:val="center"/>
            <w:hideMark/>
          </w:tcPr>
          <w:p w14:paraId="38AAC40E"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A302009" w14:textId="77777777" w:rsidR="00000000" w:rsidRDefault="00EE5306">
            <w:pPr>
              <w:spacing w:after="100"/>
              <w:jc w:val="center"/>
              <w:rPr>
                <w:rFonts w:eastAsia="Times New Roman"/>
              </w:rPr>
            </w:pPr>
            <w:r>
              <w:rPr>
                <w:rFonts w:eastAsia="Times New Roman"/>
                <w:color w:val="000000"/>
                <w:sz w:val="20"/>
                <w:szCs w:val="20"/>
              </w:rPr>
              <w:t>96,100</w:t>
            </w:r>
          </w:p>
        </w:tc>
      </w:tr>
      <w:tr w:rsidR="00000000" w14:paraId="07B1847F" w14:textId="77777777">
        <w:trPr>
          <w:divId w:val="22487978"/>
        </w:trPr>
        <w:tc>
          <w:tcPr>
            <w:tcW w:w="0" w:type="auto"/>
            <w:gridSpan w:val="3"/>
            <w:shd w:val="clear" w:color="auto" w:fill="FFFFFF"/>
            <w:tcMar>
              <w:top w:w="30" w:type="dxa"/>
              <w:left w:w="20" w:type="dxa"/>
              <w:bottom w:w="30" w:type="dxa"/>
              <w:right w:w="20" w:type="dxa"/>
            </w:tcMar>
            <w:hideMark/>
          </w:tcPr>
          <w:p w14:paraId="6CE50803" w14:textId="77777777" w:rsidR="00000000" w:rsidRDefault="00EE5306">
            <w:pPr>
              <w:spacing w:after="100"/>
              <w:rPr>
                <w:rFonts w:eastAsia="Times New Roman"/>
              </w:rPr>
            </w:pPr>
            <w:r>
              <w:rPr>
                <w:rFonts w:eastAsia="Times New Roman"/>
                <w:color w:val="000000"/>
                <w:sz w:val="20"/>
                <w:szCs w:val="20"/>
              </w:rPr>
              <w:t>Spinners Building, Hong Kong</w:t>
            </w:r>
          </w:p>
        </w:tc>
        <w:tc>
          <w:tcPr>
            <w:tcW w:w="0" w:type="auto"/>
            <w:gridSpan w:val="3"/>
            <w:shd w:val="clear" w:color="auto" w:fill="FFFFFF"/>
            <w:tcMar>
              <w:top w:w="0" w:type="dxa"/>
              <w:left w:w="20" w:type="dxa"/>
              <w:bottom w:w="0" w:type="dxa"/>
              <w:right w:w="20" w:type="dxa"/>
            </w:tcMar>
            <w:vAlign w:val="center"/>
            <w:hideMark/>
          </w:tcPr>
          <w:p w14:paraId="297153A7"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BA2EB2E" w14:textId="77777777" w:rsidR="00000000" w:rsidRDefault="00EE5306">
            <w:pPr>
              <w:spacing w:after="100"/>
              <w:rPr>
                <w:rFonts w:eastAsia="Times New Roman"/>
              </w:rPr>
            </w:pPr>
            <w:r>
              <w:rPr>
                <w:rFonts w:eastAsia="Times New Roman"/>
                <w:color w:val="000000"/>
                <w:sz w:val="20"/>
                <w:szCs w:val="20"/>
              </w:rPr>
              <w:t>Asia sourcing offices</w:t>
            </w:r>
          </w:p>
        </w:tc>
        <w:tc>
          <w:tcPr>
            <w:tcW w:w="0" w:type="auto"/>
            <w:gridSpan w:val="3"/>
            <w:shd w:val="clear" w:color="auto" w:fill="FFFFFF"/>
            <w:tcMar>
              <w:top w:w="0" w:type="dxa"/>
              <w:left w:w="20" w:type="dxa"/>
              <w:bottom w:w="0" w:type="dxa"/>
              <w:right w:w="20" w:type="dxa"/>
            </w:tcMar>
            <w:vAlign w:val="center"/>
            <w:hideMark/>
          </w:tcPr>
          <w:p w14:paraId="342548C9"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5661147" w14:textId="77777777" w:rsidR="00000000" w:rsidRDefault="00EE5306">
            <w:pPr>
              <w:spacing w:after="100"/>
              <w:jc w:val="center"/>
              <w:rPr>
                <w:rFonts w:eastAsia="Times New Roman"/>
              </w:rPr>
            </w:pPr>
            <w:r>
              <w:rPr>
                <w:rFonts w:eastAsia="Times New Roman"/>
                <w:color w:val="000000"/>
                <w:sz w:val="20"/>
                <w:szCs w:val="20"/>
              </w:rPr>
              <w:t>67,000</w:t>
            </w:r>
          </w:p>
        </w:tc>
      </w:tr>
      <w:tr w:rsidR="00000000" w14:paraId="4CBE0330" w14:textId="77777777">
        <w:trPr>
          <w:divId w:val="22487978"/>
        </w:trPr>
        <w:tc>
          <w:tcPr>
            <w:tcW w:w="0" w:type="auto"/>
            <w:gridSpan w:val="3"/>
            <w:shd w:val="clear" w:color="auto" w:fill="CCEEFF"/>
            <w:tcMar>
              <w:top w:w="30" w:type="dxa"/>
              <w:left w:w="20" w:type="dxa"/>
              <w:bottom w:w="30" w:type="dxa"/>
              <w:right w:w="20" w:type="dxa"/>
            </w:tcMar>
            <w:hideMark/>
          </w:tcPr>
          <w:p w14:paraId="4034BC5A" w14:textId="77777777" w:rsidR="00000000" w:rsidRDefault="00EE5306">
            <w:pPr>
              <w:spacing w:after="100"/>
              <w:rPr>
                <w:rFonts w:eastAsia="Times New Roman"/>
              </w:rPr>
            </w:pPr>
            <w:r>
              <w:rPr>
                <w:rFonts w:eastAsia="Times New Roman"/>
                <w:color w:val="000000"/>
                <w:sz w:val="20"/>
                <w:szCs w:val="20"/>
              </w:rPr>
              <w:t>Gateway Office, Hong Kong</w:t>
            </w:r>
          </w:p>
        </w:tc>
        <w:tc>
          <w:tcPr>
            <w:tcW w:w="0" w:type="auto"/>
            <w:gridSpan w:val="3"/>
            <w:shd w:val="clear" w:color="auto" w:fill="CCEEFF"/>
            <w:tcMar>
              <w:top w:w="0" w:type="dxa"/>
              <w:left w:w="20" w:type="dxa"/>
              <w:bottom w:w="0" w:type="dxa"/>
              <w:right w:w="20" w:type="dxa"/>
            </w:tcMar>
            <w:vAlign w:val="center"/>
            <w:hideMark/>
          </w:tcPr>
          <w:p w14:paraId="422A95B9"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6BEA98E" w14:textId="77777777" w:rsidR="00000000" w:rsidRDefault="00EE5306">
            <w:pPr>
              <w:spacing w:after="100"/>
              <w:rPr>
                <w:rFonts w:eastAsia="Times New Roman"/>
              </w:rPr>
            </w:pPr>
            <w:r>
              <w:rPr>
                <w:rFonts w:eastAsia="Times New Roman"/>
                <w:color w:val="000000"/>
                <w:sz w:val="20"/>
                <w:szCs w:val="20"/>
              </w:rPr>
              <w:t>Asia corporate offices</w:t>
            </w:r>
          </w:p>
        </w:tc>
        <w:tc>
          <w:tcPr>
            <w:tcW w:w="0" w:type="auto"/>
            <w:gridSpan w:val="3"/>
            <w:shd w:val="clear" w:color="auto" w:fill="CCEEFF"/>
            <w:tcMar>
              <w:top w:w="0" w:type="dxa"/>
              <w:left w:w="20" w:type="dxa"/>
              <w:bottom w:w="0" w:type="dxa"/>
              <w:right w:w="20" w:type="dxa"/>
            </w:tcMar>
            <w:vAlign w:val="center"/>
            <w:hideMark/>
          </w:tcPr>
          <w:p w14:paraId="0B7B9424"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EEEDDC1" w14:textId="77777777" w:rsidR="00000000" w:rsidRDefault="00EE5306">
            <w:pPr>
              <w:spacing w:after="100"/>
              <w:jc w:val="center"/>
              <w:rPr>
                <w:rFonts w:eastAsia="Times New Roman"/>
              </w:rPr>
            </w:pPr>
            <w:r>
              <w:rPr>
                <w:rFonts w:eastAsia="Times New Roman"/>
                <w:color w:val="000000"/>
                <w:sz w:val="20"/>
                <w:szCs w:val="20"/>
              </w:rPr>
              <w:t>37,500</w:t>
            </w:r>
          </w:p>
        </w:tc>
      </w:tr>
      <w:tr w:rsidR="00000000" w14:paraId="4F92E5D3" w14:textId="77777777">
        <w:trPr>
          <w:divId w:val="22487978"/>
        </w:trPr>
        <w:tc>
          <w:tcPr>
            <w:tcW w:w="0" w:type="auto"/>
            <w:gridSpan w:val="3"/>
            <w:shd w:val="clear" w:color="auto" w:fill="FFFFFF"/>
            <w:tcMar>
              <w:top w:w="30" w:type="dxa"/>
              <w:left w:w="20" w:type="dxa"/>
              <w:bottom w:w="30" w:type="dxa"/>
              <w:right w:w="20" w:type="dxa"/>
            </w:tcMar>
            <w:hideMark/>
          </w:tcPr>
          <w:p w14:paraId="308D2C9E" w14:textId="77777777" w:rsidR="00000000" w:rsidRDefault="00EE5306">
            <w:pPr>
              <w:spacing w:after="100"/>
              <w:rPr>
                <w:rFonts w:eastAsia="Times New Roman"/>
              </w:rPr>
            </w:pPr>
            <w:r>
              <w:rPr>
                <w:rFonts w:eastAsia="Times New Roman"/>
                <w:color w:val="000000"/>
                <w:sz w:val="20"/>
                <w:szCs w:val="20"/>
              </w:rPr>
              <w:t>888 Madison Avenue, NYC</w:t>
            </w:r>
          </w:p>
        </w:tc>
        <w:tc>
          <w:tcPr>
            <w:tcW w:w="0" w:type="auto"/>
            <w:gridSpan w:val="3"/>
            <w:shd w:val="clear" w:color="auto" w:fill="FFFFFF"/>
            <w:tcMar>
              <w:top w:w="0" w:type="dxa"/>
              <w:left w:w="20" w:type="dxa"/>
              <w:bottom w:w="0" w:type="dxa"/>
              <w:right w:w="20" w:type="dxa"/>
            </w:tcMar>
            <w:vAlign w:val="center"/>
            <w:hideMark/>
          </w:tcPr>
          <w:p w14:paraId="32F57D9E"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EE0F689" w14:textId="77777777" w:rsidR="00000000" w:rsidRDefault="00EE5306">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14:paraId="675E9AF7"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36BF496" w14:textId="77777777" w:rsidR="00000000" w:rsidRDefault="00EE5306">
            <w:pPr>
              <w:spacing w:after="100"/>
              <w:jc w:val="center"/>
              <w:rPr>
                <w:rFonts w:eastAsia="Times New Roman"/>
              </w:rPr>
            </w:pPr>
            <w:r>
              <w:rPr>
                <w:rFonts w:eastAsia="Times New Roman"/>
                <w:color w:val="000000"/>
                <w:sz w:val="20"/>
                <w:szCs w:val="20"/>
              </w:rPr>
              <w:t>37,900</w:t>
            </w:r>
          </w:p>
        </w:tc>
      </w:tr>
      <w:tr w:rsidR="00000000" w14:paraId="5A15F265" w14:textId="77777777">
        <w:trPr>
          <w:divId w:val="22487978"/>
        </w:trPr>
        <w:tc>
          <w:tcPr>
            <w:tcW w:w="0" w:type="auto"/>
            <w:gridSpan w:val="3"/>
            <w:shd w:val="clear" w:color="auto" w:fill="CCEEFF"/>
            <w:tcMar>
              <w:top w:w="30" w:type="dxa"/>
              <w:left w:w="20" w:type="dxa"/>
              <w:bottom w:w="30" w:type="dxa"/>
              <w:right w:w="20" w:type="dxa"/>
            </w:tcMar>
            <w:hideMark/>
          </w:tcPr>
          <w:p w14:paraId="5187A67E" w14:textId="77777777" w:rsidR="00000000" w:rsidRDefault="00EE5306">
            <w:pPr>
              <w:spacing w:after="100"/>
              <w:rPr>
                <w:rFonts w:eastAsia="Times New Roman"/>
              </w:rPr>
            </w:pPr>
            <w:r>
              <w:rPr>
                <w:rFonts w:eastAsia="Times New Roman"/>
                <w:color w:val="000000"/>
                <w:sz w:val="20"/>
                <w:szCs w:val="20"/>
              </w:rPr>
              <w:t>N. Michigan Avenue, Chicago</w:t>
            </w:r>
          </w:p>
        </w:tc>
        <w:tc>
          <w:tcPr>
            <w:tcW w:w="0" w:type="auto"/>
            <w:gridSpan w:val="3"/>
            <w:shd w:val="clear" w:color="auto" w:fill="CCEEFF"/>
            <w:tcMar>
              <w:top w:w="0" w:type="dxa"/>
              <w:left w:w="20" w:type="dxa"/>
              <w:bottom w:w="0" w:type="dxa"/>
              <w:right w:w="20" w:type="dxa"/>
            </w:tcMar>
            <w:vAlign w:val="center"/>
            <w:hideMark/>
          </w:tcPr>
          <w:p w14:paraId="5C0B1D9E"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17C1B2E" w14:textId="77777777" w:rsidR="00000000" w:rsidRDefault="00EE5306">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14:paraId="012B72F4"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AE5B9CD" w14:textId="77777777" w:rsidR="00000000" w:rsidRDefault="00EE5306">
            <w:pPr>
              <w:spacing w:after="100"/>
              <w:jc w:val="center"/>
              <w:rPr>
                <w:rFonts w:eastAsia="Times New Roman"/>
              </w:rPr>
            </w:pPr>
            <w:r>
              <w:rPr>
                <w:rFonts w:eastAsia="Times New Roman"/>
                <w:color w:val="000000"/>
                <w:sz w:val="20"/>
                <w:szCs w:val="20"/>
              </w:rPr>
              <w:t>37,500</w:t>
            </w:r>
          </w:p>
        </w:tc>
      </w:tr>
      <w:tr w:rsidR="00000000" w14:paraId="77945776" w14:textId="77777777">
        <w:trPr>
          <w:divId w:val="22487978"/>
        </w:trPr>
        <w:tc>
          <w:tcPr>
            <w:tcW w:w="0" w:type="auto"/>
            <w:gridSpan w:val="3"/>
            <w:shd w:val="clear" w:color="auto" w:fill="FFFFFF"/>
            <w:tcMar>
              <w:top w:w="30" w:type="dxa"/>
              <w:left w:w="20" w:type="dxa"/>
              <w:bottom w:w="30" w:type="dxa"/>
              <w:right w:w="20" w:type="dxa"/>
            </w:tcMar>
            <w:hideMark/>
          </w:tcPr>
          <w:p w14:paraId="1700FAEA" w14:textId="77777777" w:rsidR="00000000" w:rsidRDefault="00EE5306">
            <w:pPr>
              <w:spacing w:after="100"/>
              <w:rPr>
                <w:rFonts w:eastAsia="Times New Roman"/>
              </w:rPr>
            </w:pPr>
            <w:r>
              <w:rPr>
                <w:rFonts w:eastAsia="Times New Roman"/>
                <w:color w:val="000000"/>
                <w:sz w:val="20"/>
                <w:szCs w:val="20"/>
              </w:rPr>
              <w:t>New Bond Street, London, UK</w:t>
            </w:r>
          </w:p>
        </w:tc>
        <w:tc>
          <w:tcPr>
            <w:tcW w:w="0" w:type="auto"/>
            <w:gridSpan w:val="3"/>
            <w:shd w:val="clear" w:color="auto" w:fill="FFFFFF"/>
            <w:tcMar>
              <w:top w:w="0" w:type="dxa"/>
              <w:left w:w="20" w:type="dxa"/>
              <w:bottom w:w="0" w:type="dxa"/>
              <w:right w:w="20" w:type="dxa"/>
            </w:tcMar>
            <w:vAlign w:val="center"/>
            <w:hideMark/>
          </w:tcPr>
          <w:p w14:paraId="1BA69DE7"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20477EA" w14:textId="77777777" w:rsidR="00000000" w:rsidRDefault="00EE5306">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14:paraId="60793368"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4B61019" w14:textId="77777777" w:rsidR="00000000" w:rsidRDefault="00EE5306">
            <w:pPr>
              <w:spacing w:after="100"/>
              <w:jc w:val="center"/>
              <w:rPr>
                <w:rFonts w:eastAsia="Times New Roman"/>
              </w:rPr>
            </w:pPr>
            <w:r>
              <w:rPr>
                <w:rFonts w:eastAsia="Times New Roman"/>
                <w:color w:val="000000"/>
                <w:sz w:val="20"/>
                <w:szCs w:val="20"/>
              </w:rPr>
              <w:t>31,500</w:t>
            </w:r>
          </w:p>
        </w:tc>
      </w:tr>
      <w:tr w:rsidR="00000000" w14:paraId="01EAFAAD" w14:textId="77777777">
        <w:trPr>
          <w:divId w:val="22487978"/>
        </w:trPr>
        <w:tc>
          <w:tcPr>
            <w:tcW w:w="0" w:type="auto"/>
            <w:gridSpan w:val="3"/>
            <w:shd w:val="clear" w:color="auto" w:fill="CCEEFF"/>
            <w:tcMar>
              <w:top w:w="30" w:type="dxa"/>
              <w:left w:w="20" w:type="dxa"/>
              <w:bottom w:w="30" w:type="dxa"/>
              <w:right w:w="20" w:type="dxa"/>
            </w:tcMar>
            <w:hideMark/>
          </w:tcPr>
          <w:p w14:paraId="10EC358B" w14:textId="77777777" w:rsidR="00000000" w:rsidRDefault="00EE5306">
            <w:pPr>
              <w:spacing w:after="100"/>
              <w:rPr>
                <w:rFonts w:eastAsia="Times New Roman"/>
              </w:rPr>
            </w:pPr>
            <w:r>
              <w:rPr>
                <w:rFonts w:eastAsia="Times New Roman"/>
                <w:color w:val="000000"/>
                <w:sz w:val="20"/>
                <w:szCs w:val="20"/>
              </w:rPr>
              <w:t>867 Madison Avenue, NYC</w:t>
            </w:r>
          </w:p>
        </w:tc>
        <w:tc>
          <w:tcPr>
            <w:tcW w:w="0" w:type="auto"/>
            <w:gridSpan w:val="3"/>
            <w:shd w:val="clear" w:color="auto" w:fill="CCEEFF"/>
            <w:tcMar>
              <w:top w:w="0" w:type="dxa"/>
              <w:left w:w="20" w:type="dxa"/>
              <w:bottom w:w="0" w:type="dxa"/>
              <w:right w:w="20" w:type="dxa"/>
            </w:tcMar>
            <w:vAlign w:val="center"/>
            <w:hideMark/>
          </w:tcPr>
          <w:p w14:paraId="50CEC9B8"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81D88D6" w14:textId="77777777" w:rsidR="00000000" w:rsidRDefault="00EE5306">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14:paraId="1017504A"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96FD27D" w14:textId="77777777" w:rsidR="00000000" w:rsidRDefault="00EE5306">
            <w:pPr>
              <w:spacing w:after="100"/>
              <w:jc w:val="center"/>
              <w:rPr>
                <w:rFonts w:eastAsia="Times New Roman"/>
              </w:rPr>
            </w:pPr>
            <w:r>
              <w:rPr>
                <w:rFonts w:eastAsia="Times New Roman"/>
                <w:color w:val="000000"/>
                <w:sz w:val="20"/>
                <w:szCs w:val="20"/>
              </w:rPr>
              <w:t>27,700</w:t>
            </w:r>
          </w:p>
        </w:tc>
      </w:tr>
      <w:tr w:rsidR="00000000" w14:paraId="1995BC47" w14:textId="77777777">
        <w:trPr>
          <w:divId w:val="22487978"/>
        </w:trPr>
        <w:tc>
          <w:tcPr>
            <w:tcW w:w="0" w:type="auto"/>
            <w:gridSpan w:val="3"/>
            <w:shd w:val="clear" w:color="auto" w:fill="FFFFFF"/>
            <w:tcMar>
              <w:top w:w="30" w:type="dxa"/>
              <w:left w:w="20" w:type="dxa"/>
              <w:bottom w:w="30" w:type="dxa"/>
              <w:right w:w="20" w:type="dxa"/>
            </w:tcMar>
            <w:hideMark/>
          </w:tcPr>
          <w:p w14:paraId="2E9F7C97" w14:textId="77777777" w:rsidR="00000000" w:rsidRDefault="00EE5306">
            <w:pPr>
              <w:spacing w:after="100"/>
              <w:rPr>
                <w:rFonts w:eastAsia="Times New Roman"/>
              </w:rPr>
            </w:pPr>
            <w:r>
              <w:rPr>
                <w:rFonts w:eastAsia="Times New Roman"/>
                <w:color w:val="000000"/>
                <w:sz w:val="20"/>
                <w:szCs w:val="20"/>
              </w:rPr>
              <w:t>Paris, France</w:t>
            </w:r>
          </w:p>
        </w:tc>
        <w:tc>
          <w:tcPr>
            <w:tcW w:w="0" w:type="auto"/>
            <w:gridSpan w:val="3"/>
            <w:shd w:val="clear" w:color="auto" w:fill="FFFFFF"/>
            <w:tcMar>
              <w:top w:w="0" w:type="dxa"/>
              <w:left w:w="20" w:type="dxa"/>
              <w:bottom w:w="0" w:type="dxa"/>
              <w:right w:w="20" w:type="dxa"/>
            </w:tcMar>
            <w:vAlign w:val="center"/>
            <w:hideMark/>
          </w:tcPr>
          <w:p w14:paraId="377B7A1C"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7085912" w14:textId="77777777" w:rsidR="00000000" w:rsidRDefault="00EE5306">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14:paraId="364DB34C"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DE44772" w14:textId="77777777" w:rsidR="00000000" w:rsidRDefault="00EE5306">
            <w:pPr>
              <w:spacing w:after="100"/>
              <w:jc w:val="center"/>
              <w:rPr>
                <w:rFonts w:eastAsia="Times New Roman"/>
              </w:rPr>
            </w:pPr>
            <w:r>
              <w:rPr>
                <w:rFonts w:eastAsia="Times New Roman"/>
                <w:color w:val="000000"/>
                <w:sz w:val="20"/>
                <w:szCs w:val="20"/>
              </w:rPr>
              <w:t>25,700</w:t>
            </w:r>
          </w:p>
        </w:tc>
      </w:tr>
      <w:tr w:rsidR="00000000" w14:paraId="5DBC4CD6" w14:textId="77777777">
        <w:trPr>
          <w:divId w:val="22487978"/>
        </w:trPr>
        <w:tc>
          <w:tcPr>
            <w:tcW w:w="0" w:type="auto"/>
            <w:gridSpan w:val="3"/>
            <w:shd w:val="clear" w:color="auto" w:fill="CCEEFF"/>
            <w:tcMar>
              <w:top w:w="30" w:type="dxa"/>
              <w:left w:w="20" w:type="dxa"/>
              <w:bottom w:w="30" w:type="dxa"/>
              <w:right w:w="20" w:type="dxa"/>
            </w:tcMar>
            <w:hideMark/>
          </w:tcPr>
          <w:p w14:paraId="2064BDCC" w14:textId="77777777" w:rsidR="00000000" w:rsidRDefault="00EE5306">
            <w:pPr>
              <w:spacing w:after="100"/>
              <w:rPr>
                <w:rFonts w:eastAsia="Times New Roman"/>
              </w:rPr>
            </w:pPr>
            <w:r>
              <w:rPr>
                <w:rFonts w:eastAsia="Times New Roman"/>
                <w:color w:val="000000"/>
                <w:sz w:val="20"/>
                <w:szCs w:val="20"/>
              </w:rPr>
              <w:t>Tokyo, Japan</w:t>
            </w:r>
          </w:p>
        </w:tc>
        <w:tc>
          <w:tcPr>
            <w:tcW w:w="0" w:type="auto"/>
            <w:gridSpan w:val="3"/>
            <w:shd w:val="clear" w:color="auto" w:fill="CCEEFF"/>
            <w:tcMar>
              <w:top w:w="0" w:type="dxa"/>
              <w:left w:w="20" w:type="dxa"/>
              <w:bottom w:w="0" w:type="dxa"/>
              <w:right w:w="20" w:type="dxa"/>
            </w:tcMar>
            <w:vAlign w:val="center"/>
            <w:hideMark/>
          </w:tcPr>
          <w:p w14:paraId="53D1F1F5"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83C1C58" w14:textId="77777777" w:rsidR="00000000" w:rsidRDefault="00EE5306">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14:paraId="75183BB9"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DB82DA8" w14:textId="77777777" w:rsidR="00000000" w:rsidRDefault="00EE5306">
            <w:pPr>
              <w:spacing w:after="100"/>
              <w:jc w:val="center"/>
              <w:rPr>
                <w:rFonts w:eastAsia="Times New Roman"/>
              </w:rPr>
            </w:pPr>
            <w:r>
              <w:rPr>
                <w:rFonts w:eastAsia="Times New Roman"/>
                <w:color w:val="000000"/>
                <w:sz w:val="20"/>
                <w:szCs w:val="20"/>
              </w:rPr>
              <w:t>25,000</w:t>
            </w:r>
          </w:p>
        </w:tc>
      </w:tr>
      <w:tr w:rsidR="00000000" w14:paraId="21EEC193" w14:textId="77777777">
        <w:trPr>
          <w:divId w:val="22487978"/>
        </w:trPr>
        <w:tc>
          <w:tcPr>
            <w:tcW w:w="0" w:type="auto"/>
            <w:gridSpan w:val="3"/>
            <w:shd w:val="clear" w:color="auto" w:fill="FFFFFF"/>
            <w:tcMar>
              <w:top w:w="30" w:type="dxa"/>
              <w:left w:w="20" w:type="dxa"/>
              <w:bottom w:w="30" w:type="dxa"/>
              <w:right w:w="20" w:type="dxa"/>
            </w:tcMar>
            <w:hideMark/>
          </w:tcPr>
          <w:p w14:paraId="1BDCA089" w14:textId="77777777" w:rsidR="00000000" w:rsidRDefault="00EE5306">
            <w:pPr>
              <w:spacing w:after="100"/>
              <w:rPr>
                <w:rFonts w:eastAsia="Times New Roman"/>
              </w:rPr>
            </w:pPr>
            <w:r>
              <w:rPr>
                <w:rFonts w:eastAsia="Times New Roman"/>
                <w:color w:val="000000"/>
                <w:sz w:val="20"/>
                <w:szCs w:val="20"/>
              </w:rPr>
              <w:t>N. Rodeo Drive, Beverly Hills</w:t>
            </w:r>
          </w:p>
        </w:tc>
        <w:tc>
          <w:tcPr>
            <w:tcW w:w="0" w:type="auto"/>
            <w:gridSpan w:val="3"/>
            <w:shd w:val="clear" w:color="auto" w:fill="FFFFFF"/>
            <w:tcMar>
              <w:top w:w="0" w:type="dxa"/>
              <w:left w:w="20" w:type="dxa"/>
              <w:bottom w:w="0" w:type="dxa"/>
              <w:right w:w="20" w:type="dxa"/>
            </w:tcMar>
            <w:vAlign w:val="center"/>
            <w:hideMark/>
          </w:tcPr>
          <w:p w14:paraId="7A0765BB"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8D6BF75" w14:textId="77777777" w:rsidR="00000000" w:rsidRDefault="00EE5306">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14:paraId="317B9D2F"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E49D7F5" w14:textId="77777777" w:rsidR="00000000" w:rsidRDefault="00EE5306">
            <w:pPr>
              <w:spacing w:after="100"/>
              <w:jc w:val="center"/>
              <w:rPr>
                <w:rFonts w:eastAsia="Times New Roman"/>
              </w:rPr>
            </w:pPr>
            <w:r>
              <w:rPr>
                <w:rFonts w:eastAsia="Times New Roman"/>
                <w:color w:val="000000"/>
                <w:sz w:val="20"/>
                <w:szCs w:val="20"/>
              </w:rPr>
              <w:t>19,400</w:t>
            </w:r>
          </w:p>
        </w:tc>
      </w:tr>
      <w:tr w:rsidR="00000000" w14:paraId="04E1400B" w14:textId="77777777">
        <w:trPr>
          <w:divId w:val="22487978"/>
        </w:trPr>
        <w:tc>
          <w:tcPr>
            <w:tcW w:w="0" w:type="auto"/>
            <w:gridSpan w:val="3"/>
            <w:shd w:val="clear" w:color="auto" w:fill="CCEEFF"/>
            <w:tcMar>
              <w:top w:w="30" w:type="dxa"/>
              <w:left w:w="20" w:type="dxa"/>
              <w:bottom w:w="30" w:type="dxa"/>
              <w:right w:w="20" w:type="dxa"/>
            </w:tcMar>
            <w:hideMark/>
          </w:tcPr>
          <w:p w14:paraId="5F84E9B6" w14:textId="77777777" w:rsidR="00000000" w:rsidRDefault="00EE5306">
            <w:pPr>
              <w:spacing w:after="100"/>
              <w:rPr>
                <w:rFonts w:eastAsia="Times New Roman"/>
              </w:rPr>
            </w:pPr>
            <w:r>
              <w:rPr>
                <w:rFonts w:eastAsia="Times New Roman"/>
                <w:color w:val="000000"/>
                <w:sz w:val="20"/>
                <w:szCs w:val="20"/>
              </w:rPr>
              <w:t>Prince's Building, Hong Kong</w:t>
            </w:r>
          </w:p>
        </w:tc>
        <w:tc>
          <w:tcPr>
            <w:tcW w:w="0" w:type="auto"/>
            <w:gridSpan w:val="3"/>
            <w:shd w:val="clear" w:color="auto" w:fill="CCEEFF"/>
            <w:tcMar>
              <w:top w:w="0" w:type="dxa"/>
              <w:left w:w="20" w:type="dxa"/>
              <w:bottom w:w="0" w:type="dxa"/>
              <w:right w:w="20" w:type="dxa"/>
            </w:tcMar>
            <w:vAlign w:val="center"/>
            <w:hideMark/>
          </w:tcPr>
          <w:p w14:paraId="0906C5A2"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3D89B83" w14:textId="77777777" w:rsidR="00000000" w:rsidRDefault="00EE5306">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14:paraId="07D2CB42"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CCC4E36" w14:textId="77777777" w:rsidR="00000000" w:rsidRDefault="00EE5306">
            <w:pPr>
              <w:spacing w:after="100"/>
              <w:jc w:val="center"/>
              <w:rPr>
                <w:rFonts w:eastAsia="Times New Roman"/>
              </w:rPr>
            </w:pPr>
            <w:r>
              <w:rPr>
                <w:rFonts w:eastAsia="Times New Roman"/>
                <w:color w:val="000000"/>
                <w:sz w:val="20"/>
                <w:szCs w:val="20"/>
              </w:rPr>
              <w:t>9,800</w:t>
            </w:r>
          </w:p>
        </w:tc>
      </w:tr>
    </w:tbl>
    <w:p w14:paraId="506291FA" w14:textId="77777777" w:rsidR="00000000" w:rsidRDefault="00EE5306">
      <w:pPr>
        <w:ind w:firstLine="540"/>
        <w:jc w:val="both"/>
        <w:divId w:val="1191600595"/>
        <w:rPr>
          <w:rFonts w:eastAsia="Times New Roman"/>
        </w:rPr>
      </w:pPr>
      <w:r>
        <w:rPr>
          <w:rFonts w:eastAsia="Times New Roman"/>
          <w:color w:val="000000"/>
          <w:sz w:val="20"/>
          <w:szCs w:val="20"/>
        </w:rPr>
        <w:t>As of March </w:t>
      </w:r>
      <w:r>
        <w:rPr>
          <w:rFonts w:eastAsia="Times New Roman"/>
          <w:color w:val="000000"/>
          <w:sz w:val="20"/>
          <w:szCs w:val="20"/>
        </w:rPr>
        <w:t>27, 2021, we directly operated 548 retail stores, totaling approximately 4.2 million square feet. We anticipate that we will be able to extend our retail store leases, as well as those leases for our non-retail facilities, which expire in the near future o</w:t>
      </w:r>
      <w:r>
        <w:rPr>
          <w:rFonts w:eastAsia="Times New Roman"/>
          <w:color w:val="000000"/>
          <w:sz w:val="20"/>
          <w:szCs w:val="20"/>
        </w:rPr>
        <w:t>n satisfactory terms or relocate to desirable alternate locations. We generally lease our freestanding retail stores for initial periods ranging from 3 to 15 years, with renewal options.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our Business and Opera</w:t>
      </w:r>
      <w:r>
        <w:rPr>
          <w:rFonts w:eastAsia="Times New Roman"/>
          <w:i/>
          <w:iCs/>
          <w:color w:val="000000"/>
          <w:sz w:val="20"/>
          <w:szCs w:val="20"/>
        </w:rPr>
        <w:t>tions — Our business is subject to risks associated with leasing real estate and other assets under long-term, non-cancellable leases.</w:t>
      </w:r>
      <w:r>
        <w:rPr>
          <w:rFonts w:eastAsia="Times New Roman"/>
          <w:color w:val="000000"/>
          <w:sz w:val="20"/>
          <w:szCs w:val="20"/>
        </w:rPr>
        <w:t>"</w:t>
      </w:r>
    </w:p>
    <w:p w14:paraId="7087158F" w14:textId="77777777" w:rsidR="00000000" w:rsidRDefault="00EE5306">
      <w:pPr>
        <w:ind w:hanging="900"/>
        <w:jc w:val="both"/>
        <w:divId w:val="1930657660"/>
        <w:rPr>
          <w:rFonts w:eastAsia="Times New Roman"/>
        </w:rPr>
      </w:pPr>
      <w:r>
        <w:rPr>
          <w:rFonts w:eastAsia="Times New Roman"/>
          <w:b/>
          <w:bCs/>
          <w:color w:val="000000"/>
          <w:sz w:val="20"/>
          <w:szCs w:val="20"/>
        </w:rPr>
        <w:t>Item 3.    </w:t>
      </w:r>
      <w:r>
        <w:rPr>
          <w:rFonts w:eastAsia="Times New Roman"/>
          <w:b/>
          <w:bCs/>
          <w:i/>
          <w:iCs/>
          <w:color w:val="000000"/>
          <w:sz w:val="20"/>
          <w:szCs w:val="20"/>
        </w:rPr>
        <w:t>Legal Proceedings.</w:t>
      </w:r>
    </w:p>
    <w:p w14:paraId="095304D1" w14:textId="77777777" w:rsidR="00000000" w:rsidRDefault="00EE5306">
      <w:pPr>
        <w:ind w:firstLine="540"/>
        <w:jc w:val="both"/>
        <w:divId w:val="1461218888"/>
        <w:rPr>
          <w:rFonts w:eastAsia="Times New Roman"/>
        </w:rPr>
      </w:pPr>
      <w:r>
        <w:rPr>
          <w:rFonts w:eastAsia="Times New Roman"/>
          <w:color w:val="000000"/>
          <w:sz w:val="20"/>
          <w:szCs w:val="20"/>
        </w:rPr>
        <w:t>We are involved, from time to time, in litigation, other legal claims, and proceedings inv</w:t>
      </w:r>
      <w:r>
        <w:rPr>
          <w:rFonts w:eastAsia="Times New Roman"/>
          <w:color w:val="000000"/>
          <w:sz w:val="20"/>
          <w:szCs w:val="20"/>
        </w:rPr>
        <w:t>olving matters associated with or incidental to our business, including, among other things, matters involving credit card fraud, trademark and other intellectual property, licensing, importation and exportation of products, taxation, unclaimed property, a</w:t>
      </w:r>
      <w:r>
        <w:rPr>
          <w:rFonts w:eastAsia="Times New Roman"/>
          <w:color w:val="000000"/>
          <w:sz w:val="20"/>
          <w:szCs w:val="20"/>
        </w:rPr>
        <w:t>nd employee relations. We believe at present that the resolution of currently pending matters will not individually or in the aggregate have a material adverse effect on our consolidated financial statements. However, our assessment of any current litigati</w:t>
      </w:r>
      <w:r>
        <w:rPr>
          <w:rFonts w:eastAsia="Times New Roman"/>
          <w:color w:val="000000"/>
          <w:sz w:val="20"/>
          <w:szCs w:val="20"/>
        </w:rPr>
        <w:t>on or other legal claims could potentially change in light of the discovery of facts not presently known or determinations by judges, juries, or other finders of fact which are not in accord with management's evaluation of the possible liability or outcome</w:t>
      </w:r>
      <w:r>
        <w:rPr>
          <w:rFonts w:eastAsia="Times New Roman"/>
          <w:color w:val="000000"/>
          <w:sz w:val="20"/>
          <w:szCs w:val="20"/>
        </w:rPr>
        <w:t xml:space="preserve"> of such litigation or claims.</w:t>
      </w:r>
    </w:p>
    <w:p w14:paraId="50EC6EC3" w14:textId="77777777" w:rsidR="00000000" w:rsidRDefault="00EE5306">
      <w:pPr>
        <w:ind w:hanging="900"/>
        <w:divId w:val="1692485216"/>
        <w:rPr>
          <w:rFonts w:eastAsia="Times New Roman"/>
        </w:rPr>
      </w:pPr>
      <w:r>
        <w:rPr>
          <w:rFonts w:eastAsia="Times New Roman"/>
          <w:b/>
          <w:bCs/>
          <w:color w:val="000000"/>
          <w:sz w:val="20"/>
          <w:szCs w:val="20"/>
        </w:rPr>
        <w:t>Item 4.    </w:t>
      </w:r>
      <w:r>
        <w:rPr>
          <w:rFonts w:eastAsia="Times New Roman"/>
          <w:b/>
          <w:bCs/>
          <w:i/>
          <w:iCs/>
          <w:color w:val="000000"/>
          <w:sz w:val="20"/>
          <w:szCs w:val="20"/>
        </w:rPr>
        <w:t>Mine Safety Disclosures.</w:t>
      </w:r>
    </w:p>
    <w:p w14:paraId="19620875" w14:textId="77777777" w:rsidR="00000000" w:rsidRDefault="00EE5306">
      <w:pPr>
        <w:ind w:firstLine="540"/>
        <w:jc w:val="both"/>
        <w:divId w:val="2133936526"/>
        <w:rPr>
          <w:rFonts w:eastAsia="Times New Roman"/>
        </w:rPr>
      </w:pPr>
      <w:r>
        <w:rPr>
          <w:rFonts w:eastAsia="Times New Roman"/>
          <w:color w:val="000000"/>
          <w:sz w:val="20"/>
          <w:szCs w:val="20"/>
        </w:rPr>
        <w:t>Not applicable.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E6CD08D" w14:textId="77777777">
        <w:trPr>
          <w:divId w:val="2079203213"/>
          <w:jc w:val="center"/>
        </w:trPr>
        <w:tc>
          <w:tcPr>
            <w:tcW w:w="50" w:type="pct"/>
            <w:vAlign w:val="center"/>
            <w:hideMark/>
          </w:tcPr>
          <w:p w14:paraId="60EB2D45" w14:textId="77777777" w:rsidR="00000000" w:rsidRDefault="00EE5306">
            <w:pPr>
              <w:ind w:firstLine="540"/>
              <w:jc w:val="both"/>
              <w:rPr>
                <w:rFonts w:eastAsia="Times New Roman"/>
              </w:rPr>
            </w:pPr>
          </w:p>
        </w:tc>
        <w:tc>
          <w:tcPr>
            <w:tcW w:w="1699" w:type="pct"/>
            <w:vAlign w:val="center"/>
            <w:hideMark/>
          </w:tcPr>
          <w:p w14:paraId="393495D2" w14:textId="77777777" w:rsidR="00000000" w:rsidRDefault="00EE5306">
            <w:pPr>
              <w:spacing w:after="100"/>
              <w:rPr>
                <w:rFonts w:eastAsia="Times New Roman"/>
                <w:sz w:val="20"/>
                <w:szCs w:val="20"/>
              </w:rPr>
            </w:pPr>
          </w:p>
        </w:tc>
        <w:tc>
          <w:tcPr>
            <w:tcW w:w="5" w:type="pct"/>
            <w:vAlign w:val="center"/>
            <w:hideMark/>
          </w:tcPr>
          <w:p w14:paraId="31646664" w14:textId="77777777" w:rsidR="00000000" w:rsidRDefault="00EE5306">
            <w:pPr>
              <w:spacing w:after="100"/>
              <w:rPr>
                <w:rFonts w:eastAsia="Times New Roman"/>
                <w:sz w:val="20"/>
                <w:szCs w:val="20"/>
              </w:rPr>
            </w:pPr>
          </w:p>
        </w:tc>
        <w:tc>
          <w:tcPr>
            <w:tcW w:w="50" w:type="pct"/>
            <w:vAlign w:val="center"/>
            <w:hideMark/>
          </w:tcPr>
          <w:p w14:paraId="73B8E0A5" w14:textId="77777777" w:rsidR="00000000" w:rsidRDefault="00EE5306">
            <w:pPr>
              <w:spacing w:after="100"/>
              <w:rPr>
                <w:rFonts w:eastAsia="Times New Roman"/>
                <w:sz w:val="20"/>
                <w:szCs w:val="20"/>
              </w:rPr>
            </w:pPr>
          </w:p>
        </w:tc>
        <w:tc>
          <w:tcPr>
            <w:tcW w:w="1436" w:type="pct"/>
            <w:vAlign w:val="center"/>
            <w:hideMark/>
          </w:tcPr>
          <w:p w14:paraId="168EFD60" w14:textId="77777777" w:rsidR="00000000" w:rsidRDefault="00EE5306">
            <w:pPr>
              <w:spacing w:after="100"/>
              <w:rPr>
                <w:rFonts w:eastAsia="Times New Roman"/>
                <w:sz w:val="20"/>
                <w:szCs w:val="20"/>
              </w:rPr>
            </w:pPr>
          </w:p>
        </w:tc>
        <w:tc>
          <w:tcPr>
            <w:tcW w:w="5" w:type="pct"/>
            <w:vAlign w:val="center"/>
            <w:hideMark/>
          </w:tcPr>
          <w:p w14:paraId="069B00DA" w14:textId="77777777" w:rsidR="00000000" w:rsidRDefault="00EE5306">
            <w:pPr>
              <w:spacing w:after="100"/>
              <w:rPr>
                <w:rFonts w:eastAsia="Times New Roman"/>
                <w:sz w:val="20"/>
                <w:szCs w:val="20"/>
              </w:rPr>
            </w:pPr>
          </w:p>
        </w:tc>
        <w:tc>
          <w:tcPr>
            <w:tcW w:w="50" w:type="pct"/>
            <w:vAlign w:val="center"/>
            <w:hideMark/>
          </w:tcPr>
          <w:p w14:paraId="037C6EC9" w14:textId="77777777" w:rsidR="00000000" w:rsidRDefault="00EE5306">
            <w:pPr>
              <w:spacing w:after="100"/>
              <w:rPr>
                <w:rFonts w:eastAsia="Times New Roman"/>
                <w:sz w:val="20"/>
                <w:szCs w:val="20"/>
              </w:rPr>
            </w:pPr>
          </w:p>
        </w:tc>
        <w:tc>
          <w:tcPr>
            <w:tcW w:w="1699" w:type="pct"/>
            <w:vAlign w:val="center"/>
            <w:hideMark/>
          </w:tcPr>
          <w:p w14:paraId="57B2C25A" w14:textId="77777777" w:rsidR="00000000" w:rsidRDefault="00EE5306">
            <w:pPr>
              <w:spacing w:after="100"/>
              <w:rPr>
                <w:rFonts w:eastAsia="Times New Roman"/>
                <w:sz w:val="20"/>
                <w:szCs w:val="20"/>
              </w:rPr>
            </w:pPr>
          </w:p>
        </w:tc>
        <w:tc>
          <w:tcPr>
            <w:tcW w:w="5" w:type="pct"/>
            <w:vAlign w:val="center"/>
            <w:hideMark/>
          </w:tcPr>
          <w:p w14:paraId="7FD6CC69" w14:textId="77777777" w:rsidR="00000000" w:rsidRDefault="00EE5306">
            <w:pPr>
              <w:spacing w:after="100"/>
              <w:rPr>
                <w:rFonts w:eastAsia="Times New Roman"/>
                <w:sz w:val="20"/>
                <w:szCs w:val="20"/>
              </w:rPr>
            </w:pPr>
          </w:p>
        </w:tc>
      </w:tr>
      <w:tr w:rsidR="00000000" w14:paraId="6217FA13" w14:textId="77777777">
        <w:trPr>
          <w:divId w:val="2079203213"/>
          <w:jc w:val="center"/>
        </w:trPr>
        <w:tc>
          <w:tcPr>
            <w:tcW w:w="0" w:type="auto"/>
            <w:gridSpan w:val="3"/>
            <w:tcMar>
              <w:top w:w="0" w:type="dxa"/>
              <w:left w:w="20" w:type="dxa"/>
              <w:bottom w:w="0" w:type="dxa"/>
              <w:right w:w="20" w:type="dxa"/>
            </w:tcMar>
            <w:vAlign w:val="center"/>
            <w:hideMark/>
          </w:tcPr>
          <w:p w14:paraId="5F89AD8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FD2FB12" w14:textId="77777777" w:rsidR="00000000" w:rsidRDefault="00EE5306">
            <w:pPr>
              <w:spacing w:after="100"/>
              <w:jc w:val="center"/>
              <w:rPr>
                <w:rFonts w:eastAsia="Times New Roman"/>
              </w:rPr>
            </w:pPr>
            <w:r>
              <w:rPr>
                <w:rFonts w:eastAsia="Times New Roman"/>
                <w:color w:val="000000"/>
                <w:sz w:val="20"/>
                <w:szCs w:val="20"/>
              </w:rPr>
              <w:t>40</w:t>
            </w:r>
          </w:p>
        </w:tc>
        <w:tc>
          <w:tcPr>
            <w:tcW w:w="0" w:type="auto"/>
            <w:gridSpan w:val="3"/>
            <w:tcMar>
              <w:top w:w="0" w:type="dxa"/>
              <w:left w:w="20" w:type="dxa"/>
              <w:bottom w:w="0" w:type="dxa"/>
              <w:right w:w="20" w:type="dxa"/>
            </w:tcMar>
            <w:vAlign w:val="center"/>
            <w:hideMark/>
          </w:tcPr>
          <w:p w14:paraId="1BF6B204" w14:textId="77777777" w:rsidR="00000000" w:rsidRDefault="00EE5306">
            <w:pPr>
              <w:spacing w:after="100"/>
              <w:jc w:val="center"/>
              <w:rPr>
                <w:rFonts w:eastAsia="Times New Roman"/>
              </w:rPr>
            </w:pPr>
          </w:p>
        </w:tc>
      </w:tr>
    </w:tbl>
    <w:p w14:paraId="4CE194B3" w14:textId="77777777" w:rsidR="00000000" w:rsidRDefault="00EE5306">
      <w:pPr>
        <w:rPr>
          <w:rFonts w:eastAsia="Times New Roman"/>
        </w:rPr>
      </w:pPr>
      <w:r>
        <w:rPr>
          <w:rFonts w:eastAsia="Times New Roman"/>
        </w:rPr>
        <w:pict w14:anchorId="29D8C2D9">
          <v:rect id="_x0000_i1066" style="width:0;height:1.5pt" o:hralign="center" o:hrstd="t" o:hr="t" fillcolor="#a0a0a0" stroked="f"/>
        </w:pict>
      </w:r>
    </w:p>
    <w:p w14:paraId="05128327" w14:textId="77777777" w:rsidR="00000000" w:rsidRDefault="00EE5306">
      <w:pPr>
        <w:divId w:val="15353336"/>
        <w:rPr>
          <w:rFonts w:eastAsia="Times New Roman"/>
        </w:rPr>
      </w:pPr>
    </w:p>
    <w:p w14:paraId="323E26C4" w14:textId="77777777" w:rsidR="00000000" w:rsidRDefault="00EE5306">
      <w:pPr>
        <w:ind w:firstLine="495"/>
        <w:jc w:val="center"/>
        <w:divId w:val="501355778"/>
        <w:rPr>
          <w:rFonts w:eastAsia="Times New Roman"/>
        </w:rPr>
      </w:pPr>
      <w:r>
        <w:rPr>
          <w:rFonts w:eastAsia="Times New Roman"/>
          <w:b/>
          <w:bCs/>
          <w:color w:val="000000"/>
          <w:sz w:val="20"/>
          <w:szCs w:val="20"/>
        </w:rPr>
        <w:t>PART II</w:t>
      </w:r>
    </w:p>
    <w:p w14:paraId="1561FE81" w14:textId="77777777" w:rsidR="00000000" w:rsidRDefault="00EE5306">
      <w:pPr>
        <w:ind w:hanging="900"/>
        <w:jc w:val="both"/>
        <w:divId w:val="1939680906"/>
        <w:rPr>
          <w:rFonts w:eastAsia="Times New Roman"/>
        </w:rPr>
      </w:pPr>
      <w:r>
        <w:rPr>
          <w:rFonts w:eastAsia="Times New Roman"/>
          <w:b/>
          <w:bCs/>
          <w:color w:val="000000"/>
          <w:sz w:val="20"/>
          <w:szCs w:val="20"/>
        </w:rPr>
        <w:t>Item 5.    </w:t>
      </w:r>
      <w:r>
        <w:rPr>
          <w:rFonts w:eastAsia="Times New Roman"/>
          <w:b/>
          <w:bCs/>
          <w:i/>
          <w:iCs/>
          <w:color w:val="000000"/>
          <w:sz w:val="20"/>
          <w:szCs w:val="20"/>
        </w:rPr>
        <w:t>Market for Registrant's Common Equity, Related Stockholder Matters and Issuer Purchases of Equity Securities.</w:t>
      </w:r>
    </w:p>
    <w:p w14:paraId="6B6D5169" w14:textId="77777777" w:rsidR="00000000" w:rsidRDefault="00EE5306">
      <w:pPr>
        <w:ind w:firstLine="540"/>
        <w:jc w:val="both"/>
        <w:divId w:val="1928268125"/>
        <w:rPr>
          <w:rFonts w:eastAsia="Times New Roman"/>
        </w:rPr>
      </w:pPr>
      <w:r>
        <w:rPr>
          <w:rFonts w:eastAsia="Times New Roman"/>
          <w:color w:val="000000"/>
          <w:sz w:val="20"/>
          <w:szCs w:val="20"/>
        </w:rPr>
        <w:t>As of May 14, 2021, there were 649 holders of record of our Class A common stock and 8 ho</w:t>
      </w:r>
      <w:r>
        <w:rPr>
          <w:rFonts w:eastAsia="Times New Roman"/>
          <w:color w:val="000000"/>
          <w:sz w:val="20"/>
          <w:szCs w:val="20"/>
        </w:rPr>
        <w:t>lders of record of our Class B common stock. Our Class A common stock is traded on the New York Stock Exchange ("NYSE") under the symbol "RL." All of our outstanding shares of Class B common stock are owned by Mr. Ralph Lauren, Executive Chairman and Chief</w:t>
      </w:r>
      <w:r>
        <w:rPr>
          <w:rFonts w:eastAsia="Times New Roman"/>
          <w:color w:val="000000"/>
          <w:sz w:val="20"/>
          <w:szCs w:val="20"/>
        </w:rPr>
        <w:t xml:space="preserve"> Creative Officer, and entities controlled by the Lauren family. Shares of our Class B common stock may be converted immediately into Class A common stock on a one-for-one basis by the holder. There is no cash or other consideration paid by the holder conv</w:t>
      </w:r>
      <w:r>
        <w:rPr>
          <w:rFonts w:eastAsia="Times New Roman"/>
          <w:color w:val="000000"/>
          <w:sz w:val="20"/>
          <w:szCs w:val="20"/>
        </w:rPr>
        <w:t>erting the shares and, accordingly, there is no cash or other consideration received by the Company. The shares of Class A common stock issued by the Company in such conversions are exempt from registration pursuant to Section 3(a)(9) of the Securities Act</w:t>
      </w:r>
      <w:r>
        <w:rPr>
          <w:rFonts w:eastAsia="Times New Roman"/>
          <w:color w:val="000000"/>
          <w:sz w:val="20"/>
          <w:szCs w:val="20"/>
        </w:rPr>
        <w:t xml:space="preserve"> of 1933, as amended. No shares of our Class B common stock were converted into Class A common stock during the fiscal quarter ended March 27, 2021.</w:t>
      </w:r>
    </w:p>
    <w:p w14:paraId="5BD90BF9" w14:textId="77777777" w:rsidR="00000000" w:rsidRDefault="00EE5306">
      <w:pPr>
        <w:ind w:firstLine="540"/>
        <w:jc w:val="both"/>
        <w:divId w:val="1028993020"/>
        <w:rPr>
          <w:rFonts w:eastAsia="Times New Roman"/>
        </w:rPr>
      </w:pPr>
      <w:r>
        <w:rPr>
          <w:rFonts w:eastAsia="Times New Roman"/>
          <w:color w:val="000000"/>
          <w:sz w:val="20"/>
          <w:szCs w:val="20"/>
        </w:rPr>
        <w:t xml:space="preserve">The following table sets forth repurchases of shares of our Class A common stock during the fiscal quarter </w:t>
      </w:r>
      <w:r>
        <w:rPr>
          <w:rFonts w:eastAsia="Times New Roman"/>
          <w:color w:val="000000"/>
          <w:sz w:val="20"/>
          <w:szCs w:val="20"/>
        </w:rPr>
        <w:t>ended March 27, 2021:</w:t>
      </w:r>
    </w:p>
    <w:tbl>
      <w:tblPr>
        <w:tblW w:w="4744" w:type="pct"/>
        <w:tblCellMar>
          <w:top w:w="15" w:type="dxa"/>
          <w:left w:w="15" w:type="dxa"/>
          <w:bottom w:w="15" w:type="dxa"/>
          <w:right w:w="15" w:type="dxa"/>
        </w:tblCellMar>
        <w:tblLook w:val="04A0" w:firstRow="1" w:lastRow="0" w:firstColumn="1" w:lastColumn="0" w:noHBand="0" w:noVBand="1"/>
      </w:tblPr>
      <w:tblGrid>
        <w:gridCol w:w="37"/>
        <w:gridCol w:w="2698"/>
        <w:gridCol w:w="36"/>
        <w:gridCol w:w="36"/>
        <w:gridCol w:w="36"/>
        <w:gridCol w:w="36"/>
        <w:gridCol w:w="83"/>
        <w:gridCol w:w="786"/>
        <w:gridCol w:w="36"/>
        <w:gridCol w:w="36"/>
        <w:gridCol w:w="36"/>
        <w:gridCol w:w="36"/>
        <w:gridCol w:w="120"/>
        <w:gridCol w:w="600"/>
        <w:gridCol w:w="36"/>
        <w:gridCol w:w="36"/>
        <w:gridCol w:w="36"/>
        <w:gridCol w:w="36"/>
        <w:gridCol w:w="87"/>
        <w:gridCol w:w="1350"/>
        <w:gridCol w:w="36"/>
        <w:gridCol w:w="36"/>
        <w:gridCol w:w="36"/>
        <w:gridCol w:w="36"/>
        <w:gridCol w:w="121"/>
        <w:gridCol w:w="1387"/>
        <w:gridCol w:w="36"/>
      </w:tblGrid>
      <w:tr w:rsidR="00000000" w14:paraId="27AE3336" w14:textId="77777777">
        <w:trPr>
          <w:divId w:val="1651247112"/>
        </w:trPr>
        <w:tc>
          <w:tcPr>
            <w:tcW w:w="50" w:type="pct"/>
            <w:vAlign w:val="center"/>
            <w:hideMark/>
          </w:tcPr>
          <w:p w14:paraId="30AD3FC7" w14:textId="77777777" w:rsidR="00000000" w:rsidRDefault="00EE5306">
            <w:pPr>
              <w:ind w:firstLine="540"/>
              <w:jc w:val="both"/>
              <w:rPr>
                <w:rFonts w:eastAsia="Times New Roman"/>
              </w:rPr>
            </w:pPr>
          </w:p>
        </w:tc>
        <w:tc>
          <w:tcPr>
            <w:tcW w:w="2009" w:type="pct"/>
            <w:vAlign w:val="center"/>
            <w:hideMark/>
          </w:tcPr>
          <w:p w14:paraId="0174737D" w14:textId="77777777" w:rsidR="00000000" w:rsidRDefault="00EE5306">
            <w:pPr>
              <w:spacing w:after="100"/>
              <w:rPr>
                <w:rFonts w:eastAsia="Times New Roman"/>
                <w:sz w:val="20"/>
                <w:szCs w:val="20"/>
              </w:rPr>
            </w:pPr>
          </w:p>
        </w:tc>
        <w:tc>
          <w:tcPr>
            <w:tcW w:w="5" w:type="pct"/>
            <w:vAlign w:val="center"/>
            <w:hideMark/>
          </w:tcPr>
          <w:p w14:paraId="6B7F2CBE" w14:textId="77777777" w:rsidR="00000000" w:rsidRDefault="00EE5306">
            <w:pPr>
              <w:spacing w:after="100"/>
              <w:rPr>
                <w:rFonts w:eastAsia="Times New Roman"/>
                <w:sz w:val="20"/>
                <w:szCs w:val="20"/>
              </w:rPr>
            </w:pPr>
          </w:p>
        </w:tc>
        <w:tc>
          <w:tcPr>
            <w:tcW w:w="5" w:type="pct"/>
            <w:vAlign w:val="center"/>
            <w:hideMark/>
          </w:tcPr>
          <w:p w14:paraId="08E466EB" w14:textId="77777777" w:rsidR="00000000" w:rsidRDefault="00EE5306">
            <w:pPr>
              <w:spacing w:after="100"/>
              <w:rPr>
                <w:rFonts w:eastAsia="Times New Roman"/>
                <w:sz w:val="20"/>
                <w:szCs w:val="20"/>
              </w:rPr>
            </w:pPr>
          </w:p>
        </w:tc>
        <w:tc>
          <w:tcPr>
            <w:tcW w:w="28" w:type="pct"/>
            <w:vAlign w:val="center"/>
            <w:hideMark/>
          </w:tcPr>
          <w:p w14:paraId="3D4D07FC" w14:textId="77777777" w:rsidR="00000000" w:rsidRDefault="00EE5306">
            <w:pPr>
              <w:spacing w:after="100"/>
              <w:rPr>
                <w:rFonts w:eastAsia="Times New Roman"/>
                <w:sz w:val="20"/>
                <w:szCs w:val="20"/>
              </w:rPr>
            </w:pPr>
          </w:p>
        </w:tc>
        <w:tc>
          <w:tcPr>
            <w:tcW w:w="5" w:type="pct"/>
            <w:vAlign w:val="center"/>
            <w:hideMark/>
          </w:tcPr>
          <w:p w14:paraId="4F381461" w14:textId="77777777" w:rsidR="00000000" w:rsidRDefault="00EE5306">
            <w:pPr>
              <w:spacing w:after="100"/>
              <w:rPr>
                <w:rFonts w:eastAsia="Times New Roman"/>
                <w:sz w:val="20"/>
                <w:szCs w:val="20"/>
              </w:rPr>
            </w:pPr>
          </w:p>
        </w:tc>
        <w:tc>
          <w:tcPr>
            <w:tcW w:w="50" w:type="pct"/>
            <w:vAlign w:val="center"/>
            <w:hideMark/>
          </w:tcPr>
          <w:p w14:paraId="3572B22B" w14:textId="77777777" w:rsidR="00000000" w:rsidRDefault="00EE5306">
            <w:pPr>
              <w:spacing w:after="100"/>
              <w:rPr>
                <w:rFonts w:eastAsia="Times New Roman"/>
                <w:sz w:val="20"/>
                <w:szCs w:val="20"/>
              </w:rPr>
            </w:pPr>
          </w:p>
        </w:tc>
        <w:tc>
          <w:tcPr>
            <w:tcW w:w="476" w:type="pct"/>
            <w:vAlign w:val="center"/>
            <w:hideMark/>
          </w:tcPr>
          <w:p w14:paraId="0C29E8CD" w14:textId="77777777" w:rsidR="00000000" w:rsidRDefault="00EE5306">
            <w:pPr>
              <w:spacing w:after="100"/>
              <w:rPr>
                <w:rFonts w:eastAsia="Times New Roman"/>
                <w:sz w:val="20"/>
                <w:szCs w:val="20"/>
              </w:rPr>
            </w:pPr>
          </w:p>
        </w:tc>
        <w:tc>
          <w:tcPr>
            <w:tcW w:w="5" w:type="pct"/>
            <w:vAlign w:val="center"/>
            <w:hideMark/>
          </w:tcPr>
          <w:p w14:paraId="3ED4B765" w14:textId="77777777" w:rsidR="00000000" w:rsidRDefault="00EE5306">
            <w:pPr>
              <w:spacing w:after="100"/>
              <w:rPr>
                <w:rFonts w:eastAsia="Times New Roman"/>
                <w:sz w:val="20"/>
                <w:szCs w:val="20"/>
              </w:rPr>
            </w:pPr>
          </w:p>
        </w:tc>
        <w:tc>
          <w:tcPr>
            <w:tcW w:w="5" w:type="pct"/>
            <w:vAlign w:val="center"/>
            <w:hideMark/>
          </w:tcPr>
          <w:p w14:paraId="018C7D01" w14:textId="77777777" w:rsidR="00000000" w:rsidRDefault="00EE5306">
            <w:pPr>
              <w:spacing w:after="100"/>
              <w:rPr>
                <w:rFonts w:eastAsia="Times New Roman"/>
                <w:sz w:val="20"/>
                <w:szCs w:val="20"/>
              </w:rPr>
            </w:pPr>
          </w:p>
        </w:tc>
        <w:tc>
          <w:tcPr>
            <w:tcW w:w="28" w:type="pct"/>
            <w:vAlign w:val="center"/>
            <w:hideMark/>
          </w:tcPr>
          <w:p w14:paraId="05A444A4" w14:textId="77777777" w:rsidR="00000000" w:rsidRDefault="00EE5306">
            <w:pPr>
              <w:spacing w:after="100"/>
              <w:rPr>
                <w:rFonts w:eastAsia="Times New Roman"/>
                <w:sz w:val="20"/>
                <w:szCs w:val="20"/>
              </w:rPr>
            </w:pPr>
          </w:p>
        </w:tc>
        <w:tc>
          <w:tcPr>
            <w:tcW w:w="5" w:type="pct"/>
            <w:vAlign w:val="center"/>
            <w:hideMark/>
          </w:tcPr>
          <w:p w14:paraId="09EA00AE" w14:textId="77777777" w:rsidR="00000000" w:rsidRDefault="00EE5306">
            <w:pPr>
              <w:spacing w:after="100"/>
              <w:rPr>
                <w:rFonts w:eastAsia="Times New Roman"/>
                <w:sz w:val="20"/>
                <w:szCs w:val="20"/>
              </w:rPr>
            </w:pPr>
          </w:p>
        </w:tc>
        <w:tc>
          <w:tcPr>
            <w:tcW w:w="50" w:type="pct"/>
            <w:vAlign w:val="center"/>
            <w:hideMark/>
          </w:tcPr>
          <w:p w14:paraId="7128BB8D" w14:textId="77777777" w:rsidR="00000000" w:rsidRDefault="00EE5306">
            <w:pPr>
              <w:spacing w:after="100"/>
              <w:rPr>
                <w:rFonts w:eastAsia="Times New Roman"/>
                <w:sz w:val="20"/>
                <w:szCs w:val="20"/>
              </w:rPr>
            </w:pPr>
          </w:p>
        </w:tc>
        <w:tc>
          <w:tcPr>
            <w:tcW w:w="553" w:type="pct"/>
            <w:vAlign w:val="center"/>
            <w:hideMark/>
          </w:tcPr>
          <w:p w14:paraId="42B014D4" w14:textId="77777777" w:rsidR="00000000" w:rsidRDefault="00EE5306">
            <w:pPr>
              <w:spacing w:after="100"/>
              <w:rPr>
                <w:rFonts w:eastAsia="Times New Roman"/>
                <w:sz w:val="20"/>
                <w:szCs w:val="20"/>
              </w:rPr>
            </w:pPr>
          </w:p>
        </w:tc>
        <w:tc>
          <w:tcPr>
            <w:tcW w:w="5" w:type="pct"/>
            <w:vAlign w:val="center"/>
            <w:hideMark/>
          </w:tcPr>
          <w:p w14:paraId="781BD7C3" w14:textId="77777777" w:rsidR="00000000" w:rsidRDefault="00EE5306">
            <w:pPr>
              <w:spacing w:after="100"/>
              <w:rPr>
                <w:rFonts w:eastAsia="Times New Roman"/>
                <w:sz w:val="20"/>
                <w:szCs w:val="20"/>
              </w:rPr>
            </w:pPr>
          </w:p>
        </w:tc>
        <w:tc>
          <w:tcPr>
            <w:tcW w:w="5" w:type="pct"/>
            <w:vAlign w:val="center"/>
            <w:hideMark/>
          </w:tcPr>
          <w:p w14:paraId="5F31505E" w14:textId="77777777" w:rsidR="00000000" w:rsidRDefault="00EE5306">
            <w:pPr>
              <w:spacing w:after="100"/>
              <w:rPr>
                <w:rFonts w:eastAsia="Times New Roman"/>
                <w:sz w:val="20"/>
                <w:szCs w:val="20"/>
              </w:rPr>
            </w:pPr>
          </w:p>
        </w:tc>
        <w:tc>
          <w:tcPr>
            <w:tcW w:w="28" w:type="pct"/>
            <w:vAlign w:val="center"/>
            <w:hideMark/>
          </w:tcPr>
          <w:p w14:paraId="01E52229" w14:textId="77777777" w:rsidR="00000000" w:rsidRDefault="00EE5306">
            <w:pPr>
              <w:spacing w:after="100"/>
              <w:rPr>
                <w:rFonts w:eastAsia="Times New Roman"/>
                <w:sz w:val="20"/>
                <w:szCs w:val="20"/>
              </w:rPr>
            </w:pPr>
          </w:p>
        </w:tc>
        <w:tc>
          <w:tcPr>
            <w:tcW w:w="5" w:type="pct"/>
            <w:vAlign w:val="center"/>
            <w:hideMark/>
          </w:tcPr>
          <w:p w14:paraId="4E5C239C" w14:textId="77777777" w:rsidR="00000000" w:rsidRDefault="00EE5306">
            <w:pPr>
              <w:spacing w:after="100"/>
              <w:rPr>
                <w:rFonts w:eastAsia="Times New Roman"/>
                <w:sz w:val="20"/>
                <w:szCs w:val="20"/>
              </w:rPr>
            </w:pPr>
          </w:p>
        </w:tc>
        <w:tc>
          <w:tcPr>
            <w:tcW w:w="50" w:type="pct"/>
            <w:vAlign w:val="center"/>
            <w:hideMark/>
          </w:tcPr>
          <w:p w14:paraId="3FCEF1AA" w14:textId="77777777" w:rsidR="00000000" w:rsidRDefault="00EE5306">
            <w:pPr>
              <w:spacing w:after="100"/>
              <w:rPr>
                <w:rFonts w:eastAsia="Times New Roman"/>
                <w:sz w:val="20"/>
                <w:szCs w:val="20"/>
              </w:rPr>
            </w:pPr>
          </w:p>
        </w:tc>
        <w:tc>
          <w:tcPr>
            <w:tcW w:w="777" w:type="pct"/>
            <w:vAlign w:val="center"/>
            <w:hideMark/>
          </w:tcPr>
          <w:p w14:paraId="0119D703" w14:textId="77777777" w:rsidR="00000000" w:rsidRDefault="00EE5306">
            <w:pPr>
              <w:spacing w:after="100"/>
              <w:rPr>
                <w:rFonts w:eastAsia="Times New Roman"/>
                <w:sz w:val="20"/>
                <w:szCs w:val="20"/>
              </w:rPr>
            </w:pPr>
          </w:p>
        </w:tc>
        <w:tc>
          <w:tcPr>
            <w:tcW w:w="5" w:type="pct"/>
            <w:vAlign w:val="center"/>
            <w:hideMark/>
          </w:tcPr>
          <w:p w14:paraId="575A2FCE" w14:textId="77777777" w:rsidR="00000000" w:rsidRDefault="00EE5306">
            <w:pPr>
              <w:spacing w:after="100"/>
              <w:rPr>
                <w:rFonts w:eastAsia="Times New Roman"/>
                <w:sz w:val="20"/>
                <w:szCs w:val="20"/>
              </w:rPr>
            </w:pPr>
          </w:p>
        </w:tc>
        <w:tc>
          <w:tcPr>
            <w:tcW w:w="5" w:type="pct"/>
            <w:vAlign w:val="center"/>
            <w:hideMark/>
          </w:tcPr>
          <w:p w14:paraId="39E8E800" w14:textId="77777777" w:rsidR="00000000" w:rsidRDefault="00EE5306">
            <w:pPr>
              <w:spacing w:after="100"/>
              <w:rPr>
                <w:rFonts w:eastAsia="Times New Roman"/>
                <w:sz w:val="20"/>
                <w:szCs w:val="20"/>
              </w:rPr>
            </w:pPr>
          </w:p>
        </w:tc>
        <w:tc>
          <w:tcPr>
            <w:tcW w:w="28" w:type="pct"/>
            <w:vAlign w:val="center"/>
            <w:hideMark/>
          </w:tcPr>
          <w:p w14:paraId="37191819" w14:textId="77777777" w:rsidR="00000000" w:rsidRDefault="00EE5306">
            <w:pPr>
              <w:spacing w:after="100"/>
              <w:rPr>
                <w:rFonts w:eastAsia="Times New Roman"/>
                <w:sz w:val="20"/>
                <w:szCs w:val="20"/>
              </w:rPr>
            </w:pPr>
          </w:p>
        </w:tc>
        <w:tc>
          <w:tcPr>
            <w:tcW w:w="5" w:type="pct"/>
            <w:vAlign w:val="center"/>
            <w:hideMark/>
          </w:tcPr>
          <w:p w14:paraId="58BE5797" w14:textId="77777777" w:rsidR="00000000" w:rsidRDefault="00EE5306">
            <w:pPr>
              <w:spacing w:after="100"/>
              <w:rPr>
                <w:rFonts w:eastAsia="Times New Roman"/>
                <w:sz w:val="20"/>
                <w:szCs w:val="20"/>
              </w:rPr>
            </w:pPr>
          </w:p>
        </w:tc>
        <w:tc>
          <w:tcPr>
            <w:tcW w:w="50" w:type="pct"/>
            <w:vAlign w:val="center"/>
            <w:hideMark/>
          </w:tcPr>
          <w:p w14:paraId="193313E6" w14:textId="77777777" w:rsidR="00000000" w:rsidRDefault="00EE5306">
            <w:pPr>
              <w:spacing w:after="100"/>
              <w:rPr>
                <w:rFonts w:eastAsia="Times New Roman"/>
                <w:sz w:val="20"/>
                <w:szCs w:val="20"/>
              </w:rPr>
            </w:pPr>
          </w:p>
        </w:tc>
        <w:tc>
          <w:tcPr>
            <w:tcW w:w="754" w:type="pct"/>
            <w:vAlign w:val="center"/>
            <w:hideMark/>
          </w:tcPr>
          <w:p w14:paraId="578F2270" w14:textId="77777777" w:rsidR="00000000" w:rsidRDefault="00EE5306">
            <w:pPr>
              <w:spacing w:after="100"/>
              <w:rPr>
                <w:rFonts w:eastAsia="Times New Roman"/>
                <w:sz w:val="20"/>
                <w:szCs w:val="20"/>
              </w:rPr>
            </w:pPr>
          </w:p>
        </w:tc>
        <w:tc>
          <w:tcPr>
            <w:tcW w:w="5" w:type="pct"/>
            <w:vAlign w:val="center"/>
            <w:hideMark/>
          </w:tcPr>
          <w:p w14:paraId="29291242" w14:textId="77777777" w:rsidR="00000000" w:rsidRDefault="00EE5306">
            <w:pPr>
              <w:spacing w:after="100"/>
              <w:rPr>
                <w:rFonts w:eastAsia="Times New Roman"/>
                <w:sz w:val="20"/>
                <w:szCs w:val="20"/>
              </w:rPr>
            </w:pPr>
          </w:p>
        </w:tc>
      </w:tr>
      <w:tr w:rsidR="00000000" w14:paraId="3111DCDF" w14:textId="77777777">
        <w:trPr>
          <w:divId w:val="1651247112"/>
        </w:trPr>
        <w:tc>
          <w:tcPr>
            <w:tcW w:w="0" w:type="auto"/>
            <w:gridSpan w:val="3"/>
            <w:tcMar>
              <w:top w:w="0" w:type="dxa"/>
              <w:left w:w="20" w:type="dxa"/>
              <w:bottom w:w="0" w:type="dxa"/>
              <w:right w:w="20" w:type="dxa"/>
            </w:tcMar>
            <w:vAlign w:val="center"/>
            <w:hideMark/>
          </w:tcPr>
          <w:p w14:paraId="60EF722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FB7D0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F8C2EC" w14:textId="77777777" w:rsidR="00000000" w:rsidRDefault="00EE5306">
            <w:pPr>
              <w:spacing w:after="100"/>
              <w:jc w:val="center"/>
              <w:rPr>
                <w:rFonts w:eastAsia="Times New Roman"/>
              </w:rPr>
            </w:pPr>
            <w:r>
              <w:rPr>
                <w:rFonts w:eastAsia="Times New Roman"/>
                <w:b/>
                <w:bCs/>
                <w:color w:val="000000"/>
                <w:sz w:val="16"/>
                <w:szCs w:val="16"/>
              </w:rPr>
              <w:t>Total Number of Shares Purchase</w:t>
            </w:r>
            <w:r>
              <w:rPr>
                <w:rFonts w:eastAsia="Times New Roman"/>
                <w:b/>
                <w:bCs/>
                <w:color w:val="000000"/>
                <w:sz w:val="16"/>
                <w:szCs w:val="16"/>
              </w:rPr>
              <w:t>d</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005AACDB"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1A60E39" w14:textId="77777777" w:rsidR="00000000" w:rsidRDefault="00EE530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w:t>
            </w:r>
            <w:r>
              <w:rPr>
                <w:rFonts w:eastAsia="Times New Roman"/>
                <w:b/>
                <w:bCs/>
                <w:color w:val="000000"/>
                <w:sz w:val="16"/>
                <w:szCs w:val="16"/>
              </w:rPr>
              <w:br/>
              <w:t>Paid per</w:t>
            </w:r>
            <w:r>
              <w:rPr>
                <w:rFonts w:eastAsia="Times New Roman"/>
                <w:b/>
                <w:bCs/>
                <w:color w:val="000000"/>
                <w:sz w:val="16"/>
                <w:szCs w:val="16"/>
              </w:rPr>
              <w:br/>
              <w:t>Share</w:t>
            </w:r>
          </w:p>
        </w:tc>
        <w:tc>
          <w:tcPr>
            <w:tcW w:w="0" w:type="auto"/>
            <w:gridSpan w:val="3"/>
            <w:tcMar>
              <w:top w:w="0" w:type="dxa"/>
              <w:left w:w="20" w:type="dxa"/>
              <w:bottom w:w="0" w:type="dxa"/>
              <w:right w:w="20" w:type="dxa"/>
            </w:tcMar>
            <w:vAlign w:val="center"/>
            <w:hideMark/>
          </w:tcPr>
          <w:p w14:paraId="4A7C712E"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30EDD16" w14:textId="77777777" w:rsidR="00000000" w:rsidRDefault="00EE5306">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 as</w:t>
            </w:r>
            <w:r>
              <w:rPr>
                <w:rFonts w:eastAsia="Times New Roman"/>
                <w:b/>
                <w:bCs/>
                <w:color w:val="000000"/>
                <w:sz w:val="16"/>
                <w:szCs w:val="16"/>
              </w:rPr>
              <w:br/>
              <w:t>Part of Publicly</w:t>
            </w:r>
            <w:r>
              <w:rPr>
                <w:rFonts w:eastAsia="Times New Roman"/>
                <w:b/>
                <w:bCs/>
                <w:color w:val="000000"/>
                <w:sz w:val="16"/>
                <w:szCs w:val="16"/>
              </w:rPr>
              <w:br/>
              <w:t>Announced Plans or</w:t>
            </w:r>
            <w:r>
              <w:rPr>
                <w:rFonts w:eastAsia="Times New Roman"/>
                <w:b/>
                <w:bCs/>
                <w:color w:val="000000"/>
                <w:sz w:val="16"/>
                <w:szCs w:val="16"/>
              </w:rPr>
              <w:br/>
              <w:t>Programs</w:t>
            </w:r>
          </w:p>
        </w:tc>
        <w:tc>
          <w:tcPr>
            <w:tcW w:w="0" w:type="auto"/>
            <w:gridSpan w:val="3"/>
            <w:tcMar>
              <w:top w:w="0" w:type="dxa"/>
              <w:left w:w="20" w:type="dxa"/>
              <w:bottom w:w="0" w:type="dxa"/>
              <w:right w:w="20" w:type="dxa"/>
            </w:tcMar>
            <w:vAlign w:val="center"/>
            <w:hideMark/>
          </w:tcPr>
          <w:p w14:paraId="0C4453A3"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44941FF" w14:textId="77777777" w:rsidR="00000000" w:rsidRDefault="00EE5306">
            <w:pPr>
              <w:spacing w:after="100"/>
              <w:jc w:val="center"/>
              <w:rPr>
                <w:rFonts w:eastAsia="Times New Roman"/>
              </w:rPr>
            </w:pPr>
            <w:r>
              <w:rPr>
                <w:rFonts w:eastAsia="Times New Roman"/>
                <w:b/>
                <w:bCs/>
                <w:color w:val="000000"/>
                <w:sz w:val="16"/>
                <w:szCs w:val="16"/>
              </w:rPr>
              <w:t>Approximate Dollar</w:t>
            </w:r>
          </w:p>
          <w:p w14:paraId="7975ACCC" w14:textId="77777777" w:rsidR="00000000" w:rsidRDefault="00EE5306">
            <w:pPr>
              <w:spacing w:after="100"/>
              <w:jc w:val="center"/>
              <w:rPr>
                <w:rFonts w:eastAsia="Times New Roman"/>
              </w:rPr>
            </w:pPr>
            <w:r>
              <w:rPr>
                <w:rFonts w:eastAsia="Times New Roman"/>
                <w:b/>
                <w:bCs/>
                <w:color w:val="000000"/>
                <w:sz w:val="16"/>
                <w:szCs w:val="16"/>
              </w:rPr>
              <w:t>Value of Shares</w:t>
            </w:r>
          </w:p>
          <w:p w14:paraId="32731428" w14:textId="77777777" w:rsidR="00000000" w:rsidRDefault="00EE5306">
            <w:pPr>
              <w:spacing w:after="100"/>
              <w:jc w:val="center"/>
              <w:rPr>
                <w:rFonts w:eastAsia="Times New Roman"/>
              </w:rPr>
            </w:pPr>
            <w:r>
              <w:rPr>
                <w:rFonts w:eastAsia="Times New Roman"/>
                <w:b/>
                <w:bCs/>
                <w:color w:val="000000"/>
                <w:sz w:val="16"/>
                <w:szCs w:val="16"/>
              </w:rPr>
              <w:t>That May Yet Be</w:t>
            </w:r>
          </w:p>
          <w:p w14:paraId="03D91ABA" w14:textId="77777777" w:rsidR="00000000" w:rsidRDefault="00EE5306">
            <w:pPr>
              <w:spacing w:after="100"/>
              <w:jc w:val="center"/>
              <w:rPr>
                <w:rFonts w:eastAsia="Times New Roman"/>
              </w:rPr>
            </w:pPr>
            <w:r>
              <w:rPr>
                <w:rFonts w:eastAsia="Times New Roman"/>
                <w:b/>
                <w:bCs/>
                <w:color w:val="000000"/>
                <w:sz w:val="16"/>
                <w:szCs w:val="16"/>
              </w:rPr>
              <w:t>Purchased Under the</w:t>
            </w:r>
          </w:p>
          <w:p w14:paraId="3AE2FD08" w14:textId="77777777" w:rsidR="00000000" w:rsidRDefault="00EE5306">
            <w:pPr>
              <w:spacing w:after="100"/>
              <w:jc w:val="center"/>
              <w:rPr>
                <w:rFonts w:eastAsia="Times New Roman"/>
              </w:rPr>
            </w:pPr>
            <w:r>
              <w:rPr>
                <w:rFonts w:eastAsia="Times New Roman"/>
                <w:b/>
                <w:bCs/>
                <w:color w:val="000000"/>
                <w:sz w:val="16"/>
                <w:szCs w:val="16"/>
              </w:rPr>
              <w:t>Plans or Program</w:t>
            </w:r>
            <w:r>
              <w:rPr>
                <w:rFonts w:eastAsia="Times New Roman"/>
                <w:b/>
                <w:bCs/>
                <w:color w:val="000000"/>
                <w:sz w:val="16"/>
                <w:szCs w:val="16"/>
              </w:rPr>
              <w:t>s</w:t>
            </w:r>
            <w:r>
              <w:rPr>
                <w:rFonts w:eastAsia="Times New Roman"/>
                <w:b/>
                <w:bCs/>
                <w:color w:val="000000"/>
                <w:sz w:val="10"/>
                <w:szCs w:val="10"/>
              </w:rPr>
              <w:t>(b</w:t>
            </w:r>
            <w:r>
              <w:rPr>
                <w:rFonts w:eastAsia="Times New Roman"/>
                <w:b/>
                <w:bCs/>
                <w:color w:val="000000"/>
                <w:sz w:val="10"/>
                <w:szCs w:val="10"/>
              </w:rPr>
              <w:t>)</w:t>
            </w:r>
          </w:p>
        </w:tc>
      </w:tr>
      <w:tr w:rsidR="00000000" w14:paraId="2515F524" w14:textId="77777777">
        <w:trPr>
          <w:divId w:val="1651247112"/>
        </w:trPr>
        <w:tc>
          <w:tcPr>
            <w:tcW w:w="0" w:type="auto"/>
            <w:gridSpan w:val="3"/>
            <w:tcMar>
              <w:top w:w="30" w:type="dxa"/>
              <w:left w:w="20" w:type="dxa"/>
              <w:bottom w:w="30" w:type="dxa"/>
              <w:right w:w="20" w:type="dxa"/>
            </w:tcMar>
            <w:vAlign w:val="bottom"/>
            <w:hideMark/>
          </w:tcPr>
          <w:p w14:paraId="15531CF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08C2F24" w14:textId="77777777" w:rsidR="00000000" w:rsidRDefault="00EE5306">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CF93D0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A67A20"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DA7F5E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F91049E"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6B049B"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99C74AA"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348D1A"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06667685" w14:textId="77777777">
        <w:trPr>
          <w:divId w:val="1651247112"/>
        </w:trPr>
        <w:tc>
          <w:tcPr>
            <w:tcW w:w="0" w:type="auto"/>
            <w:gridSpan w:val="3"/>
            <w:shd w:val="clear" w:color="auto" w:fill="CCEEFF"/>
            <w:tcMar>
              <w:top w:w="30" w:type="dxa"/>
              <w:left w:w="20" w:type="dxa"/>
              <w:bottom w:w="30" w:type="dxa"/>
              <w:right w:w="20" w:type="dxa"/>
            </w:tcMar>
            <w:hideMark/>
          </w:tcPr>
          <w:p w14:paraId="566A1F9F" w14:textId="77777777" w:rsidR="00000000" w:rsidRDefault="00EE5306">
            <w:pPr>
              <w:spacing w:after="100"/>
              <w:rPr>
                <w:rFonts w:eastAsia="Times New Roman"/>
              </w:rPr>
            </w:pPr>
            <w:r>
              <w:rPr>
                <w:rFonts w:eastAsia="Times New Roman"/>
                <w:color w:val="000000"/>
                <w:sz w:val="20"/>
                <w:szCs w:val="20"/>
              </w:rPr>
              <w:t>December 27, 2020 to January 23, 2021</w:t>
            </w:r>
          </w:p>
        </w:tc>
        <w:tc>
          <w:tcPr>
            <w:tcW w:w="0" w:type="auto"/>
            <w:gridSpan w:val="3"/>
            <w:shd w:val="clear" w:color="auto" w:fill="CCEEFF"/>
            <w:tcMar>
              <w:top w:w="0" w:type="dxa"/>
              <w:left w:w="20" w:type="dxa"/>
              <w:bottom w:w="0" w:type="dxa"/>
              <w:right w:w="20" w:type="dxa"/>
            </w:tcMar>
            <w:vAlign w:val="center"/>
            <w:hideMark/>
          </w:tcPr>
          <w:p w14:paraId="404C03C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39F483" w14:textId="77777777" w:rsidR="00000000" w:rsidRDefault="00EE5306">
            <w:pPr>
              <w:spacing w:after="100"/>
              <w:jc w:val="right"/>
              <w:rPr>
                <w:rFonts w:eastAsia="Times New Roman"/>
              </w:rPr>
            </w:pPr>
            <w:r>
              <w:rPr>
                <w:rFonts w:eastAsia="Times New Roman"/>
                <w:color w:val="000000"/>
                <w:sz w:val="20"/>
                <w:szCs w:val="20"/>
              </w:rPr>
              <w:t>8,399 </w:t>
            </w:r>
          </w:p>
        </w:tc>
        <w:tc>
          <w:tcPr>
            <w:tcW w:w="0" w:type="auto"/>
            <w:shd w:val="clear" w:color="auto" w:fill="CCEEFF"/>
            <w:tcMar>
              <w:top w:w="30" w:type="dxa"/>
              <w:left w:w="0" w:type="dxa"/>
              <w:bottom w:w="30" w:type="dxa"/>
              <w:right w:w="20" w:type="dxa"/>
            </w:tcMar>
            <w:vAlign w:val="bottom"/>
            <w:hideMark/>
          </w:tcPr>
          <w:p w14:paraId="2D660BC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F7284"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D3910E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49B3A0" w14:textId="77777777" w:rsidR="00000000" w:rsidRDefault="00EE5306">
            <w:pPr>
              <w:spacing w:after="100"/>
              <w:jc w:val="right"/>
              <w:rPr>
                <w:rFonts w:eastAsia="Times New Roman"/>
              </w:rPr>
            </w:pPr>
            <w:r>
              <w:rPr>
                <w:rFonts w:eastAsia="Times New Roman"/>
                <w:color w:val="000000"/>
                <w:sz w:val="20"/>
                <w:szCs w:val="20"/>
              </w:rPr>
              <w:t>102.00 </w:t>
            </w:r>
          </w:p>
        </w:tc>
        <w:tc>
          <w:tcPr>
            <w:tcW w:w="0" w:type="auto"/>
            <w:shd w:val="clear" w:color="auto" w:fill="CCEEFF"/>
            <w:tcMar>
              <w:top w:w="30" w:type="dxa"/>
              <w:left w:w="0" w:type="dxa"/>
              <w:bottom w:w="30" w:type="dxa"/>
              <w:right w:w="20" w:type="dxa"/>
            </w:tcMar>
            <w:vAlign w:val="bottom"/>
            <w:hideMark/>
          </w:tcPr>
          <w:p w14:paraId="737CCED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75C5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3ED186"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F8B99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42992"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EBB8D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1E8159" w14:textId="77777777" w:rsidR="00000000" w:rsidRDefault="00EE5306">
            <w:pPr>
              <w:spacing w:after="100"/>
              <w:jc w:val="right"/>
              <w:rPr>
                <w:rFonts w:eastAsia="Times New Roman"/>
              </w:rPr>
            </w:pPr>
            <w:r>
              <w:rPr>
                <w:rFonts w:eastAsia="Times New Roman"/>
                <w:color w:val="000000"/>
                <w:sz w:val="20"/>
                <w:szCs w:val="20"/>
              </w:rPr>
              <w:t>580 </w:t>
            </w:r>
          </w:p>
        </w:tc>
        <w:tc>
          <w:tcPr>
            <w:tcW w:w="0" w:type="auto"/>
            <w:shd w:val="clear" w:color="auto" w:fill="CCEEFF"/>
            <w:tcMar>
              <w:top w:w="30" w:type="dxa"/>
              <w:left w:w="0" w:type="dxa"/>
              <w:bottom w:w="30" w:type="dxa"/>
              <w:right w:w="20" w:type="dxa"/>
            </w:tcMar>
            <w:vAlign w:val="bottom"/>
            <w:hideMark/>
          </w:tcPr>
          <w:p w14:paraId="6554EF1F" w14:textId="77777777" w:rsidR="00000000" w:rsidRDefault="00EE5306">
            <w:pPr>
              <w:spacing w:after="100"/>
              <w:jc w:val="right"/>
              <w:rPr>
                <w:rFonts w:eastAsia="Times New Roman"/>
              </w:rPr>
            </w:pPr>
          </w:p>
        </w:tc>
      </w:tr>
      <w:tr w:rsidR="00000000" w14:paraId="2DE4C887" w14:textId="77777777">
        <w:trPr>
          <w:divId w:val="1651247112"/>
        </w:trPr>
        <w:tc>
          <w:tcPr>
            <w:tcW w:w="0" w:type="auto"/>
            <w:gridSpan w:val="3"/>
            <w:shd w:val="clear" w:color="auto" w:fill="FFFFFF"/>
            <w:tcMar>
              <w:top w:w="30" w:type="dxa"/>
              <w:left w:w="20" w:type="dxa"/>
              <w:bottom w:w="30" w:type="dxa"/>
              <w:right w:w="20" w:type="dxa"/>
            </w:tcMar>
            <w:hideMark/>
          </w:tcPr>
          <w:p w14:paraId="23DD8244" w14:textId="77777777" w:rsidR="00000000" w:rsidRDefault="00EE5306">
            <w:pPr>
              <w:spacing w:after="100"/>
              <w:rPr>
                <w:rFonts w:eastAsia="Times New Roman"/>
              </w:rPr>
            </w:pPr>
            <w:r>
              <w:rPr>
                <w:rFonts w:eastAsia="Times New Roman"/>
                <w:color w:val="000000"/>
                <w:sz w:val="20"/>
                <w:szCs w:val="20"/>
              </w:rPr>
              <w:t>January 24, 2021 to February 20, 2021</w:t>
            </w:r>
          </w:p>
        </w:tc>
        <w:tc>
          <w:tcPr>
            <w:tcW w:w="0" w:type="auto"/>
            <w:gridSpan w:val="3"/>
            <w:shd w:val="clear" w:color="auto" w:fill="FFFFFF"/>
            <w:tcMar>
              <w:top w:w="0" w:type="dxa"/>
              <w:left w:w="20" w:type="dxa"/>
              <w:bottom w:w="0" w:type="dxa"/>
              <w:right w:w="20" w:type="dxa"/>
            </w:tcMar>
            <w:vAlign w:val="center"/>
            <w:hideMark/>
          </w:tcPr>
          <w:p w14:paraId="03DB3C2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9F68A8"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7EA94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0139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6CF7D9"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6D382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098A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BDCA2A"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01724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97FB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F516E7" w14:textId="77777777" w:rsidR="00000000" w:rsidRDefault="00EE5306">
            <w:pPr>
              <w:spacing w:after="100"/>
              <w:jc w:val="right"/>
              <w:rPr>
                <w:rFonts w:eastAsia="Times New Roman"/>
              </w:rPr>
            </w:pPr>
            <w:r>
              <w:rPr>
                <w:rFonts w:eastAsia="Times New Roman"/>
                <w:color w:val="000000"/>
                <w:sz w:val="20"/>
                <w:szCs w:val="20"/>
              </w:rPr>
              <w:t>580 </w:t>
            </w:r>
          </w:p>
        </w:tc>
        <w:tc>
          <w:tcPr>
            <w:tcW w:w="0" w:type="auto"/>
            <w:shd w:val="clear" w:color="auto" w:fill="FFFFFF"/>
            <w:tcMar>
              <w:top w:w="30" w:type="dxa"/>
              <w:left w:w="0" w:type="dxa"/>
              <w:bottom w:w="30" w:type="dxa"/>
              <w:right w:w="20" w:type="dxa"/>
            </w:tcMar>
            <w:vAlign w:val="bottom"/>
            <w:hideMark/>
          </w:tcPr>
          <w:p w14:paraId="1A7C4EB9" w14:textId="77777777" w:rsidR="00000000" w:rsidRDefault="00EE5306">
            <w:pPr>
              <w:spacing w:after="100"/>
              <w:jc w:val="right"/>
              <w:rPr>
                <w:rFonts w:eastAsia="Times New Roman"/>
              </w:rPr>
            </w:pPr>
          </w:p>
        </w:tc>
      </w:tr>
      <w:tr w:rsidR="00000000" w14:paraId="7CC91716" w14:textId="77777777">
        <w:trPr>
          <w:divId w:val="1651247112"/>
        </w:trPr>
        <w:tc>
          <w:tcPr>
            <w:tcW w:w="0" w:type="auto"/>
            <w:gridSpan w:val="3"/>
            <w:shd w:val="clear" w:color="auto" w:fill="CCEEFF"/>
            <w:tcMar>
              <w:top w:w="30" w:type="dxa"/>
              <w:left w:w="20" w:type="dxa"/>
              <w:bottom w:w="30" w:type="dxa"/>
              <w:right w:w="20" w:type="dxa"/>
            </w:tcMar>
            <w:hideMark/>
          </w:tcPr>
          <w:p w14:paraId="3CEDBB29" w14:textId="77777777" w:rsidR="00000000" w:rsidRDefault="00EE5306">
            <w:pPr>
              <w:spacing w:after="100"/>
              <w:rPr>
                <w:rFonts w:eastAsia="Times New Roman"/>
              </w:rPr>
            </w:pPr>
            <w:r>
              <w:rPr>
                <w:rFonts w:eastAsia="Times New Roman"/>
                <w:color w:val="000000"/>
                <w:sz w:val="20"/>
                <w:szCs w:val="20"/>
              </w:rPr>
              <w:t>February 21, 2021 to March 27, 2021</w:t>
            </w:r>
          </w:p>
        </w:tc>
        <w:tc>
          <w:tcPr>
            <w:tcW w:w="0" w:type="auto"/>
            <w:gridSpan w:val="3"/>
            <w:shd w:val="clear" w:color="auto" w:fill="CCEEFF"/>
            <w:tcMar>
              <w:top w:w="0" w:type="dxa"/>
              <w:left w:w="20" w:type="dxa"/>
              <w:bottom w:w="0" w:type="dxa"/>
              <w:right w:w="20" w:type="dxa"/>
            </w:tcMar>
            <w:vAlign w:val="center"/>
            <w:hideMark/>
          </w:tcPr>
          <w:p w14:paraId="0731DEC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3B30D6" w14:textId="77777777" w:rsidR="00000000" w:rsidRDefault="00EE5306">
            <w:pPr>
              <w:spacing w:after="100"/>
              <w:jc w:val="right"/>
              <w:rPr>
                <w:rFonts w:eastAsia="Times New Roman"/>
              </w:rPr>
            </w:pPr>
            <w:r>
              <w:rPr>
                <w:rFonts w:eastAsia="Times New Roman"/>
                <w:color w:val="000000"/>
                <w:sz w:val="20"/>
                <w:szCs w:val="20"/>
              </w:rPr>
              <w:t>6,212 </w:t>
            </w:r>
          </w:p>
        </w:tc>
        <w:tc>
          <w:tcPr>
            <w:tcW w:w="0" w:type="auto"/>
            <w:shd w:val="clear" w:color="auto" w:fill="CCEEFF"/>
            <w:tcMar>
              <w:top w:w="30" w:type="dxa"/>
              <w:left w:w="0" w:type="dxa"/>
              <w:bottom w:w="30" w:type="dxa"/>
              <w:right w:w="20" w:type="dxa"/>
            </w:tcMar>
            <w:vAlign w:val="bottom"/>
            <w:hideMark/>
          </w:tcPr>
          <w:p w14:paraId="3CCD475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717B8" w14:textId="77777777" w:rsidR="00000000" w:rsidRDefault="00EE5306">
            <w:pPr>
              <w:spacing w:after="100"/>
              <w:divId w:val="1606965225"/>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95C763" w14:textId="77777777" w:rsidR="00000000" w:rsidRDefault="00EE5306">
            <w:pPr>
              <w:spacing w:after="100"/>
              <w:jc w:val="right"/>
              <w:rPr>
                <w:rFonts w:eastAsia="Times New Roman"/>
              </w:rPr>
            </w:pPr>
            <w:r>
              <w:rPr>
                <w:rFonts w:eastAsia="Times New Roman"/>
                <w:color w:val="000000"/>
                <w:sz w:val="20"/>
                <w:szCs w:val="20"/>
              </w:rPr>
              <w:t>115.02 </w:t>
            </w:r>
          </w:p>
        </w:tc>
        <w:tc>
          <w:tcPr>
            <w:tcW w:w="0" w:type="auto"/>
            <w:shd w:val="clear" w:color="auto" w:fill="CCEEFF"/>
            <w:tcMar>
              <w:top w:w="30" w:type="dxa"/>
              <w:left w:w="0" w:type="dxa"/>
              <w:bottom w:w="30" w:type="dxa"/>
              <w:right w:w="20" w:type="dxa"/>
            </w:tcMar>
            <w:vAlign w:val="bottom"/>
            <w:hideMark/>
          </w:tcPr>
          <w:p w14:paraId="730ED6C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1E0B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269949"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D33FF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9B44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9607FF" w14:textId="77777777" w:rsidR="00000000" w:rsidRDefault="00EE5306">
            <w:pPr>
              <w:spacing w:after="100"/>
              <w:jc w:val="right"/>
              <w:rPr>
                <w:rFonts w:eastAsia="Times New Roman"/>
              </w:rPr>
            </w:pPr>
            <w:r>
              <w:rPr>
                <w:rFonts w:eastAsia="Times New Roman"/>
                <w:color w:val="000000"/>
                <w:sz w:val="20"/>
                <w:szCs w:val="20"/>
              </w:rPr>
              <w:t>580 </w:t>
            </w:r>
          </w:p>
        </w:tc>
        <w:tc>
          <w:tcPr>
            <w:tcW w:w="0" w:type="auto"/>
            <w:shd w:val="clear" w:color="auto" w:fill="CCEEFF"/>
            <w:tcMar>
              <w:top w:w="30" w:type="dxa"/>
              <w:left w:w="0" w:type="dxa"/>
              <w:bottom w:w="30" w:type="dxa"/>
              <w:right w:w="20" w:type="dxa"/>
            </w:tcMar>
            <w:vAlign w:val="bottom"/>
            <w:hideMark/>
          </w:tcPr>
          <w:p w14:paraId="4DBD934F" w14:textId="77777777" w:rsidR="00000000" w:rsidRDefault="00EE5306">
            <w:pPr>
              <w:spacing w:after="100"/>
              <w:jc w:val="right"/>
              <w:rPr>
                <w:rFonts w:eastAsia="Times New Roman"/>
              </w:rPr>
            </w:pPr>
          </w:p>
        </w:tc>
      </w:tr>
      <w:tr w:rsidR="00000000" w14:paraId="36EF36C7" w14:textId="77777777">
        <w:trPr>
          <w:divId w:val="1651247112"/>
        </w:trPr>
        <w:tc>
          <w:tcPr>
            <w:tcW w:w="0" w:type="auto"/>
            <w:gridSpan w:val="3"/>
            <w:shd w:val="clear" w:color="auto" w:fill="FFFFFF"/>
            <w:tcMar>
              <w:top w:w="0" w:type="dxa"/>
              <w:left w:w="20" w:type="dxa"/>
              <w:bottom w:w="0" w:type="dxa"/>
              <w:right w:w="20" w:type="dxa"/>
            </w:tcMar>
            <w:vAlign w:val="center"/>
            <w:hideMark/>
          </w:tcPr>
          <w:p w14:paraId="49879B95"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686EE1"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72A015" w14:textId="77777777" w:rsidR="00000000" w:rsidRDefault="00EE5306">
            <w:pPr>
              <w:spacing w:after="100"/>
              <w:jc w:val="right"/>
              <w:rPr>
                <w:rFonts w:eastAsia="Times New Roman"/>
              </w:rPr>
            </w:pPr>
            <w:r>
              <w:rPr>
                <w:rFonts w:eastAsia="Times New Roman"/>
                <w:color w:val="000000"/>
                <w:sz w:val="20"/>
                <w:szCs w:val="20"/>
              </w:rPr>
              <w:t>14,611 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74004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C4610"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58C79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ED4498"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6D4E29" w14:textId="77777777" w:rsidR="00000000" w:rsidRDefault="00EE530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5C7E0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B5ADD"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B989FB" w14:textId="77777777" w:rsidR="00000000" w:rsidRDefault="00EE5306">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7E8FD5C3" w14:textId="77777777">
        <w:tc>
          <w:tcPr>
            <w:tcW w:w="50" w:type="pct"/>
            <w:vAlign w:val="center"/>
            <w:hideMark/>
          </w:tcPr>
          <w:p w14:paraId="12154CE8" w14:textId="77777777" w:rsidR="00000000" w:rsidRDefault="00EE5306">
            <w:pPr>
              <w:rPr>
                <w:rFonts w:eastAsia="Times New Roman"/>
              </w:rPr>
            </w:pPr>
          </w:p>
        </w:tc>
        <w:tc>
          <w:tcPr>
            <w:tcW w:w="4945" w:type="pct"/>
            <w:vAlign w:val="center"/>
            <w:hideMark/>
          </w:tcPr>
          <w:p w14:paraId="5634273D" w14:textId="77777777" w:rsidR="00000000" w:rsidRDefault="00EE5306">
            <w:pPr>
              <w:spacing w:after="100"/>
              <w:rPr>
                <w:rFonts w:eastAsia="Times New Roman"/>
                <w:sz w:val="20"/>
                <w:szCs w:val="20"/>
              </w:rPr>
            </w:pPr>
          </w:p>
        </w:tc>
        <w:tc>
          <w:tcPr>
            <w:tcW w:w="5" w:type="pct"/>
            <w:vAlign w:val="center"/>
            <w:hideMark/>
          </w:tcPr>
          <w:p w14:paraId="29D22986" w14:textId="77777777" w:rsidR="00000000" w:rsidRDefault="00EE5306">
            <w:pPr>
              <w:spacing w:after="100"/>
              <w:rPr>
                <w:rFonts w:eastAsia="Times New Roman"/>
                <w:sz w:val="20"/>
                <w:szCs w:val="20"/>
              </w:rPr>
            </w:pPr>
          </w:p>
        </w:tc>
      </w:tr>
      <w:tr w:rsidR="00000000" w14:paraId="39663A05"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6F08A31B" w14:textId="77777777" w:rsidR="00000000" w:rsidRDefault="00EE5306">
            <w:pPr>
              <w:spacing w:after="100"/>
              <w:rPr>
                <w:rFonts w:eastAsia="Times New Roman"/>
                <w:sz w:val="20"/>
                <w:szCs w:val="20"/>
              </w:rPr>
            </w:pPr>
          </w:p>
        </w:tc>
      </w:tr>
    </w:tbl>
    <w:p w14:paraId="21CCAB5C" w14:textId="77777777" w:rsidR="00000000" w:rsidRDefault="00EE5306">
      <w:pPr>
        <w:ind w:hanging="360"/>
        <w:jc w:val="both"/>
        <w:divId w:val="1454446454"/>
        <w:rPr>
          <w:rFonts w:eastAsia="Times New Roman"/>
        </w:rPr>
      </w:pPr>
      <w:r>
        <w:rPr>
          <w:rFonts w:eastAsia="Times New Roman"/>
          <w:b/>
          <w:bCs/>
          <w:color w:val="000000"/>
          <w:sz w:val="13"/>
          <w:szCs w:val="13"/>
        </w:rPr>
        <w:t>(a)   </w:t>
      </w:r>
      <w:r>
        <w:rPr>
          <w:rFonts w:eastAsia="Times New Roman"/>
          <w:b/>
          <w:bCs/>
          <w:color w:val="000000"/>
          <w:sz w:val="13"/>
          <w:szCs w:val="13"/>
        </w:rPr>
        <w:t> </w:t>
      </w:r>
      <w:r>
        <w:rPr>
          <w:rFonts w:eastAsia="Times New Roman"/>
          <w:color w:val="000000"/>
          <w:sz w:val="20"/>
          <w:szCs w:val="20"/>
        </w:rPr>
        <w:t>Represents shares surrendered to or withheld by the Company in satisfaction of withholding taxes in connection with the vesting of awards issued under its long-term stock incentive plans.</w:t>
      </w:r>
    </w:p>
    <w:p w14:paraId="43D69E38" w14:textId="77777777" w:rsidR="00000000" w:rsidRDefault="00EE5306">
      <w:pPr>
        <w:ind w:hanging="360"/>
        <w:jc w:val="both"/>
        <w:divId w:val="104353990"/>
        <w:rPr>
          <w:rFonts w:eastAsia="Times New Roman"/>
        </w:rPr>
      </w:pPr>
      <w:r>
        <w:rPr>
          <w:rFonts w:eastAsia="Times New Roman"/>
          <w:b/>
          <w:bCs/>
          <w:color w:val="000000"/>
          <w:sz w:val="13"/>
          <w:szCs w:val="13"/>
        </w:rPr>
        <w:t>(b)   </w:t>
      </w:r>
      <w:r>
        <w:rPr>
          <w:rFonts w:eastAsia="Times New Roman"/>
          <w:b/>
          <w:bCs/>
          <w:color w:val="000000"/>
          <w:sz w:val="13"/>
          <w:szCs w:val="13"/>
        </w:rPr>
        <w:t> </w:t>
      </w:r>
      <w:r>
        <w:rPr>
          <w:rFonts w:eastAsia="Times New Roman"/>
          <w:color w:val="000000"/>
          <w:sz w:val="20"/>
          <w:szCs w:val="20"/>
        </w:rPr>
        <w:t>As of March 27, 2021, the remaining availability under our Cl</w:t>
      </w:r>
      <w:r>
        <w:rPr>
          <w:rFonts w:eastAsia="Times New Roman"/>
          <w:color w:val="000000"/>
          <w:sz w:val="20"/>
          <w:szCs w:val="20"/>
        </w:rPr>
        <w:t>ass A common stock repurchase program was approximately $580 million, reflecting the May 13, 2019 approval by our Board of Directors to expand the program by up to an additional $600 million of Class A common stock repurchases. Repurchases of shares of Cla</w:t>
      </w:r>
      <w:r>
        <w:rPr>
          <w:rFonts w:eastAsia="Times New Roman"/>
          <w:color w:val="000000"/>
          <w:sz w:val="20"/>
          <w:szCs w:val="20"/>
        </w:rPr>
        <w:t>ss A common stock are subject to overall business and market conditions. Accordingly, as a result of business disruptions related to the COVID-19 pandemic, we have temporarily suspended our common stock repurchase program as a preemptive action to preserve</w:t>
      </w:r>
      <w:r>
        <w:rPr>
          <w:rFonts w:eastAsia="Times New Roman"/>
          <w:color w:val="000000"/>
          <w:sz w:val="20"/>
          <w:szCs w:val="20"/>
        </w:rPr>
        <w:t xml:space="preserve"> cash and strengthen our liquidity.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038DB2D" w14:textId="77777777">
        <w:trPr>
          <w:divId w:val="357973862"/>
          <w:jc w:val="center"/>
        </w:trPr>
        <w:tc>
          <w:tcPr>
            <w:tcW w:w="50" w:type="pct"/>
            <w:vAlign w:val="center"/>
            <w:hideMark/>
          </w:tcPr>
          <w:p w14:paraId="1B80B438" w14:textId="77777777" w:rsidR="00000000" w:rsidRDefault="00EE5306">
            <w:pPr>
              <w:ind w:hanging="360"/>
              <w:jc w:val="both"/>
              <w:rPr>
                <w:rFonts w:eastAsia="Times New Roman"/>
              </w:rPr>
            </w:pPr>
          </w:p>
        </w:tc>
        <w:tc>
          <w:tcPr>
            <w:tcW w:w="1699" w:type="pct"/>
            <w:vAlign w:val="center"/>
            <w:hideMark/>
          </w:tcPr>
          <w:p w14:paraId="338E9512" w14:textId="77777777" w:rsidR="00000000" w:rsidRDefault="00EE5306">
            <w:pPr>
              <w:spacing w:after="100"/>
              <w:rPr>
                <w:rFonts w:eastAsia="Times New Roman"/>
                <w:sz w:val="20"/>
                <w:szCs w:val="20"/>
              </w:rPr>
            </w:pPr>
          </w:p>
        </w:tc>
        <w:tc>
          <w:tcPr>
            <w:tcW w:w="5" w:type="pct"/>
            <w:vAlign w:val="center"/>
            <w:hideMark/>
          </w:tcPr>
          <w:p w14:paraId="7FF9AD60" w14:textId="77777777" w:rsidR="00000000" w:rsidRDefault="00EE5306">
            <w:pPr>
              <w:spacing w:after="100"/>
              <w:rPr>
                <w:rFonts w:eastAsia="Times New Roman"/>
                <w:sz w:val="20"/>
                <w:szCs w:val="20"/>
              </w:rPr>
            </w:pPr>
          </w:p>
        </w:tc>
        <w:tc>
          <w:tcPr>
            <w:tcW w:w="50" w:type="pct"/>
            <w:vAlign w:val="center"/>
            <w:hideMark/>
          </w:tcPr>
          <w:p w14:paraId="287D33E9" w14:textId="77777777" w:rsidR="00000000" w:rsidRDefault="00EE5306">
            <w:pPr>
              <w:spacing w:after="100"/>
              <w:rPr>
                <w:rFonts w:eastAsia="Times New Roman"/>
                <w:sz w:val="20"/>
                <w:szCs w:val="20"/>
              </w:rPr>
            </w:pPr>
          </w:p>
        </w:tc>
        <w:tc>
          <w:tcPr>
            <w:tcW w:w="1436" w:type="pct"/>
            <w:vAlign w:val="center"/>
            <w:hideMark/>
          </w:tcPr>
          <w:p w14:paraId="663D4B2F" w14:textId="77777777" w:rsidR="00000000" w:rsidRDefault="00EE5306">
            <w:pPr>
              <w:spacing w:after="100"/>
              <w:rPr>
                <w:rFonts w:eastAsia="Times New Roman"/>
                <w:sz w:val="20"/>
                <w:szCs w:val="20"/>
              </w:rPr>
            </w:pPr>
          </w:p>
        </w:tc>
        <w:tc>
          <w:tcPr>
            <w:tcW w:w="5" w:type="pct"/>
            <w:vAlign w:val="center"/>
            <w:hideMark/>
          </w:tcPr>
          <w:p w14:paraId="587A263C" w14:textId="77777777" w:rsidR="00000000" w:rsidRDefault="00EE5306">
            <w:pPr>
              <w:spacing w:after="100"/>
              <w:rPr>
                <w:rFonts w:eastAsia="Times New Roman"/>
                <w:sz w:val="20"/>
                <w:szCs w:val="20"/>
              </w:rPr>
            </w:pPr>
          </w:p>
        </w:tc>
        <w:tc>
          <w:tcPr>
            <w:tcW w:w="50" w:type="pct"/>
            <w:vAlign w:val="center"/>
            <w:hideMark/>
          </w:tcPr>
          <w:p w14:paraId="6119B5AB" w14:textId="77777777" w:rsidR="00000000" w:rsidRDefault="00EE5306">
            <w:pPr>
              <w:spacing w:after="100"/>
              <w:rPr>
                <w:rFonts w:eastAsia="Times New Roman"/>
                <w:sz w:val="20"/>
                <w:szCs w:val="20"/>
              </w:rPr>
            </w:pPr>
          </w:p>
        </w:tc>
        <w:tc>
          <w:tcPr>
            <w:tcW w:w="1699" w:type="pct"/>
            <w:vAlign w:val="center"/>
            <w:hideMark/>
          </w:tcPr>
          <w:p w14:paraId="325B5436" w14:textId="77777777" w:rsidR="00000000" w:rsidRDefault="00EE5306">
            <w:pPr>
              <w:spacing w:after="100"/>
              <w:rPr>
                <w:rFonts w:eastAsia="Times New Roman"/>
                <w:sz w:val="20"/>
                <w:szCs w:val="20"/>
              </w:rPr>
            </w:pPr>
          </w:p>
        </w:tc>
        <w:tc>
          <w:tcPr>
            <w:tcW w:w="5" w:type="pct"/>
            <w:vAlign w:val="center"/>
            <w:hideMark/>
          </w:tcPr>
          <w:p w14:paraId="74BA7574" w14:textId="77777777" w:rsidR="00000000" w:rsidRDefault="00EE5306">
            <w:pPr>
              <w:spacing w:after="100"/>
              <w:rPr>
                <w:rFonts w:eastAsia="Times New Roman"/>
                <w:sz w:val="20"/>
                <w:szCs w:val="20"/>
              </w:rPr>
            </w:pPr>
          </w:p>
        </w:tc>
      </w:tr>
      <w:tr w:rsidR="00000000" w14:paraId="6D5B3EB9" w14:textId="77777777">
        <w:trPr>
          <w:divId w:val="357973862"/>
          <w:jc w:val="center"/>
        </w:trPr>
        <w:tc>
          <w:tcPr>
            <w:tcW w:w="0" w:type="auto"/>
            <w:gridSpan w:val="3"/>
            <w:tcMar>
              <w:top w:w="0" w:type="dxa"/>
              <w:left w:w="20" w:type="dxa"/>
              <w:bottom w:w="0" w:type="dxa"/>
              <w:right w:w="20" w:type="dxa"/>
            </w:tcMar>
            <w:vAlign w:val="center"/>
            <w:hideMark/>
          </w:tcPr>
          <w:p w14:paraId="103D26E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509AEA1" w14:textId="77777777" w:rsidR="00000000" w:rsidRDefault="00EE5306">
            <w:pPr>
              <w:spacing w:after="100"/>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14:paraId="2F7D1A00" w14:textId="77777777" w:rsidR="00000000" w:rsidRDefault="00EE5306">
            <w:pPr>
              <w:spacing w:after="100"/>
              <w:jc w:val="center"/>
              <w:rPr>
                <w:rFonts w:eastAsia="Times New Roman"/>
              </w:rPr>
            </w:pPr>
          </w:p>
        </w:tc>
      </w:tr>
    </w:tbl>
    <w:p w14:paraId="60823F68" w14:textId="77777777" w:rsidR="00000000" w:rsidRDefault="00EE5306">
      <w:pPr>
        <w:rPr>
          <w:rFonts w:eastAsia="Times New Roman"/>
        </w:rPr>
      </w:pPr>
      <w:r>
        <w:rPr>
          <w:rFonts w:eastAsia="Times New Roman"/>
        </w:rPr>
        <w:pict w14:anchorId="7BB7C869">
          <v:rect id="_x0000_i1067" style="width:0;height:1.5pt" o:hralign="center" o:hrstd="t" o:hr="t" fillcolor="#a0a0a0" stroked="f"/>
        </w:pict>
      </w:r>
    </w:p>
    <w:p w14:paraId="7FC770E3" w14:textId="77777777" w:rsidR="00000000" w:rsidRDefault="00EE5306">
      <w:pPr>
        <w:divId w:val="2050184486"/>
        <w:rPr>
          <w:rFonts w:eastAsia="Times New Roman"/>
        </w:rPr>
      </w:pPr>
    </w:p>
    <w:p w14:paraId="2142BB30" w14:textId="77777777" w:rsidR="00000000" w:rsidRDefault="00EE5306">
      <w:pPr>
        <w:ind w:firstLine="540"/>
        <w:jc w:val="both"/>
        <w:divId w:val="1274484267"/>
        <w:rPr>
          <w:rFonts w:eastAsia="Times New Roman"/>
        </w:rPr>
      </w:pPr>
      <w:r>
        <w:rPr>
          <w:rFonts w:eastAsia="Times New Roman"/>
          <w:color w:val="000000"/>
          <w:sz w:val="20"/>
          <w:szCs w:val="20"/>
        </w:rPr>
        <w:t>The following graph compares the cumulative total stockholder return (stock price appreciation plus dividends) on our Class A common stock to the cumulative total return of the Standard &amp; Poor's 500 Index and a peer gr</w:t>
      </w:r>
      <w:r>
        <w:rPr>
          <w:rFonts w:eastAsia="Times New Roman"/>
          <w:color w:val="000000"/>
          <w:sz w:val="20"/>
          <w:szCs w:val="20"/>
        </w:rPr>
        <w:t>oup index of companies that we believe are closest to ours (the "Peer Group") for the period from April 2, 2016, the last day of our 2016 fiscal year, through March 27, 2021, the last day of our 2021 fiscal year. Our Peer Group consists of Burberry Group P</w:t>
      </w:r>
      <w:r>
        <w:rPr>
          <w:rFonts w:eastAsia="Times New Roman"/>
          <w:color w:val="000000"/>
          <w:sz w:val="20"/>
          <w:szCs w:val="20"/>
        </w:rPr>
        <w:t>LC, Compagnie Financière Richemont SA, EssilorLuxottica SA, The Estée Lauder Companies Inc., Hermes International, Kering, LVMH, PVH Corp., Tapestry, Inc., Tod's S.p.A., and V.F. Corporation. All calculations for foreign companies in our Peer Group are per</w:t>
      </w:r>
      <w:r>
        <w:rPr>
          <w:rFonts w:eastAsia="Times New Roman"/>
          <w:color w:val="000000"/>
          <w:sz w:val="20"/>
          <w:szCs w:val="20"/>
        </w:rPr>
        <w:t>formed using the local foreign issue of such companies. The returns are calculated by assuming a $100 investment made on April 2, 2016 in Class A common stock or March 31, 2016 in an index, with all dividends reinvested.</w:t>
      </w:r>
    </w:p>
    <w:p w14:paraId="1813EAB2" w14:textId="77777777" w:rsidR="00000000" w:rsidRDefault="00EE5306">
      <w:pPr>
        <w:jc w:val="center"/>
        <w:divId w:val="109055223"/>
        <w:rPr>
          <w:rFonts w:eastAsia="Times New Roman"/>
        </w:rPr>
      </w:pPr>
      <w:r>
        <w:rPr>
          <w:rFonts w:eastAsia="Times New Roman"/>
          <w:b/>
          <w:bCs/>
          <w:color w:val="000000"/>
          <w:sz w:val="22"/>
          <w:szCs w:val="22"/>
        </w:rPr>
        <w:t>COMPARISON OF 5 YEAR CUMULATIVE TOT</w:t>
      </w:r>
      <w:r>
        <w:rPr>
          <w:rFonts w:eastAsia="Times New Roman"/>
          <w:b/>
          <w:bCs/>
          <w:color w:val="000000"/>
          <w:sz w:val="22"/>
          <w:szCs w:val="22"/>
        </w:rPr>
        <w:t>AL RETURN</w:t>
      </w:r>
    </w:p>
    <w:p w14:paraId="4F1F625D" w14:textId="77777777" w:rsidR="00000000" w:rsidRDefault="00EE5306">
      <w:pPr>
        <w:jc w:val="center"/>
        <w:rPr>
          <w:rFonts w:eastAsia="Times New Roman"/>
        </w:rPr>
      </w:pPr>
      <w:r>
        <w:rPr>
          <w:rFonts w:eastAsia="Times New Roman"/>
          <w:color w:val="000000"/>
          <w:sz w:val="20"/>
          <w:szCs w:val="20"/>
        </w:rPr>
        <w:t>Among Ralph Lauren Corporation, the S&amp;P 500 Index, and a Peer Group</w:t>
      </w:r>
    </w:p>
    <w:p w14:paraId="020D705E" w14:textId="77777777" w:rsidR="00000000" w:rsidRDefault="00EE5306">
      <w:pPr>
        <w:spacing w:before="100"/>
        <w:ind w:firstLine="225"/>
        <w:jc w:val="center"/>
        <w:divId w:val="1504783818"/>
        <w:rPr>
          <w:rFonts w:eastAsia="Times New Roman"/>
        </w:rPr>
      </w:pPr>
      <w:r>
        <w:rPr>
          <w:rFonts w:eastAsia="Times New Roman"/>
          <w:noProof/>
        </w:rPr>
        <w:drawing>
          <wp:inline distT="0" distB="0" distL="0" distR="0" wp14:anchorId="54904C38" wp14:editId="3EC8E5B9">
            <wp:extent cx="304800" cy="304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9C6CCF" w14:textId="77777777" w:rsidR="00000000" w:rsidRDefault="00EE5306">
      <w:pPr>
        <w:ind w:hanging="900"/>
        <w:divId w:val="899242822"/>
        <w:rPr>
          <w:rFonts w:eastAsia="Times New Roman"/>
        </w:rPr>
      </w:pPr>
      <w:r>
        <w:rPr>
          <w:rFonts w:eastAsia="Times New Roman"/>
          <w:b/>
          <w:bCs/>
          <w:color w:val="000000"/>
          <w:sz w:val="20"/>
          <w:szCs w:val="20"/>
        </w:rPr>
        <w:t>Item 6.    </w:t>
      </w:r>
      <w:r>
        <w:rPr>
          <w:rFonts w:eastAsia="Times New Roman"/>
          <w:b/>
          <w:bCs/>
          <w:i/>
          <w:iCs/>
          <w:color w:val="000000"/>
          <w:sz w:val="20"/>
          <w:szCs w:val="20"/>
        </w:rPr>
        <w:t>Selec</w:t>
      </w:r>
      <w:r>
        <w:rPr>
          <w:rFonts w:eastAsia="Times New Roman"/>
          <w:b/>
          <w:bCs/>
          <w:i/>
          <w:iCs/>
          <w:color w:val="000000"/>
          <w:sz w:val="20"/>
          <w:szCs w:val="20"/>
        </w:rPr>
        <w:t>ted Financial Data</w:t>
      </w:r>
    </w:p>
    <w:p w14:paraId="040736EB" w14:textId="77777777" w:rsidR="00000000" w:rsidRDefault="00EE5306">
      <w:pPr>
        <w:ind w:firstLine="540"/>
        <w:jc w:val="both"/>
        <w:divId w:val="901451062"/>
        <w:rPr>
          <w:rFonts w:eastAsia="Times New Roman"/>
        </w:rPr>
      </w:pPr>
      <w:r>
        <w:rPr>
          <w:rFonts w:eastAsia="Times New Roman"/>
          <w:color w:val="000000"/>
          <w:sz w:val="20"/>
          <w:szCs w:val="20"/>
        </w:rPr>
        <w:t>Not applicable as the Company has adopted certain provisions within the amendments to Regulation S-K, including the elimination of Item 301.</w:t>
      </w:r>
    </w:p>
    <w:p w14:paraId="23D28733" w14:textId="77777777" w:rsidR="00000000" w:rsidRDefault="00EE5306">
      <w:pPr>
        <w:ind w:hanging="900"/>
        <w:divId w:val="1556770726"/>
        <w:rPr>
          <w:rFonts w:eastAsia="Times New Roman"/>
        </w:rPr>
      </w:pPr>
      <w:r>
        <w:rPr>
          <w:rFonts w:eastAsia="Times New Roman"/>
          <w:b/>
          <w:bCs/>
          <w:color w:val="000000"/>
          <w:sz w:val="20"/>
          <w:szCs w:val="20"/>
        </w:rPr>
        <w:t>Item 7.</w:t>
      </w:r>
      <w:r>
        <w:rPr>
          <w:rFonts w:eastAsia="Times New Roman"/>
          <w:b/>
          <w:bCs/>
          <w:i/>
          <w:iCs/>
          <w:color w:val="000000"/>
          <w:sz w:val="20"/>
          <w:szCs w:val="20"/>
        </w:rPr>
        <w:t>    Management's Discussion and Analysis of Financial Condition and Results of Operations</w:t>
      </w:r>
      <w:r>
        <w:rPr>
          <w:rFonts w:eastAsia="Times New Roman"/>
          <w:b/>
          <w:bCs/>
          <w:i/>
          <w:iCs/>
          <w:color w:val="000000"/>
          <w:sz w:val="20"/>
          <w:szCs w:val="20"/>
        </w:rPr>
        <w:t>.</w:t>
      </w:r>
    </w:p>
    <w:p w14:paraId="5E998159" w14:textId="77777777" w:rsidR="00000000" w:rsidRDefault="00EE5306">
      <w:pPr>
        <w:ind w:firstLine="540"/>
        <w:jc w:val="both"/>
        <w:divId w:val="1616789353"/>
        <w:rPr>
          <w:rFonts w:eastAsia="Times New Roman"/>
        </w:rPr>
      </w:pPr>
      <w:r>
        <w:rPr>
          <w:rFonts w:eastAsia="Times New Roman"/>
          <w:color w:val="000000"/>
          <w:sz w:val="20"/>
          <w:szCs w:val="20"/>
        </w:rPr>
        <w:t>The following management's discussion and analysis of financial condition and results of operations ("MD&amp;A") should be read together with our audited consolidated financial statements and notes thereto, which are included in this Annual Report on Form 10</w:t>
      </w:r>
      <w:r>
        <w:rPr>
          <w:rFonts w:eastAsia="Times New Roman"/>
          <w:color w:val="000000"/>
          <w:sz w:val="20"/>
          <w:szCs w:val="20"/>
        </w:rPr>
        <w:t>-K. We utilize a 52-53 week fiscal year ending on the Saturday immediately before or after March 31. As such, Fiscal 2021 ended on March 27, 2021 and was a 52-week period; Fiscal 2020 ended on March 28, 2020 and was a 52-week period; Fiscal 2019 ended on M</w:t>
      </w:r>
      <w:r>
        <w:rPr>
          <w:rFonts w:eastAsia="Times New Roman"/>
          <w:color w:val="000000"/>
          <w:sz w:val="20"/>
          <w:szCs w:val="20"/>
        </w:rPr>
        <w:t xml:space="preserve">arch 30, 2019 and was a 52-week period; and Fiscal 2022 will end on April 2, 2022 and will be a 53-week period.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4A112A0" w14:textId="77777777">
        <w:trPr>
          <w:divId w:val="998389355"/>
          <w:jc w:val="center"/>
        </w:trPr>
        <w:tc>
          <w:tcPr>
            <w:tcW w:w="50" w:type="pct"/>
            <w:vAlign w:val="center"/>
            <w:hideMark/>
          </w:tcPr>
          <w:p w14:paraId="42041AA9" w14:textId="77777777" w:rsidR="00000000" w:rsidRDefault="00EE5306">
            <w:pPr>
              <w:ind w:firstLine="540"/>
              <w:jc w:val="both"/>
              <w:rPr>
                <w:rFonts w:eastAsia="Times New Roman"/>
              </w:rPr>
            </w:pPr>
          </w:p>
        </w:tc>
        <w:tc>
          <w:tcPr>
            <w:tcW w:w="1699" w:type="pct"/>
            <w:vAlign w:val="center"/>
            <w:hideMark/>
          </w:tcPr>
          <w:p w14:paraId="327F8B61" w14:textId="77777777" w:rsidR="00000000" w:rsidRDefault="00EE5306">
            <w:pPr>
              <w:spacing w:after="100"/>
              <w:rPr>
                <w:rFonts w:eastAsia="Times New Roman"/>
                <w:sz w:val="20"/>
                <w:szCs w:val="20"/>
              </w:rPr>
            </w:pPr>
          </w:p>
        </w:tc>
        <w:tc>
          <w:tcPr>
            <w:tcW w:w="5" w:type="pct"/>
            <w:vAlign w:val="center"/>
            <w:hideMark/>
          </w:tcPr>
          <w:p w14:paraId="6212D4BD" w14:textId="77777777" w:rsidR="00000000" w:rsidRDefault="00EE5306">
            <w:pPr>
              <w:spacing w:after="100"/>
              <w:rPr>
                <w:rFonts w:eastAsia="Times New Roman"/>
                <w:sz w:val="20"/>
                <w:szCs w:val="20"/>
              </w:rPr>
            </w:pPr>
          </w:p>
        </w:tc>
        <w:tc>
          <w:tcPr>
            <w:tcW w:w="50" w:type="pct"/>
            <w:vAlign w:val="center"/>
            <w:hideMark/>
          </w:tcPr>
          <w:p w14:paraId="077841F6" w14:textId="77777777" w:rsidR="00000000" w:rsidRDefault="00EE5306">
            <w:pPr>
              <w:spacing w:after="100"/>
              <w:rPr>
                <w:rFonts w:eastAsia="Times New Roman"/>
                <w:sz w:val="20"/>
                <w:szCs w:val="20"/>
              </w:rPr>
            </w:pPr>
          </w:p>
        </w:tc>
        <w:tc>
          <w:tcPr>
            <w:tcW w:w="1436" w:type="pct"/>
            <w:vAlign w:val="center"/>
            <w:hideMark/>
          </w:tcPr>
          <w:p w14:paraId="2B87320A" w14:textId="77777777" w:rsidR="00000000" w:rsidRDefault="00EE5306">
            <w:pPr>
              <w:spacing w:after="100"/>
              <w:rPr>
                <w:rFonts w:eastAsia="Times New Roman"/>
                <w:sz w:val="20"/>
                <w:szCs w:val="20"/>
              </w:rPr>
            </w:pPr>
          </w:p>
        </w:tc>
        <w:tc>
          <w:tcPr>
            <w:tcW w:w="5" w:type="pct"/>
            <w:vAlign w:val="center"/>
            <w:hideMark/>
          </w:tcPr>
          <w:p w14:paraId="7C9781E5" w14:textId="77777777" w:rsidR="00000000" w:rsidRDefault="00EE5306">
            <w:pPr>
              <w:spacing w:after="100"/>
              <w:rPr>
                <w:rFonts w:eastAsia="Times New Roman"/>
                <w:sz w:val="20"/>
                <w:szCs w:val="20"/>
              </w:rPr>
            </w:pPr>
          </w:p>
        </w:tc>
        <w:tc>
          <w:tcPr>
            <w:tcW w:w="50" w:type="pct"/>
            <w:vAlign w:val="center"/>
            <w:hideMark/>
          </w:tcPr>
          <w:p w14:paraId="5B5F2D58" w14:textId="77777777" w:rsidR="00000000" w:rsidRDefault="00EE5306">
            <w:pPr>
              <w:spacing w:after="100"/>
              <w:rPr>
                <w:rFonts w:eastAsia="Times New Roman"/>
                <w:sz w:val="20"/>
                <w:szCs w:val="20"/>
              </w:rPr>
            </w:pPr>
          </w:p>
        </w:tc>
        <w:tc>
          <w:tcPr>
            <w:tcW w:w="1699" w:type="pct"/>
            <w:vAlign w:val="center"/>
            <w:hideMark/>
          </w:tcPr>
          <w:p w14:paraId="6D5B6C3F" w14:textId="77777777" w:rsidR="00000000" w:rsidRDefault="00EE5306">
            <w:pPr>
              <w:spacing w:after="100"/>
              <w:rPr>
                <w:rFonts w:eastAsia="Times New Roman"/>
                <w:sz w:val="20"/>
                <w:szCs w:val="20"/>
              </w:rPr>
            </w:pPr>
          </w:p>
        </w:tc>
        <w:tc>
          <w:tcPr>
            <w:tcW w:w="5" w:type="pct"/>
            <w:vAlign w:val="center"/>
            <w:hideMark/>
          </w:tcPr>
          <w:p w14:paraId="6754A093" w14:textId="77777777" w:rsidR="00000000" w:rsidRDefault="00EE5306">
            <w:pPr>
              <w:spacing w:after="100"/>
              <w:rPr>
                <w:rFonts w:eastAsia="Times New Roman"/>
                <w:sz w:val="20"/>
                <w:szCs w:val="20"/>
              </w:rPr>
            </w:pPr>
          </w:p>
        </w:tc>
      </w:tr>
      <w:tr w:rsidR="00000000" w14:paraId="77C971EB" w14:textId="77777777">
        <w:trPr>
          <w:divId w:val="998389355"/>
          <w:jc w:val="center"/>
        </w:trPr>
        <w:tc>
          <w:tcPr>
            <w:tcW w:w="0" w:type="auto"/>
            <w:gridSpan w:val="3"/>
            <w:tcMar>
              <w:top w:w="0" w:type="dxa"/>
              <w:left w:w="20" w:type="dxa"/>
              <w:bottom w:w="0" w:type="dxa"/>
              <w:right w:w="20" w:type="dxa"/>
            </w:tcMar>
            <w:vAlign w:val="center"/>
            <w:hideMark/>
          </w:tcPr>
          <w:p w14:paraId="22545B3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93B4331" w14:textId="77777777" w:rsidR="00000000" w:rsidRDefault="00EE5306">
            <w:pPr>
              <w:spacing w:after="100"/>
              <w:jc w:val="center"/>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14:paraId="118D60DB" w14:textId="77777777" w:rsidR="00000000" w:rsidRDefault="00EE5306">
            <w:pPr>
              <w:spacing w:after="100"/>
              <w:jc w:val="center"/>
              <w:rPr>
                <w:rFonts w:eastAsia="Times New Roman"/>
              </w:rPr>
            </w:pPr>
          </w:p>
        </w:tc>
      </w:tr>
    </w:tbl>
    <w:p w14:paraId="062445B4" w14:textId="77777777" w:rsidR="00000000" w:rsidRDefault="00EE5306">
      <w:pPr>
        <w:rPr>
          <w:rFonts w:eastAsia="Times New Roman"/>
        </w:rPr>
      </w:pPr>
      <w:r>
        <w:rPr>
          <w:rFonts w:eastAsia="Times New Roman"/>
        </w:rPr>
        <w:pict w14:anchorId="3C21BAD5">
          <v:rect id="_x0000_i1069" style="width:0;height:1.5pt" o:hralign="center" o:hrstd="t" o:hr="t" fillcolor="#a0a0a0" stroked="f"/>
        </w:pict>
      </w:r>
    </w:p>
    <w:p w14:paraId="3892AB49" w14:textId="77777777" w:rsidR="00000000" w:rsidRDefault="00EE5306">
      <w:pPr>
        <w:divId w:val="743336069"/>
        <w:rPr>
          <w:rFonts w:eastAsia="Times New Roman"/>
        </w:rPr>
      </w:pPr>
    </w:p>
    <w:p w14:paraId="6DC1DF64" w14:textId="77777777" w:rsidR="00000000" w:rsidRDefault="00EE5306">
      <w:pPr>
        <w:divId w:val="693579144"/>
        <w:rPr>
          <w:rFonts w:eastAsia="Times New Roman"/>
        </w:rPr>
      </w:pPr>
      <w:r>
        <w:rPr>
          <w:rFonts w:eastAsia="Times New Roman"/>
          <w:b/>
          <w:bCs/>
          <w:color w:val="000000"/>
          <w:sz w:val="20"/>
          <w:szCs w:val="20"/>
        </w:rPr>
        <w:t>INTRODUCTION</w:t>
      </w:r>
    </w:p>
    <w:p w14:paraId="41A3F14B" w14:textId="77777777" w:rsidR="00000000" w:rsidRDefault="00EE5306">
      <w:pPr>
        <w:ind w:firstLine="495"/>
        <w:jc w:val="both"/>
        <w:divId w:val="1532380220"/>
        <w:rPr>
          <w:rFonts w:eastAsia="Times New Roman"/>
        </w:rPr>
      </w:pPr>
      <w:r>
        <w:rPr>
          <w:rFonts w:eastAsia="Times New Roman"/>
          <w:color w:val="000000"/>
          <w:sz w:val="20"/>
          <w:szCs w:val="20"/>
        </w:rPr>
        <w:t>MD&amp;A is provided as a supplement to the accompanying consolidated financial statements and notes thereto to help provide an understanding of our results of operations, financial condition, and liquidity. M</w:t>
      </w:r>
      <w:r>
        <w:rPr>
          <w:rFonts w:eastAsia="Times New Roman"/>
          <w:color w:val="000000"/>
          <w:sz w:val="20"/>
          <w:szCs w:val="20"/>
        </w:rPr>
        <w:t>D&amp;A is organized as follows:</w:t>
      </w:r>
    </w:p>
    <w:p w14:paraId="496CAEBA" w14:textId="77777777" w:rsidR="00000000" w:rsidRDefault="00EE5306">
      <w:pPr>
        <w:ind w:hanging="360"/>
        <w:jc w:val="both"/>
        <w:divId w:val="1461729134"/>
        <w:rPr>
          <w:rFonts w:eastAsia="Times New Roman"/>
        </w:rPr>
      </w:pPr>
      <w:r>
        <w:rPr>
          <w:rFonts w:eastAsia="Times New Roman"/>
          <w:i/>
          <w:iCs/>
          <w:color w:val="000000"/>
          <w:sz w:val="20"/>
          <w:szCs w:val="20"/>
        </w:rPr>
        <w:t>•Overview.</w:t>
      </w:r>
      <w:r>
        <w:rPr>
          <w:rFonts w:eastAsia="Times New Roman"/>
          <w:color w:val="000000"/>
          <w:sz w:val="20"/>
          <w:szCs w:val="20"/>
        </w:rPr>
        <w:t>    This section provides a general description of our business, global economic conditions and industry trends, and a summary of our financial performance for Fiscal 2021. In addition, this section includes a discuss</w:t>
      </w:r>
      <w:r>
        <w:rPr>
          <w:rFonts w:eastAsia="Times New Roman"/>
          <w:color w:val="000000"/>
          <w:sz w:val="20"/>
          <w:szCs w:val="20"/>
        </w:rPr>
        <w:t>ion of recent developments and transactions affecting comparability that we believe are important in understanding our results of operations and financial condition, and in anticipating future trends.</w:t>
      </w:r>
    </w:p>
    <w:p w14:paraId="6977DF4C" w14:textId="77777777" w:rsidR="00000000" w:rsidRDefault="00EE5306">
      <w:pPr>
        <w:ind w:hanging="360"/>
        <w:jc w:val="both"/>
        <w:divId w:val="45230152"/>
        <w:rPr>
          <w:rFonts w:eastAsia="Times New Roman"/>
        </w:rPr>
      </w:pPr>
      <w:r>
        <w:rPr>
          <w:rFonts w:eastAsia="Times New Roman"/>
          <w:color w:val="000000"/>
          <w:sz w:val="20"/>
          <w:szCs w:val="20"/>
        </w:rPr>
        <w:t>•</w:t>
      </w:r>
      <w:r>
        <w:rPr>
          <w:rFonts w:eastAsia="Times New Roman"/>
          <w:i/>
          <w:iCs/>
          <w:color w:val="000000"/>
          <w:sz w:val="20"/>
          <w:szCs w:val="20"/>
        </w:rPr>
        <w:t>Results of operations.</w:t>
      </w:r>
      <w:r>
        <w:rPr>
          <w:rFonts w:eastAsia="Times New Roman"/>
          <w:color w:val="000000"/>
          <w:sz w:val="20"/>
          <w:szCs w:val="20"/>
        </w:rPr>
        <w:t>    This section provides an ana</w:t>
      </w:r>
      <w:r>
        <w:rPr>
          <w:rFonts w:eastAsia="Times New Roman"/>
          <w:color w:val="000000"/>
          <w:sz w:val="20"/>
          <w:szCs w:val="20"/>
        </w:rPr>
        <w:t>lysis of our results of operations for Fiscal 2021 and Fiscal 2020 as compared to the respective prior fiscal year.</w:t>
      </w:r>
    </w:p>
    <w:p w14:paraId="36BE5C9F" w14:textId="77777777" w:rsidR="00000000" w:rsidRDefault="00EE5306">
      <w:pPr>
        <w:ind w:hanging="360"/>
        <w:jc w:val="both"/>
        <w:divId w:val="1674720966"/>
        <w:rPr>
          <w:rFonts w:eastAsia="Times New Roman"/>
        </w:rPr>
      </w:pPr>
      <w:r>
        <w:rPr>
          <w:rFonts w:eastAsia="Times New Roman"/>
          <w:color w:val="000000"/>
          <w:sz w:val="20"/>
          <w:szCs w:val="20"/>
        </w:rPr>
        <w:t>•</w:t>
      </w:r>
      <w:r>
        <w:rPr>
          <w:rFonts w:eastAsia="Times New Roman"/>
          <w:i/>
          <w:iCs/>
          <w:color w:val="000000"/>
          <w:sz w:val="20"/>
          <w:szCs w:val="20"/>
        </w:rPr>
        <w:t>Financial condition and liquidity.</w:t>
      </w:r>
      <w:r>
        <w:rPr>
          <w:rFonts w:eastAsia="Times New Roman"/>
          <w:color w:val="000000"/>
          <w:sz w:val="20"/>
          <w:szCs w:val="20"/>
        </w:rPr>
        <w:t>    This section provides a discussion of our financial condition and liquidity as of March 27, 2021, whi</w:t>
      </w:r>
      <w:r>
        <w:rPr>
          <w:rFonts w:eastAsia="Times New Roman"/>
          <w:color w:val="000000"/>
          <w:sz w:val="20"/>
          <w:szCs w:val="20"/>
        </w:rPr>
        <w:t>ch includes (i) an analysis of our financial condition as compared to the prior fiscal year-end; (ii) an analysis of changes in our cash flows for Fiscal 2021 and Fiscal 2020 as compared to the respective prior fiscal year; (iii) an analysis of our liquidi</w:t>
      </w:r>
      <w:r>
        <w:rPr>
          <w:rFonts w:eastAsia="Times New Roman"/>
          <w:color w:val="000000"/>
          <w:sz w:val="20"/>
          <w:szCs w:val="20"/>
        </w:rPr>
        <w:t>ty, including the availability under our commercial paper borrowing program and credit facilities, our outstanding debt and covenant compliance, common stock repurchases, and payments of dividends; and (iv) a summary of our contractual and other obligation</w:t>
      </w:r>
      <w:r>
        <w:rPr>
          <w:rFonts w:eastAsia="Times New Roman"/>
          <w:color w:val="000000"/>
          <w:sz w:val="20"/>
          <w:szCs w:val="20"/>
        </w:rPr>
        <w:t>s as of March 27, 2021.</w:t>
      </w:r>
    </w:p>
    <w:p w14:paraId="3FF41CD3" w14:textId="77777777" w:rsidR="00000000" w:rsidRDefault="00EE5306">
      <w:pPr>
        <w:ind w:hanging="360"/>
        <w:jc w:val="both"/>
        <w:divId w:val="1868132966"/>
        <w:rPr>
          <w:rFonts w:eastAsia="Times New Roman"/>
        </w:rPr>
      </w:pPr>
      <w:r>
        <w:rPr>
          <w:rFonts w:eastAsia="Times New Roman"/>
          <w:color w:val="000000"/>
          <w:sz w:val="20"/>
          <w:szCs w:val="20"/>
        </w:rPr>
        <w:t>•</w:t>
      </w:r>
      <w:r>
        <w:rPr>
          <w:rFonts w:eastAsia="Times New Roman"/>
          <w:i/>
          <w:iCs/>
          <w:color w:val="000000"/>
          <w:sz w:val="20"/>
          <w:szCs w:val="20"/>
        </w:rPr>
        <w:t>Market risk management.</w:t>
      </w:r>
      <w:r>
        <w:rPr>
          <w:rFonts w:eastAsia="Times New Roman"/>
          <w:color w:val="000000"/>
          <w:sz w:val="20"/>
          <w:szCs w:val="20"/>
        </w:rPr>
        <w:t>    This section discusses how we manage our risk exposures related to foreign currency exchange rates, interest rates, and our investments as of March 27, 2021.</w:t>
      </w:r>
    </w:p>
    <w:p w14:paraId="1302950F" w14:textId="77777777" w:rsidR="00000000" w:rsidRDefault="00EE5306">
      <w:pPr>
        <w:ind w:hanging="360"/>
        <w:jc w:val="both"/>
        <w:divId w:val="1713189828"/>
        <w:rPr>
          <w:rFonts w:eastAsia="Times New Roman"/>
        </w:rPr>
      </w:pPr>
      <w:r>
        <w:rPr>
          <w:rFonts w:eastAsia="Times New Roman"/>
          <w:color w:val="000000"/>
          <w:sz w:val="20"/>
          <w:szCs w:val="20"/>
        </w:rPr>
        <w:t>•</w:t>
      </w:r>
      <w:r>
        <w:rPr>
          <w:rFonts w:eastAsia="Times New Roman"/>
          <w:i/>
          <w:iCs/>
          <w:color w:val="000000"/>
          <w:sz w:val="20"/>
          <w:szCs w:val="20"/>
        </w:rPr>
        <w:t>Critical accounting policies.</w:t>
      </w:r>
      <w:r>
        <w:rPr>
          <w:rFonts w:eastAsia="Times New Roman"/>
          <w:color w:val="000000"/>
          <w:sz w:val="20"/>
          <w:szCs w:val="20"/>
        </w:rPr>
        <w:t>    This section</w:t>
      </w:r>
      <w:r>
        <w:rPr>
          <w:rFonts w:eastAsia="Times New Roman"/>
          <w:color w:val="000000"/>
          <w:sz w:val="20"/>
          <w:szCs w:val="20"/>
        </w:rPr>
        <w:t xml:space="preserve"> discusses accounting policies considered to be important to our results of operations and financial condition, which typically require significant judgment and estimation on the part of management in their application. In addition, all of our significant </w:t>
      </w:r>
      <w:r>
        <w:rPr>
          <w:rFonts w:eastAsia="Times New Roman"/>
          <w:color w:val="000000"/>
          <w:sz w:val="20"/>
          <w:szCs w:val="20"/>
        </w:rPr>
        <w:t>accounting policies, including our critical accounting policies, are summarized in Note 3 to the accompanying consolidated financial statements.</w:t>
      </w:r>
    </w:p>
    <w:p w14:paraId="651D2216" w14:textId="77777777" w:rsidR="00000000" w:rsidRDefault="00EE5306">
      <w:pPr>
        <w:ind w:hanging="360"/>
        <w:jc w:val="both"/>
        <w:divId w:val="2096589526"/>
        <w:rPr>
          <w:rFonts w:eastAsia="Times New Roman"/>
        </w:rPr>
      </w:pPr>
      <w:r>
        <w:rPr>
          <w:rFonts w:eastAsia="Times New Roman"/>
          <w:color w:val="000000"/>
          <w:sz w:val="20"/>
          <w:szCs w:val="20"/>
        </w:rPr>
        <w:t>•</w:t>
      </w:r>
      <w:r>
        <w:rPr>
          <w:rFonts w:eastAsia="Times New Roman"/>
          <w:i/>
          <w:iCs/>
          <w:color w:val="000000"/>
          <w:sz w:val="20"/>
          <w:szCs w:val="20"/>
        </w:rPr>
        <w:t>Recently issued accounting standards.</w:t>
      </w:r>
      <w:r>
        <w:rPr>
          <w:rFonts w:eastAsia="Times New Roman"/>
          <w:color w:val="000000"/>
          <w:sz w:val="20"/>
          <w:szCs w:val="20"/>
        </w:rPr>
        <w:t>    This section discusses the potential impact on our reported results o</w:t>
      </w:r>
      <w:r>
        <w:rPr>
          <w:rFonts w:eastAsia="Times New Roman"/>
          <w:color w:val="000000"/>
          <w:sz w:val="20"/>
          <w:szCs w:val="20"/>
        </w:rPr>
        <w:t>f operations and financial condition of certain accounting standards that have been recently issued.</w:t>
      </w:r>
    </w:p>
    <w:p w14:paraId="29B18454" w14:textId="77777777" w:rsidR="00000000" w:rsidRDefault="00EE5306">
      <w:pPr>
        <w:divId w:val="1106072668"/>
        <w:rPr>
          <w:rFonts w:eastAsia="Times New Roman"/>
        </w:rPr>
      </w:pPr>
      <w:r>
        <w:rPr>
          <w:rFonts w:eastAsia="Times New Roman"/>
          <w:b/>
          <w:bCs/>
          <w:color w:val="000000"/>
          <w:sz w:val="20"/>
          <w:szCs w:val="20"/>
        </w:rPr>
        <w:t>OVERVIEW</w:t>
      </w:r>
    </w:p>
    <w:p w14:paraId="1A2E584B" w14:textId="77777777" w:rsidR="00000000" w:rsidRDefault="00EE5306">
      <w:pPr>
        <w:ind w:firstLine="360"/>
        <w:jc w:val="both"/>
        <w:divId w:val="1655447103"/>
        <w:rPr>
          <w:rFonts w:eastAsia="Times New Roman"/>
        </w:rPr>
      </w:pPr>
      <w:r>
        <w:rPr>
          <w:rFonts w:eastAsia="Times New Roman"/>
          <w:b/>
          <w:bCs/>
          <w:i/>
          <w:iCs/>
          <w:color w:val="000000"/>
          <w:sz w:val="20"/>
          <w:szCs w:val="20"/>
        </w:rPr>
        <w:t>Our Business</w:t>
      </w:r>
    </w:p>
    <w:p w14:paraId="7EFDFD8C" w14:textId="77777777" w:rsidR="00000000" w:rsidRDefault="00EE5306">
      <w:pPr>
        <w:ind w:firstLine="540"/>
        <w:jc w:val="both"/>
        <w:divId w:val="1608544723"/>
        <w:rPr>
          <w:rFonts w:eastAsia="Times New Roman"/>
        </w:rPr>
      </w:pPr>
      <w:r>
        <w:rPr>
          <w:rFonts w:eastAsia="Times New Roman"/>
          <w:color w:val="000000"/>
          <w:sz w:val="20"/>
          <w:szCs w:val="20"/>
        </w:rPr>
        <w:t>Our Company is a global leader in the design, marketing, and distribution of premium lifestyle products, including apparel, footwear,</w:t>
      </w:r>
      <w:r>
        <w:rPr>
          <w:rFonts w:eastAsia="Times New Roman"/>
          <w:color w:val="000000"/>
          <w:sz w:val="20"/>
          <w:szCs w:val="20"/>
        </w:rPr>
        <w:t xml:space="preserve"> accessories, home furnishings, fragrances, and hospitality. Our long-standing reputation and distinctive image have been developed across an expanding number of products, brands, sales channels, and international markets. Our brand names include Ralph Lau</w:t>
      </w:r>
      <w:r>
        <w:rPr>
          <w:rFonts w:eastAsia="Times New Roman"/>
          <w:color w:val="000000"/>
          <w:sz w:val="20"/>
          <w:szCs w:val="20"/>
        </w:rPr>
        <w:t>ren, Ralph Lauren Collection, Ralph Lauren Purple Label, Polo Ralph Lauren, Double RL, Lauren Ralph Lauren, Polo Ralph Lauren Children, Chaps, and Club Monaco, among others.</w:t>
      </w:r>
    </w:p>
    <w:p w14:paraId="70F4EEEC" w14:textId="77777777" w:rsidR="00000000" w:rsidRDefault="00EE5306">
      <w:pPr>
        <w:ind w:firstLine="540"/>
        <w:jc w:val="both"/>
        <w:divId w:val="1670670805"/>
        <w:rPr>
          <w:rFonts w:eastAsia="Times New Roman"/>
        </w:rPr>
      </w:pPr>
      <w:r>
        <w:rPr>
          <w:rFonts w:eastAsia="Times New Roman"/>
          <w:color w:val="000000"/>
          <w:sz w:val="20"/>
          <w:szCs w:val="20"/>
        </w:rPr>
        <w:t xml:space="preserve">We diversify our business by geography (North America, Europe, and Asia, among other regions) and channel of distribution (retail, wholesale, and licensing). This allows us to maintain a dynamic balance as our operating results do not depend solely on the </w:t>
      </w:r>
      <w:r>
        <w:rPr>
          <w:rFonts w:eastAsia="Times New Roman"/>
          <w:color w:val="000000"/>
          <w:sz w:val="20"/>
          <w:szCs w:val="20"/>
        </w:rPr>
        <w:t>performance of any single geographic area or channel of distribution. We sell directly to consumers through our integrated retail channel, which includes our retail stores, concession-based shop-within-shops, and digital commerce operations around the worl</w:t>
      </w:r>
      <w:r>
        <w:rPr>
          <w:rFonts w:eastAsia="Times New Roman"/>
          <w:color w:val="000000"/>
          <w:sz w:val="20"/>
          <w:szCs w:val="20"/>
        </w:rPr>
        <w:t>d. Our wholesale sales are made principally to major department stores, specialty stores, and third-party digital partners around the world, as well as to certain third-party-owned stores to which we have licensed the right to operate in defined geographic</w:t>
      </w:r>
      <w:r>
        <w:rPr>
          <w:rFonts w:eastAsia="Times New Roman"/>
          <w:color w:val="000000"/>
          <w:sz w:val="20"/>
          <w:szCs w:val="20"/>
        </w:rPr>
        <w:t xml:space="preserve"> territories using our trademarks. In addition, we license to third parties for specified periods the right to access our various trademarks in connection with the licensees' manufacture and sale of designated products, such as certain apparel, eyewear, fr</w:t>
      </w:r>
      <w:r>
        <w:rPr>
          <w:rFonts w:eastAsia="Times New Roman"/>
          <w:color w:val="000000"/>
          <w:sz w:val="20"/>
          <w:szCs w:val="20"/>
        </w:rPr>
        <w:t>agrances, and home furnishings.</w:t>
      </w:r>
    </w:p>
    <w:p w14:paraId="7F7ED8BB" w14:textId="77777777" w:rsidR="00000000" w:rsidRDefault="00EE5306">
      <w:pPr>
        <w:ind w:firstLine="540"/>
        <w:jc w:val="both"/>
        <w:divId w:val="754474356"/>
        <w:rPr>
          <w:rFonts w:eastAsia="Times New Roman"/>
        </w:rPr>
      </w:pPr>
      <w:r>
        <w:rPr>
          <w:rFonts w:eastAsia="Times New Roman"/>
          <w:color w:val="000000"/>
          <w:sz w:val="20"/>
          <w:szCs w:val="20"/>
        </w:rPr>
        <w:t xml:space="preserve">We organize our business into the following three reportable segments: </w:t>
      </w:r>
    </w:p>
    <w:p w14:paraId="404D67A8" w14:textId="77777777" w:rsidR="00000000" w:rsidRDefault="00EE5306">
      <w:pPr>
        <w:ind w:hanging="360"/>
        <w:jc w:val="both"/>
        <w:divId w:val="1127433464"/>
        <w:rPr>
          <w:rFonts w:eastAsia="Times New Roman"/>
        </w:rPr>
      </w:pPr>
      <w:r>
        <w:rPr>
          <w:rFonts w:eastAsia="Times New Roman"/>
          <w:color w:val="000000"/>
          <w:sz w:val="20"/>
          <w:szCs w:val="20"/>
        </w:rPr>
        <w:t>•</w:t>
      </w:r>
      <w:r>
        <w:rPr>
          <w:rFonts w:eastAsia="Times New Roman"/>
          <w:i/>
          <w:iCs/>
          <w:color w:val="000000"/>
          <w:sz w:val="20"/>
          <w:szCs w:val="20"/>
        </w:rPr>
        <w:t xml:space="preserve">North America </w:t>
      </w:r>
      <w:r>
        <w:rPr>
          <w:rFonts w:eastAsia="Times New Roman"/>
          <w:color w:val="000000"/>
          <w:sz w:val="20"/>
          <w:szCs w:val="20"/>
        </w:rPr>
        <w:t xml:space="preserve">— </w:t>
      </w:r>
      <w:r>
        <w:rPr>
          <w:rFonts w:eastAsia="Times New Roman"/>
          <w:color w:val="000000"/>
          <w:sz w:val="20"/>
          <w:szCs w:val="20"/>
        </w:rPr>
        <w:t>Our North America segment, representing approximately 45% of our Fiscal 2021 net revenues, primarily consists of sales of our Ralph Lauren branded products made through our retail and wholesale businesses in the U.S. and Canada, excluding Club Monaco. In N</w:t>
      </w:r>
      <w:r>
        <w:rPr>
          <w:rFonts w:eastAsia="Times New Roman"/>
          <w:color w:val="000000"/>
          <w:sz w:val="20"/>
          <w:szCs w:val="20"/>
        </w:rPr>
        <w:t>orth America, our retail business is primarily comprised of our Ralph Lauren stores, our factory stores, and our digital commerce site, www.RalphLauren.com. Our wholesale business in North America is comprised primarily of sales to department stores, and t</w:t>
      </w:r>
      <w:r>
        <w:rPr>
          <w:rFonts w:eastAsia="Times New Roman"/>
          <w:color w:val="000000"/>
          <w:sz w:val="20"/>
          <w:szCs w:val="20"/>
        </w:rPr>
        <w:t>o a lesser extent, specialty stores.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7EBE18AB" w14:textId="77777777">
        <w:trPr>
          <w:divId w:val="1352031763"/>
          <w:jc w:val="center"/>
        </w:trPr>
        <w:tc>
          <w:tcPr>
            <w:tcW w:w="50" w:type="pct"/>
            <w:vAlign w:val="center"/>
            <w:hideMark/>
          </w:tcPr>
          <w:p w14:paraId="748E7D42" w14:textId="77777777" w:rsidR="00000000" w:rsidRDefault="00EE5306">
            <w:pPr>
              <w:ind w:hanging="360"/>
              <w:jc w:val="both"/>
              <w:rPr>
                <w:rFonts w:eastAsia="Times New Roman"/>
              </w:rPr>
            </w:pPr>
          </w:p>
        </w:tc>
        <w:tc>
          <w:tcPr>
            <w:tcW w:w="1699" w:type="pct"/>
            <w:vAlign w:val="center"/>
            <w:hideMark/>
          </w:tcPr>
          <w:p w14:paraId="19683607" w14:textId="77777777" w:rsidR="00000000" w:rsidRDefault="00EE5306">
            <w:pPr>
              <w:spacing w:after="100"/>
              <w:rPr>
                <w:rFonts w:eastAsia="Times New Roman"/>
                <w:sz w:val="20"/>
                <w:szCs w:val="20"/>
              </w:rPr>
            </w:pPr>
          </w:p>
        </w:tc>
        <w:tc>
          <w:tcPr>
            <w:tcW w:w="5" w:type="pct"/>
            <w:vAlign w:val="center"/>
            <w:hideMark/>
          </w:tcPr>
          <w:p w14:paraId="4DED777E" w14:textId="77777777" w:rsidR="00000000" w:rsidRDefault="00EE5306">
            <w:pPr>
              <w:spacing w:after="100"/>
              <w:rPr>
                <w:rFonts w:eastAsia="Times New Roman"/>
                <w:sz w:val="20"/>
                <w:szCs w:val="20"/>
              </w:rPr>
            </w:pPr>
          </w:p>
        </w:tc>
        <w:tc>
          <w:tcPr>
            <w:tcW w:w="50" w:type="pct"/>
            <w:vAlign w:val="center"/>
            <w:hideMark/>
          </w:tcPr>
          <w:p w14:paraId="2A0E0B85" w14:textId="77777777" w:rsidR="00000000" w:rsidRDefault="00EE5306">
            <w:pPr>
              <w:spacing w:after="100"/>
              <w:rPr>
                <w:rFonts w:eastAsia="Times New Roman"/>
                <w:sz w:val="20"/>
                <w:szCs w:val="20"/>
              </w:rPr>
            </w:pPr>
          </w:p>
        </w:tc>
        <w:tc>
          <w:tcPr>
            <w:tcW w:w="1436" w:type="pct"/>
            <w:vAlign w:val="center"/>
            <w:hideMark/>
          </w:tcPr>
          <w:p w14:paraId="77DCB29F" w14:textId="77777777" w:rsidR="00000000" w:rsidRDefault="00EE5306">
            <w:pPr>
              <w:spacing w:after="100"/>
              <w:rPr>
                <w:rFonts w:eastAsia="Times New Roman"/>
                <w:sz w:val="20"/>
                <w:szCs w:val="20"/>
              </w:rPr>
            </w:pPr>
          </w:p>
        </w:tc>
        <w:tc>
          <w:tcPr>
            <w:tcW w:w="5" w:type="pct"/>
            <w:vAlign w:val="center"/>
            <w:hideMark/>
          </w:tcPr>
          <w:p w14:paraId="68BD7EA3" w14:textId="77777777" w:rsidR="00000000" w:rsidRDefault="00EE5306">
            <w:pPr>
              <w:spacing w:after="100"/>
              <w:rPr>
                <w:rFonts w:eastAsia="Times New Roman"/>
                <w:sz w:val="20"/>
                <w:szCs w:val="20"/>
              </w:rPr>
            </w:pPr>
          </w:p>
        </w:tc>
        <w:tc>
          <w:tcPr>
            <w:tcW w:w="50" w:type="pct"/>
            <w:vAlign w:val="center"/>
            <w:hideMark/>
          </w:tcPr>
          <w:p w14:paraId="48B01D3D" w14:textId="77777777" w:rsidR="00000000" w:rsidRDefault="00EE5306">
            <w:pPr>
              <w:spacing w:after="100"/>
              <w:rPr>
                <w:rFonts w:eastAsia="Times New Roman"/>
                <w:sz w:val="20"/>
                <w:szCs w:val="20"/>
              </w:rPr>
            </w:pPr>
          </w:p>
        </w:tc>
        <w:tc>
          <w:tcPr>
            <w:tcW w:w="1699" w:type="pct"/>
            <w:vAlign w:val="center"/>
            <w:hideMark/>
          </w:tcPr>
          <w:p w14:paraId="275E87D3" w14:textId="77777777" w:rsidR="00000000" w:rsidRDefault="00EE5306">
            <w:pPr>
              <w:spacing w:after="100"/>
              <w:rPr>
                <w:rFonts w:eastAsia="Times New Roman"/>
                <w:sz w:val="20"/>
                <w:szCs w:val="20"/>
              </w:rPr>
            </w:pPr>
          </w:p>
        </w:tc>
        <w:tc>
          <w:tcPr>
            <w:tcW w:w="5" w:type="pct"/>
            <w:vAlign w:val="center"/>
            <w:hideMark/>
          </w:tcPr>
          <w:p w14:paraId="708D7B3F" w14:textId="77777777" w:rsidR="00000000" w:rsidRDefault="00EE5306">
            <w:pPr>
              <w:spacing w:after="100"/>
              <w:rPr>
                <w:rFonts w:eastAsia="Times New Roman"/>
                <w:sz w:val="20"/>
                <w:szCs w:val="20"/>
              </w:rPr>
            </w:pPr>
          </w:p>
        </w:tc>
      </w:tr>
      <w:tr w:rsidR="00000000" w14:paraId="2CE8E2FD" w14:textId="77777777">
        <w:trPr>
          <w:divId w:val="1352031763"/>
          <w:jc w:val="center"/>
        </w:trPr>
        <w:tc>
          <w:tcPr>
            <w:tcW w:w="0" w:type="auto"/>
            <w:gridSpan w:val="3"/>
            <w:tcMar>
              <w:top w:w="0" w:type="dxa"/>
              <w:left w:w="20" w:type="dxa"/>
              <w:bottom w:w="0" w:type="dxa"/>
              <w:right w:w="20" w:type="dxa"/>
            </w:tcMar>
            <w:vAlign w:val="center"/>
            <w:hideMark/>
          </w:tcPr>
          <w:p w14:paraId="5DC550D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BAC6D4" w14:textId="77777777" w:rsidR="00000000" w:rsidRDefault="00EE5306">
            <w:pPr>
              <w:spacing w:after="100"/>
              <w:jc w:val="center"/>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14:paraId="196AAFD9" w14:textId="77777777" w:rsidR="00000000" w:rsidRDefault="00EE5306">
            <w:pPr>
              <w:spacing w:after="100"/>
              <w:jc w:val="center"/>
              <w:rPr>
                <w:rFonts w:eastAsia="Times New Roman"/>
              </w:rPr>
            </w:pPr>
          </w:p>
        </w:tc>
      </w:tr>
    </w:tbl>
    <w:p w14:paraId="7D58BE80" w14:textId="77777777" w:rsidR="00000000" w:rsidRDefault="00EE5306">
      <w:pPr>
        <w:rPr>
          <w:rFonts w:eastAsia="Times New Roman"/>
        </w:rPr>
      </w:pPr>
      <w:r>
        <w:rPr>
          <w:rFonts w:eastAsia="Times New Roman"/>
        </w:rPr>
        <w:pict w14:anchorId="750941EF">
          <v:rect id="_x0000_i1070" style="width:0;height:1.5pt" o:hralign="center" o:hrstd="t" o:hr="t" fillcolor="#a0a0a0" stroked="f"/>
        </w:pict>
      </w:r>
    </w:p>
    <w:p w14:paraId="5091365A" w14:textId="77777777" w:rsidR="00000000" w:rsidRDefault="00EE5306">
      <w:pPr>
        <w:divId w:val="87773617"/>
        <w:rPr>
          <w:rFonts w:eastAsia="Times New Roman"/>
        </w:rPr>
      </w:pPr>
    </w:p>
    <w:p w14:paraId="6DDEEC4A" w14:textId="77777777" w:rsidR="00000000" w:rsidRDefault="00EE5306">
      <w:pPr>
        <w:ind w:hanging="360"/>
        <w:jc w:val="both"/>
        <w:divId w:val="2062055315"/>
        <w:rPr>
          <w:rFonts w:eastAsia="Times New Roman"/>
        </w:rPr>
      </w:pPr>
      <w:r>
        <w:rPr>
          <w:rFonts w:eastAsia="Times New Roman"/>
          <w:i/>
          <w:iCs/>
          <w:color w:val="000000"/>
          <w:sz w:val="20"/>
          <w:szCs w:val="20"/>
        </w:rPr>
        <w:t xml:space="preserve">•Europe </w:t>
      </w:r>
      <w:r>
        <w:rPr>
          <w:rFonts w:eastAsia="Times New Roman"/>
          <w:color w:val="000000"/>
          <w:sz w:val="20"/>
          <w:szCs w:val="20"/>
        </w:rPr>
        <w:t>— Our Europe segment, representing approximately 27% of our Fiscal 2021 net revenues, primarily consists of sales of our Ralph Lauren branded products made through our retail and wholesale businesses in Europe,</w:t>
      </w:r>
      <w:r>
        <w:rPr>
          <w:rFonts w:eastAsia="Times New Roman"/>
          <w:color w:val="000000"/>
          <w:sz w:val="20"/>
          <w:szCs w:val="20"/>
        </w:rPr>
        <w:t xml:space="preserve"> the Middle East, and Latin America, excluding Club Monaco. In Europe, our retail business is primarily comprised of our Ralph Lauren stores, our factory stores, our concession-based shop-within-shops, and our various digital commerce sites. Our wholesale </w:t>
      </w:r>
      <w:r>
        <w:rPr>
          <w:rFonts w:eastAsia="Times New Roman"/>
          <w:color w:val="000000"/>
          <w:sz w:val="20"/>
          <w:szCs w:val="20"/>
        </w:rPr>
        <w:t>business in Europe is comprised of a varying mix of sales to both department stores and specialty stores, depending on the country, as well as to various third-party digital partners.</w:t>
      </w:r>
    </w:p>
    <w:p w14:paraId="1C1BCBAB" w14:textId="77777777" w:rsidR="00000000" w:rsidRDefault="00EE5306">
      <w:pPr>
        <w:ind w:hanging="360"/>
        <w:jc w:val="both"/>
        <w:divId w:val="1758289621"/>
        <w:rPr>
          <w:rFonts w:eastAsia="Times New Roman"/>
        </w:rPr>
      </w:pPr>
      <w:r>
        <w:rPr>
          <w:rFonts w:eastAsia="Times New Roman"/>
          <w:color w:val="000000"/>
          <w:sz w:val="20"/>
          <w:szCs w:val="20"/>
        </w:rPr>
        <w:t>•</w:t>
      </w:r>
      <w:r>
        <w:rPr>
          <w:rFonts w:eastAsia="Times New Roman"/>
          <w:i/>
          <w:iCs/>
          <w:color w:val="000000"/>
          <w:sz w:val="20"/>
          <w:szCs w:val="20"/>
        </w:rPr>
        <w:t xml:space="preserve">Asia </w:t>
      </w:r>
      <w:r>
        <w:rPr>
          <w:rFonts w:eastAsia="Times New Roman"/>
          <w:color w:val="000000"/>
          <w:sz w:val="20"/>
          <w:szCs w:val="20"/>
        </w:rPr>
        <w:t>— Our Asia segment, representing approximately 23% of our Fiscal 2</w:t>
      </w:r>
      <w:r>
        <w:rPr>
          <w:rFonts w:eastAsia="Times New Roman"/>
          <w:color w:val="000000"/>
          <w:sz w:val="20"/>
          <w:szCs w:val="20"/>
        </w:rPr>
        <w:t>021 net revenues, primarily consists of sales of our Ralph Lauren branded products made through our retail and wholesale businesses in Asia, Australia, and New Zealand. Our retail business in Asia is primarily comprised of our Ralph Lauren stores, our fact</w:t>
      </w:r>
      <w:r>
        <w:rPr>
          <w:rFonts w:eastAsia="Times New Roman"/>
          <w:color w:val="000000"/>
          <w:sz w:val="20"/>
          <w:szCs w:val="20"/>
        </w:rPr>
        <w:t xml:space="preserve">ory stores, our concession-based shop-within-shops, and our various digital commerce sites. In addition, we sell our products online through various third-party digital partner commerce sites. Our wholesale business in Asia is comprised primarily of sales </w:t>
      </w:r>
      <w:r>
        <w:rPr>
          <w:rFonts w:eastAsia="Times New Roman"/>
          <w:color w:val="000000"/>
          <w:sz w:val="20"/>
          <w:szCs w:val="20"/>
        </w:rPr>
        <w:t>to department stores, with related products distributed through shop-within-shops.</w:t>
      </w:r>
    </w:p>
    <w:p w14:paraId="71613177" w14:textId="77777777" w:rsidR="00000000" w:rsidRDefault="00EE5306">
      <w:pPr>
        <w:ind w:firstLine="540"/>
        <w:jc w:val="both"/>
        <w:divId w:val="1111172680"/>
        <w:rPr>
          <w:rFonts w:eastAsia="Times New Roman"/>
        </w:rPr>
      </w:pPr>
      <w:r>
        <w:rPr>
          <w:rFonts w:eastAsia="Times New Roman"/>
          <w:color w:val="000000"/>
          <w:sz w:val="20"/>
          <w:szCs w:val="20"/>
        </w:rPr>
        <w:t>No operating segments were aggregated to form our reportable segments. In addition to these reportable segments, we also have other non-reportable segments, representing app</w:t>
      </w:r>
      <w:r>
        <w:rPr>
          <w:rFonts w:eastAsia="Times New Roman"/>
          <w:color w:val="000000"/>
          <w:sz w:val="20"/>
          <w:szCs w:val="20"/>
        </w:rPr>
        <w:t>roximately 5% of our Fiscal 2021 net revenues, which primarily consist of (i) sales of Club Monaco branded products made through our retail and wholesale businesses in the U.S., Canada, and Europe, and our licensing alliances in Europe and Asia, and (ii) r</w:t>
      </w:r>
      <w:r>
        <w:rPr>
          <w:rFonts w:eastAsia="Times New Roman"/>
          <w:color w:val="000000"/>
          <w:sz w:val="20"/>
          <w:szCs w:val="20"/>
        </w:rPr>
        <w:t xml:space="preserve">oyalty revenues earned through our global licensing alliances, excluding Club Monaco. As discussed in </w:t>
      </w:r>
      <w:r>
        <w:rPr>
          <w:rFonts w:eastAsia="Times New Roman"/>
          <w:i/>
          <w:iCs/>
          <w:color w:val="000000"/>
          <w:sz w:val="20"/>
          <w:szCs w:val="20"/>
        </w:rPr>
        <w:t>"Recent Developments,"</w:t>
      </w:r>
      <w:r>
        <w:rPr>
          <w:rFonts w:eastAsia="Times New Roman"/>
          <w:color w:val="000000"/>
          <w:sz w:val="20"/>
          <w:szCs w:val="20"/>
        </w:rPr>
        <w:t xml:space="preserve"> on May 13, 2021, we announced the anticipated sale of our Club Monaco business, which is expected to close by the end of the first </w:t>
      </w:r>
      <w:r>
        <w:rPr>
          <w:rFonts w:eastAsia="Times New Roman"/>
          <w:color w:val="000000"/>
          <w:sz w:val="20"/>
          <w:szCs w:val="20"/>
        </w:rPr>
        <w:t>quarter of Fiscal 2022.</w:t>
      </w:r>
    </w:p>
    <w:p w14:paraId="38B393F9" w14:textId="77777777" w:rsidR="00000000" w:rsidRDefault="00EE5306">
      <w:pPr>
        <w:ind w:firstLine="540"/>
        <w:jc w:val="both"/>
        <w:divId w:val="445739939"/>
        <w:rPr>
          <w:rFonts w:eastAsia="Times New Roman"/>
        </w:rPr>
      </w:pPr>
      <w:r>
        <w:rPr>
          <w:rFonts w:eastAsia="Times New Roman"/>
          <w:color w:val="000000"/>
          <w:sz w:val="20"/>
          <w:szCs w:val="20"/>
        </w:rPr>
        <w:t>Approximately 52% of our Fiscal 2021 net revenues were earned outside of the U.S. See Note 20 to the accompanying consolidated financial statements for further discussion of our segment reporting structure.</w:t>
      </w:r>
    </w:p>
    <w:p w14:paraId="5C40871B" w14:textId="77777777" w:rsidR="00000000" w:rsidRDefault="00EE5306">
      <w:pPr>
        <w:ind w:firstLine="540"/>
        <w:jc w:val="both"/>
        <w:divId w:val="1388190020"/>
        <w:rPr>
          <w:rFonts w:eastAsia="Times New Roman"/>
        </w:rPr>
      </w:pPr>
      <w:r>
        <w:rPr>
          <w:rFonts w:eastAsia="Times New Roman"/>
          <w:color w:val="000000"/>
          <w:sz w:val="20"/>
          <w:szCs w:val="20"/>
        </w:rPr>
        <w:t>Our business is typically</w:t>
      </w:r>
      <w:r>
        <w:rPr>
          <w:rFonts w:eastAsia="Times New Roman"/>
          <w:color w:val="000000"/>
          <w:sz w:val="20"/>
          <w:szCs w:val="20"/>
        </w:rPr>
        <w:t xml:space="preserve"> affected by seasonal trends, with higher levels of retail sales in our second and third fiscal quarters and higher wholesale sales in our second and fourth fiscal quarters. These trends result primarily from the timing of key vacation travel, back-to-scho</w:t>
      </w:r>
      <w:r>
        <w:rPr>
          <w:rFonts w:eastAsia="Times New Roman"/>
          <w:color w:val="000000"/>
          <w:sz w:val="20"/>
          <w:szCs w:val="20"/>
        </w:rPr>
        <w:t>ol, and holiday shopping periods impacting our retail business and timing of seasonal wholesale shipments. As a result of changes in our business, consumer spending patterns, and the macroeconomic environment, including those resulting from pandemic diseas</w:t>
      </w:r>
      <w:r>
        <w:rPr>
          <w:rFonts w:eastAsia="Times New Roman"/>
          <w:color w:val="000000"/>
          <w:sz w:val="20"/>
          <w:szCs w:val="20"/>
        </w:rPr>
        <w:t>es and other catastrophic events, historical quarterly operating trends and working capital requirements may not be indicative of our future performance. In addition, fluctuations in sales, operating income, and cash flows in any fiscal quarter may be affe</w:t>
      </w:r>
      <w:r>
        <w:rPr>
          <w:rFonts w:eastAsia="Times New Roman"/>
          <w:color w:val="000000"/>
          <w:sz w:val="20"/>
          <w:szCs w:val="20"/>
        </w:rPr>
        <w:t>cted by other events affecting retail sales, such as changes in weather patterns.</w:t>
      </w:r>
    </w:p>
    <w:p w14:paraId="328BF3DF" w14:textId="77777777" w:rsidR="00000000" w:rsidRDefault="00EE5306">
      <w:pPr>
        <w:ind w:firstLine="360"/>
        <w:jc w:val="both"/>
        <w:divId w:val="1262567636"/>
        <w:rPr>
          <w:rFonts w:eastAsia="Times New Roman"/>
        </w:rPr>
      </w:pPr>
      <w:r>
        <w:rPr>
          <w:rFonts w:eastAsia="Times New Roman"/>
          <w:b/>
          <w:bCs/>
          <w:i/>
          <w:iCs/>
          <w:color w:val="000000"/>
          <w:sz w:val="20"/>
          <w:szCs w:val="20"/>
        </w:rPr>
        <w:t>Recent Developments</w:t>
      </w:r>
    </w:p>
    <w:p w14:paraId="3E177C6A" w14:textId="77777777" w:rsidR="00000000" w:rsidRDefault="00EE5306">
      <w:pPr>
        <w:ind w:firstLine="360"/>
        <w:jc w:val="both"/>
        <w:divId w:val="386149264"/>
        <w:rPr>
          <w:rFonts w:eastAsia="Times New Roman"/>
        </w:rPr>
      </w:pPr>
      <w:r>
        <w:rPr>
          <w:rFonts w:eastAsia="Times New Roman"/>
          <w:i/>
          <w:iCs/>
          <w:color w:val="000000"/>
          <w:sz w:val="20"/>
          <w:szCs w:val="20"/>
        </w:rPr>
        <w:t>COVID-19 Pandemic</w:t>
      </w:r>
    </w:p>
    <w:p w14:paraId="260CD683" w14:textId="77777777" w:rsidR="00000000" w:rsidRDefault="00EE5306">
      <w:pPr>
        <w:ind w:firstLine="540"/>
        <w:jc w:val="both"/>
        <w:divId w:val="900675611"/>
        <w:rPr>
          <w:rFonts w:eastAsia="Times New Roman"/>
        </w:rPr>
      </w:pPr>
      <w:r>
        <w:rPr>
          <w:rFonts w:eastAsia="Times New Roman"/>
          <w:color w:val="000000"/>
          <w:sz w:val="20"/>
          <w:szCs w:val="20"/>
        </w:rPr>
        <w:t>Beginning in the fourth quarter of Fiscal 2020, a novel strain of coronavirus commonly referred to as COVID-19 emerged and spread rapidl</w:t>
      </w:r>
      <w:r>
        <w:rPr>
          <w:rFonts w:eastAsia="Times New Roman"/>
          <w:color w:val="000000"/>
          <w:sz w:val="20"/>
          <w:szCs w:val="20"/>
        </w:rPr>
        <w:t>y across the globe, including throughout all major geographies in which we operate (North America, Europe, and Asia), resulting in adverse economic conditions and business disruptions, as well as significant volatility in global financial markets. Governme</w:t>
      </w:r>
      <w:r>
        <w:rPr>
          <w:rFonts w:eastAsia="Times New Roman"/>
          <w:color w:val="000000"/>
          <w:sz w:val="20"/>
          <w:szCs w:val="20"/>
        </w:rPr>
        <w:t>nts worldwide have imposed varying degrees of preventative and protective actions, such as temporary travel bans, forced business closures, and stay-at-home orders, all in an effort to reduce the spread of the virus. Such factors, among others, have result</w:t>
      </w:r>
      <w:r>
        <w:rPr>
          <w:rFonts w:eastAsia="Times New Roman"/>
          <w:color w:val="000000"/>
          <w:sz w:val="20"/>
          <w:szCs w:val="20"/>
        </w:rPr>
        <w:t>ed in a significant decline in retail traffic, tourism, and consumer spending on discretionary items. Additionally, during this period of uncertainty, companies across a wide array of industries have implemented various initiatives to reduce operating expe</w:t>
      </w:r>
      <w:r>
        <w:rPr>
          <w:rFonts w:eastAsia="Times New Roman"/>
          <w:color w:val="000000"/>
          <w:sz w:val="20"/>
          <w:szCs w:val="20"/>
        </w:rPr>
        <w:t>nses and preserve cash balances, including work furloughs, reduced pay, and severance actions, which could lower consumers' disposable income levels or willingness to purchase discretionary items. Further, even after such government restrictions and compan</w:t>
      </w:r>
      <w:r>
        <w:rPr>
          <w:rFonts w:eastAsia="Times New Roman"/>
          <w:color w:val="000000"/>
          <w:sz w:val="20"/>
          <w:szCs w:val="20"/>
        </w:rPr>
        <w:t>y initiatives are lifted, consumer behavior, spending levels, and/or shopping preferences, such as willingness to congregate in indoor shopping centers or other populated locations, could be adversely affected.</w:t>
      </w:r>
    </w:p>
    <w:p w14:paraId="558E178F" w14:textId="77777777" w:rsidR="00000000" w:rsidRDefault="00EE5306">
      <w:pPr>
        <w:ind w:firstLine="540"/>
        <w:jc w:val="both"/>
        <w:divId w:val="1822581708"/>
        <w:rPr>
          <w:rFonts w:eastAsia="Times New Roman"/>
        </w:rPr>
      </w:pPr>
      <w:r>
        <w:rPr>
          <w:rFonts w:eastAsia="Times New Roman"/>
          <w:color w:val="000000"/>
          <w:sz w:val="20"/>
          <w:szCs w:val="20"/>
        </w:rPr>
        <w:t>As a result of the COVID-19 pandemic, we have</w:t>
      </w:r>
      <w:r>
        <w:rPr>
          <w:rFonts w:eastAsia="Times New Roman"/>
          <w:color w:val="000000"/>
          <w:sz w:val="20"/>
          <w:szCs w:val="20"/>
        </w:rPr>
        <w:t xml:space="preserve"> experienced varying degrees of business disruptions and periods of closure of our stores, distribution centers, and corporate facilities, as have our wholesale customers, licensing partners, suppliers, and vendors. During the first quarter of Fiscal 2021,</w:t>
      </w:r>
      <w:r>
        <w:rPr>
          <w:rFonts w:eastAsia="Times New Roman"/>
          <w:color w:val="000000"/>
          <w:sz w:val="20"/>
          <w:szCs w:val="20"/>
        </w:rPr>
        <w:t xml:space="preserve"> the majority of our stores in key markets were closed for an average of 8 to 10 weeks due to government-mandated lockdowns and other restrictions, resulting in significant adverse impacts to our operating results. Resurgences in certain parts of the world</w:t>
      </w:r>
      <w:r>
        <w:rPr>
          <w:rFonts w:eastAsia="Times New Roman"/>
          <w:color w:val="000000"/>
          <w:sz w:val="20"/>
          <w:szCs w:val="20"/>
        </w:rPr>
        <w:t xml:space="preserve"> resulted in further business disruptions periodically throughout Fiscal 2021, most notably in Europe where a significant number of our stores were closed for approximately two to three months during the second half of Fiscal 2021, including during the hol</w:t>
      </w:r>
      <w:r>
        <w:rPr>
          <w:rFonts w:eastAsia="Times New Roman"/>
          <w:color w:val="000000"/>
          <w:sz w:val="20"/>
          <w:szCs w:val="20"/>
        </w:rPr>
        <w:t>iday period, due to government-mandated lockdowns and other restrictions. Such disruptions have continued into the first quarter of Fiscal 2022, impacting not only our businesses in Europe but also in other regions of the world (notably our retail operatio</w:t>
      </w:r>
      <w:r>
        <w:rPr>
          <w:rFonts w:eastAsia="Times New Roman"/>
          <w:color w:val="000000"/>
          <w:sz w:val="20"/>
          <w:szCs w:val="20"/>
        </w:rPr>
        <w:t xml:space="preserve">ns in Japan and our sourcing operations in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79231C2D" w14:textId="77777777">
        <w:trPr>
          <w:divId w:val="711004326"/>
          <w:jc w:val="center"/>
        </w:trPr>
        <w:tc>
          <w:tcPr>
            <w:tcW w:w="50" w:type="pct"/>
            <w:vAlign w:val="center"/>
            <w:hideMark/>
          </w:tcPr>
          <w:p w14:paraId="472ABD17" w14:textId="77777777" w:rsidR="00000000" w:rsidRDefault="00EE5306">
            <w:pPr>
              <w:ind w:firstLine="540"/>
              <w:jc w:val="both"/>
              <w:rPr>
                <w:rFonts w:eastAsia="Times New Roman"/>
              </w:rPr>
            </w:pPr>
          </w:p>
        </w:tc>
        <w:tc>
          <w:tcPr>
            <w:tcW w:w="1699" w:type="pct"/>
            <w:vAlign w:val="center"/>
            <w:hideMark/>
          </w:tcPr>
          <w:p w14:paraId="4DA4E3A9" w14:textId="77777777" w:rsidR="00000000" w:rsidRDefault="00EE5306">
            <w:pPr>
              <w:spacing w:after="100"/>
              <w:rPr>
                <w:rFonts w:eastAsia="Times New Roman"/>
                <w:sz w:val="20"/>
                <w:szCs w:val="20"/>
              </w:rPr>
            </w:pPr>
          </w:p>
        </w:tc>
        <w:tc>
          <w:tcPr>
            <w:tcW w:w="5" w:type="pct"/>
            <w:vAlign w:val="center"/>
            <w:hideMark/>
          </w:tcPr>
          <w:p w14:paraId="49BEAF19" w14:textId="77777777" w:rsidR="00000000" w:rsidRDefault="00EE5306">
            <w:pPr>
              <w:spacing w:after="100"/>
              <w:rPr>
                <w:rFonts w:eastAsia="Times New Roman"/>
                <w:sz w:val="20"/>
                <w:szCs w:val="20"/>
              </w:rPr>
            </w:pPr>
          </w:p>
        </w:tc>
        <w:tc>
          <w:tcPr>
            <w:tcW w:w="50" w:type="pct"/>
            <w:vAlign w:val="center"/>
            <w:hideMark/>
          </w:tcPr>
          <w:p w14:paraId="335030B8" w14:textId="77777777" w:rsidR="00000000" w:rsidRDefault="00EE5306">
            <w:pPr>
              <w:spacing w:after="100"/>
              <w:rPr>
                <w:rFonts w:eastAsia="Times New Roman"/>
                <w:sz w:val="20"/>
                <w:szCs w:val="20"/>
              </w:rPr>
            </w:pPr>
          </w:p>
        </w:tc>
        <w:tc>
          <w:tcPr>
            <w:tcW w:w="1436" w:type="pct"/>
            <w:vAlign w:val="center"/>
            <w:hideMark/>
          </w:tcPr>
          <w:p w14:paraId="2669C622" w14:textId="77777777" w:rsidR="00000000" w:rsidRDefault="00EE5306">
            <w:pPr>
              <w:spacing w:after="100"/>
              <w:rPr>
                <w:rFonts w:eastAsia="Times New Roman"/>
                <w:sz w:val="20"/>
                <w:szCs w:val="20"/>
              </w:rPr>
            </w:pPr>
          </w:p>
        </w:tc>
        <w:tc>
          <w:tcPr>
            <w:tcW w:w="5" w:type="pct"/>
            <w:vAlign w:val="center"/>
            <w:hideMark/>
          </w:tcPr>
          <w:p w14:paraId="42E2BE2C" w14:textId="77777777" w:rsidR="00000000" w:rsidRDefault="00EE5306">
            <w:pPr>
              <w:spacing w:after="100"/>
              <w:rPr>
                <w:rFonts w:eastAsia="Times New Roman"/>
                <w:sz w:val="20"/>
                <w:szCs w:val="20"/>
              </w:rPr>
            </w:pPr>
          </w:p>
        </w:tc>
        <w:tc>
          <w:tcPr>
            <w:tcW w:w="50" w:type="pct"/>
            <w:vAlign w:val="center"/>
            <w:hideMark/>
          </w:tcPr>
          <w:p w14:paraId="0FA68431" w14:textId="77777777" w:rsidR="00000000" w:rsidRDefault="00EE5306">
            <w:pPr>
              <w:spacing w:after="100"/>
              <w:rPr>
                <w:rFonts w:eastAsia="Times New Roman"/>
                <w:sz w:val="20"/>
                <w:szCs w:val="20"/>
              </w:rPr>
            </w:pPr>
          </w:p>
        </w:tc>
        <w:tc>
          <w:tcPr>
            <w:tcW w:w="1699" w:type="pct"/>
            <w:vAlign w:val="center"/>
            <w:hideMark/>
          </w:tcPr>
          <w:p w14:paraId="0229F5FD" w14:textId="77777777" w:rsidR="00000000" w:rsidRDefault="00EE5306">
            <w:pPr>
              <w:spacing w:after="100"/>
              <w:rPr>
                <w:rFonts w:eastAsia="Times New Roman"/>
                <w:sz w:val="20"/>
                <w:szCs w:val="20"/>
              </w:rPr>
            </w:pPr>
          </w:p>
        </w:tc>
        <w:tc>
          <w:tcPr>
            <w:tcW w:w="5" w:type="pct"/>
            <w:vAlign w:val="center"/>
            <w:hideMark/>
          </w:tcPr>
          <w:p w14:paraId="1ECEA881" w14:textId="77777777" w:rsidR="00000000" w:rsidRDefault="00EE5306">
            <w:pPr>
              <w:spacing w:after="100"/>
              <w:rPr>
                <w:rFonts w:eastAsia="Times New Roman"/>
                <w:sz w:val="20"/>
                <w:szCs w:val="20"/>
              </w:rPr>
            </w:pPr>
          </w:p>
        </w:tc>
      </w:tr>
      <w:tr w:rsidR="00000000" w14:paraId="79F72B2A" w14:textId="77777777">
        <w:trPr>
          <w:divId w:val="711004326"/>
          <w:jc w:val="center"/>
        </w:trPr>
        <w:tc>
          <w:tcPr>
            <w:tcW w:w="0" w:type="auto"/>
            <w:gridSpan w:val="3"/>
            <w:tcMar>
              <w:top w:w="0" w:type="dxa"/>
              <w:left w:w="20" w:type="dxa"/>
              <w:bottom w:w="0" w:type="dxa"/>
              <w:right w:w="20" w:type="dxa"/>
            </w:tcMar>
            <w:vAlign w:val="center"/>
            <w:hideMark/>
          </w:tcPr>
          <w:p w14:paraId="52FCEDD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C3D6F47" w14:textId="77777777" w:rsidR="00000000" w:rsidRDefault="00EE5306">
            <w:pPr>
              <w:spacing w:after="100"/>
              <w:jc w:val="center"/>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14:paraId="6BE2E1A3" w14:textId="77777777" w:rsidR="00000000" w:rsidRDefault="00EE5306">
            <w:pPr>
              <w:spacing w:after="100"/>
              <w:jc w:val="center"/>
              <w:rPr>
                <w:rFonts w:eastAsia="Times New Roman"/>
              </w:rPr>
            </w:pPr>
          </w:p>
        </w:tc>
      </w:tr>
    </w:tbl>
    <w:p w14:paraId="1A3FDB54" w14:textId="77777777" w:rsidR="00000000" w:rsidRDefault="00EE5306">
      <w:pPr>
        <w:rPr>
          <w:rFonts w:eastAsia="Times New Roman"/>
        </w:rPr>
      </w:pPr>
      <w:r>
        <w:rPr>
          <w:rFonts w:eastAsia="Times New Roman"/>
        </w:rPr>
        <w:pict w14:anchorId="7F3375BE">
          <v:rect id="_x0000_i1071" style="width:0;height:1.5pt" o:hralign="center" o:hrstd="t" o:hr="t" fillcolor="#a0a0a0" stroked="f"/>
        </w:pict>
      </w:r>
    </w:p>
    <w:p w14:paraId="1ECDDCBD" w14:textId="77777777" w:rsidR="00000000" w:rsidRDefault="00EE5306">
      <w:pPr>
        <w:divId w:val="121848698"/>
        <w:rPr>
          <w:rFonts w:eastAsia="Times New Roman"/>
        </w:rPr>
      </w:pPr>
    </w:p>
    <w:p w14:paraId="5A9A137A" w14:textId="77777777" w:rsidR="00000000" w:rsidRDefault="00EE5306">
      <w:pPr>
        <w:jc w:val="both"/>
        <w:divId w:val="1971938670"/>
        <w:rPr>
          <w:rFonts w:eastAsia="Times New Roman"/>
        </w:rPr>
      </w:pPr>
      <w:r>
        <w:rPr>
          <w:rFonts w:eastAsia="Times New Roman"/>
          <w:color w:val="000000"/>
          <w:sz w:val="20"/>
          <w:szCs w:val="20"/>
        </w:rPr>
        <w:t>India). Further, the majority of our stores that are able to remain open have periodically been subject to limited operating hours and/or customer capacity levels in accordance with local health guidelines, with traffi</w:t>
      </w:r>
      <w:r>
        <w:rPr>
          <w:rFonts w:eastAsia="Times New Roman"/>
          <w:color w:val="000000"/>
          <w:sz w:val="20"/>
          <w:szCs w:val="20"/>
        </w:rPr>
        <w:t xml:space="preserve">c remaining challenged. Our wholesale and licensing businesses have also been adversely affected, particularly in North America and Europe, as a result of store closures and lower traffic and consumer demand. </w:t>
      </w:r>
    </w:p>
    <w:p w14:paraId="63EA20D6" w14:textId="77777777" w:rsidR="00000000" w:rsidRDefault="00EE5306">
      <w:pPr>
        <w:ind w:firstLine="540"/>
        <w:jc w:val="both"/>
        <w:divId w:val="1350788630"/>
        <w:rPr>
          <w:rFonts w:eastAsia="Times New Roman"/>
        </w:rPr>
      </w:pPr>
      <w:r>
        <w:rPr>
          <w:rFonts w:eastAsia="Times New Roman"/>
          <w:color w:val="000000"/>
          <w:sz w:val="20"/>
          <w:szCs w:val="20"/>
        </w:rPr>
        <w:t>Throughout the pandemic, our priority has been</w:t>
      </w:r>
      <w:r>
        <w:rPr>
          <w:rFonts w:eastAsia="Times New Roman"/>
          <w:color w:val="000000"/>
          <w:sz w:val="20"/>
          <w:szCs w:val="20"/>
        </w:rPr>
        <w:t xml:space="preserve"> to ensure the safety and well-being of our employees, customers, and the communities in which we operate around the world. We continue to consider the guidance of local governments and global health organizations and have implemented new health and safety</w:t>
      </w:r>
      <w:r>
        <w:rPr>
          <w:rFonts w:eastAsia="Times New Roman"/>
          <w:color w:val="000000"/>
          <w:sz w:val="20"/>
          <w:szCs w:val="20"/>
        </w:rPr>
        <w:t xml:space="preserve"> protocols in our stores, distribution centers, and corporate facilities. We have also taken various preemptive actions to preserve cash and strengthen our liquidity position, including:</w:t>
      </w:r>
    </w:p>
    <w:p w14:paraId="27FA92B4" w14:textId="77777777" w:rsidR="00000000" w:rsidRDefault="00EE5306">
      <w:pPr>
        <w:ind w:hanging="180"/>
        <w:jc w:val="both"/>
        <w:divId w:val="107235383"/>
        <w:rPr>
          <w:rFonts w:eastAsia="Times New Roman"/>
        </w:rPr>
      </w:pPr>
      <w:r>
        <w:rPr>
          <w:rFonts w:eastAsia="Times New Roman"/>
          <w:color w:val="000000"/>
          <w:sz w:val="20"/>
          <w:szCs w:val="20"/>
        </w:rPr>
        <w:t>•amending our Global Credit Facility in May 2020 to temporarily waive</w:t>
      </w:r>
      <w:r>
        <w:rPr>
          <w:rFonts w:eastAsia="Times New Roman"/>
          <w:color w:val="000000"/>
          <w:sz w:val="20"/>
          <w:szCs w:val="20"/>
        </w:rPr>
        <w:t xml:space="preserve"> our leverage ratio requirement (see Note 11 to the accompanying consolidated financial statements);</w:t>
      </w:r>
    </w:p>
    <w:p w14:paraId="52DAB884" w14:textId="77777777" w:rsidR="00000000" w:rsidRDefault="00EE5306">
      <w:pPr>
        <w:ind w:hanging="180"/>
        <w:jc w:val="both"/>
        <w:divId w:val="2061787738"/>
        <w:rPr>
          <w:rFonts w:eastAsia="Times New Roman"/>
        </w:rPr>
      </w:pPr>
      <w:r>
        <w:rPr>
          <w:rFonts w:eastAsia="Times New Roman"/>
          <w:color w:val="000000"/>
          <w:sz w:val="20"/>
          <w:szCs w:val="20"/>
        </w:rPr>
        <w:t>•issuing $1.250 billion of unsecured senior notes in June 2020, the proceeds of which are being used for general corporate purposes, including repayment of</w:t>
      </w:r>
      <w:r>
        <w:rPr>
          <w:rFonts w:eastAsia="Times New Roman"/>
          <w:color w:val="000000"/>
          <w:sz w:val="20"/>
          <w:szCs w:val="20"/>
        </w:rPr>
        <w:t xml:space="preserve"> certain of our previously outstanding borrowings (see Note 11 to the accompanying consolidated financial statements);</w:t>
      </w:r>
    </w:p>
    <w:p w14:paraId="2BE5717A" w14:textId="77777777" w:rsidR="00000000" w:rsidRDefault="00EE5306">
      <w:pPr>
        <w:ind w:hanging="180"/>
        <w:jc w:val="both"/>
        <w:divId w:val="691031836"/>
        <w:rPr>
          <w:rFonts w:eastAsia="Times New Roman"/>
        </w:rPr>
      </w:pPr>
      <w:r>
        <w:rPr>
          <w:rFonts w:eastAsia="Times New Roman"/>
          <w:color w:val="000000"/>
          <w:sz w:val="20"/>
          <w:szCs w:val="20"/>
        </w:rPr>
        <w:t>•temporarily suspending our quarterly cash dividend and common stock repurchase program, effective beginning in the first quarter of Fisc</w:t>
      </w:r>
      <w:r>
        <w:rPr>
          <w:rFonts w:eastAsia="Times New Roman"/>
          <w:color w:val="000000"/>
          <w:sz w:val="20"/>
          <w:szCs w:val="20"/>
        </w:rPr>
        <w:t>al 2021 (see Note 16 to the accompanying consolidated financial statements);</w:t>
      </w:r>
    </w:p>
    <w:p w14:paraId="1C3F20C7" w14:textId="77777777" w:rsidR="00000000" w:rsidRDefault="00EE5306">
      <w:pPr>
        <w:ind w:hanging="180"/>
        <w:jc w:val="both"/>
        <w:divId w:val="2109958165"/>
        <w:rPr>
          <w:rFonts w:eastAsia="Times New Roman"/>
        </w:rPr>
      </w:pPr>
      <w:r>
        <w:rPr>
          <w:rFonts w:eastAsia="Times New Roman"/>
          <w:color w:val="000000"/>
          <w:sz w:val="20"/>
          <w:szCs w:val="20"/>
        </w:rPr>
        <w:t>•temporarily reducing the base compensation of our executives and senior management team, as well as our Board of Directors, for the first quarter of Fiscal 2021;</w:t>
      </w:r>
    </w:p>
    <w:p w14:paraId="3CD92266" w14:textId="77777777" w:rsidR="00000000" w:rsidRDefault="00EE5306">
      <w:pPr>
        <w:ind w:hanging="180"/>
        <w:jc w:val="both"/>
        <w:divId w:val="658273551"/>
        <w:rPr>
          <w:rFonts w:eastAsia="Times New Roman"/>
        </w:rPr>
      </w:pPr>
      <w:r>
        <w:rPr>
          <w:rFonts w:eastAsia="Times New Roman"/>
          <w:color w:val="000000"/>
          <w:sz w:val="20"/>
          <w:szCs w:val="20"/>
        </w:rPr>
        <w:t xml:space="preserve">•furloughing or </w:t>
      </w:r>
      <w:r>
        <w:rPr>
          <w:rFonts w:eastAsia="Times New Roman"/>
          <w:color w:val="000000"/>
          <w:sz w:val="20"/>
          <w:szCs w:val="20"/>
        </w:rPr>
        <w:t>reducing work hours for a significant portion of our employees during the first half of Fiscal 2021;</w:t>
      </w:r>
    </w:p>
    <w:p w14:paraId="71096E0E" w14:textId="77777777" w:rsidR="00000000" w:rsidRDefault="00EE5306">
      <w:pPr>
        <w:ind w:hanging="180"/>
        <w:jc w:val="both"/>
        <w:divId w:val="1640262576"/>
        <w:rPr>
          <w:rFonts w:eastAsia="Times New Roman"/>
        </w:rPr>
      </w:pPr>
      <w:r>
        <w:rPr>
          <w:rFonts w:eastAsia="Times New Roman"/>
          <w:color w:val="000000"/>
          <w:sz w:val="20"/>
          <w:szCs w:val="20"/>
        </w:rPr>
        <w:t>•carefully managing our expense structure across all key areas of spend, including aligning inventory levels with anticipated demand, negotiating rent abat</w:t>
      </w:r>
      <w:r>
        <w:rPr>
          <w:rFonts w:eastAsia="Times New Roman"/>
          <w:color w:val="000000"/>
          <w:sz w:val="20"/>
          <w:szCs w:val="20"/>
        </w:rPr>
        <w:t>ements with certain of our landlords, and postponing non-critical capital build-out and other investments and activities;</w:t>
      </w:r>
    </w:p>
    <w:p w14:paraId="11D00879" w14:textId="77777777" w:rsidR="00000000" w:rsidRDefault="00EE5306">
      <w:pPr>
        <w:ind w:hanging="180"/>
        <w:jc w:val="both"/>
        <w:divId w:val="1514611526"/>
        <w:rPr>
          <w:rFonts w:eastAsia="Times New Roman"/>
        </w:rPr>
      </w:pPr>
      <w:r>
        <w:rPr>
          <w:rFonts w:eastAsia="Times New Roman"/>
          <w:color w:val="000000"/>
          <w:sz w:val="20"/>
          <w:szCs w:val="20"/>
        </w:rPr>
        <w:t>•pursuing relevant government subsidy programs related to COVID-19 business disruptions; and</w:t>
      </w:r>
    </w:p>
    <w:p w14:paraId="74E1C752" w14:textId="77777777" w:rsidR="00000000" w:rsidRDefault="00EE5306">
      <w:pPr>
        <w:ind w:hanging="180"/>
        <w:jc w:val="both"/>
        <w:divId w:val="1330408454"/>
        <w:rPr>
          <w:rFonts w:eastAsia="Times New Roman"/>
        </w:rPr>
      </w:pPr>
      <w:r>
        <w:rPr>
          <w:rFonts w:eastAsia="Times New Roman"/>
          <w:color w:val="000000"/>
          <w:sz w:val="20"/>
          <w:szCs w:val="20"/>
        </w:rPr>
        <w:t>•improving upon our cash conversion cycle</w:t>
      </w:r>
      <w:r>
        <w:rPr>
          <w:rFonts w:eastAsia="Times New Roman"/>
          <w:color w:val="000000"/>
          <w:sz w:val="20"/>
          <w:szCs w:val="20"/>
        </w:rPr>
        <w:t xml:space="preserve"> largely driven by our accounts receivable collection efforts and extended vendor payment terms.</w:t>
      </w:r>
    </w:p>
    <w:p w14:paraId="14A88BEE" w14:textId="77777777" w:rsidR="00000000" w:rsidRDefault="00EE5306">
      <w:pPr>
        <w:ind w:firstLine="540"/>
        <w:jc w:val="both"/>
        <w:divId w:val="1177697156"/>
        <w:rPr>
          <w:rFonts w:eastAsia="Times New Roman"/>
        </w:rPr>
      </w:pPr>
      <w:r>
        <w:rPr>
          <w:rFonts w:eastAsia="Times New Roman"/>
          <w:color w:val="000000"/>
          <w:sz w:val="20"/>
          <w:szCs w:val="20"/>
        </w:rPr>
        <w:t>Despite the introduction of COVID-19 vaccines, the pandemic remains highly volatile and continues to evolve. Accordingly, we cannot predict for how long and to what extent the pandemic will impact our business operations or the global economy as a whole. W</w:t>
      </w:r>
      <w:r>
        <w:rPr>
          <w:rFonts w:eastAsia="Times New Roman"/>
          <w:color w:val="000000"/>
          <w:sz w:val="20"/>
          <w:szCs w:val="20"/>
        </w:rPr>
        <w:t>e will continue to assess our operations location-by-location, considering the guidance of local governments and global health organizations to determine when our operations can begin returning to normal levels of business.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w:t>
      </w:r>
      <w:r>
        <w:rPr>
          <w:rFonts w:eastAsia="Times New Roman"/>
          <w:i/>
          <w:iCs/>
          <w:color w:val="000000"/>
          <w:sz w:val="20"/>
          <w:szCs w:val="20"/>
        </w:rPr>
        <w:t xml:space="preserve">sks Related to Macroeconomic Conditions </w:t>
      </w:r>
      <w:r>
        <w:rPr>
          <w:rFonts w:eastAsia="Times New Roman"/>
          <w:color w:val="000000"/>
          <w:sz w:val="20"/>
          <w:szCs w:val="20"/>
        </w:rPr>
        <w:t>—</w:t>
      </w:r>
      <w:r>
        <w:rPr>
          <w:rFonts w:eastAsia="Times New Roman"/>
          <w:i/>
          <w:iCs/>
          <w:color w:val="000000"/>
          <w:sz w:val="20"/>
          <w:szCs w:val="20"/>
        </w:rPr>
        <w:t> Infectious disease outbreaks, such as the COVID-19 pandemic, could have a material adverse effect on our business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for additional discussion regarding risks to our business associated with the COVID-19 pandemic.</w:t>
      </w:r>
    </w:p>
    <w:p w14:paraId="210CD5BF" w14:textId="77777777" w:rsidR="00000000" w:rsidRDefault="00EE5306">
      <w:pPr>
        <w:ind w:firstLine="360"/>
        <w:jc w:val="both"/>
        <w:divId w:val="1360011233"/>
        <w:rPr>
          <w:rFonts w:eastAsia="Times New Roman"/>
        </w:rPr>
      </w:pPr>
      <w:r>
        <w:rPr>
          <w:rFonts w:eastAsia="Times New Roman"/>
          <w:i/>
          <w:iCs/>
          <w:color w:val="000000"/>
          <w:sz w:val="20"/>
          <w:szCs w:val="20"/>
        </w:rPr>
        <w:t>Fi</w:t>
      </w:r>
      <w:r>
        <w:rPr>
          <w:rFonts w:eastAsia="Times New Roman"/>
          <w:i/>
          <w:iCs/>
          <w:color w:val="000000"/>
          <w:sz w:val="20"/>
          <w:szCs w:val="20"/>
        </w:rPr>
        <w:t>scal 2021 Strategic Realignment Plan</w:t>
      </w:r>
    </w:p>
    <w:p w14:paraId="0470C147" w14:textId="77777777" w:rsidR="00000000" w:rsidRDefault="00EE5306">
      <w:pPr>
        <w:ind w:firstLine="540"/>
        <w:jc w:val="both"/>
        <w:divId w:val="334963841"/>
        <w:rPr>
          <w:rFonts w:eastAsia="Times New Roman"/>
        </w:rPr>
      </w:pPr>
      <w:r>
        <w:rPr>
          <w:rFonts w:eastAsia="Times New Roman"/>
          <w:color w:val="000000"/>
          <w:sz w:val="20"/>
          <w:szCs w:val="20"/>
        </w:rPr>
        <w:t>We have begun efforts to realign our resources to support future growth and profitability, and to create a sustainable cost structure. The key areas of our evaluation include our: (i) team organizational structures and ways of working; (ii) real estate foo</w:t>
      </w:r>
      <w:r>
        <w:rPr>
          <w:rFonts w:eastAsia="Times New Roman"/>
          <w:color w:val="000000"/>
          <w:sz w:val="20"/>
          <w:szCs w:val="20"/>
        </w:rPr>
        <w:t>tprint and related costs across corporate offices, distribution centers, and direct-to-consumer retail and wholesale doors; and (iii) brand portfolio.</w:t>
      </w:r>
    </w:p>
    <w:p w14:paraId="74B37FCE" w14:textId="77777777" w:rsidR="00000000" w:rsidRDefault="00EE5306">
      <w:pPr>
        <w:ind w:firstLine="540"/>
        <w:jc w:val="both"/>
        <w:divId w:val="1984893879"/>
        <w:rPr>
          <w:rFonts w:eastAsia="Times New Roman"/>
        </w:rPr>
      </w:pPr>
      <w:r>
        <w:rPr>
          <w:rFonts w:eastAsia="Times New Roman"/>
          <w:color w:val="000000"/>
          <w:sz w:val="20"/>
          <w:szCs w:val="20"/>
        </w:rPr>
        <w:t>In connection with the first initiative, on September 17, 2020, our Board of Directors approved a restruc</w:t>
      </w:r>
      <w:r>
        <w:rPr>
          <w:rFonts w:eastAsia="Times New Roman"/>
          <w:color w:val="000000"/>
          <w:sz w:val="20"/>
          <w:szCs w:val="20"/>
        </w:rPr>
        <w:t xml:space="preserve">turing plan (the "Fiscal 2021 Strategic Realignment Plan") to reduce our global workforce by the end of Fiscal 2021. Additionally, during our preliminary review of our store portfolio during the second quarter of Fiscal 2021, we made the decision to close </w:t>
      </w:r>
      <w:r>
        <w:rPr>
          <w:rFonts w:eastAsia="Times New Roman"/>
          <w:color w:val="000000"/>
          <w:sz w:val="20"/>
          <w:szCs w:val="20"/>
        </w:rPr>
        <w:t xml:space="preserve">our Polo store on Regent Street in London. </w:t>
      </w:r>
    </w:p>
    <w:p w14:paraId="253AF8D3" w14:textId="77777777" w:rsidR="00000000" w:rsidRDefault="00EE5306">
      <w:pPr>
        <w:ind w:firstLine="540"/>
        <w:jc w:val="both"/>
        <w:divId w:val="1417902060"/>
        <w:rPr>
          <w:rFonts w:eastAsia="Times New Roman"/>
        </w:rPr>
      </w:pPr>
      <w:r>
        <w:rPr>
          <w:rFonts w:eastAsia="Times New Roman"/>
          <w:color w:val="000000"/>
          <w:sz w:val="20"/>
          <w:szCs w:val="20"/>
        </w:rPr>
        <w:t xml:space="preserve">On October 29, 2020, we announced the planned transition of our Chaps brand to a fully licensed business model, consistent with our long-term brand elevation strategy in connection with our third initiative (see </w:t>
      </w:r>
      <w:r>
        <w:rPr>
          <w:rFonts w:eastAsia="Times New Roman"/>
          <w:color w:val="000000"/>
          <w:sz w:val="20"/>
          <w:szCs w:val="20"/>
        </w:rPr>
        <w:t>"</w:t>
      </w:r>
      <w:r>
        <w:rPr>
          <w:rFonts w:eastAsia="Times New Roman"/>
          <w:i/>
          <w:iCs/>
          <w:color w:val="000000"/>
          <w:sz w:val="20"/>
          <w:szCs w:val="20"/>
        </w:rPr>
        <w:t xml:space="preserve">Transition of Chaps Brand to a Licensing Model" </w:t>
      </w:r>
      <w:r>
        <w:rPr>
          <w:rFonts w:eastAsia="Times New Roman"/>
          <w:color w:val="000000"/>
          <w:sz w:val="20"/>
          <w:szCs w:val="20"/>
        </w:rPr>
        <w:t xml:space="preserve">further below for additional discussion). </w:t>
      </w:r>
    </w:p>
    <w:p w14:paraId="62687B36" w14:textId="77777777" w:rsidR="00000000" w:rsidRDefault="00EE5306">
      <w:pPr>
        <w:ind w:firstLine="540"/>
        <w:jc w:val="both"/>
        <w:divId w:val="1338850771"/>
        <w:rPr>
          <w:rFonts w:eastAsia="Times New Roman"/>
        </w:rPr>
      </w:pPr>
      <w:r>
        <w:rPr>
          <w:rFonts w:eastAsia="Times New Roman"/>
          <w:color w:val="000000"/>
          <w:sz w:val="20"/>
          <w:szCs w:val="20"/>
        </w:rPr>
        <w:t>Additionally, on February 3, 2021, our Board of Directors approved additional realignment actions related to our real estate initiative. Specifically, we plan to fu</w:t>
      </w:r>
      <w:r>
        <w:rPr>
          <w:rFonts w:eastAsia="Times New Roman"/>
          <w:color w:val="000000"/>
          <w:sz w:val="20"/>
          <w:szCs w:val="20"/>
        </w:rPr>
        <w:t xml:space="preserve">rther rightsize and consolidate our global corporate offices to better align with our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A876AC6" w14:textId="77777777">
        <w:trPr>
          <w:divId w:val="1189180236"/>
          <w:jc w:val="center"/>
        </w:trPr>
        <w:tc>
          <w:tcPr>
            <w:tcW w:w="50" w:type="pct"/>
            <w:vAlign w:val="center"/>
            <w:hideMark/>
          </w:tcPr>
          <w:p w14:paraId="5D4BA82C" w14:textId="77777777" w:rsidR="00000000" w:rsidRDefault="00EE5306">
            <w:pPr>
              <w:ind w:firstLine="540"/>
              <w:jc w:val="both"/>
              <w:rPr>
                <w:rFonts w:eastAsia="Times New Roman"/>
              </w:rPr>
            </w:pPr>
          </w:p>
        </w:tc>
        <w:tc>
          <w:tcPr>
            <w:tcW w:w="1699" w:type="pct"/>
            <w:vAlign w:val="center"/>
            <w:hideMark/>
          </w:tcPr>
          <w:p w14:paraId="3A7F8CDB" w14:textId="77777777" w:rsidR="00000000" w:rsidRDefault="00EE5306">
            <w:pPr>
              <w:spacing w:after="100"/>
              <w:rPr>
                <w:rFonts w:eastAsia="Times New Roman"/>
                <w:sz w:val="20"/>
                <w:szCs w:val="20"/>
              </w:rPr>
            </w:pPr>
          </w:p>
        </w:tc>
        <w:tc>
          <w:tcPr>
            <w:tcW w:w="5" w:type="pct"/>
            <w:vAlign w:val="center"/>
            <w:hideMark/>
          </w:tcPr>
          <w:p w14:paraId="4A4B847A" w14:textId="77777777" w:rsidR="00000000" w:rsidRDefault="00EE5306">
            <w:pPr>
              <w:spacing w:after="100"/>
              <w:rPr>
                <w:rFonts w:eastAsia="Times New Roman"/>
                <w:sz w:val="20"/>
                <w:szCs w:val="20"/>
              </w:rPr>
            </w:pPr>
          </w:p>
        </w:tc>
        <w:tc>
          <w:tcPr>
            <w:tcW w:w="50" w:type="pct"/>
            <w:vAlign w:val="center"/>
            <w:hideMark/>
          </w:tcPr>
          <w:p w14:paraId="4E260AC5" w14:textId="77777777" w:rsidR="00000000" w:rsidRDefault="00EE5306">
            <w:pPr>
              <w:spacing w:after="100"/>
              <w:rPr>
                <w:rFonts w:eastAsia="Times New Roman"/>
                <w:sz w:val="20"/>
                <w:szCs w:val="20"/>
              </w:rPr>
            </w:pPr>
          </w:p>
        </w:tc>
        <w:tc>
          <w:tcPr>
            <w:tcW w:w="1436" w:type="pct"/>
            <w:vAlign w:val="center"/>
            <w:hideMark/>
          </w:tcPr>
          <w:p w14:paraId="2478083A" w14:textId="77777777" w:rsidR="00000000" w:rsidRDefault="00EE5306">
            <w:pPr>
              <w:spacing w:after="100"/>
              <w:rPr>
                <w:rFonts w:eastAsia="Times New Roman"/>
                <w:sz w:val="20"/>
                <w:szCs w:val="20"/>
              </w:rPr>
            </w:pPr>
          </w:p>
        </w:tc>
        <w:tc>
          <w:tcPr>
            <w:tcW w:w="5" w:type="pct"/>
            <w:vAlign w:val="center"/>
            <w:hideMark/>
          </w:tcPr>
          <w:p w14:paraId="2BE058B0" w14:textId="77777777" w:rsidR="00000000" w:rsidRDefault="00EE5306">
            <w:pPr>
              <w:spacing w:after="100"/>
              <w:rPr>
                <w:rFonts w:eastAsia="Times New Roman"/>
                <w:sz w:val="20"/>
                <w:szCs w:val="20"/>
              </w:rPr>
            </w:pPr>
          </w:p>
        </w:tc>
        <w:tc>
          <w:tcPr>
            <w:tcW w:w="50" w:type="pct"/>
            <w:vAlign w:val="center"/>
            <w:hideMark/>
          </w:tcPr>
          <w:p w14:paraId="58B71394" w14:textId="77777777" w:rsidR="00000000" w:rsidRDefault="00EE5306">
            <w:pPr>
              <w:spacing w:after="100"/>
              <w:rPr>
                <w:rFonts w:eastAsia="Times New Roman"/>
                <w:sz w:val="20"/>
                <w:szCs w:val="20"/>
              </w:rPr>
            </w:pPr>
          </w:p>
        </w:tc>
        <w:tc>
          <w:tcPr>
            <w:tcW w:w="1699" w:type="pct"/>
            <w:vAlign w:val="center"/>
            <w:hideMark/>
          </w:tcPr>
          <w:p w14:paraId="02770516" w14:textId="77777777" w:rsidR="00000000" w:rsidRDefault="00EE5306">
            <w:pPr>
              <w:spacing w:after="100"/>
              <w:rPr>
                <w:rFonts w:eastAsia="Times New Roman"/>
                <w:sz w:val="20"/>
                <w:szCs w:val="20"/>
              </w:rPr>
            </w:pPr>
          </w:p>
        </w:tc>
        <w:tc>
          <w:tcPr>
            <w:tcW w:w="5" w:type="pct"/>
            <w:vAlign w:val="center"/>
            <w:hideMark/>
          </w:tcPr>
          <w:p w14:paraId="2B0ADB2F" w14:textId="77777777" w:rsidR="00000000" w:rsidRDefault="00EE5306">
            <w:pPr>
              <w:spacing w:after="100"/>
              <w:rPr>
                <w:rFonts w:eastAsia="Times New Roman"/>
                <w:sz w:val="20"/>
                <w:szCs w:val="20"/>
              </w:rPr>
            </w:pPr>
          </w:p>
        </w:tc>
      </w:tr>
      <w:tr w:rsidR="00000000" w14:paraId="36AAA20B" w14:textId="77777777">
        <w:trPr>
          <w:divId w:val="1189180236"/>
          <w:jc w:val="center"/>
        </w:trPr>
        <w:tc>
          <w:tcPr>
            <w:tcW w:w="0" w:type="auto"/>
            <w:gridSpan w:val="3"/>
            <w:tcMar>
              <w:top w:w="0" w:type="dxa"/>
              <w:left w:w="20" w:type="dxa"/>
              <w:bottom w:w="0" w:type="dxa"/>
              <w:right w:w="20" w:type="dxa"/>
            </w:tcMar>
            <w:vAlign w:val="center"/>
            <w:hideMark/>
          </w:tcPr>
          <w:p w14:paraId="1818107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E3C533C" w14:textId="77777777" w:rsidR="00000000" w:rsidRDefault="00EE5306">
            <w:pPr>
              <w:spacing w:after="100"/>
              <w:jc w:val="center"/>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14:paraId="1B5212DE" w14:textId="77777777" w:rsidR="00000000" w:rsidRDefault="00EE5306">
            <w:pPr>
              <w:spacing w:after="100"/>
              <w:jc w:val="center"/>
              <w:rPr>
                <w:rFonts w:eastAsia="Times New Roman"/>
              </w:rPr>
            </w:pPr>
          </w:p>
        </w:tc>
      </w:tr>
    </w:tbl>
    <w:p w14:paraId="4B176034" w14:textId="77777777" w:rsidR="00000000" w:rsidRDefault="00EE5306">
      <w:pPr>
        <w:rPr>
          <w:rFonts w:eastAsia="Times New Roman"/>
        </w:rPr>
      </w:pPr>
      <w:r>
        <w:rPr>
          <w:rFonts w:eastAsia="Times New Roman"/>
        </w:rPr>
        <w:pict w14:anchorId="7438E70B">
          <v:rect id="_x0000_i1072" style="width:0;height:1.5pt" o:hralign="center" o:hrstd="t" o:hr="t" fillcolor="#a0a0a0" stroked="f"/>
        </w:pict>
      </w:r>
    </w:p>
    <w:p w14:paraId="5AD28D6C" w14:textId="77777777" w:rsidR="00000000" w:rsidRDefault="00EE5306">
      <w:pPr>
        <w:divId w:val="1213730796"/>
        <w:rPr>
          <w:rFonts w:eastAsia="Times New Roman"/>
        </w:rPr>
      </w:pPr>
    </w:p>
    <w:p w14:paraId="5A883C9A" w14:textId="77777777" w:rsidR="00000000" w:rsidRDefault="00EE5306">
      <w:pPr>
        <w:jc w:val="both"/>
        <w:divId w:val="1118571866"/>
        <w:rPr>
          <w:rFonts w:eastAsia="Times New Roman"/>
        </w:rPr>
      </w:pPr>
      <w:r>
        <w:rPr>
          <w:rFonts w:eastAsia="Times New Roman"/>
          <w:color w:val="000000"/>
          <w:sz w:val="20"/>
          <w:szCs w:val="20"/>
        </w:rPr>
        <w:t xml:space="preserve">current organizational profile and new ways of working. We also expect to close certain of our stores to improve overall profitability. Additionally, we plan to complete the consolidation of our existing North America </w:t>
      </w:r>
      <w:r>
        <w:rPr>
          <w:rFonts w:eastAsia="Times New Roman"/>
          <w:color w:val="000000"/>
          <w:sz w:val="20"/>
          <w:szCs w:val="20"/>
        </w:rPr>
        <w:t>distribution centers in order to drive greater efficiencies, improve sustainability, and deliver a better consumer experience.</w:t>
      </w:r>
    </w:p>
    <w:p w14:paraId="3789CE04" w14:textId="77777777" w:rsidR="00000000" w:rsidRDefault="00EE5306">
      <w:pPr>
        <w:ind w:firstLine="540"/>
        <w:jc w:val="both"/>
        <w:divId w:val="881551166"/>
        <w:rPr>
          <w:rFonts w:eastAsia="Times New Roman"/>
        </w:rPr>
      </w:pPr>
      <w:r>
        <w:rPr>
          <w:rFonts w:eastAsia="Times New Roman"/>
          <w:color w:val="000000"/>
          <w:sz w:val="20"/>
          <w:szCs w:val="20"/>
        </w:rPr>
        <w:t xml:space="preserve">Finally, on May 13, 2021, in connection with our brand portfolio initiative, we announced that we have entered into an agreement </w:t>
      </w:r>
      <w:r>
        <w:rPr>
          <w:rFonts w:eastAsia="Times New Roman"/>
          <w:color w:val="000000"/>
          <w:sz w:val="20"/>
          <w:szCs w:val="20"/>
        </w:rPr>
        <w:t xml:space="preserve">to sell our Club Monaco business to Regent, L.P., a global private equity firm. The transaction is expected to close by the end of the first quarter of Fiscal 2022. </w:t>
      </w:r>
    </w:p>
    <w:p w14:paraId="3CB142C6" w14:textId="77777777" w:rsidR="00000000" w:rsidRDefault="00EE5306">
      <w:pPr>
        <w:ind w:firstLine="540"/>
        <w:jc w:val="both"/>
        <w:divId w:val="1537044554"/>
        <w:rPr>
          <w:rFonts w:eastAsia="Times New Roman"/>
        </w:rPr>
      </w:pPr>
      <w:r>
        <w:rPr>
          <w:rFonts w:eastAsia="Times New Roman"/>
          <w:color w:val="000000"/>
          <w:sz w:val="20"/>
          <w:szCs w:val="20"/>
        </w:rPr>
        <w:t>In connection with these collective realignment initiatives, we expect to incur total esti</w:t>
      </w:r>
      <w:r>
        <w:rPr>
          <w:rFonts w:eastAsia="Times New Roman"/>
          <w:color w:val="000000"/>
          <w:sz w:val="20"/>
          <w:szCs w:val="20"/>
        </w:rPr>
        <w:t>mated pre-tax charges of approximately $300 million to $350 million, of which $236.8 million was recorded during Fiscal 2021. Once substantially completed by the end of Fiscal 2022, these actions are expected to result in gross annualized pre-tax expense s</w:t>
      </w:r>
      <w:r>
        <w:rPr>
          <w:rFonts w:eastAsia="Times New Roman"/>
          <w:color w:val="000000"/>
          <w:sz w:val="20"/>
          <w:szCs w:val="20"/>
        </w:rPr>
        <w:t>avings of approximately $200 million to $240 million, a portion of which will be reinvested back into the business. These estimated charges and expense savings are subject to change based upon the completion of the sale of our Club Monaco business.</w:t>
      </w:r>
    </w:p>
    <w:p w14:paraId="775B7F2B" w14:textId="77777777" w:rsidR="00000000" w:rsidRDefault="00EE5306">
      <w:pPr>
        <w:ind w:firstLine="540"/>
        <w:jc w:val="both"/>
        <w:divId w:val="2113742684"/>
        <w:rPr>
          <w:rFonts w:eastAsia="Times New Roman"/>
        </w:rPr>
      </w:pPr>
      <w:r>
        <w:rPr>
          <w:rFonts w:eastAsia="Times New Roman"/>
          <w:color w:val="000000"/>
          <w:sz w:val="20"/>
          <w:szCs w:val="20"/>
        </w:rPr>
        <w:t>See Not</w:t>
      </w:r>
      <w:r>
        <w:rPr>
          <w:rFonts w:eastAsia="Times New Roman"/>
          <w:color w:val="000000"/>
          <w:sz w:val="20"/>
          <w:szCs w:val="20"/>
        </w:rPr>
        <w:t xml:space="preserve">e 9 to our accompanying consolidated financial statements for additional discussion regarding charges recorded in connection with the Fiscal 2021 Strategic Restructuring Plan. </w:t>
      </w:r>
    </w:p>
    <w:p w14:paraId="0C2A7B47" w14:textId="77777777" w:rsidR="00000000" w:rsidRDefault="00EE5306">
      <w:pPr>
        <w:ind w:firstLine="360"/>
        <w:jc w:val="both"/>
        <w:divId w:val="457187405"/>
        <w:rPr>
          <w:rFonts w:eastAsia="Times New Roman"/>
        </w:rPr>
      </w:pPr>
      <w:r>
        <w:rPr>
          <w:rFonts w:eastAsia="Times New Roman"/>
          <w:i/>
          <w:iCs/>
          <w:color w:val="000000"/>
          <w:sz w:val="20"/>
          <w:szCs w:val="20"/>
        </w:rPr>
        <w:t>Transition of Chaps Brand to a Fully Licensed Business Model</w:t>
      </w:r>
    </w:p>
    <w:p w14:paraId="54C80093" w14:textId="77777777" w:rsidR="00000000" w:rsidRDefault="00EE5306">
      <w:pPr>
        <w:ind w:firstLine="540"/>
        <w:jc w:val="both"/>
        <w:divId w:val="734742356"/>
        <w:rPr>
          <w:rFonts w:eastAsia="Times New Roman"/>
        </w:rPr>
      </w:pPr>
      <w:r>
        <w:rPr>
          <w:rFonts w:eastAsia="Times New Roman"/>
          <w:color w:val="000000"/>
          <w:sz w:val="20"/>
          <w:szCs w:val="20"/>
        </w:rPr>
        <w:t>On October 29, 2020, we announced the planned transition of our Chaps brand to a fully licensed business model, consistent with our long-term brand elevation strategy. Specifically, we have enter</w:t>
      </w:r>
      <w:r>
        <w:rPr>
          <w:rFonts w:eastAsia="Times New Roman"/>
          <w:color w:val="000000"/>
          <w:sz w:val="20"/>
          <w:szCs w:val="20"/>
        </w:rPr>
        <w:t>ed into a multi-year licensing partnership, taking effect on August 1, 2021 after a transition period, with an affiliate of 5 Star Apparel LLC, a division of the OVED Group, to manufacture, market, and distribute Chaps menswear and womenswear. The products</w:t>
      </w:r>
      <w:r>
        <w:rPr>
          <w:rFonts w:eastAsia="Times New Roman"/>
          <w:color w:val="000000"/>
          <w:sz w:val="20"/>
          <w:szCs w:val="20"/>
        </w:rPr>
        <w:t xml:space="preserve"> will be sold at existing channels of distribution with opportunities for expansion into additional channels and markets globally. </w:t>
      </w:r>
    </w:p>
    <w:p w14:paraId="17CAE092" w14:textId="77777777" w:rsidR="00000000" w:rsidRDefault="00EE5306">
      <w:pPr>
        <w:ind w:firstLine="540"/>
        <w:jc w:val="both"/>
        <w:divId w:val="2127121061"/>
        <w:rPr>
          <w:rFonts w:eastAsia="Times New Roman"/>
        </w:rPr>
      </w:pPr>
      <w:r>
        <w:rPr>
          <w:rFonts w:eastAsia="Times New Roman"/>
          <w:color w:val="000000"/>
          <w:sz w:val="20"/>
          <w:szCs w:val="20"/>
        </w:rPr>
        <w:t>This agreement is expected to create incremental value for the Company by enabling an even greater focus on elevating our co</w:t>
      </w:r>
      <w:r>
        <w:rPr>
          <w:rFonts w:eastAsia="Times New Roman"/>
          <w:color w:val="000000"/>
          <w:sz w:val="20"/>
          <w:szCs w:val="20"/>
        </w:rPr>
        <w:t>re brands in the marketplace, reducing our direct exposure to the North America department store channel, and setting up Chaps to deliver on its potential with an experienced partner that is focused on nurturing the brand.</w:t>
      </w:r>
    </w:p>
    <w:p w14:paraId="5D15FA5C" w14:textId="77777777" w:rsidR="00000000" w:rsidRDefault="00EE5306">
      <w:pPr>
        <w:ind w:firstLine="360"/>
        <w:jc w:val="both"/>
        <w:divId w:val="1175073356"/>
        <w:rPr>
          <w:rFonts w:eastAsia="Times New Roman"/>
        </w:rPr>
      </w:pPr>
      <w:r>
        <w:rPr>
          <w:rFonts w:eastAsia="Times New Roman"/>
          <w:i/>
          <w:iCs/>
          <w:color w:val="000000"/>
          <w:sz w:val="20"/>
          <w:szCs w:val="20"/>
        </w:rPr>
        <w:t>Swiss Tax Reform</w:t>
      </w:r>
    </w:p>
    <w:p w14:paraId="2F32738A" w14:textId="77777777" w:rsidR="00000000" w:rsidRDefault="00EE5306">
      <w:pPr>
        <w:ind w:firstLine="540"/>
        <w:jc w:val="both"/>
        <w:divId w:val="815146565"/>
        <w:rPr>
          <w:rFonts w:eastAsia="Times New Roman"/>
        </w:rPr>
      </w:pPr>
      <w:r>
        <w:rPr>
          <w:rFonts w:eastAsia="Times New Roman"/>
          <w:color w:val="000000"/>
          <w:sz w:val="20"/>
          <w:szCs w:val="20"/>
        </w:rPr>
        <w:t>In May 2019, a p</w:t>
      </w:r>
      <w:r>
        <w:rPr>
          <w:rFonts w:eastAsia="Times New Roman"/>
          <w:color w:val="000000"/>
          <w:sz w:val="20"/>
          <w:szCs w:val="20"/>
        </w:rPr>
        <w:t>ublic referendum was held in Switzerland that approved the Federal Act on Tax Reform and AHV Financing (the "Swiss Tax Act"), which became effective January 1, 2020. The Swiss Tax Act eliminates certain preferential tax items at both the federal and canton</w:t>
      </w:r>
      <w:r>
        <w:rPr>
          <w:rFonts w:eastAsia="Times New Roman"/>
          <w:color w:val="000000"/>
          <w:sz w:val="20"/>
          <w:szCs w:val="20"/>
        </w:rPr>
        <w:t>al levels for multinational companies and provides the cantons with parameters for establishing local tax rates and regulations. The Swiss Tax Act also provides transitional provisions, one of which allows eligible companies to increase the tax basis of ce</w:t>
      </w:r>
      <w:r>
        <w:rPr>
          <w:rFonts w:eastAsia="Times New Roman"/>
          <w:color w:val="000000"/>
          <w:sz w:val="20"/>
          <w:szCs w:val="20"/>
        </w:rPr>
        <w:t xml:space="preserve">rtain assets based on the value generated by their business in previous years, and to amortize such adjustment as a tax deduction over a transitional period. </w:t>
      </w:r>
    </w:p>
    <w:p w14:paraId="3D873FFD" w14:textId="77777777" w:rsidR="00000000" w:rsidRDefault="00EE5306">
      <w:pPr>
        <w:ind w:firstLine="540"/>
        <w:jc w:val="both"/>
        <w:divId w:val="976568188"/>
        <w:rPr>
          <w:rFonts w:eastAsia="Times New Roman"/>
        </w:rPr>
      </w:pPr>
      <w:r>
        <w:rPr>
          <w:rFonts w:eastAsia="Times New Roman"/>
          <w:color w:val="000000"/>
          <w:sz w:val="20"/>
          <w:szCs w:val="20"/>
        </w:rPr>
        <w:t>In connection with this transitional provision, we recorded a one-time income tax benefit and cor</w:t>
      </w:r>
      <w:r>
        <w:rPr>
          <w:rFonts w:eastAsia="Times New Roman"/>
          <w:color w:val="000000"/>
          <w:sz w:val="20"/>
          <w:szCs w:val="20"/>
        </w:rPr>
        <w:t>responding deferred tax asset of $122.9 million during Fiscal 2020, which reduced our effective tax rate by 3,760 basis points. Subsequently, during Fiscal 2021, we reduced this one-time tax benefit by $13.8 million due to new legislation enacted in connec</w:t>
      </w:r>
      <w:r>
        <w:rPr>
          <w:rFonts w:eastAsia="Times New Roman"/>
          <w:color w:val="000000"/>
          <w:sz w:val="20"/>
          <w:szCs w:val="20"/>
        </w:rPr>
        <w:t>tion with the European Union's anti-tax avoidance directive, which increased our effective rate by 1,840 basis points.</w:t>
      </w:r>
    </w:p>
    <w:p w14:paraId="08AE91FF" w14:textId="77777777" w:rsidR="00000000" w:rsidRDefault="00EE5306">
      <w:pPr>
        <w:ind w:firstLine="540"/>
        <w:jc w:val="both"/>
        <w:divId w:val="353195747"/>
        <w:rPr>
          <w:rFonts w:eastAsia="Times New Roman"/>
        </w:rPr>
      </w:pPr>
      <w:r>
        <w:rPr>
          <w:rFonts w:eastAsia="Times New Roman"/>
          <w:color w:val="000000"/>
          <w:sz w:val="20"/>
          <w:szCs w:val="20"/>
        </w:rPr>
        <w:t>See Note 10 to the accompanying consolidated financial statements for additional discussion regarding the Swiss Tax Act.</w:t>
      </w:r>
    </w:p>
    <w:p w14:paraId="2C23A93F" w14:textId="77777777" w:rsidR="00000000" w:rsidRDefault="00EE5306">
      <w:pPr>
        <w:ind w:firstLine="360"/>
        <w:jc w:val="both"/>
        <w:divId w:val="1607808274"/>
        <w:rPr>
          <w:rFonts w:eastAsia="Times New Roman"/>
        </w:rPr>
      </w:pPr>
      <w:r>
        <w:rPr>
          <w:rFonts w:eastAsia="Times New Roman"/>
          <w:i/>
          <w:iCs/>
          <w:color w:val="000000"/>
          <w:sz w:val="20"/>
          <w:szCs w:val="20"/>
        </w:rPr>
        <w:t>Fiscal 2019 Rest</w:t>
      </w:r>
      <w:r>
        <w:rPr>
          <w:rFonts w:eastAsia="Times New Roman"/>
          <w:i/>
          <w:iCs/>
          <w:color w:val="000000"/>
          <w:sz w:val="20"/>
          <w:szCs w:val="20"/>
        </w:rPr>
        <w:t>ructuring Plan</w:t>
      </w:r>
    </w:p>
    <w:p w14:paraId="6F20A5E8" w14:textId="77777777" w:rsidR="00000000" w:rsidRDefault="00EE5306">
      <w:pPr>
        <w:ind w:firstLine="540"/>
        <w:jc w:val="both"/>
        <w:divId w:val="331176926"/>
        <w:rPr>
          <w:rFonts w:eastAsia="Times New Roman"/>
        </w:rPr>
      </w:pPr>
      <w:r>
        <w:rPr>
          <w:rFonts w:eastAsia="Times New Roman"/>
          <w:color w:val="000000"/>
          <w:sz w:val="20"/>
          <w:szCs w:val="20"/>
        </w:rPr>
        <w:t>On June 4, 2018, our Board of Directors approved a restructuring plan associated with our strategic objective of operating with discipline to drive sustainable growth (the "Fiscal 2019 Restructuring Plan"). The Fiscal 2019 Restructuring Plan</w:t>
      </w:r>
      <w:r>
        <w:rPr>
          <w:rFonts w:eastAsia="Times New Roman"/>
          <w:color w:val="000000"/>
          <w:sz w:val="20"/>
          <w:szCs w:val="20"/>
        </w:rPr>
        <w:t xml:space="preserve"> included the following activities: (i) rightsizing and consolidation of our global distribution network and corporate offices; (ii) targeted severance-related actions; and (iii) closure of certain of our stores and shop-within-shops. Actions associated wi</w:t>
      </w:r>
      <w:r>
        <w:rPr>
          <w:rFonts w:eastAsia="Times New Roman"/>
          <w:color w:val="000000"/>
          <w:sz w:val="20"/>
          <w:szCs w:val="20"/>
        </w:rPr>
        <w:t xml:space="preserve">th the Fiscal 2019 Restructuring Plan resulted in gross annualized expense savings of approximately $80 million. </w:t>
      </w:r>
    </w:p>
    <w:p w14:paraId="5289B52F" w14:textId="77777777" w:rsidR="00000000" w:rsidRDefault="00EE5306">
      <w:pPr>
        <w:ind w:firstLine="540"/>
        <w:jc w:val="both"/>
        <w:divId w:val="1972400094"/>
        <w:rPr>
          <w:rFonts w:eastAsia="Times New Roman"/>
        </w:rPr>
      </w:pPr>
      <w:r>
        <w:rPr>
          <w:rFonts w:eastAsia="Times New Roman"/>
          <w:color w:val="000000"/>
          <w:sz w:val="20"/>
          <w:szCs w:val="20"/>
        </w:rPr>
        <w:t>In connection with the Fiscal 2019 Restructuring Plan, we have recorded cumulative charges of $145.8 million since its inception, of which $48</w:t>
      </w:r>
      <w:r>
        <w:rPr>
          <w:rFonts w:eastAsia="Times New Roman"/>
          <w:color w:val="000000"/>
          <w:sz w:val="20"/>
          <w:szCs w:val="20"/>
        </w:rPr>
        <w:t>.5 million and $97.3 million were recorded during Fiscal 2020 and Fiscal 2019, respectively. Actions associated with the Fiscal 2019 Restructuring Plan are complete and no additional charges are expected to be incurred in connection with this plan.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B11D725" w14:textId="77777777">
        <w:trPr>
          <w:divId w:val="993799173"/>
          <w:jc w:val="center"/>
        </w:trPr>
        <w:tc>
          <w:tcPr>
            <w:tcW w:w="50" w:type="pct"/>
            <w:vAlign w:val="center"/>
            <w:hideMark/>
          </w:tcPr>
          <w:p w14:paraId="07F8A851" w14:textId="77777777" w:rsidR="00000000" w:rsidRDefault="00EE5306">
            <w:pPr>
              <w:ind w:firstLine="540"/>
              <w:jc w:val="both"/>
              <w:rPr>
                <w:rFonts w:eastAsia="Times New Roman"/>
              </w:rPr>
            </w:pPr>
          </w:p>
        </w:tc>
        <w:tc>
          <w:tcPr>
            <w:tcW w:w="1699" w:type="pct"/>
            <w:vAlign w:val="center"/>
            <w:hideMark/>
          </w:tcPr>
          <w:p w14:paraId="695DCF8A" w14:textId="77777777" w:rsidR="00000000" w:rsidRDefault="00EE5306">
            <w:pPr>
              <w:spacing w:after="100"/>
              <w:rPr>
                <w:rFonts w:eastAsia="Times New Roman"/>
                <w:sz w:val="20"/>
                <w:szCs w:val="20"/>
              </w:rPr>
            </w:pPr>
          </w:p>
        </w:tc>
        <w:tc>
          <w:tcPr>
            <w:tcW w:w="5" w:type="pct"/>
            <w:vAlign w:val="center"/>
            <w:hideMark/>
          </w:tcPr>
          <w:p w14:paraId="4EEFD01A" w14:textId="77777777" w:rsidR="00000000" w:rsidRDefault="00EE5306">
            <w:pPr>
              <w:spacing w:after="100"/>
              <w:rPr>
                <w:rFonts w:eastAsia="Times New Roman"/>
                <w:sz w:val="20"/>
                <w:szCs w:val="20"/>
              </w:rPr>
            </w:pPr>
          </w:p>
        </w:tc>
        <w:tc>
          <w:tcPr>
            <w:tcW w:w="50" w:type="pct"/>
            <w:vAlign w:val="center"/>
            <w:hideMark/>
          </w:tcPr>
          <w:p w14:paraId="610F4FA8" w14:textId="77777777" w:rsidR="00000000" w:rsidRDefault="00EE5306">
            <w:pPr>
              <w:spacing w:after="100"/>
              <w:rPr>
                <w:rFonts w:eastAsia="Times New Roman"/>
                <w:sz w:val="20"/>
                <w:szCs w:val="20"/>
              </w:rPr>
            </w:pPr>
          </w:p>
        </w:tc>
        <w:tc>
          <w:tcPr>
            <w:tcW w:w="1436" w:type="pct"/>
            <w:vAlign w:val="center"/>
            <w:hideMark/>
          </w:tcPr>
          <w:p w14:paraId="236FD48C" w14:textId="77777777" w:rsidR="00000000" w:rsidRDefault="00EE5306">
            <w:pPr>
              <w:spacing w:after="100"/>
              <w:rPr>
                <w:rFonts w:eastAsia="Times New Roman"/>
                <w:sz w:val="20"/>
                <w:szCs w:val="20"/>
              </w:rPr>
            </w:pPr>
          </w:p>
        </w:tc>
        <w:tc>
          <w:tcPr>
            <w:tcW w:w="5" w:type="pct"/>
            <w:vAlign w:val="center"/>
            <w:hideMark/>
          </w:tcPr>
          <w:p w14:paraId="1439C3A6" w14:textId="77777777" w:rsidR="00000000" w:rsidRDefault="00EE5306">
            <w:pPr>
              <w:spacing w:after="100"/>
              <w:rPr>
                <w:rFonts w:eastAsia="Times New Roman"/>
                <w:sz w:val="20"/>
                <w:szCs w:val="20"/>
              </w:rPr>
            </w:pPr>
          </w:p>
        </w:tc>
        <w:tc>
          <w:tcPr>
            <w:tcW w:w="50" w:type="pct"/>
            <w:vAlign w:val="center"/>
            <w:hideMark/>
          </w:tcPr>
          <w:p w14:paraId="0713610B" w14:textId="77777777" w:rsidR="00000000" w:rsidRDefault="00EE5306">
            <w:pPr>
              <w:spacing w:after="100"/>
              <w:rPr>
                <w:rFonts w:eastAsia="Times New Roman"/>
                <w:sz w:val="20"/>
                <w:szCs w:val="20"/>
              </w:rPr>
            </w:pPr>
          </w:p>
        </w:tc>
        <w:tc>
          <w:tcPr>
            <w:tcW w:w="1699" w:type="pct"/>
            <w:vAlign w:val="center"/>
            <w:hideMark/>
          </w:tcPr>
          <w:p w14:paraId="0D7E9D25" w14:textId="77777777" w:rsidR="00000000" w:rsidRDefault="00EE5306">
            <w:pPr>
              <w:spacing w:after="100"/>
              <w:rPr>
                <w:rFonts w:eastAsia="Times New Roman"/>
                <w:sz w:val="20"/>
                <w:szCs w:val="20"/>
              </w:rPr>
            </w:pPr>
          </w:p>
        </w:tc>
        <w:tc>
          <w:tcPr>
            <w:tcW w:w="5" w:type="pct"/>
            <w:vAlign w:val="center"/>
            <w:hideMark/>
          </w:tcPr>
          <w:p w14:paraId="4D5F461E" w14:textId="77777777" w:rsidR="00000000" w:rsidRDefault="00EE5306">
            <w:pPr>
              <w:spacing w:after="100"/>
              <w:rPr>
                <w:rFonts w:eastAsia="Times New Roman"/>
                <w:sz w:val="20"/>
                <w:szCs w:val="20"/>
              </w:rPr>
            </w:pPr>
          </w:p>
        </w:tc>
      </w:tr>
      <w:tr w:rsidR="00000000" w14:paraId="3A85D7CF" w14:textId="77777777">
        <w:trPr>
          <w:divId w:val="993799173"/>
          <w:jc w:val="center"/>
        </w:trPr>
        <w:tc>
          <w:tcPr>
            <w:tcW w:w="0" w:type="auto"/>
            <w:gridSpan w:val="3"/>
            <w:tcMar>
              <w:top w:w="0" w:type="dxa"/>
              <w:left w:w="20" w:type="dxa"/>
              <w:bottom w:w="0" w:type="dxa"/>
              <w:right w:w="20" w:type="dxa"/>
            </w:tcMar>
            <w:vAlign w:val="center"/>
            <w:hideMark/>
          </w:tcPr>
          <w:p w14:paraId="5677960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C2B653" w14:textId="77777777" w:rsidR="00000000" w:rsidRDefault="00EE5306">
            <w:pPr>
              <w:spacing w:after="100"/>
              <w:jc w:val="center"/>
              <w:rPr>
                <w:rFonts w:eastAsia="Times New Roman"/>
              </w:rPr>
            </w:pPr>
            <w:r>
              <w:rPr>
                <w:rFonts w:eastAsia="Times New Roman"/>
                <w:color w:val="000000"/>
                <w:sz w:val="20"/>
                <w:szCs w:val="20"/>
              </w:rPr>
              <w:t>46</w:t>
            </w:r>
          </w:p>
        </w:tc>
        <w:tc>
          <w:tcPr>
            <w:tcW w:w="0" w:type="auto"/>
            <w:gridSpan w:val="3"/>
            <w:tcMar>
              <w:top w:w="0" w:type="dxa"/>
              <w:left w:w="20" w:type="dxa"/>
              <w:bottom w:w="0" w:type="dxa"/>
              <w:right w:w="20" w:type="dxa"/>
            </w:tcMar>
            <w:vAlign w:val="center"/>
            <w:hideMark/>
          </w:tcPr>
          <w:p w14:paraId="7CD961B2" w14:textId="77777777" w:rsidR="00000000" w:rsidRDefault="00EE5306">
            <w:pPr>
              <w:spacing w:after="100"/>
              <w:jc w:val="center"/>
              <w:rPr>
                <w:rFonts w:eastAsia="Times New Roman"/>
              </w:rPr>
            </w:pPr>
          </w:p>
        </w:tc>
      </w:tr>
    </w:tbl>
    <w:p w14:paraId="3BB4FAA3" w14:textId="77777777" w:rsidR="00000000" w:rsidRDefault="00EE5306">
      <w:pPr>
        <w:rPr>
          <w:rFonts w:eastAsia="Times New Roman"/>
        </w:rPr>
      </w:pPr>
      <w:r>
        <w:rPr>
          <w:rFonts w:eastAsia="Times New Roman"/>
        </w:rPr>
        <w:pict w14:anchorId="460475ED">
          <v:rect id="_x0000_i1073" style="width:0;height:1.5pt" o:hralign="center" o:hrstd="t" o:hr="t" fillcolor="#a0a0a0" stroked="f"/>
        </w:pict>
      </w:r>
    </w:p>
    <w:p w14:paraId="29002246" w14:textId="77777777" w:rsidR="00000000" w:rsidRDefault="00EE5306">
      <w:pPr>
        <w:divId w:val="1759522707"/>
        <w:rPr>
          <w:rFonts w:eastAsia="Times New Roman"/>
        </w:rPr>
      </w:pPr>
    </w:p>
    <w:p w14:paraId="052F8FDB" w14:textId="77777777" w:rsidR="00000000" w:rsidRDefault="00EE5306">
      <w:pPr>
        <w:ind w:firstLine="540"/>
        <w:jc w:val="both"/>
        <w:divId w:val="2143838095"/>
        <w:rPr>
          <w:rFonts w:eastAsia="Times New Roman"/>
        </w:rPr>
      </w:pPr>
      <w:r>
        <w:rPr>
          <w:rFonts w:eastAsia="Times New Roman"/>
          <w:color w:val="000000"/>
          <w:sz w:val="20"/>
          <w:szCs w:val="20"/>
        </w:rPr>
        <w:t>See Note 9 to our accompanying consolidated financial statements for additional discussion regarding charges recorded in connection with the Fiscal 2019 Restructuring Plan.</w:t>
      </w:r>
    </w:p>
    <w:p w14:paraId="0CAE6F6C" w14:textId="77777777" w:rsidR="00000000" w:rsidRDefault="00EE5306">
      <w:pPr>
        <w:ind w:firstLine="360"/>
        <w:jc w:val="both"/>
        <w:divId w:val="664011693"/>
        <w:rPr>
          <w:rFonts w:eastAsia="Times New Roman"/>
        </w:rPr>
      </w:pPr>
      <w:r>
        <w:rPr>
          <w:rFonts w:eastAsia="Times New Roman"/>
          <w:i/>
          <w:iCs/>
          <w:color w:val="000000"/>
          <w:sz w:val="20"/>
          <w:szCs w:val="20"/>
        </w:rPr>
        <w:t>U.S. Tax Reform</w:t>
      </w:r>
    </w:p>
    <w:p w14:paraId="1AF531D1" w14:textId="77777777" w:rsidR="00000000" w:rsidRDefault="00EE5306">
      <w:pPr>
        <w:ind w:firstLine="540"/>
        <w:jc w:val="both"/>
        <w:divId w:val="114492832"/>
        <w:rPr>
          <w:rFonts w:eastAsia="Times New Roman"/>
        </w:rPr>
      </w:pPr>
      <w:r>
        <w:rPr>
          <w:rFonts w:eastAsia="Times New Roman"/>
          <w:color w:val="000000"/>
          <w:sz w:val="20"/>
          <w:szCs w:val="20"/>
        </w:rPr>
        <w:t xml:space="preserve">In January 2018, new U.S. tax legislation commonly referred to as the Tax Cuts and Jobs Act (the "TCJA") became effective. The TCJA significantly revised U.S. tax law by, among other provisions, lowering the U.S. federal statutory income tax rate from 35% </w:t>
      </w:r>
      <w:r>
        <w:rPr>
          <w:rFonts w:eastAsia="Times New Roman"/>
          <w:color w:val="000000"/>
          <w:sz w:val="20"/>
          <w:szCs w:val="20"/>
        </w:rPr>
        <w:t xml:space="preserve">to 21%, creating a territorial tax system that includes a one-time mandatory transition tax on previously deferred foreign earnings, and eliminating or reducing certain income tax deductions. </w:t>
      </w:r>
    </w:p>
    <w:p w14:paraId="4B84DF83" w14:textId="77777777" w:rsidR="00000000" w:rsidRDefault="00EE5306">
      <w:pPr>
        <w:ind w:firstLine="540"/>
        <w:jc w:val="both"/>
        <w:divId w:val="1280334725"/>
        <w:rPr>
          <w:rFonts w:eastAsia="Times New Roman"/>
        </w:rPr>
      </w:pPr>
      <w:r>
        <w:rPr>
          <w:rFonts w:eastAsia="Times New Roman"/>
          <w:color w:val="000000"/>
          <w:sz w:val="20"/>
          <w:szCs w:val="20"/>
        </w:rPr>
        <w:t>During our fiscal year ended March 31, 2018 ("Fiscal 2018"), we</w:t>
      </w:r>
      <w:r>
        <w:rPr>
          <w:rFonts w:eastAsia="Times New Roman"/>
          <w:color w:val="000000"/>
          <w:sz w:val="20"/>
          <w:szCs w:val="20"/>
        </w:rPr>
        <w:t xml:space="preserve"> recorded net charges of $221.4 million within our income tax provision in connection with the TCJA. Subsequently, during Fiscal 2019, we recorded net unfavorable measurement period adjustments of $27.6 million as permitted by SEC Staff Accounting Bulletin</w:t>
      </w:r>
      <w:r>
        <w:rPr>
          <w:rFonts w:eastAsia="Times New Roman"/>
          <w:color w:val="000000"/>
          <w:sz w:val="20"/>
          <w:szCs w:val="20"/>
        </w:rPr>
        <w:t xml:space="preserve"> No. 118. These measurement period adjustments increased our effective tax rate by 470 basis points during Fiscal 2019.</w:t>
      </w:r>
    </w:p>
    <w:p w14:paraId="437F9475" w14:textId="77777777" w:rsidR="00000000" w:rsidRDefault="00EE5306">
      <w:pPr>
        <w:ind w:firstLine="540"/>
        <w:jc w:val="both"/>
        <w:divId w:val="508522472"/>
        <w:rPr>
          <w:rFonts w:eastAsia="Times New Roman"/>
        </w:rPr>
      </w:pPr>
      <w:r>
        <w:rPr>
          <w:rFonts w:eastAsia="Times New Roman"/>
          <w:color w:val="000000"/>
          <w:sz w:val="20"/>
          <w:szCs w:val="20"/>
        </w:rPr>
        <w:t>See Note 10 to the accompanying consolidated financial statements for additional discussion regarding the TCJA.</w:t>
      </w:r>
    </w:p>
    <w:p w14:paraId="106F2D9D" w14:textId="77777777" w:rsidR="00000000" w:rsidRDefault="00EE5306">
      <w:pPr>
        <w:ind w:firstLine="360"/>
        <w:jc w:val="both"/>
        <w:divId w:val="1190068342"/>
        <w:rPr>
          <w:rFonts w:eastAsia="Times New Roman"/>
        </w:rPr>
      </w:pPr>
      <w:r>
        <w:rPr>
          <w:rFonts w:eastAsia="Times New Roman"/>
          <w:b/>
          <w:bCs/>
          <w:i/>
          <w:iCs/>
          <w:color w:val="000000"/>
          <w:sz w:val="20"/>
          <w:szCs w:val="20"/>
        </w:rPr>
        <w:t>Global Economic Conditio</w:t>
      </w:r>
      <w:r>
        <w:rPr>
          <w:rFonts w:eastAsia="Times New Roman"/>
          <w:b/>
          <w:bCs/>
          <w:i/>
          <w:iCs/>
          <w:color w:val="000000"/>
          <w:sz w:val="20"/>
          <w:szCs w:val="20"/>
        </w:rPr>
        <w:t>ns and Industry Trends</w:t>
      </w:r>
    </w:p>
    <w:p w14:paraId="1435A319" w14:textId="77777777" w:rsidR="00000000" w:rsidRDefault="00EE5306">
      <w:pPr>
        <w:ind w:firstLine="540"/>
        <w:jc w:val="both"/>
        <w:divId w:val="1225869758"/>
        <w:rPr>
          <w:rFonts w:eastAsia="Times New Roman"/>
        </w:rPr>
      </w:pPr>
      <w:r>
        <w:rPr>
          <w:rFonts w:eastAsia="Times New Roman"/>
          <w:color w:val="000000"/>
          <w:sz w:val="20"/>
          <w:szCs w:val="20"/>
        </w:rPr>
        <w:t>The global economy and retail industry are impacted by many different factors. The COVID-19 pandemic has resulted in heightened uncertainty surrounding the future state of the global economy, as well as significant volatility in glob</w:t>
      </w:r>
      <w:r>
        <w:rPr>
          <w:rFonts w:eastAsia="Times New Roman"/>
          <w:color w:val="000000"/>
          <w:sz w:val="20"/>
          <w:szCs w:val="20"/>
        </w:rPr>
        <w:t>al financial markets. As discussed in "</w:t>
      </w:r>
      <w:r>
        <w:rPr>
          <w:rFonts w:eastAsia="Times New Roman"/>
          <w:i/>
          <w:iCs/>
          <w:color w:val="000000"/>
          <w:sz w:val="20"/>
          <w:szCs w:val="20"/>
        </w:rPr>
        <w:t>Recent Developments,"</w:t>
      </w:r>
      <w:r>
        <w:rPr>
          <w:rFonts w:eastAsia="Times New Roman"/>
          <w:color w:val="000000"/>
          <w:sz w:val="20"/>
          <w:szCs w:val="20"/>
        </w:rPr>
        <w:t xml:space="preserve"> governments worldwide have imposed varying degrees of preventative and protective actions, such as temporary travel bans, forced business closures, and stay-at-home orders, all in an effort to re</w:t>
      </w:r>
      <w:r>
        <w:rPr>
          <w:rFonts w:eastAsia="Times New Roman"/>
          <w:color w:val="000000"/>
          <w:sz w:val="20"/>
          <w:szCs w:val="20"/>
        </w:rPr>
        <w:t>duce the spread of the virus. Such actions, together with changes in consumers' willingness to congregate in populated areas and lower levels of disposal income due to high unemployment rates, have resulted in significant business disruptions across a wide</w:t>
      </w:r>
      <w:r>
        <w:rPr>
          <w:rFonts w:eastAsia="Times New Roman"/>
          <w:color w:val="000000"/>
          <w:sz w:val="20"/>
          <w:szCs w:val="20"/>
        </w:rPr>
        <w:t xml:space="preserve"> array of industries and an overall decline of the global economy. Despite the introduction of COVID-19 vaccines, it is not clear at this time how much longer the pandemic will last.</w:t>
      </w:r>
    </w:p>
    <w:p w14:paraId="68BEBF5C" w14:textId="77777777" w:rsidR="00000000" w:rsidRDefault="00EE5306">
      <w:pPr>
        <w:ind w:firstLine="540"/>
        <w:jc w:val="both"/>
        <w:divId w:val="212740778"/>
        <w:rPr>
          <w:rFonts w:eastAsia="Times New Roman"/>
        </w:rPr>
      </w:pPr>
      <w:r>
        <w:rPr>
          <w:rFonts w:eastAsia="Times New Roman"/>
          <w:color w:val="000000"/>
          <w:sz w:val="20"/>
          <w:szCs w:val="20"/>
        </w:rPr>
        <w:t>The global economy has also been impacted by the domestic and internation</w:t>
      </w:r>
      <w:r>
        <w:rPr>
          <w:rFonts w:eastAsia="Times New Roman"/>
          <w:color w:val="000000"/>
          <w:sz w:val="20"/>
          <w:szCs w:val="20"/>
        </w:rPr>
        <w:t>al political environment, including volatile international trade relations and civil and political unrest taking place in certain parts of the world. The U.S. in particular has experienced civil unrest centered around racial inequality and political allegi</w:t>
      </w:r>
      <w:r>
        <w:rPr>
          <w:rFonts w:eastAsia="Times New Roman"/>
          <w:color w:val="000000"/>
          <w:sz w:val="20"/>
          <w:szCs w:val="20"/>
        </w:rPr>
        <w:t>ances. Additionally, the United Kingdom recently withdrew from the European Union, commonly referred to as "Brexit," whereby it ceased to be a member effective January 31, 2020. In December 2020, the United Kingdom and the European Union entered into an ag</w:t>
      </w:r>
      <w:r>
        <w:rPr>
          <w:rFonts w:eastAsia="Times New Roman"/>
          <w:color w:val="000000"/>
          <w:sz w:val="20"/>
          <w:szCs w:val="20"/>
        </w:rPr>
        <w:t>reement that defines their future relationship, including terms of trade, that among its provisions will result in new tariffs on goods imported to the United Kingdom from the European Union that were manufactured elsewhere, as well as require additional a</w:t>
      </w:r>
      <w:r>
        <w:rPr>
          <w:rFonts w:eastAsia="Times New Roman"/>
          <w:color w:val="000000"/>
          <w:sz w:val="20"/>
          <w:szCs w:val="20"/>
        </w:rPr>
        <w:t>dministrative effort to import and export goods, adding friction and cost to transportation. Further, certain other worldwide events, including diplomatic tensions between the U.S. and China, acts of terrorism, taxation or monetary policy changes, fluctuat</w:t>
      </w:r>
      <w:r>
        <w:rPr>
          <w:rFonts w:eastAsia="Times New Roman"/>
          <w:color w:val="000000"/>
          <w:sz w:val="20"/>
          <w:szCs w:val="20"/>
        </w:rPr>
        <w:t xml:space="preserve">ions in commodity prices, and rising healthcare costs, also increase volatility in the global economy. </w:t>
      </w:r>
    </w:p>
    <w:p w14:paraId="78C01EFC" w14:textId="77777777" w:rsidR="00000000" w:rsidRDefault="00EE5306">
      <w:pPr>
        <w:ind w:firstLine="540"/>
        <w:jc w:val="both"/>
        <w:divId w:val="1127042249"/>
        <w:rPr>
          <w:rFonts w:eastAsia="Times New Roman"/>
        </w:rPr>
      </w:pPr>
      <w:r>
        <w:rPr>
          <w:rFonts w:eastAsia="Times New Roman"/>
          <w:color w:val="000000"/>
          <w:sz w:val="20"/>
          <w:szCs w:val="20"/>
        </w:rPr>
        <w:t>The retail landscape in which we operate has been significantly disrupted by the COVID-19 pandemic, including widespread temporary closures of stores an</w:t>
      </w:r>
      <w:r>
        <w:rPr>
          <w:rFonts w:eastAsia="Times New Roman"/>
          <w:color w:val="000000"/>
          <w:sz w:val="20"/>
          <w:szCs w:val="20"/>
        </w:rPr>
        <w:t>d distribution centers and declines in retail traffic, tourism, and consumer spending on discretionary items. Prior to the COVID-19 pandemic, consumers had been increasingly shifting their shopping preference from physical stores to online. This shift in p</w:t>
      </w:r>
      <w:r>
        <w:rPr>
          <w:rFonts w:eastAsia="Times New Roman"/>
          <w:color w:val="000000"/>
          <w:sz w:val="20"/>
          <w:szCs w:val="20"/>
        </w:rPr>
        <w:t>reference has accelerated during the pandemic and could be further amplified in the future as consumers may continue to prefer to avoid populated locations, such as shopping centers, in fear of exposing themselves to infectious diseases. Even before the pa</w:t>
      </w:r>
      <w:r>
        <w:rPr>
          <w:rFonts w:eastAsia="Times New Roman"/>
          <w:color w:val="000000"/>
          <w:sz w:val="20"/>
          <w:szCs w:val="20"/>
        </w:rPr>
        <w:t>ndemic, many retailers, including certain of our large wholesale customers, have been highly promotional and have aggressively marked down their merchandise on a periodic basis in an attempt to offset declines in physical store traffic. The retail industry</w:t>
      </w:r>
      <w:r>
        <w:rPr>
          <w:rFonts w:eastAsia="Times New Roman"/>
          <w:color w:val="000000"/>
          <w:sz w:val="20"/>
          <w:szCs w:val="20"/>
        </w:rPr>
        <w:t>, particularly in the U.S., has also experienced numerous bankruptcies, restructurings, and ownership changes in recent years. The COVID-19 pandemic could exacerbate these trends if companies do not have adequate financial resources and/or access to additi</w:t>
      </w:r>
      <w:r>
        <w:rPr>
          <w:rFonts w:eastAsia="Times New Roman"/>
          <w:color w:val="000000"/>
          <w:sz w:val="20"/>
          <w:szCs w:val="20"/>
        </w:rPr>
        <w:t>onal capital to withstand prolonged periods of adverse economic conditions. The continuation of these industry trends could further impact consumer spending and consumption behavior in our industry, which could have a material adverse effect on our busines</w:t>
      </w:r>
      <w:r>
        <w:rPr>
          <w:rFonts w:eastAsia="Times New Roman"/>
          <w:color w:val="000000"/>
          <w:sz w:val="20"/>
          <w:szCs w:val="20"/>
        </w:rPr>
        <w:t>s or operating results.</w:t>
      </w:r>
    </w:p>
    <w:p w14:paraId="7D719F55" w14:textId="77777777" w:rsidR="00000000" w:rsidRDefault="00EE5306">
      <w:pPr>
        <w:ind w:firstLine="540"/>
        <w:jc w:val="both"/>
        <w:divId w:val="1243300141"/>
        <w:rPr>
          <w:rFonts w:eastAsia="Times New Roman"/>
        </w:rPr>
      </w:pPr>
      <w:r>
        <w:rPr>
          <w:rFonts w:eastAsia="Times New Roman"/>
          <w:color w:val="000000"/>
          <w:sz w:val="20"/>
          <w:szCs w:val="20"/>
        </w:rPr>
        <w:t xml:space="preserve">We have implemented various strategies globally to help address many of these current challenges and continue to build a foundation for long-term profitable growth centered around strengthening our consumer-facing areas of product, </w:t>
      </w:r>
      <w:r>
        <w:rPr>
          <w:rFonts w:eastAsia="Times New Roman"/>
          <w:color w:val="000000"/>
          <w:sz w:val="20"/>
          <w:szCs w:val="20"/>
        </w:rPr>
        <w:t xml:space="preserve">stores, and marketing across channels and driving a more efficient operating model. In response to the COVID-19 pandemic, we have taken preemptive actions to preserve cash and strengthen our liquidity position, as described in </w:t>
      </w:r>
      <w:r>
        <w:rPr>
          <w:rFonts w:eastAsia="Times New Roman"/>
          <w:i/>
          <w:iCs/>
          <w:color w:val="000000"/>
          <w:sz w:val="20"/>
          <w:szCs w:val="20"/>
        </w:rPr>
        <w:t>"Recent Developments."</w:t>
      </w:r>
      <w:r>
        <w:rPr>
          <w:rFonts w:eastAsia="Times New Roman"/>
          <w:color w:val="000000"/>
          <w:sz w:val="20"/>
          <w:szCs w:val="20"/>
        </w:rPr>
        <w:t xml:space="preserve"> Invest</w:t>
      </w:r>
      <w:r>
        <w:rPr>
          <w:rFonts w:eastAsia="Times New Roman"/>
          <w:color w:val="000000"/>
          <w:sz w:val="20"/>
          <w:szCs w:val="20"/>
        </w:rPr>
        <w:t>ing in our digital ecosystem remains a primary focus and is a key component of our integrated global omni-channel strategy, particularly in light of the current COVID-19 pandemic, which has and could continue to reshape consumer shopping preferences. We co</w:t>
      </w:r>
      <w:r>
        <w:rPr>
          <w:rFonts w:eastAsia="Times New Roman"/>
          <w:color w:val="000000"/>
          <w:sz w:val="20"/>
          <w:szCs w:val="20"/>
        </w:rPr>
        <w:t xml:space="preserve">ntinue to expand our offering of Connected Retailing capabilities to enhance the consumer experience,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DDEBC89" w14:textId="77777777">
        <w:trPr>
          <w:divId w:val="1593389539"/>
          <w:jc w:val="center"/>
        </w:trPr>
        <w:tc>
          <w:tcPr>
            <w:tcW w:w="50" w:type="pct"/>
            <w:vAlign w:val="center"/>
            <w:hideMark/>
          </w:tcPr>
          <w:p w14:paraId="0AFA6E67" w14:textId="77777777" w:rsidR="00000000" w:rsidRDefault="00EE5306">
            <w:pPr>
              <w:ind w:firstLine="540"/>
              <w:jc w:val="both"/>
              <w:rPr>
                <w:rFonts w:eastAsia="Times New Roman"/>
              </w:rPr>
            </w:pPr>
          </w:p>
        </w:tc>
        <w:tc>
          <w:tcPr>
            <w:tcW w:w="1699" w:type="pct"/>
            <w:vAlign w:val="center"/>
            <w:hideMark/>
          </w:tcPr>
          <w:p w14:paraId="446A15E6" w14:textId="77777777" w:rsidR="00000000" w:rsidRDefault="00EE5306">
            <w:pPr>
              <w:spacing w:after="100"/>
              <w:rPr>
                <w:rFonts w:eastAsia="Times New Roman"/>
                <w:sz w:val="20"/>
                <w:szCs w:val="20"/>
              </w:rPr>
            </w:pPr>
          </w:p>
        </w:tc>
        <w:tc>
          <w:tcPr>
            <w:tcW w:w="5" w:type="pct"/>
            <w:vAlign w:val="center"/>
            <w:hideMark/>
          </w:tcPr>
          <w:p w14:paraId="34D6E00A" w14:textId="77777777" w:rsidR="00000000" w:rsidRDefault="00EE5306">
            <w:pPr>
              <w:spacing w:after="100"/>
              <w:rPr>
                <w:rFonts w:eastAsia="Times New Roman"/>
                <w:sz w:val="20"/>
                <w:szCs w:val="20"/>
              </w:rPr>
            </w:pPr>
          </w:p>
        </w:tc>
        <w:tc>
          <w:tcPr>
            <w:tcW w:w="50" w:type="pct"/>
            <w:vAlign w:val="center"/>
            <w:hideMark/>
          </w:tcPr>
          <w:p w14:paraId="325D9E0D" w14:textId="77777777" w:rsidR="00000000" w:rsidRDefault="00EE5306">
            <w:pPr>
              <w:spacing w:after="100"/>
              <w:rPr>
                <w:rFonts w:eastAsia="Times New Roman"/>
                <w:sz w:val="20"/>
                <w:szCs w:val="20"/>
              </w:rPr>
            </w:pPr>
          </w:p>
        </w:tc>
        <w:tc>
          <w:tcPr>
            <w:tcW w:w="1436" w:type="pct"/>
            <w:vAlign w:val="center"/>
            <w:hideMark/>
          </w:tcPr>
          <w:p w14:paraId="4C8517F6" w14:textId="77777777" w:rsidR="00000000" w:rsidRDefault="00EE5306">
            <w:pPr>
              <w:spacing w:after="100"/>
              <w:rPr>
                <w:rFonts w:eastAsia="Times New Roman"/>
                <w:sz w:val="20"/>
                <w:szCs w:val="20"/>
              </w:rPr>
            </w:pPr>
          </w:p>
        </w:tc>
        <w:tc>
          <w:tcPr>
            <w:tcW w:w="5" w:type="pct"/>
            <w:vAlign w:val="center"/>
            <w:hideMark/>
          </w:tcPr>
          <w:p w14:paraId="28F51DE6" w14:textId="77777777" w:rsidR="00000000" w:rsidRDefault="00EE5306">
            <w:pPr>
              <w:spacing w:after="100"/>
              <w:rPr>
                <w:rFonts w:eastAsia="Times New Roman"/>
                <w:sz w:val="20"/>
                <w:szCs w:val="20"/>
              </w:rPr>
            </w:pPr>
          </w:p>
        </w:tc>
        <w:tc>
          <w:tcPr>
            <w:tcW w:w="50" w:type="pct"/>
            <w:vAlign w:val="center"/>
            <w:hideMark/>
          </w:tcPr>
          <w:p w14:paraId="5E88B8C0" w14:textId="77777777" w:rsidR="00000000" w:rsidRDefault="00EE5306">
            <w:pPr>
              <w:spacing w:after="100"/>
              <w:rPr>
                <w:rFonts w:eastAsia="Times New Roman"/>
                <w:sz w:val="20"/>
                <w:szCs w:val="20"/>
              </w:rPr>
            </w:pPr>
          </w:p>
        </w:tc>
        <w:tc>
          <w:tcPr>
            <w:tcW w:w="1699" w:type="pct"/>
            <w:vAlign w:val="center"/>
            <w:hideMark/>
          </w:tcPr>
          <w:p w14:paraId="3E24806E" w14:textId="77777777" w:rsidR="00000000" w:rsidRDefault="00EE5306">
            <w:pPr>
              <w:spacing w:after="100"/>
              <w:rPr>
                <w:rFonts w:eastAsia="Times New Roman"/>
                <w:sz w:val="20"/>
                <w:szCs w:val="20"/>
              </w:rPr>
            </w:pPr>
          </w:p>
        </w:tc>
        <w:tc>
          <w:tcPr>
            <w:tcW w:w="5" w:type="pct"/>
            <w:vAlign w:val="center"/>
            <w:hideMark/>
          </w:tcPr>
          <w:p w14:paraId="195FDE45" w14:textId="77777777" w:rsidR="00000000" w:rsidRDefault="00EE5306">
            <w:pPr>
              <w:spacing w:after="100"/>
              <w:rPr>
                <w:rFonts w:eastAsia="Times New Roman"/>
                <w:sz w:val="20"/>
                <w:szCs w:val="20"/>
              </w:rPr>
            </w:pPr>
          </w:p>
        </w:tc>
      </w:tr>
      <w:tr w:rsidR="00000000" w14:paraId="0F90F839" w14:textId="77777777">
        <w:trPr>
          <w:divId w:val="1593389539"/>
          <w:jc w:val="center"/>
        </w:trPr>
        <w:tc>
          <w:tcPr>
            <w:tcW w:w="0" w:type="auto"/>
            <w:gridSpan w:val="3"/>
            <w:tcMar>
              <w:top w:w="0" w:type="dxa"/>
              <w:left w:w="20" w:type="dxa"/>
              <w:bottom w:w="0" w:type="dxa"/>
              <w:right w:w="20" w:type="dxa"/>
            </w:tcMar>
            <w:vAlign w:val="center"/>
            <w:hideMark/>
          </w:tcPr>
          <w:p w14:paraId="34F3817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CBAF783" w14:textId="77777777" w:rsidR="00000000" w:rsidRDefault="00EE5306">
            <w:pPr>
              <w:spacing w:after="100"/>
              <w:jc w:val="center"/>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14:paraId="2BB666C2" w14:textId="77777777" w:rsidR="00000000" w:rsidRDefault="00EE5306">
            <w:pPr>
              <w:spacing w:after="100"/>
              <w:jc w:val="center"/>
              <w:rPr>
                <w:rFonts w:eastAsia="Times New Roman"/>
              </w:rPr>
            </w:pPr>
          </w:p>
        </w:tc>
      </w:tr>
    </w:tbl>
    <w:p w14:paraId="478F4AB8" w14:textId="77777777" w:rsidR="00000000" w:rsidRDefault="00EE5306">
      <w:pPr>
        <w:rPr>
          <w:rFonts w:eastAsia="Times New Roman"/>
        </w:rPr>
      </w:pPr>
      <w:r>
        <w:rPr>
          <w:rFonts w:eastAsia="Times New Roman"/>
        </w:rPr>
        <w:pict w14:anchorId="342CD25A">
          <v:rect id="_x0000_i1074" style="width:0;height:1.5pt" o:hralign="center" o:hrstd="t" o:hr="t" fillcolor="#a0a0a0" stroked="f"/>
        </w:pict>
      </w:r>
    </w:p>
    <w:p w14:paraId="5F324E88" w14:textId="77777777" w:rsidR="00000000" w:rsidRDefault="00EE5306">
      <w:pPr>
        <w:divId w:val="41906311"/>
        <w:rPr>
          <w:rFonts w:eastAsia="Times New Roman"/>
        </w:rPr>
      </w:pPr>
    </w:p>
    <w:p w14:paraId="27FBA182" w14:textId="77777777" w:rsidR="00000000" w:rsidRDefault="00EE5306">
      <w:pPr>
        <w:jc w:val="both"/>
        <w:divId w:val="50349771"/>
        <w:rPr>
          <w:rFonts w:eastAsia="Times New Roman"/>
        </w:rPr>
      </w:pPr>
      <w:r>
        <w:rPr>
          <w:rFonts w:eastAsia="Times New Roman"/>
          <w:color w:val="000000"/>
          <w:sz w:val="20"/>
          <w:szCs w:val="20"/>
        </w:rPr>
        <w:t>which now include virtual clienteling, Buy Online-Ship to Store, Buy Online-Pick Up in Store, curbside pickup, appointment scheduling, and mobile checkout and contactless payments. Further, during Fiscal 2021, we launc</w:t>
      </w:r>
      <w:r>
        <w:rPr>
          <w:rFonts w:eastAsia="Times New Roman"/>
          <w:color w:val="000000"/>
          <w:sz w:val="20"/>
          <w:szCs w:val="20"/>
        </w:rPr>
        <w:t xml:space="preserve">hed new digital flagships in Japan and Hong Kong, as well as our first subscription apparel rental service, the Lauren Look. We also continue to take deliberate actions to ensure promotional consistency across channels and to enhance the overall brand and </w:t>
      </w:r>
      <w:r>
        <w:rPr>
          <w:rFonts w:eastAsia="Times New Roman"/>
          <w:color w:val="000000"/>
          <w:sz w:val="20"/>
          <w:szCs w:val="20"/>
        </w:rPr>
        <w:t>shopping experience, including better aligning shipments and inventory levels with underlying demand. We also remain committed to optimizing our wholesale distribution channel and enhancing our department store consumer experience. We are closely monitorin</w:t>
      </w:r>
      <w:r>
        <w:rPr>
          <w:rFonts w:eastAsia="Times New Roman"/>
          <w:color w:val="000000"/>
          <w:sz w:val="20"/>
          <w:szCs w:val="20"/>
        </w:rPr>
        <w:t xml:space="preserve">g the latest Brexit developments, including the December 2020 trade agreement, and are assessing risks and opportunities and developing strategies to mitigate our exposure. </w:t>
      </w:r>
    </w:p>
    <w:p w14:paraId="7B6FB37E" w14:textId="77777777" w:rsidR="00000000" w:rsidRDefault="00EE5306">
      <w:pPr>
        <w:ind w:firstLine="540"/>
        <w:jc w:val="both"/>
        <w:divId w:val="1677803696"/>
        <w:rPr>
          <w:rFonts w:eastAsia="Times New Roman"/>
        </w:rPr>
      </w:pPr>
      <w:r>
        <w:rPr>
          <w:rFonts w:eastAsia="Times New Roman"/>
          <w:color w:val="000000"/>
          <w:sz w:val="20"/>
          <w:szCs w:val="20"/>
        </w:rPr>
        <w:t>We will continue to monitor these conditions and trends and will evaluate and adju</w:t>
      </w:r>
      <w:r>
        <w:rPr>
          <w:rFonts w:eastAsia="Times New Roman"/>
          <w:color w:val="000000"/>
          <w:sz w:val="20"/>
          <w:szCs w:val="20"/>
        </w:rPr>
        <w:t xml:space="preserve">st our operating strategies and foreign currency and cost management opportunities to help mitigate the related impacts on our results of operations, while remaining focused on the long-term growth of our business and protecting and elevating the value of </w:t>
      </w:r>
      <w:r>
        <w:rPr>
          <w:rFonts w:eastAsia="Times New Roman"/>
          <w:color w:val="000000"/>
          <w:sz w:val="20"/>
          <w:szCs w:val="20"/>
        </w:rPr>
        <w:t>our brand.</w:t>
      </w:r>
    </w:p>
    <w:p w14:paraId="0745DC9E" w14:textId="77777777" w:rsidR="00000000" w:rsidRDefault="00EE5306">
      <w:pPr>
        <w:ind w:firstLine="540"/>
        <w:jc w:val="both"/>
        <w:divId w:val="1194031310"/>
        <w:rPr>
          <w:rFonts w:eastAsia="Times New Roman"/>
        </w:rPr>
      </w:pPr>
      <w:r>
        <w:rPr>
          <w:rFonts w:eastAsia="Times New Roman"/>
          <w:color w:val="000000"/>
          <w:sz w:val="20"/>
          <w:szCs w:val="20"/>
        </w:rPr>
        <w:t>For a detailed discussion of significant risk factors that have the potential to cause our actual results to differ materially from our expectations, see Part I, Item 1A — "</w:t>
      </w:r>
      <w:r>
        <w:rPr>
          <w:rFonts w:eastAsia="Times New Roman"/>
          <w:i/>
          <w:iCs/>
          <w:color w:val="000000"/>
          <w:sz w:val="20"/>
          <w:szCs w:val="20"/>
        </w:rPr>
        <w:t>Risk Factors</w:t>
      </w:r>
      <w:r>
        <w:rPr>
          <w:rFonts w:eastAsia="Times New Roman"/>
          <w:color w:val="000000"/>
          <w:sz w:val="20"/>
          <w:szCs w:val="20"/>
        </w:rPr>
        <w:t>" included in this Annual Report on Form 10-K.</w:t>
      </w:r>
    </w:p>
    <w:p w14:paraId="1E2D45FC" w14:textId="77777777" w:rsidR="00000000" w:rsidRDefault="00EE5306">
      <w:pPr>
        <w:ind w:firstLine="360"/>
        <w:jc w:val="both"/>
        <w:divId w:val="279997822"/>
        <w:rPr>
          <w:rFonts w:eastAsia="Times New Roman"/>
        </w:rPr>
      </w:pPr>
      <w:r>
        <w:rPr>
          <w:rFonts w:eastAsia="Times New Roman"/>
          <w:b/>
          <w:bCs/>
          <w:i/>
          <w:iCs/>
          <w:color w:val="000000"/>
          <w:sz w:val="20"/>
          <w:szCs w:val="20"/>
        </w:rPr>
        <w:t>Summary of Fi</w:t>
      </w:r>
      <w:r>
        <w:rPr>
          <w:rFonts w:eastAsia="Times New Roman"/>
          <w:b/>
          <w:bCs/>
          <w:i/>
          <w:iCs/>
          <w:color w:val="000000"/>
          <w:sz w:val="20"/>
          <w:szCs w:val="20"/>
        </w:rPr>
        <w:t>nancial Performance</w:t>
      </w:r>
    </w:p>
    <w:p w14:paraId="49E28AF2" w14:textId="77777777" w:rsidR="00000000" w:rsidRDefault="00EE5306">
      <w:pPr>
        <w:ind w:firstLine="360"/>
        <w:jc w:val="both"/>
        <w:divId w:val="489323374"/>
        <w:rPr>
          <w:rFonts w:eastAsia="Times New Roman"/>
        </w:rPr>
      </w:pPr>
      <w:r>
        <w:rPr>
          <w:rFonts w:eastAsia="Times New Roman"/>
          <w:i/>
          <w:iCs/>
          <w:color w:val="000000"/>
          <w:sz w:val="20"/>
          <w:szCs w:val="20"/>
        </w:rPr>
        <w:t>Operating Results</w:t>
      </w:r>
    </w:p>
    <w:p w14:paraId="12F93AD0" w14:textId="77777777" w:rsidR="00000000" w:rsidRDefault="00EE5306">
      <w:pPr>
        <w:ind w:firstLine="540"/>
        <w:jc w:val="both"/>
        <w:divId w:val="1365904037"/>
        <w:rPr>
          <w:rFonts w:eastAsia="Times New Roman"/>
        </w:rPr>
      </w:pPr>
      <w:r>
        <w:rPr>
          <w:rFonts w:eastAsia="Times New Roman"/>
          <w:color w:val="000000"/>
          <w:sz w:val="20"/>
          <w:szCs w:val="20"/>
        </w:rPr>
        <w:t>In Fiscal 2021, we reported net revenues of $4.401 billion, a net loss of $121.1 million, and net loss per diluted share of $1.65, as compared to net revenues of $6.160 billion, net income of $384.3 million, and net income per diluted share of $4.98 in Fis</w:t>
      </w:r>
      <w:r>
        <w:rPr>
          <w:rFonts w:eastAsia="Times New Roman"/>
          <w:color w:val="000000"/>
          <w:sz w:val="20"/>
          <w:szCs w:val="20"/>
        </w:rPr>
        <w:t>cal 2020. The comparability of our operating results has been affected by net adverse impacts related to COVID-19 business disruptions, as well as restructuring-related charges, impairment of assets, and certain other benefits (charges), including one-time</w:t>
      </w:r>
      <w:r>
        <w:rPr>
          <w:rFonts w:eastAsia="Times New Roman"/>
          <w:color w:val="000000"/>
          <w:sz w:val="20"/>
          <w:szCs w:val="20"/>
        </w:rPr>
        <w:t xml:space="preserve"> income tax events, as discussed further below. </w:t>
      </w:r>
    </w:p>
    <w:p w14:paraId="7E51E951" w14:textId="77777777" w:rsidR="00000000" w:rsidRDefault="00EE5306">
      <w:pPr>
        <w:ind w:firstLine="540"/>
        <w:jc w:val="both"/>
        <w:divId w:val="1426532320"/>
        <w:rPr>
          <w:rFonts w:eastAsia="Times New Roman"/>
        </w:rPr>
      </w:pPr>
      <w:r>
        <w:rPr>
          <w:rFonts w:eastAsia="Times New Roman"/>
          <w:color w:val="000000"/>
          <w:sz w:val="20"/>
          <w:szCs w:val="20"/>
        </w:rPr>
        <w:t>Our operating performance for Fiscal 2021 reflected revenue declines of 28.6% on a reported basis and 29.9% on a constant currency basis, as defined within "</w:t>
      </w:r>
      <w:r>
        <w:rPr>
          <w:rFonts w:eastAsia="Times New Roman"/>
          <w:i/>
          <w:iCs/>
          <w:color w:val="000000"/>
          <w:sz w:val="20"/>
          <w:szCs w:val="20"/>
        </w:rPr>
        <w:t>Transactions and Trends Affecting Comparability of</w:t>
      </w:r>
      <w:r>
        <w:rPr>
          <w:rFonts w:eastAsia="Times New Roman"/>
          <w:i/>
          <w:iCs/>
          <w:color w:val="000000"/>
          <w:sz w:val="20"/>
          <w:szCs w:val="20"/>
        </w:rPr>
        <w:t xml:space="preserve"> Results of Operations and Financial Condition</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 xml:space="preserve">below. The decrease in net revenues during Fiscal 2021 was largely due to declines in North America and Europe driven by COVID-19 business disruptions. </w:t>
      </w:r>
    </w:p>
    <w:p w14:paraId="2770CBA1" w14:textId="77777777" w:rsidR="00000000" w:rsidRDefault="00EE5306">
      <w:pPr>
        <w:ind w:firstLine="540"/>
        <w:jc w:val="both"/>
        <w:divId w:val="1054736499"/>
        <w:rPr>
          <w:rFonts w:eastAsia="Times New Roman"/>
        </w:rPr>
      </w:pPr>
      <w:r>
        <w:rPr>
          <w:rFonts w:eastAsia="Times New Roman"/>
          <w:color w:val="000000"/>
          <w:sz w:val="20"/>
          <w:szCs w:val="20"/>
        </w:rPr>
        <w:t>Our gross profit as a percentage of net revenues increa</w:t>
      </w:r>
      <w:r>
        <w:rPr>
          <w:rFonts w:eastAsia="Times New Roman"/>
          <w:color w:val="000000"/>
          <w:sz w:val="20"/>
          <w:szCs w:val="20"/>
        </w:rPr>
        <w:t>sed by 570 basis points to 65.0% during Fiscal 2021, primarily driven by improved pricing and lower levels of promotional activity, lower non-routine inventory charges, and favorable geographic and channel mix.</w:t>
      </w:r>
    </w:p>
    <w:p w14:paraId="2D409510" w14:textId="77777777" w:rsidR="00000000" w:rsidRDefault="00EE5306">
      <w:pPr>
        <w:ind w:firstLine="540"/>
        <w:jc w:val="both"/>
        <w:divId w:val="888420059"/>
        <w:rPr>
          <w:rFonts w:eastAsia="Times New Roman"/>
        </w:rPr>
      </w:pPr>
      <w:r>
        <w:rPr>
          <w:rFonts w:eastAsia="Times New Roman"/>
          <w:color w:val="000000"/>
          <w:sz w:val="20"/>
          <w:szCs w:val="20"/>
        </w:rPr>
        <w:t>Selling, general, and administrative ("SG&amp;A")</w:t>
      </w:r>
      <w:r>
        <w:rPr>
          <w:rFonts w:eastAsia="Times New Roman"/>
          <w:color w:val="000000"/>
          <w:sz w:val="20"/>
          <w:szCs w:val="20"/>
        </w:rPr>
        <w:t xml:space="preserve"> expenses as a percentage of net revenues increased by 740 basis points to 60.0% during Fiscal 2021, primarily driven by operating deleverage on lower net revenues, partially offset by expense savings across various categories.</w:t>
      </w:r>
    </w:p>
    <w:p w14:paraId="21A35BC9" w14:textId="77777777" w:rsidR="00000000" w:rsidRDefault="00EE5306">
      <w:pPr>
        <w:ind w:firstLine="540"/>
        <w:jc w:val="both"/>
        <w:divId w:val="53968848"/>
        <w:rPr>
          <w:rFonts w:eastAsia="Times New Roman"/>
        </w:rPr>
      </w:pPr>
      <w:r>
        <w:rPr>
          <w:rFonts w:eastAsia="Times New Roman"/>
          <w:color w:val="000000"/>
          <w:sz w:val="20"/>
          <w:szCs w:val="20"/>
        </w:rPr>
        <w:t>Net income decreased by $505</w:t>
      </w:r>
      <w:r>
        <w:rPr>
          <w:rFonts w:eastAsia="Times New Roman"/>
          <w:color w:val="000000"/>
          <w:sz w:val="20"/>
          <w:szCs w:val="20"/>
        </w:rPr>
        <w:t>.4 million to a net loss of $121.1 million in Fiscal 2021 as compared to Fiscal 2020, primarily due to a $360.6 million decline in operating income driven by COVID-19 business disruptions, a $104.2 million increase in our income tax provision, and higher n</w:t>
      </w:r>
      <w:r>
        <w:rPr>
          <w:rFonts w:eastAsia="Times New Roman"/>
          <w:color w:val="000000"/>
          <w:sz w:val="20"/>
          <w:szCs w:val="20"/>
        </w:rPr>
        <w:t>on-operating expense, net. Net income per diluted share decreased by $6.63 to a net loss of $1.65 per share in Fiscal 2021 as compared to Fiscal 2020, due to the lower level of net income.</w:t>
      </w:r>
    </w:p>
    <w:p w14:paraId="1304E0C0" w14:textId="77777777" w:rsidR="00000000" w:rsidRDefault="00EE5306">
      <w:pPr>
        <w:ind w:firstLine="540"/>
        <w:jc w:val="both"/>
        <w:divId w:val="2028827073"/>
        <w:rPr>
          <w:rFonts w:eastAsia="Times New Roman"/>
        </w:rPr>
      </w:pPr>
      <w:r>
        <w:rPr>
          <w:rFonts w:eastAsia="Times New Roman"/>
          <w:color w:val="000000"/>
          <w:sz w:val="20"/>
          <w:szCs w:val="20"/>
        </w:rPr>
        <w:t>Our operating results during Fiscal 2021 and Fiscal 2020 included n</w:t>
      </w:r>
      <w:r>
        <w:rPr>
          <w:rFonts w:eastAsia="Times New Roman"/>
          <w:color w:val="000000"/>
          <w:sz w:val="20"/>
          <w:szCs w:val="20"/>
        </w:rPr>
        <w:t>et restructuring-related charges, impairment of assets, and certain other charges totaling $254.4 million and $321.8 million, respectively, which had an after-tax effect of reducing net income by $201.5 million, or $2.71 per diluted share, and $244.8 milli</w:t>
      </w:r>
      <w:r>
        <w:rPr>
          <w:rFonts w:eastAsia="Times New Roman"/>
          <w:color w:val="000000"/>
          <w:sz w:val="20"/>
          <w:szCs w:val="20"/>
        </w:rPr>
        <w:t>on, or $3.17 per diluted share, respectively. Net income (loss) during Fiscal 2021 and Fiscal 2020 also reflected $46.6 million of incremental net tax expense and an income tax benefit of $122.9 million, respectively, recorded in connection with one-time i</w:t>
      </w:r>
      <w:r>
        <w:rPr>
          <w:rFonts w:eastAsia="Times New Roman"/>
          <w:color w:val="000000"/>
          <w:sz w:val="20"/>
          <w:szCs w:val="20"/>
        </w:rPr>
        <w:t>ncome tax events.</w:t>
      </w:r>
    </w:p>
    <w:p w14:paraId="3D2ED81A" w14:textId="77777777" w:rsidR="00000000" w:rsidRDefault="00EE5306">
      <w:pPr>
        <w:ind w:firstLine="360"/>
        <w:jc w:val="both"/>
        <w:divId w:val="283196377"/>
        <w:rPr>
          <w:rFonts w:eastAsia="Times New Roman"/>
        </w:rPr>
      </w:pPr>
      <w:r>
        <w:rPr>
          <w:rFonts w:eastAsia="Times New Roman"/>
          <w:i/>
          <w:iCs/>
          <w:color w:val="000000"/>
          <w:sz w:val="20"/>
          <w:szCs w:val="20"/>
        </w:rPr>
        <w:t>Financial Condition and Liquidity</w:t>
      </w:r>
    </w:p>
    <w:p w14:paraId="492539AF" w14:textId="77777777" w:rsidR="00000000" w:rsidRDefault="00EE5306">
      <w:pPr>
        <w:ind w:firstLine="540"/>
        <w:jc w:val="both"/>
        <w:divId w:val="2106144587"/>
        <w:rPr>
          <w:rFonts w:eastAsia="Times New Roman"/>
        </w:rPr>
      </w:pPr>
      <w:r>
        <w:rPr>
          <w:rFonts w:eastAsia="Times New Roman"/>
          <w:color w:val="000000"/>
          <w:sz w:val="20"/>
          <w:szCs w:val="20"/>
        </w:rPr>
        <w:t>We ended Fiscal 2021 in a net cash and investments position (cash and cash equivalents plus investments, less total debt) of $1.144 billion, compared to $945.3 million as of the end of Fiscal 2020. The in</w:t>
      </w:r>
      <w:r>
        <w:rPr>
          <w:rFonts w:eastAsia="Times New Roman"/>
          <w:color w:val="000000"/>
          <w:sz w:val="20"/>
          <w:szCs w:val="20"/>
        </w:rPr>
        <w:t>crease in our net cash and investments position was primarily due to our operating cash flows of $380.9 million, partially offset by our use of cash to invest in our business through $107.8 million in capital expenditures, to make dividend payments of $49.</w:t>
      </w:r>
      <w:r>
        <w:rPr>
          <w:rFonts w:eastAsia="Times New Roman"/>
          <w:color w:val="000000"/>
          <w:sz w:val="20"/>
          <w:szCs w:val="20"/>
        </w:rPr>
        <w:t>8 million (which had been previously declared during the fourth quarter of Fiscal 2020), and to support Class A common stock repurchases of $37.7 million, representing withholdings in satisfaction of tax obligations for stock-based compensation awards.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9246321" w14:textId="77777777">
        <w:trPr>
          <w:divId w:val="833373156"/>
          <w:jc w:val="center"/>
        </w:trPr>
        <w:tc>
          <w:tcPr>
            <w:tcW w:w="50" w:type="pct"/>
            <w:vAlign w:val="center"/>
            <w:hideMark/>
          </w:tcPr>
          <w:p w14:paraId="3422B90E" w14:textId="77777777" w:rsidR="00000000" w:rsidRDefault="00EE5306">
            <w:pPr>
              <w:ind w:firstLine="540"/>
              <w:jc w:val="both"/>
              <w:rPr>
                <w:rFonts w:eastAsia="Times New Roman"/>
              </w:rPr>
            </w:pPr>
          </w:p>
        </w:tc>
        <w:tc>
          <w:tcPr>
            <w:tcW w:w="1699" w:type="pct"/>
            <w:vAlign w:val="center"/>
            <w:hideMark/>
          </w:tcPr>
          <w:p w14:paraId="332216B1" w14:textId="77777777" w:rsidR="00000000" w:rsidRDefault="00EE5306">
            <w:pPr>
              <w:spacing w:after="100"/>
              <w:rPr>
                <w:rFonts w:eastAsia="Times New Roman"/>
                <w:sz w:val="20"/>
                <w:szCs w:val="20"/>
              </w:rPr>
            </w:pPr>
          </w:p>
        </w:tc>
        <w:tc>
          <w:tcPr>
            <w:tcW w:w="5" w:type="pct"/>
            <w:vAlign w:val="center"/>
            <w:hideMark/>
          </w:tcPr>
          <w:p w14:paraId="3DCD5E84" w14:textId="77777777" w:rsidR="00000000" w:rsidRDefault="00EE5306">
            <w:pPr>
              <w:spacing w:after="100"/>
              <w:rPr>
                <w:rFonts w:eastAsia="Times New Roman"/>
                <w:sz w:val="20"/>
                <w:szCs w:val="20"/>
              </w:rPr>
            </w:pPr>
          </w:p>
        </w:tc>
        <w:tc>
          <w:tcPr>
            <w:tcW w:w="50" w:type="pct"/>
            <w:vAlign w:val="center"/>
            <w:hideMark/>
          </w:tcPr>
          <w:p w14:paraId="0AAFBC1B" w14:textId="77777777" w:rsidR="00000000" w:rsidRDefault="00EE5306">
            <w:pPr>
              <w:spacing w:after="100"/>
              <w:rPr>
                <w:rFonts w:eastAsia="Times New Roman"/>
                <w:sz w:val="20"/>
                <w:szCs w:val="20"/>
              </w:rPr>
            </w:pPr>
          </w:p>
        </w:tc>
        <w:tc>
          <w:tcPr>
            <w:tcW w:w="1436" w:type="pct"/>
            <w:vAlign w:val="center"/>
            <w:hideMark/>
          </w:tcPr>
          <w:p w14:paraId="12D01C99" w14:textId="77777777" w:rsidR="00000000" w:rsidRDefault="00EE5306">
            <w:pPr>
              <w:spacing w:after="100"/>
              <w:rPr>
                <w:rFonts w:eastAsia="Times New Roman"/>
                <w:sz w:val="20"/>
                <w:szCs w:val="20"/>
              </w:rPr>
            </w:pPr>
          </w:p>
        </w:tc>
        <w:tc>
          <w:tcPr>
            <w:tcW w:w="5" w:type="pct"/>
            <w:vAlign w:val="center"/>
            <w:hideMark/>
          </w:tcPr>
          <w:p w14:paraId="54E5C351" w14:textId="77777777" w:rsidR="00000000" w:rsidRDefault="00EE5306">
            <w:pPr>
              <w:spacing w:after="100"/>
              <w:rPr>
                <w:rFonts w:eastAsia="Times New Roman"/>
                <w:sz w:val="20"/>
                <w:szCs w:val="20"/>
              </w:rPr>
            </w:pPr>
          </w:p>
        </w:tc>
        <w:tc>
          <w:tcPr>
            <w:tcW w:w="50" w:type="pct"/>
            <w:vAlign w:val="center"/>
            <w:hideMark/>
          </w:tcPr>
          <w:p w14:paraId="0D82DAF0" w14:textId="77777777" w:rsidR="00000000" w:rsidRDefault="00EE5306">
            <w:pPr>
              <w:spacing w:after="100"/>
              <w:rPr>
                <w:rFonts w:eastAsia="Times New Roman"/>
                <w:sz w:val="20"/>
                <w:szCs w:val="20"/>
              </w:rPr>
            </w:pPr>
          </w:p>
        </w:tc>
        <w:tc>
          <w:tcPr>
            <w:tcW w:w="1699" w:type="pct"/>
            <w:vAlign w:val="center"/>
            <w:hideMark/>
          </w:tcPr>
          <w:p w14:paraId="7015DADD" w14:textId="77777777" w:rsidR="00000000" w:rsidRDefault="00EE5306">
            <w:pPr>
              <w:spacing w:after="100"/>
              <w:rPr>
                <w:rFonts w:eastAsia="Times New Roman"/>
                <w:sz w:val="20"/>
                <w:szCs w:val="20"/>
              </w:rPr>
            </w:pPr>
          </w:p>
        </w:tc>
        <w:tc>
          <w:tcPr>
            <w:tcW w:w="5" w:type="pct"/>
            <w:vAlign w:val="center"/>
            <w:hideMark/>
          </w:tcPr>
          <w:p w14:paraId="117A3A89" w14:textId="77777777" w:rsidR="00000000" w:rsidRDefault="00EE5306">
            <w:pPr>
              <w:spacing w:after="100"/>
              <w:rPr>
                <w:rFonts w:eastAsia="Times New Roman"/>
                <w:sz w:val="20"/>
                <w:szCs w:val="20"/>
              </w:rPr>
            </w:pPr>
          </w:p>
        </w:tc>
      </w:tr>
      <w:tr w:rsidR="00000000" w14:paraId="00E15FE2" w14:textId="77777777">
        <w:trPr>
          <w:divId w:val="833373156"/>
          <w:jc w:val="center"/>
        </w:trPr>
        <w:tc>
          <w:tcPr>
            <w:tcW w:w="0" w:type="auto"/>
            <w:gridSpan w:val="3"/>
            <w:tcMar>
              <w:top w:w="0" w:type="dxa"/>
              <w:left w:w="20" w:type="dxa"/>
              <w:bottom w:w="0" w:type="dxa"/>
              <w:right w:w="20" w:type="dxa"/>
            </w:tcMar>
            <w:vAlign w:val="center"/>
            <w:hideMark/>
          </w:tcPr>
          <w:p w14:paraId="23FB95C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5AE7E6B" w14:textId="77777777" w:rsidR="00000000" w:rsidRDefault="00EE5306">
            <w:pPr>
              <w:spacing w:after="100"/>
              <w:jc w:val="center"/>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14:paraId="1234710B" w14:textId="77777777" w:rsidR="00000000" w:rsidRDefault="00EE5306">
            <w:pPr>
              <w:spacing w:after="100"/>
              <w:jc w:val="center"/>
              <w:rPr>
                <w:rFonts w:eastAsia="Times New Roman"/>
              </w:rPr>
            </w:pPr>
          </w:p>
        </w:tc>
      </w:tr>
    </w:tbl>
    <w:p w14:paraId="61280D02" w14:textId="77777777" w:rsidR="00000000" w:rsidRDefault="00EE5306">
      <w:pPr>
        <w:rPr>
          <w:rFonts w:eastAsia="Times New Roman"/>
        </w:rPr>
      </w:pPr>
      <w:r>
        <w:rPr>
          <w:rFonts w:eastAsia="Times New Roman"/>
        </w:rPr>
        <w:pict w14:anchorId="368E8496">
          <v:rect id="_x0000_i1075" style="width:0;height:1.5pt" o:hralign="center" o:hrstd="t" o:hr="t" fillcolor="#a0a0a0" stroked="f"/>
        </w:pict>
      </w:r>
    </w:p>
    <w:p w14:paraId="5887F080" w14:textId="77777777" w:rsidR="00000000" w:rsidRDefault="00EE5306">
      <w:pPr>
        <w:divId w:val="2024747950"/>
        <w:rPr>
          <w:rFonts w:eastAsia="Times New Roman"/>
        </w:rPr>
      </w:pPr>
    </w:p>
    <w:p w14:paraId="72223D95" w14:textId="77777777" w:rsidR="00000000" w:rsidRDefault="00EE5306">
      <w:pPr>
        <w:ind w:firstLine="540"/>
        <w:jc w:val="both"/>
        <w:divId w:val="198518044"/>
        <w:rPr>
          <w:rFonts w:eastAsia="Times New Roman"/>
        </w:rPr>
      </w:pPr>
      <w:r>
        <w:rPr>
          <w:rFonts w:eastAsia="Times New Roman"/>
          <w:color w:val="000000"/>
          <w:sz w:val="20"/>
          <w:szCs w:val="20"/>
        </w:rPr>
        <w:t>We generated $380.9 million of cash from operations during Fiscal 2021, compared to $754.6 million during Fiscal 2020. The decline in cash provided by operating activities was due to a decrease in net income before non</w:t>
      </w:r>
      <w:r>
        <w:rPr>
          <w:rFonts w:eastAsia="Times New Roman"/>
          <w:color w:val="000000"/>
          <w:sz w:val="20"/>
          <w:szCs w:val="20"/>
        </w:rPr>
        <w:t>-cash charges, partially offset by a net favorable change related to our operating assets and liabilities, including our working capital, as compared to the prior fiscal year period.</w:t>
      </w:r>
    </w:p>
    <w:p w14:paraId="26A16A3A" w14:textId="77777777" w:rsidR="00000000" w:rsidRDefault="00EE5306">
      <w:pPr>
        <w:ind w:firstLine="540"/>
        <w:jc w:val="both"/>
        <w:divId w:val="1156653288"/>
        <w:rPr>
          <w:rFonts w:eastAsia="Times New Roman"/>
        </w:rPr>
      </w:pPr>
      <w:r>
        <w:rPr>
          <w:rFonts w:eastAsia="Times New Roman"/>
          <w:color w:val="000000"/>
          <w:sz w:val="20"/>
          <w:szCs w:val="20"/>
        </w:rPr>
        <w:t xml:space="preserve">Our equity decreased to $2.604 billion as of March 27, 2021, compared to </w:t>
      </w:r>
      <w:r>
        <w:rPr>
          <w:rFonts w:eastAsia="Times New Roman"/>
          <w:color w:val="000000"/>
          <w:sz w:val="20"/>
          <w:szCs w:val="20"/>
        </w:rPr>
        <w:t>$2.693 billion as of March 28, 2020, primarily due to our comprehensive loss and shares surrendered for tax withholdings, partially offset by the impact of stock-based compensation arrangements during Fiscal 2021.</w:t>
      </w:r>
    </w:p>
    <w:p w14:paraId="1974F888" w14:textId="77777777" w:rsidR="00000000" w:rsidRDefault="00EE5306">
      <w:pPr>
        <w:ind w:firstLine="360"/>
        <w:jc w:val="both"/>
        <w:divId w:val="1845196118"/>
        <w:rPr>
          <w:rFonts w:eastAsia="Times New Roman"/>
        </w:rPr>
      </w:pPr>
      <w:r>
        <w:rPr>
          <w:rFonts w:eastAsia="Times New Roman"/>
          <w:b/>
          <w:bCs/>
          <w:i/>
          <w:iCs/>
          <w:color w:val="000000"/>
          <w:sz w:val="20"/>
          <w:szCs w:val="20"/>
        </w:rPr>
        <w:t>Transactions and Trends Affecting Comparab</w:t>
      </w:r>
      <w:r>
        <w:rPr>
          <w:rFonts w:eastAsia="Times New Roman"/>
          <w:b/>
          <w:bCs/>
          <w:i/>
          <w:iCs/>
          <w:color w:val="000000"/>
          <w:sz w:val="20"/>
          <w:szCs w:val="20"/>
        </w:rPr>
        <w:t>ility of Results of Operations and Financial Condition</w:t>
      </w:r>
    </w:p>
    <w:p w14:paraId="376F3B7E" w14:textId="77777777" w:rsidR="00000000" w:rsidRDefault="00EE5306">
      <w:pPr>
        <w:ind w:firstLine="540"/>
        <w:jc w:val="both"/>
        <w:divId w:val="380591520"/>
        <w:rPr>
          <w:rFonts w:eastAsia="Times New Roman"/>
        </w:rPr>
      </w:pPr>
      <w:r>
        <w:rPr>
          <w:rFonts w:eastAsia="Times New Roman"/>
          <w:color w:val="000000"/>
          <w:sz w:val="20"/>
          <w:szCs w:val="20"/>
        </w:rPr>
        <w:t>The comparability of our operating results for the three fiscal years presented herein has been affected by certain events, including:</w:t>
      </w:r>
    </w:p>
    <w:p w14:paraId="414A328E" w14:textId="77777777" w:rsidR="00000000" w:rsidRDefault="00EE5306">
      <w:pPr>
        <w:ind w:hanging="360"/>
        <w:jc w:val="both"/>
        <w:divId w:val="1810515999"/>
        <w:rPr>
          <w:rFonts w:eastAsia="Times New Roman"/>
        </w:rPr>
      </w:pPr>
      <w:r>
        <w:rPr>
          <w:rFonts w:eastAsia="Times New Roman"/>
          <w:color w:val="000000"/>
          <w:sz w:val="20"/>
          <w:szCs w:val="20"/>
        </w:rPr>
        <w:t xml:space="preserve">•pretax charges incurred in connection with our restructuring activities, as well as certain other asset impairments and </w:t>
      </w:r>
      <w:r>
        <w:rPr>
          <w:rFonts w:eastAsia="Times New Roman"/>
          <w:color w:val="000000"/>
          <w:sz w:val="20"/>
          <w:szCs w:val="20"/>
        </w:rPr>
        <w:t>other benefits (charges), including those related to COVID-19 business disruptions, as summarized below (references to "Notes" are to the notes to the accompanying consolidated financial statements):</w:t>
      </w:r>
    </w:p>
    <w:tbl>
      <w:tblPr>
        <w:tblW w:w="4466" w:type="pct"/>
        <w:tblCellMar>
          <w:top w:w="15" w:type="dxa"/>
          <w:left w:w="15" w:type="dxa"/>
          <w:bottom w:w="15" w:type="dxa"/>
          <w:right w:w="15" w:type="dxa"/>
        </w:tblCellMar>
        <w:tblLook w:val="04A0" w:firstRow="1" w:lastRow="0" w:firstColumn="1" w:lastColumn="0" w:noHBand="0" w:noVBand="1"/>
      </w:tblPr>
      <w:tblGrid>
        <w:gridCol w:w="37"/>
        <w:gridCol w:w="3919"/>
        <w:gridCol w:w="36"/>
        <w:gridCol w:w="36"/>
        <w:gridCol w:w="36"/>
        <w:gridCol w:w="36"/>
        <w:gridCol w:w="120"/>
        <w:gridCol w:w="878"/>
        <w:gridCol w:w="36"/>
        <w:gridCol w:w="36"/>
        <w:gridCol w:w="36"/>
        <w:gridCol w:w="36"/>
        <w:gridCol w:w="120"/>
        <w:gridCol w:w="878"/>
        <w:gridCol w:w="36"/>
        <w:gridCol w:w="36"/>
        <w:gridCol w:w="36"/>
        <w:gridCol w:w="36"/>
        <w:gridCol w:w="120"/>
        <w:gridCol w:w="879"/>
        <w:gridCol w:w="36"/>
      </w:tblGrid>
      <w:tr w:rsidR="00000000" w14:paraId="326E3EE2" w14:textId="77777777">
        <w:trPr>
          <w:divId w:val="202208794"/>
        </w:trPr>
        <w:tc>
          <w:tcPr>
            <w:tcW w:w="50" w:type="pct"/>
            <w:vAlign w:val="center"/>
            <w:hideMark/>
          </w:tcPr>
          <w:p w14:paraId="56824CFF" w14:textId="77777777" w:rsidR="00000000" w:rsidRDefault="00EE5306">
            <w:pPr>
              <w:ind w:hanging="360"/>
              <w:jc w:val="both"/>
              <w:rPr>
                <w:rFonts w:eastAsia="Times New Roman"/>
              </w:rPr>
            </w:pPr>
          </w:p>
        </w:tc>
        <w:tc>
          <w:tcPr>
            <w:tcW w:w="2686" w:type="pct"/>
            <w:vAlign w:val="center"/>
            <w:hideMark/>
          </w:tcPr>
          <w:p w14:paraId="5FD0C38D" w14:textId="77777777" w:rsidR="00000000" w:rsidRDefault="00EE5306">
            <w:pPr>
              <w:spacing w:after="100"/>
              <w:rPr>
                <w:rFonts w:eastAsia="Times New Roman"/>
                <w:sz w:val="20"/>
                <w:szCs w:val="20"/>
              </w:rPr>
            </w:pPr>
          </w:p>
        </w:tc>
        <w:tc>
          <w:tcPr>
            <w:tcW w:w="5" w:type="pct"/>
            <w:vAlign w:val="center"/>
            <w:hideMark/>
          </w:tcPr>
          <w:p w14:paraId="66EAEE28" w14:textId="77777777" w:rsidR="00000000" w:rsidRDefault="00EE5306">
            <w:pPr>
              <w:spacing w:after="100"/>
              <w:rPr>
                <w:rFonts w:eastAsia="Times New Roman"/>
                <w:sz w:val="20"/>
                <w:szCs w:val="20"/>
              </w:rPr>
            </w:pPr>
          </w:p>
        </w:tc>
        <w:tc>
          <w:tcPr>
            <w:tcW w:w="5" w:type="pct"/>
            <w:vAlign w:val="center"/>
            <w:hideMark/>
          </w:tcPr>
          <w:p w14:paraId="5DBF70FC" w14:textId="77777777" w:rsidR="00000000" w:rsidRDefault="00EE5306">
            <w:pPr>
              <w:spacing w:after="100"/>
              <w:rPr>
                <w:rFonts w:eastAsia="Times New Roman"/>
                <w:sz w:val="20"/>
                <w:szCs w:val="20"/>
              </w:rPr>
            </w:pPr>
          </w:p>
        </w:tc>
        <w:tc>
          <w:tcPr>
            <w:tcW w:w="30" w:type="pct"/>
            <w:vAlign w:val="center"/>
            <w:hideMark/>
          </w:tcPr>
          <w:p w14:paraId="145E6870" w14:textId="77777777" w:rsidR="00000000" w:rsidRDefault="00EE5306">
            <w:pPr>
              <w:spacing w:after="100"/>
              <w:rPr>
                <w:rFonts w:eastAsia="Times New Roman"/>
                <w:sz w:val="20"/>
                <w:szCs w:val="20"/>
              </w:rPr>
            </w:pPr>
          </w:p>
        </w:tc>
        <w:tc>
          <w:tcPr>
            <w:tcW w:w="5" w:type="pct"/>
            <w:vAlign w:val="center"/>
            <w:hideMark/>
          </w:tcPr>
          <w:p w14:paraId="04D951F4" w14:textId="77777777" w:rsidR="00000000" w:rsidRDefault="00EE5306">
            <w:pPr>
              <w:spacing w:after="100"/>
              <w:rPr>
                <w:rFonts w:eastAsia="Times New Roman"/>
                <w:sz w:val="20"/>
                <w:szCs w:val="20"/>
              </w:rPr>
            </w:pPr>
          </w:p>
        </w:tc>
        <w:tc>
          <w:tcPr>
            <w:tcW w:w="50" w:type="pct"/>
            <w:vAlign w:val="center"/>
            <w:hideMark/>
          </w:tcPr>
          <w:p w14:paraId="2029B923" w14:textId="77777777" w:rsidR="00000000" w:rsidRDefault="00EE5306">
            <w:pPr>
              <w:spacing w:after="100"/>
              <w:rPr>
                <w:rFonts w:eastAsia="Times New Roman"/>
                <w:sz w:val="20"/>
                <w:szCs w:val="20"/>
              </w:rPr>
            </w:pPr>
          </w:p>
        </w:tc>
        <w:tc>
          <w:tcPr>
            <w:tcW w:w="656" w:type="pct"/>
            <w:vAlign w:val="center"/>
            <w:hideMark/>
          </w:tcPr>
          <w:p w14:paraId="7BB02FBB" w14:textId="77777777" w:rsidR="00000000" w:rsidRDefault="00EE5306">
            <w:pPr>
              <w:spacing w:after="100"/>
              <w:rPr>
                <w:rFonts w:eastAsia="Times New Roman"/>
                <w:sz w:val="20"/>
                <w:szCs w:val="20"/>
              </w:rPr>
            </w:pPr>
          </w:p>
        </w:tc>
        <w:tc>
          <w:tcPr>
            <w:tcW w:w="5" w:type="pct"/>
            <w:vAlign w:val="center"/>
            <w:hideMark/>
          </w:tcPr>
          <w:p w14:paraId="312405BB" w14:textId="77777777" w:rsidR="00000000" w:rsidRDefault="00EE5306">
            <w:pPr>
              <w:spacing w:after="100"/>
              <w:rPr>
                <w:rFonts w:eastAsia="Times New Roman"/>
                <w:sz w:val="20"/>
                <w:szCs w:val="20"/>
              </w:rPr>
            </w:pPr>
          </w:p>
        </w:tc>
        <w:tc>
          <w:tcPr>
            <w:tcW w:w="5" w:type="pct"/>
            <w:vAlign w:val="center"/>
            <w:hideMark/>
          </w:tcPr>
          <w:p w14:paraId="4DFCA6E2" w14:textId="77777777" w:rsidR="00000000" w:rsidRDefault="00EE5306">
            <w:pPr>
              <w:spacing w:after="100"/>
              <w:rPr>
                <w:rFonts w:eastAsia="Times New Roman"/>
                <w:sz w:val="20"/>
                <w:szCs w:val="20"/>
              </w:rPr>
            </w:pPr>
          </w:p>
        </w:tc>
        <w:tc>
          <w:tcPr>
            <w:tcW w:w="30" w:type="pct"/>
            <w:vAlign w:val="center"/>
            <w:hideMark/>
          </w:tcPr>
          <w:p w14:paraId="709AFEAB" w14:textId="77777777" w:rsidR="00000000" w:rsidRDefault="00EE5306">
            <w:pPr>
              <w:spacing w:after="100"/>
              <w:rPr>
                <w:rFonts w:eastAsia="Times New Roman"/>
                <w:sz w:val="20"/>
                <w:szCs w:val="20"/>
              </w:rPr>
            </w:pPr>
          </w:p>
        </w:tc>
        <w:tc>
          <w:tcPr>
            <w:tcW w:w="5" w:type="pct"/>
            <w:vAlign w:val="center"/>
            <w:hideMark/>
          </w:tcPr>
          <w:p w14:paraId="0528ECC5" w14:textId="77777777" w:rsidR="00000000" w:rsidRDefault="00EE5306">
            <w:pPr>
              <w:spacing w:after="100"/>
              <w:rPr>
                <w:rFonts w:eastAsia="Times New Roman"/>
                <w:sz w:val="20"/>
                <w:szCs w:val="20"/>
              </w:rPr>
            </w:pPr>
          </w:p>
        </w:tc>
        <w:tc>
          <w:tcPr>
            <w:tcW w:w="50" w:type="pct"/>
            <w:vAlign w:val="center"/>
            <w:hideMark/>
          </w:tcPr>
          <w:p w14:paraId="0E1004C8" w14:textId="77777777" w:rsidR="00000000" w:rsidRDefault="00EE5306">
            <w:pPr>
              <w:spacing w:after="100"/>
              <w:rPr>
                <w:rFonts w:eastAsia="Times New Roman"/>
                <w:sz w:val="20"/>
                <w:szCs w:val="20"/>
              </w:rPr>
            </w:pPr>
          </w:p>
        </w:tc>
        <w:tc>
          <w:tcPr>
            <w:tcW w:w="656" w:type="pct"/>
            <w:vAlign w:val="center"/>
            <w:hideMark/>
          </w:tcPr>
          <w:p w14:paraId="17941D83" w14:textId="77777777" w:rsidR="00000000" w:rsidRDefault="00EE5306">
            <w:pPr>
              <w:spacing w:after="100"/>
              <w:rPr>
                <w:rFonts w:eastAsia="Times New Roman"/>
                <w:sz w:val="20"/>
                <w:szCs w:val="20"/>
              </w:rPr>
            </w:pPr>
          </w:p>
        </w:tc>
        <w:tc>
          <w:tcPr>
            <w:tcW w:w="5" w:type="pct"/>
            <w:vAlign w:val="center"/>
            <w:hideMark/>
          </w:tcPr>
          <w:p w14:paraId="283CEE8D" w14:textId="77777777" w:rsidR="00000000" w:rsidRDefault="00EE5306">
            <w:pPr>
              <w:spacing w:after="100"/>
              <w:rPr>
                <w:rFonts w:eastAsia="Times New Roman"/>
                <w:sz w:val="20"/>
                <w:szCs w:val="20"/>
              </w:rPr>
            </w:pPr>
          </w:p>
        </w:tc>
        <w:tc>
          <w:tcPr>
            <w:tcW w:w="5" w:type="pct"/>
            <w:vAlign w:val="center"/>
            <w:hideMark/>
          </w:tcPr>
          <w:p w14:paraId="44986765" w14:textId="77777777" w:rsidR="00000000" w:rsidRDefault="00EE5306">
            <w:pPr>
              <w:spacing w:after="100"/>
              <w:rPr>
                <w:rFonts w:eastAsia="Times New Roman"/>
                <w:sz w:val="20"/>
                <w:szCs w:val="20"/>
              </w:rPr>
            </w:pPr>
          </w:p>
        </w:tc>
        <w:tc>
          <w:tcPr>
            <w:tcW w:w="30" w:type="pct"/>
            <w:vAlign w:val="center"/>
            <w:hideMark/>
          </w:tcPr>
          <w:p w14:paraId="25C3752B" w14:textId="77777777" w:rsidR="00000000" w:rsidRDefault="00EE5306">
            <w:pPr>
              <w:spacing w:after="100"/>
              <w:rPr>
                <w:rFonts w:eastAsia="Times New Roman"/>
                <w:sz w:val="20"/>
                <w:szCs w:val="20"/>
              </w:rPr>
            </w:pPr>
          </w:p>
        </w:tc>
        <w:tc>
          <w:tcPr>
            <w:tcW w:w="5" w:type="pct"/>
            <w:vAlign w:val="center"/>
            <w:hideMark/>
          </w:tcPr>
          <w:p w14:paraId="5672C68A" w14:textId="77777777" w:rsidR="00000000" w:rsidRDefault="00EE5306">
            <w:pPr>
              <w:spacing w:after="100"/>
              <w:rPr>
                <w:rFonts w:eastAsia="Times New Roman"/>
                <w:sz w:val="20"/>
                <w:szCs w:val="20"/>
              </w:rPr>
            </w:pPr>
          </w:p>
        </w:tc>
        <w:tc>
          <w:tcPr>
            <w:tcW w:w="50" w:type="pct"/>
            <w:vAlign w:val="center"/>
            <w:hideMark/>
          </w:tcPr>
          <w:p w14:paraId="0C3786C2" w14:textId="77777777" w:rsidR="00000000" w:rsidRDefault="00EE5306">
            <w:pPr>
              <w:spacing w:after="100"/>
              <w:rPr>
                <w:rFonts w:eastAsia="Times New Roman"/>
                <w:sz w:val="20"/>
                <w:szCs w:val="20"/>
              </w:rPr>
            </w:pPr>
          </w:p>
        </w:tc>
        <w:tc>
          <w:tcPr>
            <w:tcW w:w="657" w:type="pct"/>
            <w:vAlign w:val="center"/>
            <w:hideMark/>
          </w:tcPr>
          <w:p w14:paraId="49398629" w14:textId="77777777" w:rsidR="00000000" w:rsidRDefault="00EE5306">
            <w:pPr>
              <w:spacing w:after="100"/>
              <w:rPr>
                <w:rFonts w:eastAsia="Times New Roman"/>
                <w:sz w:val="20"/>
                <w:szCs w:val="20"/>
              </w:rPr>
            </w:pPr>
          </w:p>
        </w:tc>
        <w:tc>
          <w:tcPr>
            <w:tcW w:w="5" w:type="pct"/>
            <w:vAlign w:val="center"/>
            <w:hideMark/>
          </w:tcPr>
          <w:p w14:paraId="3EDCA9E3" w14:textId="77777777" w:rsidR="00000000" w:rsidRDefault="00EE5306">
            <w:pPr>
              <w:spacing w:after="100"/>
              <w:rPr>
                <w:rFonts w:eastAsia="Times New Roman"/>
                <w:sz w:val="20"/>
                <w:szCs w:val="20"/>
              </w:rPr>
            </w:pPr>
          </w:p>
        </w:tc>
      </w:tr>
      <w:tr w:rsidR="00000000" w14:paraId="031C009C" w14:textId="77777777">
        <w:trPr>
          <w:divId w:val="202208794"/>
        </w:trPr>
        <w:tc>
          <w:tcPr>
            <w:tcW w:w="0" w:type="auto"/>
            <w:gridSpan w:val="3"/>
            <w:tcMar>
              <w:top w:w="30" w:type="dxa"/>
              <w:left w:w="20" w:type="dxa"/>
              <w:bottom w:w="30" w:type="dxa"/>
              <w:right w:w="20" w:type="dxa"/>
            </w:tcMar>
            <w:vAlign w:val="bottom"/>
            <w:hideMark/>
          </w:tcPr>
          <w:p w14:paraId="4A6F40A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90F9392"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559D0029"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6534F988" w14:textId="77777777">
        <w:trPr>
          <w:divId w:val="202208794"/>
        </w:trPr>
        <w:tc>
          <w:tcPr>
            <w:tcW w:w="0" w:type="auto"/>
            <w:gridSpan w:val="3"/>
            <w:tcMar>
              <w:top w:w="30" w:type="dxa"/>
              <w:left w:w="20" w:type="dxa"/>
              <w:bottom w:w="30" w:type="dxa"/>
              <w:right w:w="20" w:type="dxa"/>
            </w:tcMar>
            <w:vAlign w:val="bottom"/>
            <w:hideMark/>
          </w:tcPr>
          <w:p w14:paraId="645020B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104B1C0"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240158"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C546AB4"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8E5E25"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9BE9ADD"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0480002"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7B12F050" w14:textId="77777777">
        <w:trPr>
          <w:divId w:val="202208794"/>
        </w:trPr>
        <w:tc>
          <w:tcPr>
            <w:tcW w:w="0" w:type="auto"/>
            <w:gridSpan w:val="3"/>
            <w:tcMar>
              <w:top w:w="30" w:type="dxa"/>
              <w:left w:w="20" w:type="dxa"/>
              <w:bottom w:w="30" w:type="dxa"/>
              <w:right w:w="20" w:type="dxa"/>
            </w:tcMar>
            <w:vAlign w:val="bottom"/>
            <w:hideMark/>
          </w:tcPr>
          <w:p w14:paraId="3C55C81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1E957D2" w14:textId="77777777" w:rsidR="00000000" w:rsidRDefault="00EE5306">
            <w:pPr>
              <w:spacing w:after="100"/>
              <w:rPr>
                <w:rFonts w:eastAsia="Times New Roman"/>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14:paraId="2FDAE1BE"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62CD230B" w14:textId="77777777">
        <w:trPr>
          <w:divId w:val="202208794"/>
        </w:trPr>
        <w:tc>
          <w:tcPr>
            <w:tcW w:w="0" w:type="auto"/>
            <w:gridSpan w:val="3"/>
            <w:shd w:val="clear" w:color="auto" w:fill="CCEEFF"/>
            <w:tcMar>
              <w:top w:w="30" w:type="dxa"/>
              <w:left w:w="20" w:type="dxa"/>
              <w:bottom w:w="30" w:type="dxa"/>
              <w:right w:w="20" w:type="dxa"/>
            </w:tcMar>
            <w:hideMark/>
          </w:tcPr>
          <w:p w14:paraId="209A3968" w14:textId="77777777" w:rsidR="00000000" w:rsidRDefault="00EE5306">
            <w:pPr>
              <w:spacing w:after="100"/>
              <w:rPr>
                <w:rFonts w:eastAsia="Times New Roman"/>
              </w:rPr>
            </w:pPr>
            <w:r>
              <w:rPr>
                <w:rFonts w:eastAsia="Times New Roman"/>
                <w:color w:val="000000"/>
                <w:sz w:val="20"/>
                <w:szCs w:val="20"/>
              </w:rPr>
              <w:t>Restructuring and other charges (see Note 9)</w:t>
            </w:r>
          </w:p>
        </w:tc>
        <w:tc>
          <w:tcPr>
            <w:tcW w:w="0" w:type="auto"/>
            <w:gridSpan w:val="3"/>
            <w:shd w:val="clear" w:color="auto" w:fill="CCEEFF"/>
            <w:tcMar>
              <w:top w:w="0" w:type="dxa"/>
              <w:left w:w="20" w:type="dxa"/>
              <w:bottom w:w="0" w:type="dxa"/>
              <w:right w:w="20" w:type="dxa"/>
            </w:tcMar>
            <w:vAlign w:val="center"/>
            <w:hideMark/>
          </w:tcPr>
          <w:p w14:paraId="5799067F"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49B2D6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02A68AA" w14:textId="77777777" w:rsidR="00000000" w:rsidRDefault="00EE5306">
            <w:pPr>
              <w:spacing w:after="100"/>
              <w:jc w:val="right"/>
              <w:rPr>
                <w:rFonts w:eastAsia="Times New Roman"/>
              </w:rPr>
            </w:pPr>
            <w:r>
              <w:rPr>
                <w:rFonts w:eastAsia="Times New Roman"/>
                <w:color w:val="000000"/>
                <w:sz w:val="20"/>
                <w:szCs w:val="20"/>
              </w:rPr>
              <w:t>(170.5)</w:t>
            </w:r>
          </w:p>
        </w:tc>
        <w:tc>
          <w:tcPr>
            <w:tcW w:w="0" w:type="auto"/>
            <w:shd w:val="clear" w:color="auto" w:fill="CCEEFF"/>
            <w:tcMar>
              <w:top w:w="30" w:type="dxa"/>
              <w:left w:w="0" w:type="dxa"/>
              <w:bottom w:w="30" w:type="dxa"/>
              <w:right w:w="20" w:type="dxa"/>
            </w:tcMar>
            <w:vAlign w:val="bottom"/>
            <w:hideMark/>
          </w:tcPr>
          <w:p w14:paraId="25FE393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4FB52"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8A4F8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1AE176" w14:textId="77777777" w:rsidR="00000000" w:rsidRDefault="00EE5306">
            <w:pPr>
              <w:spacing w:after="100"/>
              <w:jc w:val="right"/>
              <w:rPr>
                <w:rFonts w:eastAsia="Times New Roman"/>
              </w:rPr>
            </w:pPr>
            <w:r>
              <w:rPr>
                <w:rFonts w:eastAsia="Times New Roman"/>
                <w:color w:val="000000"/>
                <w:sz w:val="20"/>
                <w:szCs w:val="20"/>
              </w:rPr>
              <w:t>(67.2)</w:t>
            </w:r>
          </w:p>
        </w:tc>
        <w:tc>
          <w:tcPr>
            <w:tcW w:w="0" w:type="auto"/>
            <w:shd w:val="clear" w:color="auto" w:fill="CCEEFF"/>
            <w:tcMar>
              <w:top w:w="30" w:type="dxa"/>
              <w:left w:w="0" w:type="dxa"/>
              <w:bottom w:w="30" w:type="dxa"/>
              <w:right w:w="20" w:type="dxa"/>
            </w:tcMar>
            <w:vAlign w:val="bottom"/>
            <w:hideMark/>
          </w:tcPr>
          <w:p w14:paraId="3A4854D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BA861"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A756C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B8B2FC" w14:textId="77777777" w:rsidR="00000000" w:rsidRDefault="00EE5306">
            <w:pPr>
              <w:spacing w:after="100"/>
              <w:jc w:val="right"/>
              <w:rPr>
                <w:rFonts w:eastAsia="Times New Roman"/>
              </w:rPr>
            </w:pPr>
            <w:r>
              <w:rPr>
                <w:rFonts w:eastAsia="Times New Roman"/>
                <w:color w:val="000000"/>
                <w:sz w:val="20"/>
                <w:szCs w:val="20"/>
              </w:rPr>
              <w:t>(130.1)</w:t>
            </w:r>
          </w:p>
        </w:tc>
        <w:tc>
          <w:tcPr>
            <w:tcW w:w="0" w:type="auto"/>
            <w:shd w:val="clear" w:color="auto" w:fill="CCEEFF"/>
            <w:tcMar>
              <w:top w:w="30" w:type="dxa"/>
              <w:left w:w="0" w:type="dxa"/>
              <w:bottom w:w="30" w:type="dxa"/>
              <w:right w:w="20" w:type="dxa"/>
            </w:tcMar>
            <w:vAlign w:val="bottom"/>
            <w:hideMark/>
          </w:tcPr>
          <w:p w14:paraId="10B74B36" w14:textId="77777777" w:rsidR="00000000" w:rsidRDefault="00EE5306">
            <w:pPr>
              <w:spacing w:after="100"/>
              <w:jc w:val="right"/>
              <w:rPr>
                <w:rFonts w:eastAsia="Times New Roman"/>
              </w:rPr>
            </w:pPr>
          </w:p>
        </w:tc>
      </w:tr>
      <w:tr w:rsidR="00000000" w14:paraId="0841A5FA" w14:textId="77777777">
        <w:trPr>
          <w:divId w:val="202208794"/>
        </w:trPr>
        <w:tc>
          <w:tcPr>
            <w:tcW w:w="0" w:type="auto"/>
            <w:gridSpan w:val="3"/>
            <w:shd w:val="clear" w:color="auto" w:fill="FFFFFF"/>
            <w:tcMar>
              <w:top w:w="30" w:type="dxa"/>
              <w:left w:w="20" w:type="dxa"/>
              <w:bottom w:w="30" w:type="dxa"/>
              <w:right w:w="20" w:type="dxa"/>
            </w:tcMar>
            <w:hideMark/>
          </w:tcPr>
          <w:p w14:paraId="72C64153" w14:textId="77777777" w:rsidR="00000000" w:rsidRDefault="00EE5306">
            <w:pPr>
              <w:spacing w:after="100"/>
              <w:divId w:val="1856263999"/>
              <w:rPr>
                <w:rFonts w:eastAsia="Times New Roman"/>
              </w:rPr>
            </w:pPr>
            <w:r>
              <w:rPr>
                <w:rFonts w:eastAsia="Times New Roman"/>
                <w:color w:val="000000"/>
                <w:sz w:val="20"/>
                <w:szCs w:val="20"/>
              </w:rPr>
              <w:t>Impairment of assets (see Note 8</w:t>
            </w:r>
            <w:r>
              <w:rPr>
                <w:rFonts w:eastAsia="Times New Roman"/>
                <w:color w:val="000000"/>
                <w:sz w:val="20"/>
                <w:szCs w:val="20"/>
              </w:rPr>
              <w:t>)</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3AC4EF4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1D81BE" w14:textId="77777777" w:rsidR="00000000" w:rsidRDefault="00EE5306">
            <w:pPr>
              <w:spacing w:after="100"/>
              <w:jc w:val="right"/>
              <w:rPr>
                <w:rFonts w:eastAsia="Times New Roman"/>
              </w:rPr>
            </w:pPr>
            <w:r>
              <w:rPr>
                <w:rFonts w:eastAsia="Times New Roman"/>
                <w:color w:val="000000"/>
                <w:sz w:val="20"/>
                <w:szCs w:val="20"/>
              </w:rPr>
              <w:t>(96.0)</w:t>
            </w:r>
          </w:p>
        </w:tc>
        <w:tc>
          <w:tcPr>
            <w:tcW w:w="0" w:type="auto"/>
            <w:shd w:val="clear" w:color="auto" w:fill="FFFFFF"/>
            <w:tcMar>
              <w:top w:w="30" w:type="dxa"/>
              <w:left w:w="0" w:type="dxa"/>
              <w:bottom w:w="30" w:type="dxa"/>
              <w:right w:w="20" w:type="dxa"/>
            </w:tcMar>
            <w:vAlign w:val="bottom"/>
            <w:hideMark/>
          </w:tcPr>
          <w:p w14:paraId="770719E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9C8D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1B1880" w14:textId="77777777" w:rsidR="00000000" w:rsidRDefault="00EE5306">
            <w:pPr>
              <w:spacing w:after="100"/>
              <w:jc w:val="right"/>
              <w:rPr>
                <w:rFonts w:eastAsia="Times New Roman"/>
              </w:rPr>
            </w:pPr>
            <w:r>
              <w:rPr>
                <w:rFonts w:eastAsia="Times New Roman"/>
                <w:color w:val="000000"/>
                <w:sz w:val="20"/>
                <w:szCs w:val="20"/>
              </w:rPr>
              <w:t>(38.7)</w:t>
            </w:r>
          </w:p>
        </w:tc>
        <w:tc>
          <w:tcPr>
            <w:tcW w:w="0" w:type="auto"/>
            <w:shd w:val="clear" w:color="auto" w:fill="FFFFFF"/>
            <w:tcMar>
              <w:top w:w="30" w:type="dxa"/>
              <w:left w:w="0" w:type="dxa"/>
              <w:bottom w:w="30" w:type="dxa"/>
              <w:right w:w="20" w:type="dxa"/>
            </w:tcMar>
            <w:vAlign w:val="bottom"/>
            <w:hideMark/>
          </w:tcPr>
          <w:p w14:paraId="4F87E76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437E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A14D38" w14:textId="77777777" w:rsidR="00000000" w:rsidRDefault="00EE5306">
            <w:pPr>
              <w:spacing w:after="100"/>
              <w:jc w:val="right"/>
              <w:rPr>
                <w:rFonts w:eastAsia="Times New Roman"/>
              </w:rPr>
            </w:pPr>
            <w:r>
              <w:rPr>
                <w:rFonts w:eastAsia="Times New Roman"/>
                <w:color w:val="000000"/>
                <w:sz w:val="20"/>
                <w:szCs w:val="20"/>
              </w:rPr>
              <w:t>(25.8)</w:t>
            </w:r>
          </w:p>
        </w:tc>
        <w:tc>
          <w:tcPr>
            <w:tcW w:w="0" w:type="auto"/>
            <w:shd w:val="clear" w:color="auto" w:fill="FFFFFF"/>
            <w:tcMar>
              <w:top w:w="30" w:type="dxa"/>
              <w:left w:w="0" w:type="dxa"/>
              <w:bottom w:w="30" w:type="dxa"/>
              <w:right w:w="20" w:type="dxa"/>
            </w:tcMar>
            <w:vAlign w:val="bottom"/>
            <w:hideMark/>
          </w:tcPr>
          <w:p w14:paraId="441C2EF1" w14:textId="77777777" w:rsidR="00000000" w:rsidRDefault="00EE5306">
            <w:pPr>
              <w:spacing w:after="100"/>
              <w:jc w:val="right"/>
              <w:rPr>
                <w:rFonts w:eastAsia="Times New Roman"/>
              </w:rPr>
            </w:pPr>
          </w:p>
        </w:tc>
      </w:tr>
      <w:tr w:rsidR="00000000" w14:paraId="371D1AC8" w14:textId="77777777">
        <w:trPr>
          <w:divId w:val="202208794"/>
        </w:trPr>
        <w:tc>
          <w:tcPr>
            <w:tcW w:w="0" w:type="auto"/>
            <w:gridSpan w:val="3"/>
            <w:shd w:val="clear" w:color="auto" w:fill="CCEEFF"/>
            <w:tcMar>
              <w:top w:w="30" w:type="dxa"/>
              <w:left w:w="20" w:type="dxa"/>
              <w:bottom w:w="30" w:type="dxa"/>
              <w:right w:w="20" w:type="dxa"/>
            </w:tcMar>
            <w:hideMark/>
          </w:tcPr>
          <w:p w14:paraId="598913CD" w14:textId="77777777" w:rsidR="00000000" w:rsidRDefault="00EE5306">
            <w:pPr>
              <w:spacing w:after="100"/>
              <w:divId w:val="957686947"/>
              <w:rPr>
                <w:rFonts w:eastAsia="Times New Roman"/>
              </w:rPr>
            </w:pPr>
            <w:r>
              <w:rPr>
                <w:rFonts w:eastAsia="Times New Roman"/>
                <w:color w:val="000000"/>
                <w:sz w:val="20"/>
                <w:szCs w:val="20"/>
              </w:rPr>
              <w:t>Non-routine inventory charge</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AC99136"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D4BA7B" w14:textId="77777777" w:rsidR="00000000" w:rsidRDefault="00EE5306">
            <w:pPr>
              <w:spacing w:after="100"/>
              <w:jc w:val="right"/>
              <w:rPr>
                <w:rFonts w:eastAsia="Times New Roman"/>
              </w:rPr>
            </w:pPr>
            <w:r>
              <w:rPr>
                <w:rFonts w:eastAsia="Times New Roman"/>
                <w:color w:val="000000"/>
                <w:sz w:val="20"/>
                <w:szCs w:val="20"/>
              </w:rPr>
              <w:t>(29.3)</w:t>
            </w:r>
          </w:p>
        </w:tc>
        <w:tc>
          <w:tcPr>
            <w:tcW w:w="0" w:type="auto"/>
            <w:shd w:val="clear" w:color="auto" w:fill="CCEEFF"/>
            <w:tcMar>
              <w:top w:w="30" w:type="dxa"/>
              <w:left w:w="0" w:type="dxa"/>
              <w:bottom w:w="30" w:type="dxa"/>
              <w:right w:w="20" w:type="dxa"/>
            </w:tcMar>
            <w:vAlign w:val="bottom"/>
            <w:hideMark/>
          </w:tcPr>
          <w:p w14:paraId="7902CFE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DEAB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52519C" w14:textId="77777777" w:rsidR="00000000" w:rsidRDefault="00EE5306">
            <w:pPr>
              <w:spacing w:after="100"/>
              <w:jc w:val="right"/>
              <w:rPr>
                <w:rFonts w:eastAsia="Times New Roman"/>
              </w:rPr>
            </w:pPr>
            <w:r>
              <w:rPr>
                <w:rFonts w:eastAsia="Times New Roman"/>
                <w:color w:val="000000"/>
                <w:sz w:val="20"/>
                <w:szCs w:val="20"/>
              </w:rPr>
              <w:t>(159.5)</w:t>
            </w:r>
          </w:p>
        </w:tc>
        <w:tc>
          <w:tcPr>
            <w:tcW w:w="0" w:type="auto"/>
            <w:shd w:val="clear" w:color="auto" w:fill="CCEEFF"/>
            <w:tcMar>
              <w:top w:w="30" w:type="dxa"/>
              <w:left w:w="0" w:type="dxa"/>
              <w:bottom w:w="30" w:type="dxa"/>
              <w:right w:w="20" w:type="dxa"/>
            </w:tcMar>
            <w:vAlign w:val="bottom"/>
            <w:hideMark/>
          </w:tcPr>
          <w:p w14:paraId="7E11B37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009A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1ED82E" w14:textId="77777777" w:rsidR="00000000" w:rsidRDefault="00EE5306">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14:paraId="4A58435D" w14:textId="77777777" w:rsidR="00000000" w:rsidRDefault="00EE5306">
            <w:pPr>
              <w:spacing w:after="100"/>
              <w:jc w:val="right"/>
              <w:rPr>
                <w:rFonts w:eastAsia="Times New Roman"/>
              </w:rPr>
            </w:pPr>
          </w:p>
        </w:tc>
      </w:tr>
      <w:tr w:rsidR="00000000" w14:paraId="5BDD8DD1" w14:textId="77777777">
        <w:trPr>
          <w:divId w:val="202208794"/>
        </w:trPr>
        <w:tc>
          <w:tcPr>
            <w:tcW w:w="0" w:type="auto"/>
            <w:gridSpan w:val="3"/>
            <w:shd w:val="clear" w:color="auto" w:fill="FFFFFF"/>
            <w:tcMar>
              <w:top w:w="30" w:type="dxa"/>
              <w:left w:w="20" w:type="dxa"/>
              <w:bottom w:w="30" w:type="dxa"/>
              <w:right w:w="20" w:type="dxa"/>
            </w:tcMar>
            <w:hideMark/>
          </w:tcPr>
          <w:p w14:paraId="729935E2" w14:textId="77777777" w:rsidR="00000000" w:rsidRDefault="00EE5306">
            <w:pPr>
              <w:spacing w:after="100"/>
              <w:divId w:val="636374538"/>
              <w:rPr>
                <w:rFonts w:eastAsia="Times New Roman"/>
              </w:rPr>
            </w:pPr>
            <w:r>
              <w:rPr>
                <w:rFonts w:eastAsia="Times New Roman"/>
                <w:color w:val="000000"/>
                <w:sz w:val="20"/>
                <w:szCs w:val="20"/>
              </w:rPr>
              <w:t>COVID-19-related bad debt reversals (expense</w:t>
            </w:r>
            <w:r>
              <w:rPr>
                <w:rFonts w:eastAsia="Times New Roman"/>
                <w:color w:val="000000"/>
                <w:sz w:val="20"/>
                <w:szCs w:val="20"/>
              </w:rPr>
              <w:t>)</w:t>
            </w:r>
            <w:r>
              <w:rPr>
                <w:rFonts w:eastAsia="Times New Roman"/>
                <w:b/>
                <w:bCs/>
                <w:color w:val="000000"/>
                <w:sz w:val="13"/>
                <w:szCs w:val="13"/>
              </w:rPr>
              <w:t>(c</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AB5070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DB6EFD" w14:textId="77777777" w:rsidR="00000000" w:rsidRDefault="00EE5306">
            <w:pPr>
              <w:spacing w:after="100"/>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14:paraId="363D927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9903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8D65EB" w14:textId="77777777" w:rsidR="00000000" w:rsidRDefault="00EE5306">
            <w:pPr>
              <w:spacing w:after="100"/>
              <w:jc w:val="right"/>
              <w:rPr>
                <w:rFonts w:eastAsia="Times New Roman"/>
              </w:rPr>
            </w:pPr>
            <w:r>
              <w:rPr>
                <w:rFonts w:eastAsia="Times New Roman"/>
                <w:color w:val="000000"/>
                <w:sz w:val="20"/>
                <w:szCs w:val="20"/>
              </w:rPr>
              <w:t>(56.4)</w:t>
            </w:r>
          </w:p>
        </w:tc>
        <w:tc>
          <w:tcPr>
            <w:tcW w:w="0" w:type="auto"/>
            <w:shd w:val="clear" w:color="auto" w:fill="FFFFFF"/>
            <w:tcMar>
              <w:top w:w="30" w:type="dxa"/>
              <w:left w:w="0" w:type="dxa"/>
              <w:bottom w:w="30" w:type="dxa"/>
              <w:right w:w="20" w:type="dxa"/>
            </w:tcMar>
            <w:vAlign w:val="bottom"/>
            <w:hideMark/>
          </w:tcPr>
          <w:p w14:paraId="778BB22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F3EF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F62AC"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592B44" w14:textId="77777777" w:rsidR="00000000" w:rsidRDefault="00EE5306">
            <w:pPr>
              <w:spacing w:after="100"/>
              <w:jc w:val="right"/>
              <w:rPr>
                <w:rFonts w:eastAsia="Times New Roman"/>
              </w:rPr>
            </w:pPr>
          </w:p>
        </w:tc>
      </w:tr>
      <w:tr w:rsidR="00000000" w14:paraId="0ACAE69D" w14:textId="77777777">
        <w:trPr>
          <w:divId w:val="202208794"/>
        </w:trPr>
        <w:tc>
          <w:tcPr>
            <w:tcW w:w="0" w:type="auto"/>
            <w:gridSpan w:val="3"/>
            <w:shd w:val="clear" w:color="auto" w:fill="CCEEFF"/>
            <w:tcMar>
              <w:top w:w="30" w:type="dxa"/>
              <w:left w:w="155" w:type="dxa"/>
              <w:bottom w:w="30" w:type="dxa"/>
              <w:right w:w="20" w:type="dxa"/>
            </w:tcMar>
            <w:hideMark/>
          </w:tcPr>
          <w:p w14:paraId="5D967B04" w14:textId="77777777" w:rsidR="00000000" w:rsidRDefault="00EE5306">
            <w:pPr>
              <w:spacing w:after="100"/>
              <w:rPr>
                <w:rFonts w:eastAsia="Times New Roman"/>
              </w:rPr>
            </w:pPr>
            <w:r>
              <w:rPr>
                <w:rFonts w:eastAsia="Times New Roman"/>
                <w:color w:val="000000"/>
                <w:sz w:val="20"/>
                <w:szCs w:val="20"/>
              </w:rPr>
              <w:t>Total charges</w:t>
            </w:r>
          </w:p>
        </w:tc>
        <w:tc>
          <w:tcPr>
            <w:tcW w:w="0" w:type="auto"/>
            <w:gridSpan w:val="3"/>
            <w:shd w:val="clear" w:color="auto" w:fill="CCEEFF"/>
            <w:tcMar>
              <w:top w:w="0" w:type="dxa"/>
              <w:left w:w="20" w:type="dxa"/>
              <w:bottom w:w="0" w:type="dxa"/>
              <w:right w:w="20" w:type="dxa"/>
            </w:tcMar>
            <w:vAlign w:val="center"/>
            <w:hideMark/>
          </w:tcPr>
          <w:p w14:paraId="70FA3E76"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3B384B"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EB5FCD" w14:textId="77777777" w:rsidR="00000000" w:rsidRDefault="00EE5306">
            <w:pPr>
              <w:spacing w:after="100"/>
              <w:jc w:val="right"/>
              <w:rPr>
                <w:rFonts w:eastAsia="Times New Roman"/>
              </w:rPr>
            </w:pPr>
            <w:r>
              <w:rPr>
                <w:rFonts w:eastAsia="Times New Roman"/>
                <w:color w:val="000000"/>
                <w:sz w:val="20"/>
                <w:szCs w:val="20"/>
              </w:rPr>
              <w:t>(254.4)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C70B0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FA175"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E1ADA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D03A62" w14:textId="77777777" w:rsidR="00000000" w:rsidRDefault="00EE5306">
            <w:pPr>
              <w:spacing w:after="100"/>
              <w:jc w:val="right"/>
              <w:rPr>
                <w:rFonts w:eastAsia="Times New Roman"/>
              </w:rPr>
            </w:pPr>
            <w:r>
              <w:rPr>
                <w:rFonts w:eastAsia="Times New Roman"/>
                <w:color w:val="000000"/>
                <w:sz w:val="20"/>
                <w:szCs w:val="20"/>
              </w:rPr>
              <w:t>(321.8)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5CA37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7A1E2"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0A47E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F751280" w14:textId="77777777" w:rsidR="00000000" w:rsidRDefault="00EE5306">
            <w:pPr>
              <w:spacing w:after="100"/>
              <w:jc w:val="right"/>
              <w:rPr>
                <w:rFonts w:eastAsia="Times New Roman"/>
              </w:rPr>
            </w:pPr>
            <w:r>
              <w:rPr>
                <w:rFonts w:eastAsia="Times New Roman"/>
                <w:color w:val="000000"/>
                <w:sz w:val="20"/>
                <w:szCs w:val="20"/>
              </w:rPr>
              <w:t>(163.1)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53B170" w14:textId="77777777" w:rsidR="00000000" w:rsidRDefault="00EE5306">
            <w:pPr>
              <w:spacing w:after="100"/>
              <w:jc w:val="right"/>
              <w:rPr>
                <w:rFonts w:eastAsia="Times New Roman"/>
              </w:rPr>
            </w:pPr>
          </w:p>
        </w:tc>
      </w:tr>
    </w:tbl>
    <w:p w14:paraId="24FDCF1B" w14:textId="77777777" w:rsidR="00000000" w:rsidRDefault="00EE5306">
      <w:pPr>
        <w:divId w:val="202208794"/>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14:paraId="505BBF1E" w14:textId="77777777">
        <w:trPr>
          <w:divId w:val="202208794"/>
        </w:trPr>
        <w:tc>
          <w:tcPr>
            <w:tcW w:w="50" w:type="pct"/>
            <w:vAlign w:val="center"/>
            <w:hideMark/>
          </w:tcPr>
          <w:p w14:paraId="37FF0FE2" w14:textId="77777777" w:rsidR="00000000" w:rsidRDefault="00EE5306">
            <w:pPr>
              <w:rPr>
                <w:rFonts w:eastAsia="Times New Roman"/>
              </w:rPr>
            </w:pPr>
          </w:p>
        </w:tc>
        <w:tc>
          <w:tcPr>
            <w:tcW w:w="4945" w:type="pct"/>
            <w:vAlign w:val="center"/>
            <w:hideMark/>
          </w:tcPr>
          <w:p w14:paraId="4F11191B" w14:textId="77777777" w:rsidR="00000000" w:rsidRDefault="00EE5306">
            <w:pPr>
              <w:spacing w:after="100"/>
              <w:rPr>
                <w:rFonts w:eastAsia="Times New Roman"/>
                <w:sz w:val="20"/>
                <w:szCs w:val="20"/>
              </w:rPr>
            </w:pPr>
          </w:p>
        </w:tc>
        <w:tc>
          <w:tcPr>
            <w:tcW w:w="5" w:type="pct"/>
            <w:vAlign w:val="center"/>
            <w:hideMark/>
          </w:tcPr>
          <w:p w14:paraId="5DFD1000" w14:textId="77777777" w:rsidR="00000000" w:rsidRDefault="00EE5306">
            <w:pPr>
              <w:spacing w:after="100"/>
              <w:rPr>
                <w:rFonts w:eastAsia="Times New Roman"/>
                <w:sz w:val="20"/>
                <w:szCs w:val="20"/>
              </w:rPr>
            </w:pPr>
          </w:p>
        </w:tc>
      </w:tr>
      <w:tr w:rsidR="00000000" w14:paraId="5AB71AA1" w14:textId="77777777">
        <w:trPr>
          <w:divId w:val="202208794"/>
          <w:trHeight w:val="60"/>
        </w:trPr>
        <w:tc>
          <w:tcPr>
            <w:tcW w:w="0" w:type="auto"/>
            <w:gridSpan w:val="3"/>
            <w:tcBorders>
              <w:bottom w:val="single" w:sz="8" w:space="0" w:color="000000"/>
            </w:tcBorders>
            <w:tcMar>
              <w:top w:w="0" w:type="dxa"/>
              <w:left w:w="20" w:type="dxa"/>
              <w:bottom w:w="0" w:type="dxa"/>
              <w:right w:w="20" w:type="dxa"/>
            </w:tcMar>
            <w:vAlign w:val="center"/>
            <w:hideMark/>
          </w:tcPr>
          <w:p w14:paraId="6ABFCA0C" w14:textId="77777777" w:rsidR="00000000" w:rsidRDefault="00EE5306">
            <w:pPr>
              <w:spacing w:after="100"/>
              <w:rPr>
                <w:rFonts w:eastAsia="Times New Roman"/>
                <w:sz w:val="20"/>
                <w:szCs w:val="20"/>
              </w:rPr>
            </w:pPr>
          </w:p>
        </w:tc>
      </w:tr>
    </w:tbl>
    <w:p w14:paraId="3D857E63" w14:textId="77777777" w:rsidR="00000000" w:rsidRDefault="00EE5306">
      <w:pPr>
        <w:divId w:val="202208794"/>
        <w:rPr>
          <w:rFonts w:eastAsia="Times New Roman"/>
        </w:rPr>
      </w:pPr>
      <w:r>
        <w:rPr>
          <w:rFonts w:eastAsia="Times New Roman"/>
          <w:color w:val="000000"/>
          <w:sz w:val="20"/>
          <w:szCs w:val="20"/>
        </w:rPr>
        <w:t> </w:t>
      </w:r>
    </w:p>
    <w:p w14:paraId="454E6505" w14:textId="77777777" w:rsidR="00000000" w:rsidRDefault="00EE5306">
      <w:pPr>
        <w:ind w:hanging="360"/>
        <w:jc w:val="both"/>
        <w:divId w:val="1587155716"/>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Fiscal 2020 includes a $7.1 million impairment of an equity method investment recorded within other income (expense), net in the consolidated statements of operations. All other impairment charges were recorded within impairment of assets in the consolidat</w:t>
      </w:r>
      <w:r>
        <w:rPr>
          <w:rFonts w:eastAsia="Times New Roman"/>
          <w:color w:val="000000"/>
          <w:sz w:val="20"/>
          <w:szCs w:val="20"/>
        </w:rPr>
        <w:t>ed statements of operations.</w:t>
      </w:r>
    </w:p>
    <w:p w14:paraId="6B864E79" w14:textId="77777777" w:rsidR="00000000" w:rsidRDefault="00EE5306">
      <w:pPr>
        <w:ind w:hanging="360"/>
        <w:jc w:val="both"/>
        <w:divId w:val="522982783"/>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Non-routine inventory charges are recorded within cost of goods sold in the consolidated statements of operations. Fiscal 2021 and Fiscal 2020 includes non-routine inventory charges of $21.0 million and $157.3 million, respe</w:t>
      </w:r>
      <w:r>
        <w:rPr>
          <w:rFonts w:eastAsia="Times New Roman"/>
          <w:color w:val="000000"/>
          <w:sz w:val="20"/>
          <w:szCs w:val="20"/>
        </w:rPr>
        <w:t>ctively, related to adverse impacts associated with COVID-19 business disruptions. All other non-routine inventory charges related to our restructuring plans (see Note 9).</w:t>
      </w:r>
    </w:p>
    <w:p w14:paraId="1A7D7A1C" w14:textId="77777777" w:rsidR="00000000" w:rsidRDefault="00EE5306">
      <w:pPr>
        <w:ind w:hanging="360"/>
        <w:jc w:val="both"/>
        <w:divId w:val="1216547604"/>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COVID-19-related bad debt reversals (expense) are recorded within SG&amp;A expenses i</w:t>
      </w:r>
      <w:r>
        <w:rPr>
          <w:rFonts w:eastAsia="Times New Roman"/>
          <w:color w:val="000000"/>
          <w:sz w:val="20"/>
          <w:szCs w:val="20"/>
        </w:rPr>
        <w:t>n the consolidated statements of operations.</w:t>
      </w:r>
    </w:p>
    <w:p w14:paraId="5AC24B47" w14:textId="77777777" w:rsidR="00000000" w:rsidRDefault="00EE5306">
      <w:pPr>
        <w:ind w:hanging="360"/>
        <w:jc w:val="both"/>
        <w:divId w:val="155541259"/>
        <w:rPr>
          <w:rFonts w:eastAsia="Times New Roman"/>
        </w:rPr>
      </w:pPr>
      <w:r>
        <w:rPr>
          <w:rFonts w:eastAsia="Times New Roman"/>
          <w:color w:val="000000"/>
          <w:sz w:val="20"/>
          <w:szCs w:val="20"/>
        </w:rPr>
        <w:t>•other adverse impacts related to COVID-19 business disruptions during Fiscal 2021 and Fiscal 2020;</w:t>
      </w:r>
    </w:p>
    <w:p w14:paraId="6ACECB17" w14:textId="77777777" w:rsidR="00000000" w:rsidRDefault="00EE5306">
      <w:pPr>
        <w:ind w:hanging="360"/>
        <w:jc w:val="both"/>
        <w:divId w:val="1354185179"/>
        <w:rPr>
          <w:rFonts w:eastAsia="Times New Roman"/>
        </w:rPr>
      </w:pPr>
      <w:r>
        <w:rPr>
          <w:rFonts w:eastAsia="Times New Roman"/>
          <w:color w:val="000000"/>
          <w:sz w:val="20"/>
          <w:szCs w:val="20"/>
        </w:rPr>
        <w:t>•adverse impacts related to Hong Kong protest business disruptions during Fiscal 2020;</w:t>
      </w:r>
    </w:p>
    <w:p w14:paraId="1A522B91" w14:textId="77777777" w:rsidR="00000000" w:rsidRDefault="00EE5306">
      <w:pPr>
        <w:ind w:hanging="360"/>
        <w:jc w:val="both"/>
        <w:divId w:val="268322798"/>
        <w:rPr>
          <w:rFonts w:eastAsia="Times New Roman"/>
        </w:rPr>
      </w:pPr>
      <w:r>
        <w:rPr>
          <w:rFonts w:eastAsia="Times New Roman"/>
          <w:color w:val="000000"/>
          <w:sz w:val="20"/>
          <w:szCs w:val="20"/>
        </w:rPr>
        <w:t>•incremental net tax exp</w:t>
      </w:r>
      <w:r>
        <w:rPr>
          <w:rFonts w:eastAsia="Times New Roman"/>
          <w:color w:val="000000"/>
          <w:sz w:val="20"/>
          <w:szCs w:val="20"/>
        </w:rPr>
        <w:t xml:space="preserve">ense of $46.6 million recorded within our income tax provision during Fiscal 2021 related to a valuation allowance provided against domestic losses attributable to COVID-19 business disruptions, international tax legislation enacted in connection with the </w:t>
      </w:r>
      <w:r>
        <w:rPr>
          <w:rFonts w:eastAsia="Times New Roman"/>
          <w:color w:val="000000"/>
          <w:sz w:val="20"/>
          <w:szCs w:val="20"/>
        </w:rPr>
        <w:t>European Union’s anti-tax avoidance directive, and a net operating loss carryback under the CARES Act, which collectively negatively impacted our effective tax rate by 6,230 basis points;</w:t>
      </w:r>
    </w:p>
    <w:p w14:paraId="5D5E170A" w14:textId="77777777" w:rsidR="00000000" w:rsidRDefault="00EE5306">
      <w:pPr>
        <w:ind w:hanging="360"/>
        <w:jc w:val="both"/>
        <w:divId w:val="22752534"/>
        <w:rPr>
          <w:rFonts w:eastAsia="Times New Roman"/>
        </w:rPr>
      </w:pPr>
      <w:r>
        <w:rPr>
          <w:rFonts w:eastAsia="Times New Roman"/>
          <w:color w:val="000000"/>
          <w:sz w:val="20"/>
          <w:szCs w:val="20"/>
        </w:rPr>
        <w:t>•</w:t>
      </w:r>
      <w:r>
        <w:rPr>
          <w:rFonts w:eastAsia="Times New Roman"/>
          <w:color w:val="000000"/>
          <w:sz w:val="20"/>
          <w:szCs w:val="20"/>
        </w:rPr>
        <w:t>a one-time benefit of $122.9 million recorded within our income tax provision in the consolidated statements of operations during Fiscal 2020 in connection with the Swiss Tax Act, which reduced our effective tax rate by 3,760 basis points. During Fiscal 20</w:t>
      </w:r>
      <w:r>
        <w:rPr>
          <w:rFonts w:eastAsia="Times New Roman"/>
          <w:color w:val="000000"/>
          <w:sz w:val="20"/>
          <w:szCs w:val="20"/>
        </w:rPr>
        <w:t>21, we reduced this one-time tax benefit by $13.8 million due to new legislation enacted, which increased the Company's effective tax rate by 1,840 basis points. See Note 10 to the accompanying consolidated financial statements for further discussion; and</w:t>
      </w:r>
    </w:p>
    <w:p w14:paraId="7DA6D1C4" w14:textId="77777777" w:rsidR="00000000" w:rsidRDefault="00EE5306">
      <w:pPr>
        <w:ind w:hanging="360"/>
        <w:jc w:val="both"/>
        <w:divId w:val="1100758922"/>
        <w:rPr>
          <w:rFonts w:eastAsia="Times New Roman"/>
        </w:rPr>
      </w:pPr>
      <w:r>
        <w:rPr>
          <w:rFonts w:eastAsia="Times New Roman"/>
          <w:color w:val="000000"/>
          <w:sz w:val="20"/>
          <w:szCs w:val="20"/>
        </w:rPr>
        <w:t>•TCJA enactment-related charges of $27.6 million recorded within the income tax provision in the consolidated statements of operations during Fiscal 2019, which increased our effective tax rate by 470 basis points. See Note 10 to the accompanying consolida</w:t>
      </w:r>
      <w:r>
        <w:rPr>
          <w:rFonts w:eastAsia="Times New Roman"/>
          <w:color w:val="000000"/>
          <w:sz w:val="20"/>
          <w:szCs w:val="20"/>
        </w:rPr>
        <w:t>ted financial statements for further discussion.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B371650" w14:textId="77777777">
        <w:trPr>
          <w:divId w:val="2057655924"/>
          <w:jc w:val="center"/>
        </w:trPr>
        <w:tc>
          <w:tcPr>
            <w:tcW w:w="50" w:type="pct"/>
            <w:vAlign w:val="center"/>
            <w:hideMark/>
          </w:tcPr>
          <w:p w14:paraId="03CA4511" w14:textId="77777777" w:rsidR="00000000" w:rsidRDefault="00EE5306">
            <w:pPr>
              <w:ind w:hanging="360"/>
              <w:jc w:val="both"/>
              <w:rPr>
                <w:rFonts w:eastAsia="Times New Roman"/>
              </w:rPr>
            </w:pPr>
          </w:p>
        </w:tc>
        <w:tc>
          <w:tcPr>
            <w:tcW w:w="1699" w:type="pct"/>
            <w:vAlign w:val="center"/>
            <w:hideMark/>
          </w:tcPr>
          <w:p w14:paraId="01C85035" w14:textId="77777777" w:rsidR="00000000" w:rsidRDefault="00EE5306">
            <w:pPr>
              <w:spacing w:after="100"/>
              <w:rPr>
                <w:rFonts w:eastAsia="Times New Roman"/>
                <w:sz w:val="20"/>
                <w:szCs w:val="20"/>
              </w:rPr>
            </w:pPr>
          </w:p>
        </w:tc>
        <w:tc>
          <w:tcPr>
            <w:tcW w:w="5" w:type="pct"/>
            <w:vAlign w:val="center"/>
            <w:hideMark/>
          </w:tcPr>
          <w:p w14:paraId="7CB9A91D" w14:textId="77777777" w:rsidR="00000000" w:rsidRDefault="00EE5306">
            <w:pPr>
              <w:spacing w:after="100"/>
              <w:rPr>
                <w:rFonts w:eastAsia="Times New Roman"/>
                <w:sz w:val="20"/>
                <w:szCs w:val="20"/>
              </w:rPr>
            </w:pPr>
          </w:p>
        </w:tc>
        <w:tc>
          <w:tcPr>
            <w:tcW w:w="50" w:type="pct"/>
            <w:vAlign w:val="center"/>
            <w:hideMark/>
          </w:tcPr>
          <w:p w14:paraId="7999AFA6" w14:textId="77777777" w:rsidR="00000000" w:rsidRDefault="00EE5306">
            <w:pPr>
              <w:spacing w:after="100"/>
              <w:rPr>
                <w:rFonts w:eastAsia="Times New Roman"/>
                <w:sz w:val="20"/>
                <w:szCs w:val="20"/>
              </w:rPr>
            </w:pPr>
          </w:p>
        </w:tc>
        <w:tc>
          <w:tcPr>
            <w:tcW w:w="1436" w:type="pct"/>
            <w:vAlign w:val="center"/>
            <w:hideMark/>
          </w:tcPr>
          <w:p w14:paraId="17F47CA7" w14:textId="77777777" w:rsidR="00000000" w:rsidRDefault="00EE5306">
            <w:pPr>
              <w:spacing w:after="100"/>
              <w:rPr>
                <w:rFonts w:eastAsia="Times New Roman"/>
                <w:sz w:val="20"/>
                <w:szCs w:val="20"/>
              </w:rPr>
            </w:pPr>
          </w:p>
        </w:tc>
        <w:tc>
          <w:tcPr>
            <w:tcW w:w="5" w:type="pct"/>
            <w:vAlign w:val="center"/>
            <w:hideMark/>
          </w:tcPr>
          <w:p w14:paraId="195EC433" w14:textId="77777777" w:rsidR="00000000" w:rsidRDefault="00EE5306">
            <w:pPr>
              <w:spacing w:after="100"/>
              <w:rPr>
                <w:rFonts w:eastAsia="Times New Roman"/>
                <w:sz w:val="20"/>
                <w:szCs w:val="20"/>
              </w:rPr>
            </w:pPr>
          </w:p>
        </w:tc>
        <w:tc>
          <w:tcPr>
            <w:tcW w:w="50" w:type="pct"/>
            <w:vAlign w:val="center"/>
            <w:hideMark/>
          </w:tcPr>
          <w:p w14:paraId="63998E79" w14:textId="77777777" w:rsidR="00000000" w:rsidRDefault="00EE5306">
            <w:pPr>
              <w:spacing w:after="100"/>
              <w:rPr>
                <w:rFonts w:eastAsia="Times New Roman"/>
                <w:sz w:val="20"/>
                <w:szCs w:val="20"/>
              </w:rPr>
            </w:pPr>
          </w:p>
        </w:tc>
        <w:tc>
          <w:tcPr>
            <w:tcW w:w="1699" w:type="pct"/>
            <w:vAlign w:val="center"/>
            <w:hideMark/>
          </w:tcPr>
          <w:p w14:paraId="14FBAFC5" w14:textId="77777777" w:rsidR="00000000" w:rsidRDefault="00EE5306">
            <w:pPr>
              <w:spacing w:after="100"/>
              <w:rPr>
                <w:rFonts w:eastAsia="Times New Roman"/>
                <w:sz w:val="20"/>
                <w:szCs w:val="20"/>
              </w:rPr>
            </w:pPr>
          </w:p>
        </w:tc>
        <w:tc>
          <w:tcPr>
            <w:tcW w:w="5" w:type="pct"/>
            <w:vAlign w:val="center"/>
            <w:hideMark/>
          </w:tcPr>
          <w:p w14:paraId="1692DD0E" w14:textId="77777777" w:rsidR="00000000" w:rsidRDefault="00EE5306">
            <w:pPr>
              <w:spacing w:after="100"/>
              <w:rPr>
                <w:rFonts w:eastAsia="Times New Roman"/>
                <w:sz w:val="20"/>
                <w:szCs w:val="20"/>
              </w:rPr>
            </w:pPr>
          </w:p>
        </w:tc>
      </w:tr>
      <w:tr w:rsidR="00000000" w14:paraId="3E4242F3" w14:textId="77777777">
        <w:trPr>
          <w:divId w:val="2057655924"/>
          <w:jc w:val="center"/>
        </w:trPr>
        <w:tc>
          <w:tcPr>
            <w:tcW w:w="0" w:type="auto"/>
            <w:gridSpan w:val="3"/>
            <w:tcMar>
              <w:top w:w="0" w:type="dxa"/>
              <w:left w:w="20" w:type="dxa"/>
              <w:bottom w:w="0" w:type="dxa"/>
              <w:right w:w="20" w:type="dxa"/>
            </w:tcMar>
            <w:vAlign w:val="center"/>
            <w:hideMark/>
          </w:tcPr>
          <w:p w14:paraId="2B5FC5B1"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42FEDD9" w14:textId="77777777" w:rsidR="00000000" w:rsidRDefault="00EE5306">
            <w:pPr>
              <w:spacing w:after="100"/>
              <w:jc w:val="center"/>
              <w:rPr>
                <w:rFonts w:eastAsia="Times New Roman"/>
              </w:rPr>
            </w:pPr>
            <w:r>
              <w:rPr>
                <w:rFonts w:eastAsia="Times New Roman"/>
                <w:color w:val="000000"/>
                <w:sz w:val="20"/>
                <w:szCs w:val="20"/>
              </w:rPr>
              <w:t>49</w:t>
            </w:r>
          </w:p>
        </w:tc>
        <w:tc>
          <w:tcPr>
            <w:tcW w:w="0" w:type="auto"/>
            <w:gridSpan w:val="3"/>
            <w:tcMar>
              <w:top w:w="0" w:type="dxa"/>
              <w:left w:w="20" w:type="dxa"/>
              <w:bottom w:w="0" w:type="dxa"/>
              <w:right w:w="20" w:type="dxa"/>
            </w:tcMar>
            <w:vAlign w:val="center"/>
            <w:hideMark/>
          </w:tcPr>
          <w:p w14:paraId="0DC44972" w14:textId="77777777" w:rsidR="00000000" w:rsidRDefault="00EE5306">
            <w:pPr>
              <w:spacing w:after="100"/>
              <w:jc w:val="center"/>
              <w:rPr>
                <w:rFonts w:eastAsia="Times New Roman"/>
              </w:rPr>
            </w:pPr>
          </w:p>
        </w:tc>
      </w:tr>
    </w:tbl>
    <w:p w14:paraId="0F0F4863" w14:textId="77777777" w:rsidR="00000000" w:rsidRDefault="00EE5306">
      <w:pPr>
        <w:rPr>
          <w:rFonts w:eastAsia="Times New Roman"/>
        </w:rPr>
      </w:pPr>
      <w:r>
        <w:rPr>
          <w:rFonts w:eastAsia="Times New Roman"/>
        </w:rPr>
        <w:pict w14:anchorId="148149AF">
          <v:rect id="_x0000_i1076" style="width:0;height:1.5pt" o:hralign="center" o:hrstd="t" o:hr="t" fillcolor="#a0a0a0" stroked="f"/>
        </w:pict>
      </w:r>
    </w:p>
    <w:p w14:paraId="5858A4DA" w14:textId="77777777" w:rsidR="00000000" w:rsidRDefault="00EE5306">
      <w:pPr>
        <w:divId w:val="961762684"/>
        <w:rPr>
          <w:rFonts w:eastAsia="Times New Roman"/>
        </w:rPr>
      </w:pPr>
    </w:p>
    <w:p w14:paraId="5BB92373" w14:textId="77777777" w:rsidR="00000000" w:rsidRDefault="00EE5306">
      <w:pPr>
        <w:ind w:firstLine="540"/>
        <w:jc w:val="both"/>
        <w:divId w:val="1135414244"/>
        <w:rPr>
          <w:rFonts w:eastAsia="Times New Roman"/>
        </w:rPr>
      </w:pPr>
      <w:r>
        <w:rPr>
          <w:rFonts w:eastAsia="Times New Roman"/>
          <w:color w:val="000000"/>
          <w:sz w:val="20"/>
          <w:szCs w:val="20"/>
        </w:rPr>
        <w:t>Because we are a global company, the comparability of our operating results reported in U.S. Dollars is also affected by foreign currency exchange rate fluctuations because the underlying currencies in which we transac</w:t>
      </w:r>
      <w:r>
        <w:rPr>
          <w:rFonts w:eastAsia="Times New Roman"/>
          <w:color w:val="000000"/>
          <w:sz w:val="20"/>
          <w:szCs w:val="20"/>
        </w:rPr>
        <w:t>t change in value over time compared to the U.S. Dollar. Such fluctuations can have a significant effect on our reported results. As such, in addition to financial measures prepared in accordance with accounting principles generally accepted in the U.S. ("</w:t>
      </w:r>
      <w:r>
        <w:rPr>
          <w:rFonts w:eastAsia="Times New Roman"/>
          <w:color w:val="000000"/>
          <w:sz w:val="20"/>
          <w:szCs w:val="20"/>
        </w:rPr>
        <w:t>U.S. GAAP"), our discussions often contain references to constant currency measures, which are calculated by translating current-year and prior-year reported amounts into comparable amounts using a single foreign exchange rate for each currency. We present</w:t>
      </w:r>
      <w:r>
        <w:rPr>
          <w:rFonts w:eastAsia="Times New Roman"/>
          <w:color w:val="000000"/>
          <w:sz w:val="20"/>
          <w:szCs w:val="20"/>
        </w:rPr>
        <w:t xml:space="preserve"> constant currency financial information, which is a non-U.S. GAAP financial measure, as a supplement to our reported operating results. We use constant currency information to provide a framework for assessing how our businesses performed excluding the ef</w:t>
      </w:r>
      <w:r>
        <w:rPr>
          <w:rFonts w:eastAsia="Times New Roman"/>
          <w:color w:val="000000"/>
          <w:sz w:val="20"/>
          <w:szCs w:val="20"/>
        </w:rPr>
        <w:t>fects of foreign currency exchange rate fluctuations. We believe this information is useful to investors for facilitating comparisons of operating results and better identifying trends in our businesses. The constant currency performance measures should be</w:t>
      </w:r>
      <w:r>
        <w:rPr>
          <w:rFonts w:eastAsia="Times New Roman"/>
          <w:color w:val="000000"/>
          <w:sz w:val="20"/>
          <w:szCs w:val="20"/>
        </w:rPr>
        <w:t xml:space="preserve"> viewed in addition to, and not in lieu of or superior to, our operating performance measures calculated in accordance with U.S. GAAP. Reconciliations between this non-U.S. GAAP financial measure and the most directly comparable U.S. GAAP measure are inclu</w:t>
      </w:r>
      <w:r>
        <w:rPr>
          <w:rFonts w:eastAsia="Times New Roman"/>
          <w:color w:val="000000"/>
          <w:sz w:val="20"/>
          <w:szCs w:val="20"/>
        </w:rPr>
        <w:t>ded in the "Results of Operations" section where applicable.</w:t>
      </w:r>
    </w:p>
    <w:p w14:paraId="6891CDF7" w14:textId="77777777" w:rsidR="00000000" w:rsidRDefault="00EE5306">
      <w:pPr>
        <w:ind w:firstLine="540"/>
        <w:jc w:val="both"/>
        <w:divId w:val="1192453456"/>
        <w:rPr>
          <w:rFonts w:eastAsia="Times New Roman"/>
        </w:rPr>
      </w:pPr>
      <w:r>
        <w:rPr>
          <w:rFonts w:eastAsia="Times New Roman"/>
          <w:color w:val="000000"/>
          <w:sz w:val="20"/>
          <w:szCs w:val="20"/>
        </w:rPr>
        <w:t>Our discussion also includes reference to comparable store sales. Comparable store sales refer to the change in sales of our stores that have been open for at least 13 full fiscal months. Sales f</w:t>
      </w:r>
      <w:r>
        <w:rPr>
          <w:rFonts w:eastAsia="Times New Roman"/>
          <w:color w:val="000000"/>
          <w:sz w:val="20"/>
          <w:szCs w:val="20"/>
        </w:rPr>
        <w:t>rom our digital commerce sites are also included within comparable sales for those geographies that have been serviced by the related site for at least 13 full fiscal months. Sales for stores or digital commerce sites that are closed or shut down during th</w:t>
      </w:r>
      <w:r>
        <w:rPr>
          <w:rFonts w:eastAsia="Times New Roman"/>
          <w:color w:val="000000"/>
          <w:sz w:val="20"/>
          <w:szCs w:val="20"/>
        </w:rPr>
        <w:t>e year are excluded from the calculation of comparable store sales. Sales for stores that are either relocated, enlarged (as defined by gross square footage expansion of 25% or greater), or generally closed for 30 or more consecutive days for renovation ar</w:t>
      </w:r>
      <w:r>
        <w:rPr>
          <w:rFonts w:eastAsia="Times New Roman"/>
          <w:color w:val="000000"/>
          <w:sz w:val="20"/>
          <w:szCs w:val="20"/>
        </w:rPr>
        <w:t>e also excluded from the calculation of comparable store sales until such stores have been operating in their new location or in their newly renovated state for at least 13 full fiscal months. All comparable store sales metrics are calculated on a constant</w:t>
      </w:r>
      <w:r>
        <w:rPr>
          <w:rFonts w:eastAsia="Times New Roman"/>
          <w:color w:val="000000"/>
          <w:sz w:val="20"/>
          <w:szCs w:val="20"/>
        </w:rPr>
        <w:t xml:space="preserve"> currency basis.</w:t>
      </w:r>
    </w:p>
    <w:p w14:paraId="3C9758BE" w14:textId="77777777" w:rsidR="00000000" w:rsidRDefault="00EE5306">
      <w:pPr>
        <w:ind w:firstLine="540"/>
        <w:jc w:val="both"/>
        <w:divId w:val="1228371057"/>
        <w:rPr>
          <w:rFonts w:eastAsia="Times New Roman"/>
        </w:rPr>
      </w:pPr>
      <w:r>
        <w:rPr>
          <w:rFonts w:eastAsia="Times New Roman"/>
          <w:color w:val="000000"/>
          <w:sz w:val="20"/>
          <w:szCs w:val="20"/>
        </w:rPr>
        <w:t>Our "Results of Operations" discussion that follows includes the significant changes in operating results arising from these items affecting comparability. However, unusual items or transactions may occur in any period. Accordingly, invest</w:t>
      </w:r>
      <w:r>
        <w:rPr>
          <w:rFonts w:eastAsia="Times New Roman"/>
          <w:color w:val="000000"/>
          <w:sz w:val="20"/>
          <w:szCs w:val="20"/>
        </w:rPr>
        <w:t>ors and other financial statement users should consider the types of events and transactions that have affected operating trends.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36377E7" w14:textId="77777777">
        <w:trPr>
          <w:divId w:val="1309558384"/>
          <w:jc w:val="center"/>
        </w:trPr>
        <w:tc>
          <w:tcPr>
            <w:tcW w:w="50" w:type="pct"/>
            <w:vAlign w:val="center"/>
            <w:hideMark/>
          </w:tcPr>
          <w:p w14:paraId="15344CF7" w14:textId="77777777" w:rsidR="00000000" w:rsidRDefault="00EE5306">
            <w:pPr>
              <w:ind w:firstLine="540"/>
              <w:jc w:val="both"/>
              <w:rPr>
                <w:rFonts w:eastAsia="Times New Roman"/>
              </w:rPr>
            </w:pPr>
          </w:p>
        </w:tc>
        <w:tc>
          <w:tcPr>
            <w:tcW w:w="1699" w:type="pct"/>
            <w:vAlign w:val="center"/>
            <w:hideMark/>
          </w:tcPr>
          <w:p w14:paraId="12794E57" w14:textId="77777777" w:rsidR="00000000" w:rsidRDefault="00EE5306">
            <w:pPr>
              <w:spacing w:after="100"/>
              <w:rPr>
                <w:rFonts w:eastAsia="Times New Roman"/>
                <w:sz w:val="20"/>
                <w:szCs w:val="20"/>
              </w:rPr>
            </w:pPr>
          </w:p>
        </w:tc>
        <w:tc>
          <w:tcPr>
            <w:tcW w:w="5" w:type="pct"/>
            <w:vAlign w:val="center"/>
            <w:hideMark/>
          </w:tcPr>
          <w:p w14:paraId="52BF1255" w14:textId="77777777" w:rsidR="00000000" w:rsidRDefault="00EE5306">
            <w:pPr>
              <w:spacing w:after="100"/>
              <w:rPr>
                <w:rFonts w:eastAsia="Times New Roman"/>
                <w:sz w:val="20"/>
                <w:szCs w:val="20"/>
              </w:rPr>
            </w:pPr>
          </w:p>
        </w:tc>
        <w:tc>
          <w:tcPr>
            <w:tcW w:w="50" w:type="pct"/>
            <w:vAlign w:val="center"/>
            <w:hideMark/>
          </w:tcPr>
          <w:p w14:paraId="072F1F99" w14:textId="77777777" w:rsidR="00000000" w:rsidRDefault="00EE5306">
            <w:pPr>
              <w:spacing w:after="100"/>
              <w:rPr>
                <w:rFonts w:eastAsia="Times New Roman"/>
                <w:sz w:val="20"/>
                <w:szCs w:val="20"/>
              </w:rPr>
            </w:pPr>
          </w:p>
        </w:tc>
        <w:tc>
          <w:tcPr>
            <w:tcW w:w="1436" w:type="pct"/>
            <w:vAlign w:val="center"/>
            <w:hideMark/>
          </w:tcPr>
          <w:p w14:paraId="35DBE675" w14:textId="77777777" w:rsidR="00000000" w:rsidRDefault="00EE5306">
            <w:pPr>
              <w:spacing w:after="100"/>
              <w:rPr>
                <w:rFonts w:eastAsia="Times New Roman"/>
                <w:sz w:val="20"/>
                <w:szCs w:val="20"/>
              </w:rPr>
            </w:pPr>
          </w:p>
        </w:tc>
        <w:tc>
          <w:tcPr>
            <w:tcW w:w="5" w:type="pct"/>
            <w:vAlign w:val="center"/>
            <w:hideMark/>
          </w:tcPr>
          <w:p w14:paraId="5024E0FB" w14:textId="77777777" w:rsidR="00000000" w:rsidRDefault="00EE5306">
            <w:pPr>
              <w:spacing w:after="100"/>
              <w:rPr>
                <w:rFonts w:eastAsia="Times New Roman"/>
                <w:sz w:val="20"/>
                <w:szCs w:val="20"/>
              </w:rPr>
            </w:pPr>
          </w:p>
        </w:tc>
        <w:tc>
          <w:tcPr>
            <w:tcW w:w="50" w:type="pct"/>
            <w:vAlign w:val="center"/>
            <w:hideMark/>
          </w:tcPr>
          <w:p w14:paraId="31D7EC27" w14:textId="77777777" w:rsidR="00000000" w:rsidRDefault="00EE5306">
            <w:pPr>
              <w:spacing w:after="100"/>
              <w:rPr>
                <w:rFonts w:eastAsia="Times New Roman"/>
                <w:sz w:val="20"/>
                <w:szCs w:val="20"/>
              </w:rPr>
            </w:pPr>
          </w:p>
        </w:tc>
        <w:tc>
          <w:tcPr>
            <w:tcW w:w="1699" w:type="pct"/>
            <w:vAlign w:val="center"/>
            <w:hideMark/>
          </w:tcPr>
          <w:p w14:paraId="438B6E62" w14:textId="77777777" w:rsidR="00000000" w:rsidRDefault="00EE5306">
            <w:pPr>
              <w:spacing w:after="100"/>
              <w:rPr>
                <w:rFonts w:eastAsia="Times New Roman"/>
                <w:sz w:val="20"/>
                <w:szCs w:val="20"/>
              </w:rPr>
            </w:pPr>
          </w:p>
        </w:tc>
        <w:tc>
          <w:tcPr>
            <w:tcW w:w="5" w:type="pct"/>
            <w:vAlign w:val="center"/>
            <w:hideMark/>
          </w:tcPr>
          <w:p w14:paraId="571673C0" w14:textId="77777777" w:rsidR="00000000" w:rsidRDefault="00EE5306">
            <w:pPr>
              <w:spacing w:after="100"/>
              <w:rPr>
                <w:rFonts w:eastAsia="Times New Roman"/>
                <w:sz w:val="20"/>
                <w:szCs w:val="20"/>
              </w:rPr>
            </w:pPr>
          </w:p>
        </w:tc>
      </w:tr>
      <w:tr w:rsidR="00000000" w14:paraId="3444274A" w14:textId="77777777">
        <w:trPr>
          <w:divId w:val="1309558384"/>
          <w:jc w:val="center"/>
        </w:trPr>
        <w:tc>
          <w:tcPr>
            <w:tcW w:w="0" w:type="auto"/>
            <w:gridSpan w:val="3"/>
            <w:tcMar>
              <w:top w:w="0" w:type="dxa"/>
              <w:left w:w="20" w:type="dxa"/>
              <w:bottom w:w="0" w:type="dxa"/>
              <w:right w:w="20" w:type="dxa"/>
            </w:tcMar>
            <w:vAlign w:val="center"/>
            <w:hideMark/>
          </w:tcPr>
          <w:p w14:paraId="69FB82A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D0212C" w14:textId="77777777" w:rsidR="00000000" w:rsidRDefault="00EE5306">
            <w:pPr>
              <w:spacing w:after="100"/>
              <w:jc w:val="center"/>
              <w:rPr>
                <w:rFonts w:eastAsia="Times New Roman"/>
              </w:rPr>
            </w:pPr>
            <w:r>
              <w:rPr>
                <w:rFonts w:eastAsia="Times New Roman"/>
                <w:color w:val="000000"/>
                <w:sz w:val="20"/>
                <w:szCs w:val="20"/>
              </w:rPr>
              <w:t>50</w:t>
            </w:r>
          </w:p>
        </w:tc>
        <w:tc>
          <w:tcPr>
            <w:tcW w:w="0" w:type="auto"/>
            <w:gridSpan w:val="3"/>
            <w:tcMar>
              <w:top w:w="0" w:type="dxa"/>
              <w:left w:w="20" w:type="dxa"/>
              <w:bottom w:w="0" w:type="dxa"/>
              <w:right w:w="20" w:type="dxa"/>
            </w:tcMar>
            <w:vAlign w:val="center"/>
            <w:hideMark/>
          </w:tcPr>
          <w:p w14:paraId="7B959363" w14:textId="77777777" w:rsidR="00000000" w:rsidRDefault="00EE5306">
            <w:pPr>
              <w:spacing w:after="100"/>
              <w:jc w:val="center"/>
              <w:rPr>
                <w:rFonts w:eastAsia="Times New Roman"/>
              </w:rPr>
            </w:pPr>
          </w:p>
        </w:tc>
      </w:tr>
    </w:tbl>
    <w:p w14:paraId="35A41222" w14:textId="77777777" w:rsidR="00000000" w:rsidRDefault="00EE5306">
      <w:pPr>
        <w:rPr>
          <w:rFonts w:eastAsia="Times New Roman"/>
        </w:rPr>
      </w:pPr>
      <w:r>
        <w:rPr>
          <w:rFonts w:eastAsia="Times New Roman"/>
        </w:rPr>
        <w:pict w14:anchorId="3EF47439">
          <v:rect id="_x0000_i1077" style="width:0;height:1.5pt" o:hralign="center" o:hrstd="t" o:hr="t" fillcolor="#a0a0a0" stroked="f"/>
        </w:pict>
      </w:r>
    </w:p>
    <w:p w14:paraId="72586A6E" w14:textId="77777777" w:rsidR="00000000" w:rsidRDefault="00EE5306">
      <w:pPr>
        <w:divId w:val="1098327798"/>
        <w:rPr>
          <w:rFonts w:eastAsia="Times New Roman"/>
        </w:rPr>
      </w:pPr>
    </w:p>
    <w:p w14:paraId="44F7F41F" w14:textId="77777777" w:rsidR="00000000" w:rsidRDefault="00EE5306">
      <w:pPr>
        <w:jc w:val="both"/>
        <w:rPr>
          <w:rFonts w:eastAsia="Times New Roman"/>
        </w:rPr>
      </w:pPr>
      <w:r>
        <w:rPr>
          <w:rFonts w:eastAsia="Times New Roman"/>
          <w:b/>
          <w:bCs/>
          <w:color w:val="000000"/>
          <w:sz w:val="20"/>
          <w:szCs w:val="20"/>
        </w:rPr>
        <w:t>RESULTS OF OPERATIONS</w:t>
      </w:r>
    </w:p>
    <w:p w14:paraId="775D3455" w14:textId="77777777" w:rsidR="00000000" w:rsidRDefault="00EE5306">
      <w:pPr>
        <w:ind w:firstLine="360"/>
        <w:jc w:val="both"/>
        <w:divId w:val="1980646509"/>
        <w:rPr>
          <w:rFonts w:eastAsia="Times New Roman"/>
        </w:rPr>
      </w:pPr>
      <w:r>
        <w:rPr>
          <w:rFonts w:eastAsia="Times New Roman"/>
          <w:b/>
          <w:bCs/>
          <w:i/>
          <w:iCs/>
          <w:color w:val="000000"/>
          <w:sz w:val="20"/>
          <w:szCs w:val="20"/>
        </w:rPr>
        <w:t>Fiscal 2021 Compared to Fiscal 2020</w:t>
      </w:r>
    </w:p>
    <w:p w14:paraId="4DAD905F" w14:textId="77777777" w:rsidR="00000000" w:rsidRDefault="00EE5306">
      <w:pPr>
        <w:ind w:firstLine="540"/>
        <w:jc w:val="both"/>
        <w:divId w:val="763451225"/>
        <w:rPr>
          <w:rFonts w:eastAsia="Times New Roman"/>
        </w:rPr>
      </w:pPr>
      <w:r>
        <w:rPr>
          <w:rFonts w:eastAsia="Times New Roman"/>
          <w:color w:val="000000"/>
          <w:sz w:val="20"/>
          <w:szCs w:val="20"/>
        </w:rPr>
        <w:t xml:space="preserve">The following table summarizes our results of operations and expresses the percentage relationship to net revenues of certain financial statement captions. All </w:t>
      </w:r>
      <w:r>
        <w:rPr>
          <w:rFonts w:eastAsia="Times New Roman"/>
          <w:color w:val="000000"/>
          <w:sz w:val="20"/>
          <w:szCs w:val="20"/>
        </w:rPr>
        <w:t>percentages shown in the below table and the discussion that follows have been calculated using unrounded numbers.</w:t>
      </w:r>
    </w:p>
    <w:tbl>
      <w:tblPr>
        <w:tblW w:w="4714" w:type="pct"/>
        <w:tblCellMar>
          <w:top w:w="15" w:type="dxa"/>
          <w:left w:w="15" w:type="dxa"/>
          <w:bottom w:w="15" w:type="dxa"/>
          <w:right w:w="15" w:type="dxa"/>
        </w:tblCellMar>
        <w:tblLook w:val="04A0" w:firstRow="1" w:lastRow="0" w:firstColumn="1" w:lastColumn="0" w:noHBand="0" w:noVBand="1"/>
      </w:tblPr>
      <w:tblGrid>
        <w:gridCol w:w="39"/>
        <w:gridCol w:w="3450"/>
        <w:gridCol w:w="38"/>
        <w:gridCol w:w="36"/>
        <w:gridCol w:w="36"/>
        <w:gridCol w:w="36"/>
        <w:gridCol w:w="120"/>
        <w:gridCol w:w="685"/>
        <w:gridCol w:w="254"/>
        <w:gridCol w:w="36"/>
        <w:gridCol w:w="36"/>
        <w:gridCol w:w="36"/>
        <w:gridCol w:w="120"/>
        <w:gridCol w:w="685"/>
        <w:gridCol w:w="254"/>
        <w:gridCol w:w="36"/>
        <w:gridCol w:w="36"/>
        <w:gridCol w:w="36"/>
        <w:gridCol w:w="120"/>
        <w:gridCol w:w="734"/>
        <w:gridCol w:w="36"/>
        <w:gridCol w:w="36"/>
        <w:gridCol w:w="36"/>
        <w:gridCol w:w="36"/>
        <w:gridCol w:w="46"/>
        <w:gridCol w:w="564"/>
        <w:gridCol w:w="254"/>
      </w:tblGrid>
      <w:tr w:rsidR="00000000" w14:paraId="68868556" w14:textId="77777777">
        <w:trPr>
          <w:divId w:val="783693294"/>
        </w:trPr>
        <w:tc>
          <w:tcPr>
            <w:tcW w:w="50" w:type="pct"/>
            <w:vAlign w:val="center"/>
            <w:hideMark/>
          </w:tcPr>
          <w:p w14:paraId="16887125" w14:textId="77777777" w:rsidR="00000000" w:rsidRDefault="00EE5306">
            <w:pPr>
              <w:ind w:firstLine="540"/>
              <w:jc w:val="both"/>
              <w:rPr>
                <w:rFonts w:eastAsia="Times New Roman"/>
              </w:rPr>
            </w:pPr>
          </w:p>
        </w:tc>
        <w:tc>
          <w:tcPr>
            <w:tcW w:w="2309" w:type="pct"/>
            <w:vAlign w:val="center"/>
            <w:hideMark/>
          </w:tcPr>
          <w:p w14:paraId="0B6949BF" w14:textId="77777777" w:rsidR="00000000" w:rsidRDefault="00EE5306">
            <w:pPr>
              <w:spacing w:after="100"/>
              <w:rPr>
                <w:rFonts w:eastAsia="Times New Roman"/>
                <w:sz w:val="20"/>
                <w:szCs w:val="20"/>
              </w:rPr>
            </w:pPr>
          </w:p>
        </w:tc>
        <w:tc>
          <w:tcPr>
            <w:tcW w:w="5" w:type="pct"/>
            <w:vAlign w:val="center"/>
            <w:hideMark/>
          </w:tcPr>
          <w:p w14:paraId="613EEBCB" w14:textId="77777777" w:rsidR="00000000" w:rsidRDefault="00EE5306">
            <w:pPr>
              <w:spacing w:after="100"/>
              <w:rPr>
                <w:rFonts w:eastAsia="Times New Roman"/>
                <w:sz w:val="20"/>
                <w:szCs w:val="20"/>
              </w:rPr>
            </w:pPr>
          </w:p>
        </w:tc>
        <w:tc>
          <w:tcPr>
            <w:tcW w:w="5" w:type="pct"/>
            <w:vAlign w:val="center"/>
            <w:hideMark/>
          </w:tcPr>
          <w:p w14:paraId="45E8A88E" w14:textId="77777777" w:rsidR="00000000" w:rsidRDefault="00EE5306">
            <w:pPr>
              <w:spacing w:after="100"/>
              <w:rPr>
                <w:rFonts w:eastAsia="Times New Roman"/>
                <w:sz w:val="20"/>
                <w:szCs w:val="20"/>
              </w:rPr>
            </w:pPr>
          </w:p>
        </w:tc>
        <w:tc>
          <w:tcPr>
            <w:tcW w:w="28" w:type="pct"/>
            <w:vAlign w:val="center"/>
            <w:hideMark/>
          </w:tcPr>
          <w:p w14:paraId="09973950" w14:textId="77777777" w:rsidR="00000000" w:rsidRDefault="00EE5306">
            <w:pPr>
              <w:spacing w:after="100"/>
              <w:rPr>
                <w:rFonts w:eastAsia="Times New Roman"/>
                <w:sz w:val="20"/>
                <w:szCs w:val="20"/>
              </w:rPr>
            </w:pPr>
          </w:p>
        </w:tc>
        <w:tc>
          <w:tcPr>
            <w:tcW w:w="5" w:type="pct"/>
            <w:vAlign w:val="center"/>
            <w:hideMark/>
          </w:tcPr>
          <w:p w14:paraId="097E70DB" w14:textId="77777777" w:rsidR="00000000" w:rsidRDefault="00EE5306">
            <w:pPr>
              <w:spacing w:after="100"/>
              <w:rPr>
                <w:rFonts w:eastAsia="Times New Roman"/>
                <w:sz w:val="20"/>
                <w:szCs w:val="20"/>
              </w:rPr>
            </w:pPr>
          </w:p>
        </w:tc>
        <w:tc>
          <w:tcPr>
            <w:tcW w:w="50" w:type="pct"/>
            <w:vAlign w:val="center"/>
            <w:hideMark/>
          </w:tcPr>
          <w:p w14:paraId="52BC3D47" w14:textId="77777777" w:rsidR="00000000" w:rsidRDefault="00EE5306">
            <w:pPr>
              <w:spacing w:after="100"/>
              <w:rPr>
                <w:rFonts w:eastAsia="Times New Roman"/>
                <w:sz w:val="20"/>
                <w:szCs w:val="20"/>
              </w:rPr>
            </w:pPr>
          </w:p>
        </w:tc>
        <w:tc>
          <w:tcPr>
            <w:tcW w:w="565" w:type="pct"/>
            <w:vAlign w:val="center"/>
            <w:hideMark/>
          </w:tcPr>
          <w:p w14:paraId="1A879DB8" w14:textId="77777777" w:rsidR="00000000" w:rsidRDefault="00EE5306">
            <w:pPr>
              <w:spacing w:after="100"/>
              <w:rPr>
                <w:rFonts w:eastAsia="Times New Roman"/>
                <w:sz w:val="20"/>
                <w:szCs w:val="20"/>
              </w:rPr>
            </w:pPr>
          </w:p>
        </w:tc>
        <w:tc>
          <w:tcPr>
            <w:tcW w:w="5" w:type="pct"/>
            <w:vAlign w:val="center"/>
            <w:hideMark/>
          </w:tcPr>
          <w:p w14:paraId="5FBA55E9" w14:textId="77777777" w:rsidR="00000000" w:rsidRDefault="00EE5306">
            <w:pPr>
              <w:spacing w:after="100"/>
              <w:rPr>
                <w:rFonts w:eastAsia="Times New Roman"/>
                <w:sz w:val="20"/>
                <w:szCs w:val="20"/>
              </w:rPr>
            </w:pPr>
          </w:p>
        </w:tc>
        <w:tc>
          <w:tcPr>
            <w:tcW w:w="5" w:type="pct"/>
            <w:vAlign w:val="center"/>
            <w:hideMark/>
          </w:tcPr>
          <w:p w14:paraId="0A7EC315" w14:textId="77777777" w:rsidR="00000000" w:rsidRDefault="00EE5306">
            <w:pPr>
              <w:spacing w:after="100"/>
              <w:rPr>
                <w:rFonts w:eastAsia="Times New Roman"/>
                <w:sz w:val="20"/>
                <w:szCs w:val="20"/>
              </w:rPr>
            </w:pPr>
          </w:p>
        </w:tc>
        <w:tc>
          <w:tcPr>
            <w:tcW w:w="28" w:type="pct"/>
            <w:vAlign w:val="center"/>
            <w:hideMark/>
          </w:tcPr>
          <w:p w14:paraId="3C0EC4A3" w14:textId="77777777" w:rsidR="00000000" w:rsidRDefault="00EE5306">
            <w:pPr>
              <w:spacing w:after="100"/>
              <w:rPr>
                <w:rFonts w:eastAsia="Times New Roman"/>
                <w:sz w:val="20"/>
                <w:szCs w:val="20"/>
              </w:rPr>
            </w:pPr>
          </w:p>
        </w:tc>
        <w:tc>
          <w:tcPr>
            <w:tcW w:w="5" w:type="pct"/>
            <w:vAlign w:val="center"/>
            <w:hideMark/>
          </w:tcPr>
          <w:p w14:paraId="1D9A6A0C" w14:textId="77777777" w:rsidR="00000000" w:rsidRDefault="00EE5306">
            <w:pPr>
              <w:spacing w:after="100"/>
              <w:rPr>
                <w:rFonts w:eastAsia="Times New Roman"/>
                <w:sz w:val="20"/>
                <w:szCs w:val="20"/>
              </w:rPr>
            </w:pPr>
          </w:p>
        </w:tc>
        <w:tc>
          <w:tcPr>
            <w:tcW w:w="50" w:type="pct"/>
            <w:vAlign w:val="center"/>
            <w:hideMark/>
          </w:tcPr>
          <w:p w14:paraId="47E3171D" w14:textId="77777777" w:rsidR="00000000" w:rsidRDefault="00EE5306">
            <w:pPr>
              <w:spacing w:after="100"/>
              <w:rPr>
                <w:rFonts w:eastAsia="Times New Roman"/>
                <w:sz w:val="20"/>
                <w:szCs w:val="20"/>
              </w:rPr>
            </w:pPr>
          </w:p>
        </w:tc>
        <w:tc>
          <w:tcPr>
            <w:tcW w:w="565" w:type="pct"/>
            <w:vAlign w:val="center"/>
            <w:hideMark/>
          </w:tcPr>
          <w:p w14:paraId="6DFA9BAF" w14:textId="77777777" w:rsidR="00000000" w:rsidRDefault="00EE5306">
            <w:pPr>
              <w:spacing w:after="100"/>
              <w:rPr>
                <w:rFonts w:eastAsia="Times New Roman"/>
                <w:sz w:val="20"/>
                <w:szCs w:val="20"/>
              </w:rPr>
            </w:pPr>
          </w:p>
        </w:tc>
        <w:tc>
          <w:tcPr>
            <w:tcW w:w="5" w:type="pct"/>
            <w:vAlign w:val="center"/>
            <w:hideMark/>
          </w:tcPr>
          <w:p w14:paraId="423374D9" w14:textId="77777777" w:rsidR="00000000" w:rsidRDefault="00EE5306">
            <w:pPr>
              <w:spacing w:after="100"/>
              <w:rPr>
                <w:rFonts w:eastAsia="Times New Roman"/>
                <w:sz w:val="20"/>
                <w:szCs w:val="20"/>
              </w:rPr>
            </w:pPr>
          </w:p>
        </w:tc>
        <w:tc>
          <w:tcPr>
            <w:tcW w:w="5" w:type="pct"/>
            <w:vAlign w:val="center"/>
            <w:hideMark/>
          </w:tcPr>
          <w:p w14:paraId="4B166E71" w14:textId="77777777" w:rsidR="00000000" w:rsidRDefault="00EE5306">
            <w:pPr>
              <w:spacing w:after="100"/>
              <w:rPr>
                <w:rFonts w:eastAsia="Times New Roman"/>
                <w:sz w:val="20"/>
                <w:szCs w:val="20"/>
              </w:rPr>
            </w:pPr>
          </w:p>
        </w:tc>
        <w:tc>
          <w:tcPr>
            <w:tcW w:w="28" w:type="pct"/>
            <w:vAlign w:val="center"/>
            <w:hideMark/>
          </w:tcPr>
          <w:p w14:paraId="3697B513" w14:textId="77777777" w:rsidR="00000000" w:rsidRDefault="00EE5306">
            <w:pPr>
              <w:spacing w:after="100"/>
              <w:rPr>
                <w:rFonts w:eastAsia="Times New Roman"/>
                <w:sz w:val="20"/>
                <w:szCs w:val="20"/>
              </w:rPr>
            </w:pPr>
          </w:p>
        </w:tc>
        <w:tc>
          <w:tcPr>
            <w:tcW w:w="5" w:type="pct"/>
            <w:vAlign w:val="center"/>
            <w:hideMark/>
          </w:tcPr>
          <w:p w14:paraId="750A7370" w14:textId="77777777" w:rsidR="00000000" w:rsidRDefault="00EE5306">
            <w:pPr>
              <w:spacing w:after="100"/>
              <w:rPr>
                <w:rFonts w:eastAsia="Times New Roman"/>
                <w:sz w:val="20"/>
                <w:szCs w:val="20"/>
              </w:rPr>
            </w:pPr>
          </w:p>
        </w:tc>
        <w:tc>
          <w:tcPr>
            <w:tcW w:w="50" w:type="pct"/>
            <w:vAlign w:val="center"/>
            <w:hideMark/>
          </w:tcPr>
          <w:p w14:paraId="2CFB9237" w14:textId="77777777" w:rsidR="00000000" w:rsidRDefault="00EE5306">
            <w:pPr>
              <w:spacing w:after="100"/>
              <w:rPr>
                <w:rFonts w:eastAsia="Times New Roman"/>
                <w:sz w:val="20"/>
                <w:szCs w:val="20"/>
              </w:rPr>
            </w:pPr>
          </w:p>
        </w:tc>
        <w:tc>
          <w:tcPr>
            <w:tcW w:w="565" w:type="pct"/>
            <w:vAlign w:val="center"/>
            <w:hideMark/>
          </w:tcPr>
          <w:p w14:paraId="4A250BA4" w14:textId="77777777" w:rsidR="00000000" w:rsidRDefault="00EE5306">
            <w:pPr>
              <w:spacing w:after="100"/>
              <w:rPr>
                <w:rFonts w:eastAsia="Times New Roman"/>
                <w:sz w:val="20"/>
                <w:szCs w:val="20"/>
              </w:rPr>
            </w:pPr>
          </w:p>
        </w:tc>
        <w:tc>
          <w:tcPr>
            <w:tcW w:w="5" w:type="pct"/>
            <w:vAlign w:val="center"/>
            <w:hideMark/>
          </w:tcPr>
          <w:p w14:paraId="0A3C6D3F" w14:textId="77777777" w:rsidR="00000000" w:rsidRDefault="00EE5306">
            <w:pPr>
              <w:spacing w:after="100"/>
              <w:rPr>
                <w:rFonts w:eastAsia="Times New Roman"/>
                <w:sz w:val="20"/>
                <w:szCs w:val="20"/>
              </w:rPr>
            </w:pPr>
          </w:p>
        </w:tc>
        <w:tc>
          <w:tcPr>
            <w:tcW w:w="5" w:type="pct"/>
            <w:vAlign w:val="center"/>
            <w:hideMark/>
          </w:tcPr>
          <w:p w14:paraId="4B37B51F" w14:textId="77777777" w:rsidR="00000000" w:rsidRDefault="00EE5306">
            <w:pPr>
              <w:spacing w:after="100"/>
              <w:rPr>
                <w:rFonts w:eastAsia="Times New Roman"/>
                <w:sz w:val="20"/>
                <w:szCs w:val="20"/>
              </w:rPr>
            </w:pPr>
          </w:p>
        </w:tc>
        <w:tc>
          <w:tcPr>
            <w:tcW w:w="28" w:type="pct"/>
            <w:vAlign w:val="center"/>
            <w:hideMark/>
          </w:tcPr>
          <w:p w14:paraId="332C38AF" w14:textId="77777777" w:rsidR="00000000" w:rsidRDefault="00EE5306">
            <w:pPr>
              <w:spacing w:after="100"/>
              <w:rPr>
                <w:rFonts w:eastAsia="Times New Roman"/>
                <w:sz w:val="20"/>
                <w:szCs w:val="20"/>
              </w:rPr>
            </w:pPr>
          </w:p>
        </w:tc>
        <w:tc>
          <w:tcPr>
            <w:tcW w:w="5" w:type="pct"/>
            <w:vAlign w:val="center"/>
            <w:hideMark/>
          </w:tcPr>
          <w:p w14:paraId="428763EC" w14:textId="77777777" w:rsidR="00000000" w:rsidRDefault="00EE5306">
            <w:pPr>
              <w:spacing w:after="100"/>
              <w:rPr>
                <w:rFonts w:eastAsia="Times New Roman"/>
                <w:sz w:val="20"/>
                <w:szCs w:val="20"/>
              </w:rPr>
            </w:pPr>
          </w:p>
        </w:tc>
        <w:tc>
          <w:tcPr>
            <w:tcW w:w="50" w:type="pct"/>
            <w:vAlign w:val="center"/>
            <w:hideMark/>
          </w:tcPr>
          <w:p w14:paraId="5F11201C" w14:textId="77777777" w:rsidR="00000000" w:rsidRDefault="00EE5306">
            <w:pPr>
              <w:spacing w:after="100"/>
              <w:rPr>
                <w:rFonts w:eastAsia="Times New Roman"/>
                <w:sz w:val="20"/>
                <w:szCs w:val="20"/>
              </w:rPr>
            </w:pPr>
          </w:p>
        </w:tc>
        <w:tc>
          <w:tcPr>
            <w:tcW w:w="565" w:type="pct"/>
            <w:vAlign w:val="center"/>
            <w:hideMark/>
          </w:tcPr>
          <w:p w14:paraId="2F09C809" w14:textId="77777777" w:rsidR="00000000" w:rsidRDefault="00EE5306">
            <w:pPr>
              <w:spacing w:after="100"/>
              <w:rPr>
                <w:rFonts w:eastAsia="Times New Roman"/>
                <w:sz w:val="20"/>
                <w:szCs w:val="20"/>
              </w:rPr>
            </w:pPr>
          </w:p>
        </w:tc>
        <w:tc>
          <w:tcPr>
            <w:tcW w:w="5" w:type="pct"/>
            <w:vAlign w:val="center"/>
            <w:hideMark/>
          </w:tcPr>
          <w:p w14:paraId="254BD065" w14:textId="77777777" w:rsidR="00000000" w:rsidRDefault="00EE5306">
            <w:pPr>
              <w:spacing w:after="100"/>
              <w:rPr>
                <w:rFonts w:eastAsia="Times New Roman"/>
                <w:sz w:val="20"/>
                <w:szCs w:val="20"/>
              </w:rPr>
            </w:pPr>
          </w:p>
        </w:tc>
      </w:tr>
      <w:tr w:rsidR="00000000" w14:paraId="64FA09A4" w14:textId="77777777">
        <w:trPr>
          <w:divId w:val="783693294"/>
        </w:trPr>
        <w:tc>
          <w:tcPr>
            <w:tcW w:w="0" w:type="auto"/>
            <w:gridSpan w:val="3"/>
            <w:tcMar>
              <w:top w:w="30" w:type="dxa"/>
              <w:left w:w="20" w:type="dxa"/>
              <w:bottom w:w="30" w:type="dxa"/>
              <w:right w:w="20" w:type="dxa"/>
            </w:tcMar>
            <w:vAlign w:val="bottom"/>
            <w:hideMark/>
          </w:tcPr>
          <w:p w14:paraId="0BB61B7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4499626" w14:textId="77777777" w:rsidR="00000000" w:rsidRDefault="00EE5306">
            <w:pPr>
              <w:spacing w:after="100"/>
              <w:rPr>
                <w:rFonts w:eastAsia="Times New Roman"/>
              </w:rPr>
            </w:pPr>
          </w:p>
        </w:tc>
        <w:tc>
          <w:tcPr>
            <w:tcW w:w="0" w:type="auto"/>
            <w:gridSpan w:val="9"/>
            <w:tcMar>
              <w:top w:w="30" w:type="dxa"/>
              <w:left w:w="20" w:type="dxa"/>
              <w:bottom w:w="30" w:type="dxa"/>
              <w:right w:w="20" w:type="dxa"/>
            </w:tcMar>
            <w:vAlign w:val="bottom"/>
            <w:hideMark/>
          </w:tcPr>
          <w:p w14:paraId="761226CA"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3166FE4F"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36D7F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E081291"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46BD3DD6" w14:textId="77777777" w:rsidR="00000000" w:rsidRDefault="00EE5306">
            <w:pPr>
              <w:spacing w:after="100"/>
              <w:jc w:val="center"/>
              <w:rPr>
                <w:rFonts w:eastAsia="Times New Roman"/>
              </w:rPr>
            </w:pPr>
            <w:r>
              <w:rPr>
                <w:rFonts w:eastAsia="Times New Roman"/>
                <w:color w:val="000000"/>
                <w:sz w:val="16"/>
                <w:szCs w:val="16"/>
              </w:rPr>
              <w:t> </w:t>
            </w:r>
          </w:p>
        </w:tc>
      </w:tr>
      <w:tr w:rsidR="00000000" w14:paraId="657B3BD5" w14:textId="77777777">
        <w:trPr>
          <w:divId w:val="783693294"/>
        </w:trPr>
        <w:tc>
          <w:tcPr>
            <w:tcW w:w="0" w:type="auto"/>
            <w:gridSpan w:val="3"/>
            <w:tcMar>
              <w:top w:w="30" w:type="dxa"/>
              <w:left w:w="20" w:type="dxa"/>
              <w:bottom w:w="30" w:type="dxa"/>
              <w:right w:w="20" w:type="dxa"/>
            </w:tcMar>
            <w:vAlign w:val="bottom"/>
            <w:hideMark/>
          </w:tcPr>
          <w:p w14:paraId="6750BCAE"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F6352D4"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6D4CE8"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C2C3B78"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7F2469C"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748B843E"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75D39DB" w14:textId="77777777" w:rsidR="00000000" w:rsidRDefault="00EE5306">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14:paraId="3E815FCC"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44FBC4" w14:textId="77777777" w:rsidR="00000000" w:rsidRDefault="00EE5306">
            <w:pPr>
              <w:spacing w:after="100"/>
              <w:jc w:val="center"/>
              <w:rPr>
                <w:rFonts w:eastAsia="Times New Roman"/>
              </w:rPr>
            </w:pPr>
            <w:r>
              <w:rPr>
                <w:rFonts w:eastAsia="Times New Roman"/>
                <w:b/>
                <w:bCs/>
                <w:color w:val="000000"/>
                <w:sz w:val="16"/>
                <w:szCs w:val="16"/>
              </w:rPr>
              <w:t>% / bps</w:t>
            </w:r>
            <w:r>
              <w:rPr>
                <w:rFonts w:eastAsia="Times New Roman"/>
                <w:b/>
                <w:bCs/>
                <w:color w:val="000000"/>
                <w:sz w:val="16"/>
                <w:szCs w:val="16"/>
              </w:rPr>
              <w:br/>
              <w:t>Change</w:t>
            </w:r>
          </w:p>
        </w:tc>
      </w:tr>
      <w:tr w:rsidR="00000000" w14:paraId="014D4632" w14:textId="77777777">
        <w:trPr>
          <w:divId w:val="783693294"/>
        </w:trPr>
        <w:tc>
          <w:tcPr>
            <w:tcW w:w="0" w:type="auto"/>
            <w:gridSpan w:val="3"/>
            <w:tcMar>
              <w:top w:w="30" w:type="dxa"/>
              <w:left w:w="20" w:type="dxa"/>
              <w:bottom w:w="30" w:type="dxa"/>
              <w:right w:w="20" w:type="dxa"/>
            </w:tcMar>
            <w:vAlign w:val="bottom"/>
            <w:hideMark/>
          </w:tcPr>
          <w:p w14:paraId="43B34BF8"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0765105"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60F042E" w14:textId="77777777" w:rsidR="00000000" w:rsidRDefault="00EE5306">
            <w:pPr>
              <w:spacing w:after="100"/>
              <w:jc w:val="center"/>
              <w:rPr>
                <w:rFonts w:eastAsia="Times New Roman"/>
              </w:rPr>
            </w:pPr>
            <w:r>
              <w:rPr>
                <w:rFonts w:eastAsia="Times New Roman"/>
                <w:b/>
                <w:bCs/>
                <w:color w:val="000000"/>
                <w:sz w:val="16"/>
                <w:szCs w:val="16"/>
              </w:rPr>
              <w:t>(millions, except per share data)</w:t>
            </w:r>
          </w:p>
        </w:tc>
        <w:tc>
          <w:tcPr>
            <w:tcW w:w="0" w:type="auto"/>
            <w:gridSpan w:val="3"/>
            <w:tcMar>
              <w:top w:w="0" w:type="dxa"/>
              <w:left w:w="20" w:type="dxa"/>
              <w:bottom w:w="0" w:type="dxa"/>
              <w:right w:w="20" w:type="dxa"/>
            </w:tcMar>
            <w:vAlign w:val="center"/>
            <w:hideMark/>
          </w:tcPr>
          <w:p w14:paraId="692050F8"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CF2864" w14:textId="77777777" w:rsidR="00000000" w:rsidRDefault="00EE5306">
            <w:pPr>
              <w:spacing w:after="100"/>
              <w:jc w:val="center"/>
              <w:rPr>
                <w:rFonts w:eastAsia="Times New Roman"/>
              </w:rPr>
            </w:pPr>
            <w:r>
              <w:rPr>
                <w:rFonts w:eastAsia="Times New Roman"/>
                <w:color w:val="000000"/>
                <w:sz w:val="16"/>
                <w:szCs w:val="16"/>
              </w:rPr>
              <w:t> </w:t>
            </w:r>
          </w:p>
        </w:tc>
      </w:tr>
      <w:tr w:rsidR="00000000" w14:paraId="17D525ED" w14:textId="77777777">
        <w:trPr>
          <w:divId w:val="783693294"/>
        </w:trPr>
        <w:tc>
          <w:tcPr>
            <w:tcW w:w="0" w:type="auto"/>
            <w:gridSpan w:val="3"/>
            <w:shd w:val="clear" w:color="auto" w:fill="CCEEFF"/>
            <w:tcMar>
              <w:top w:w="30" w:type="dxa"/>
              <w:left w:w="20" w:type="dxa"/>
              <w:bottom w:w="30" w:type="dxa"/>
              <w:right w:w="20" w:type="dxa"/>
            </w:tcMar>
            <w:vAlign w:val="bottom"/>
            <w:hideMark/>
          </w:tcPr>
          <w:p w14:paraId="0C8A92AE" w14:textId="77777777" w:rsidR="00000000" w:rsidRDefault="00EE5306">
            <w:pPr>
              <w:spacing w:after="100"/>
              <w:divId w:val="614486824"/>
              <w:rPr>
                <w:rFonts w:eastAsia="Times New Roman"/>
              </w:rPr>
            </w:pPr>
            <w:r>
              <w:rPr>
                <w:rFonts w:eastAsia="Times New Roman"/>
                <w:b/>
                <w:bCs/>
                <w:color w:val="000000"/>
                <w:sz w:val="20"/>
                <w:szCs w:val="20"/>
              </w:rPr>
              <w:t>Net revenues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3B29DEA0"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04E750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ED82D5" w14:textId="77777777" w:rsidR="00000000" w:rsidRDefault="00EE5306">
            <w:pPr>
              <w:spacing w:after="100"/>
              <w:jc w:val="right"/>
              <w:rPr>
                <w:rFonts w:eastAsia="Times New Roman"/>
              </w:rPr>
            </w:pPr>
            <w:r>
              <w:rPr>
                <w:rFonts w:eastAsia="Times New Roman"/>
                <w:color w:val="000000"/>
                <w:sz w:val="20"/>
                <w:szCs w:val="20"/>
              </w:rPr>
              <w:t>4,400.8 </w:t>
            </w:r>
          </w:p>
        </w:tc>
        <w:tc>
          <w:tcPr>
            <w:tcW w:w="0" w:type="auto"/>
            <w:shd w:val="clear" w:color="auto" w:fill="CCEEFF"/>
            <w:tcMar>
              <w:top w:w="30" w:type="dxa"/>
              <w:left w:w="0" w:type="dxa"/>
              <w:bottom w:w="30" w:type="dxa"/>
              <w:right w:w="20" w:type="dxa"/>
            </w:tcMar>
            <w:vAlign w:val="bottom"/>
            <w:hideMark/>
          </w:tcPr>
          <w:p w14:paraId="6EC1230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9DB4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0DDF8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450261" w14:textId="77777777" w:rsidR="00000000" w:rsidRDefault="00EE5306">
            <w:pPr>
              <w:spacing w:after="100"/>
              <w:jc w:val="right"/>
              <w:rPr>
                <w:rFonts w:eastAsia="Times New Roman"/>
              </w:rPr>
            </w:pPr>
            <w:r>
              <w:rPr>
                <w:rFonts w:eastAsia="Times New Roman"/>
                <w:color w:val="000000"/>
                <w:sz w:val="20"/>
                <w:szCs w:val="20"/>
              </w:rPr>
              <w:t>6,159.8 </w:t>
            </w:r>
          </w:p>
        </w:tc>
        <w:tc>
          <w:tcPr>
            <w:tcW w:w="0" w:type="auto"/>
            <w:shd w:val="clear" w:color="auto" w:fill="CCEEFF"/>
            <w:tcMar>
              <w:top w:w="30" w:type="dxa"/>
              <w:left w:w="0" w:type="dxa"/>
              <w:bottom w:w="30" w:type="dxa"/>
              <w:right w:w="20" w:type="dxa"/>
            </w:tcMar>
            <w:vAlign w:val="bottom"/>
            <w:hideMark/>
          </w:tcPr>
          <w:p w14:paraId="477926E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5E900"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58554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CB778D" w14:textId="77777777" w:rsidR="00000000" w:rsidRDefault="00EE5306">
            <w:pPr>
              <w:spacing w:after="100"/>
              <w:jc w:val="right"/>
              <w:rPr>
                <w:rFonts w:eastAsia="Times New Roman"/>
              </w:rPr>
            </w:pPr>
            <w:r>
              <w:rPr>
                <w:rFonts w:eastAsia="Times New Roman"/>
                <w:color w:val="000000"/>
                <w:sz w:val="20"/>
                <w:szCs w:val="20"/>
              </w:rPr>
              <w:t>(1,759.0)</w:t>
            </w:r>
          </w:p>
        </w:tc>
        <w:tc>
          <w:tcPr>
            <w:tcW w:w="0" w:type="auto"/>
            <w:shd w:val="clear" w:color="auto" w:fill="CCEEFF"/>
            <w:tcMar>
              <w:top w:w="30" w:type="dxa"/>
              <w:left w:w="0" w:type="dxa"/>
              <w:bottom w:w="30" w:type="dxa"/>
              <w:right w:w="20" w:type="dxa"/>
            </w:tcMar>
            <w:vAlign w:val="bottom"/>
            <w:hideMark/>
          </w:tcPr>
          <w:p w14:paraId="25B64D5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2CD6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4F332D" w14:textId="77777777" w:rsidR="00000000" w:rsidRDefault="00EE5306">
            <w:pPr>
              <w:spacing w:after="100"/>
              <w:jc w:val="right"/>
              <w:rPr>
                <w:rFonts w:eastAsia="Times New Roman"/>
              </w:rPr>
            </w:pPr>
            <w:r>
              <w:rPr>
                <w:rFonts w:eastAsia="Times New Roman"/>
                <w:color w:val="000000"/>
                <w:sz w:val="20"/>
                <w:szCs w:val="20"/>
              </w:rPr>
              <w:t>(28.6 </w:t>
            </w:r>
          </w:p>
        </w:tc>
        <w:tc>
          <w:tcPr>
            <w:tcW w:w="0" w:type="auto"/>
            <w:shd w:val="clear" w:color="auto" w:fill="CCEEFF"/>
            <w:tcMar>
              <w:top w:w="30" w:type="dxa"/>
              <w:left w:w="0" w:type="dxa"/>
              <w:bottom w:w="30" w:type="dxa"/>
              <w:right w:w="20" w:type="dxa"/>
            </w:tcMar>
            <w:vAlign w:val="bottom"/>
            <w:hideMark/>
          </w:tcPr>
          <w:p w14:paraId="1A6B0CC2" w14:textId="77777777" w:rsidR="00000000" w:rsidRDefault="00EE5306">
            <w:pPr>
              <w:spacing w:after="100"/>
              <w:rPr>
                <w:rFonts w:eastAsia="Times New Roman"/>
              </w:rPr>
            </w:pPr>
            <w:r>
              <w:rPr>
                <w:rFonts w:eastAsia="Times New Roman"/>
                <w:color w:val="000000"/>
                <w:sz w:val="20"/>
                <w:szCs w:val="20"/>
              </w:rPr>
              <w:t>%)</w:t>
            </w:r>
          </w:p>
        </w:tc>
      </w:tr>
      <w:tr w:rsidR="00000000" w14:paraId="30C5AE67" w14:textId="77777777">
        <w:trPr>
          <w:divId w:val="783693294"/>
        </w:trPr>
        <w:tc>
          <w:tcPr>
            <w:tcW w:w="0" w:type="auto"/>
            <w:gridSpan w:val="3"/>
            <w:shd w:val="clear" w:color="auto" w:fill="FFFFFF"/>
            <w:tcMar>
              <w:top w:w="30" w:type="dxa"/>
              <w:left w:w="20" w:type="dxa"/>
              <w:bottom w:w="30" w:type="dxa"/>
              <w:right w:w="20" w:type="dxa"/>
            </w:tcMar>
            <w:vAlign w:val="bottom"/>
            <w:hideMark/>
          </w:tcPr>
          <w:p w14:paraId="671CB875" w14:textId="77777777" w:rsidR="00000000" w:rsidRDefault="00EE5306">
            <w:pPr>
              <w:spacing w:after="100"/>
              <w:rPr>
                <w:rFonts w:eastAsia="Times New Roman"/>
              </w:rPr>
            </w:pPr>
            <w:r>
              <w:rPr>
                <w:rFonts w:eastAsia="Times New Roman"/>
                <w:color w:val="000000"/>
                <w:sz w:val="20"/>
                <w:szCs w:val="20"/>
              </w:rPr>
              <w:t>Cost of goods sold</w:t>
            </w:r>
          </w:p>
        </w:tc>
        <w:tc>
          <w:tcPr>
            <w:tcW w:w="0" w:type="auto"/>
            <w:gridSpan w:val="3"/>
            <w:shd w:val="clear" w:color="auto" w:fill="FFFFFF"/>
            <w:tcMar>
              <w:top w:w="0" w:type="dxa"/>
              <w:left w:w="20" w:type="dxa"/>
              <w:bottom w:w="0" w:type="dxa"/>
              <w:right w:w="20" w:type="dxa"/>
            </w:tcMar>
            <w:vAlign w:val="center"/>
            <w:hideMark/>
          </w:tcPr>
          <w:p w14:paraId="53DD45A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C6201C" w14:textId="77777777" w:rsidR="00000000" w:rsidRDefault="00EE5306">
            <w:pPr>
              <w:spacing w:after="100"/>
              <w:jc w:val="right"/>
              <w:rPr>
                <w:rFonts w:eastAsia="Times New Roman"/>
              </w:rPr>
            </w:pPr>
            <w:r>
              <w:rPr>
                <w:rFonts w:eastAsia="Times New Roman"/>
                <w:color w:val="000000"/>
                <w:sz w:val="20"/>
                <w:szCs w:val="20"/>
              </w:rPr>
              <w:t>(1,539.4)</w:t>
            </w:r>
          </w:p>
        </w:tc>
        <w:tc>
          <w:tcPr>
            <w:tcW w:w="0" w:type="auto"/>
            <w:shd w:val="clear" w:color="auto" w:fill="FFFFFF"/>
            <w:tcMar>
              <w:top w:w="30" w:type="dxa"/>
              <w:left w:w="0" w:type="dxa"/>
              <w:bottom w:w="30" w:type="dxa"/>
              <w:right w:w="20" w:type="dxa"/>
            </w:tcMar>
            <w:vAlign w:val="bottom"/>
            <w:hideMark/>
          </w:tcPr>
          <w:p w14:paraId="4DCAC97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F6DE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496143" w14:textId="77777777" w:rsidR="00000000" w:rsidRDefault="00EE5306">
            <w:pPr>
              <w:spacing w:after="100"/>
              <w:jc w:val="right"/>
              <w:rPr>
                <w:rFonts w:eastAsia="Times New Roman"/>
              </w:rPr>
            </w:pPr>
            <w:r>
              <w:rPr>
                <w:rFonts w:eastAsia="Times New Roman"/>
                <w:color w:val="000000"/>
                <w:sz w:val="20"/>
                <w:szCs w:val="20"/>
              </w:rPr>
              <w:t>(2,506.5)</w:t>
            </w:r>
          </w:p>
        </w:tc>
        <w:tc>
          <w:tcPr>
            <w:tcW w:w="0" w:type="auto"/>
            <w:shd w:val="clear" w:color="auto" w:fill="FFFFFF"/>
            <w:tcMar>
              <w:top w:w="30" w:type="dxa"/>
              <w:left w:w="0" w:type="dxa"/>
              <w:bottom w:w="30" w:type="dxa"/>
              <w:right w:w="20" w:type="dxa"/>
            </w:tcMar>
            <w:vAlign w:val="bottom"/>
            <w:hideMark/>
          </w:tcPr>
          <w:p w14:paraId="2C250F7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051E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2F1CB" w14:textId="77777777" w:rsidR="00000000" w:rsidRDefault="00EE5306">
            <w:pPr>
              <w:spacing w:after="100"/>
              <w:jc w:val="right"/>
              <w:rPr>
                <w:rFonts w:eastAsia="Times New Roman"/>
              </w:rPr>
            </w:pPr>
            <w:r>
              <w:rPr>
                <w:rFonts w:eastAsia="Times New Roman"/>
                <w:color w:val="000000"/>
                <w:sz w:val="20"/>
                <w:szCs w:val="20"/>
              </w:rPr>
              <w:t>967.1 </w:t>
            </w:r>
          </w:p>
        </w:tc>
        <w:tc>
          <w:tcPr>
            <w:tcW w:w="0" w:type="auto"/>
            <w:shd w:val="clear" w:color="auto" w:fill="FFFFFF"/>
            <w:tcMar>
              <w:top w:w="30" w:type="dxa"/>
              <w:left w:w="0" w:type="dxa"/>
              <w:bottom w:w="30" w:type="dxa"/>
              <w:right w:w="20" w:type="dxa"/>
            </w:tcMar>
            <w:vAlign w:val="bottom"/>
            <w:hideMark/>
          </w:tcPr>
          <w:p w14:paraId="2B62E1A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75C2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17C6AB" w14:textId="77777777" w:rsidR="00000000" w:rsidRDefault="00EE5306">
            <w:pPr>
              <w:spacing w:after="100"/>
              <w:jc w:val="right"/>
              <w:rPr>
                <w:rFonts w:eastAsia="Times New Roman"/>
              </w:rPr>
            </w:pPr>
            <w:r>
              <w:rPr>
                <w:rFonts w:eastAsia="Times New Roman"/>
                <w:color w:val="000000"/>
                <w:sz w:val="20"/>
                <w:szCs w:val="20"/>
              </w:rPr>
              <w:t>(38.6 </w:t>
            </w:r>
          </w:p>
        </w:tc>
        <w:tc>
          <w:tcPr>
            <w:tcW w:w="0" w:type="auto"/>
            <w:shd w:val="clear" w:color="auto" w:fill="FFFFFF"/>
            <w:tcMar>
              <w:top w:w="30" w:type="dxa"/>
              <w:left w:w="0" w:type="dxa"/>
              <w:bottom w:w="30" w:type="dxa"/>
              <w:right w:w="20" w:type="dxa"/>
            </w:tcMar>
            <w:vAlign w:val="bottom"/>
            <w:hideMark/>
          </w:tcPr>
          <w:p w14:paraId="142D814A" w14:textId="77777777" w:rsidR="00000000" w:rsidRDefault="00EE5306">
            <w:pPr>
              <w:spacing w:after="100"/>
              <w:rPr>
                <w:rFonts w:eastAsia="Times New Roman"/>
              </w:rPr>
            </w:pPr>
            <w:r>
              <w:rPr>
                <w:rFonts w:eastAsia="Times New Roman"/>
                <w:color w:val="000000"/>
                <w:sz w:val="20"/>
                <w:szCs w:val="20"/>
              </w:rPr>
              <w:t>%)</w:t>
            </w:r>
          </w:p>
        </w:tc>
      </w:tr>
      <w:tr w:rsidR="00000000" w14:paraId="5144F140" w14:textId="77777777">
        <w:trPr>
          <w:divId w:val="783693294"/>
        </w:trPr>
        <w:tc>
          <w:tcPr>
            <w:tcW w:w="0" w:type="auto"/>
            <w:gridSpan w:val="3"/>
            <w:shd w:val="clear" w:color="auto" w:fill="CCEEFF"/>
            <w:tcMar>
              <w:top w:w="30" w:type="dxa"/>
              <w:left w:w="20" w:type="dxa"/>
              <w:bottom w:w="30" w:type="dxa"/>
              <w:right w:w="20" w:type="dxa"/>
            </w:tcMar>
            <w:vAlign w:val="bottom"/>
            <w:hideMark/>
          </w:tcPr>
          <w:p w14:paraId="2AC079F0" w14:textId="77777777" w:rsidR="00000000" w:rsidRDefault="00EE5306">
            <w:pPr>
              <w:spacing w:after="100"/>
              <w:divId w:val="1371227494"/>
              <w:rPr>
                <w:rFonts w:eastAsia="Times New Roman"/>
              </w:rPr>
            </w:pPr>
            <w:r>
              <w:rPr>
                <w:rFonts w:eastAsia="Times New Roman"/>
                <w:b/>
                <w:bCs/>
                <w:color w:val="000000"/>
                <w:sz w:val="20"/>
                <w:szCs w:val="20"/>
              </w:rPr>
              <w:t>Gross profit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3512C1D5"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A2D375" w14:textId="77777777" w:rsidR="00000000" w:rsidRDefault="00EE5306">
            <w:pPr>
              <w:spacing w:after="100"/>
              <w:jc w:val="right"/>
              <w:rPr>
                <w:rFonts w:eastAsia="Times New Roman"/>
              </w:rPr>
            </w:pPr>
            <w:r>
              <w:rPr>
                <w:rFonts w:eastAsia="Times New Roman"/>
                <w:color w:val="000000"/>
                <w:sz w:val="20"/>
                <w:szCs w:val="20"/>
              </w:rPr>
              <w:t>2,861.4 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97097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40661"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85AEBF" w14:textId="77777777" w:rsidR="00000000" w:rsidRDefault="00EE5306">
            <w:pPr>
              <w:spacing w:after="100"/>
              <w:jc w:val="right"/>
              <w:rPr>
                <w:rFonts w:eastAsia="Times New Roman"/>
              </w:rPr>
            </w:pPr>
            <w:r>
              <w:rPr>
                <w:rFonts w:eastAsia="Times New Roman"/>
                <w:color w:val="000000"/>
                <w:sz w:val="20"/>
                <w:szCs w:val="20"/>
              </w:rPr>
              <w:t>3,653.3 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8DCAB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7066E"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AE8107" w14:textId="77777777" w:rsidR="00000000" w:rsidRDefault="00EE5306">
            <w:pPr>
              <w:spacing w:after="100"/>
              <w:jc w:val="right"/>
              <w:rPr>
                <w:rFonts w:eastAsia="Times New Roman"/>
              </w:rPr>
            </w:pPr>
            <w:r>
              <w:rPr>
                <w:rFonts w:eastAsia="Times New Roman"/>
                <w:color w:val="000000"/>
                <w:sz w:val="20"/>
                <w:szCs w:val="20"/>
              </w:rPr>
              <w:t>(791.9)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98C5E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EE13E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7D5F1B" w14:textId="77777777" w:rsidR="00000000" w:rsidRDefault="00EE5306">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14:paraId="1EB6436A" w14:textId="77777777" w:rsidR="00000000" w:rsidRDefault="00EE5306">
            <w:pPr>
              <w:spacing w:after="100"/>
              <w:rPr>
                <w:rFonts w:eastAsia="Times New Roman"/>
              </w:rPr>
            </w:pPr>
            <w:r>
              <w:rPr>
                <w:rFonts w:eastAsia="Times New Roman"/>
                <w:color w:val="000000"/>
                <w:sz w:val="20"/>
                <w:szCs w:val="20"/>
              </w:rPr>
              <w:t>%)</w:t>
            </w:r>
          </w:p>
        </w:tc>
      </w:tr>
      <w:tr w:rsidR="00000000" w14:paraId="13333AB7" w14:textId="77777777">
        <w:trPr>
          <w:divId w:val="783693294"/>
        </w:trPr>
        <w:tc>
          <w:tcPr>
            <w:tcW w:w="0" w:type="auto"/>
            <w:gridSpan w:val="3"/>
            <w:shd w:val="clear" w:color="auto" w:fill="FFFFFF"/>
            <w:tcMar>
              <w:top w:w="30" w:type="dxa"/>
              <w:left w:w="245" w:type="dxa"/>
              <w:bottom w:w="30" w:type="dxa"/>
              <w:right w:w="20" w:type="dxa"/>
            </w:tcMar>
            <w:vAlign w:val="bottom"/>
            <w:hideMark/>
          </w:tcPr>
          <w:p w14:paraId="5CE7FBD7" w14:textId="77777777" w:rsidR="00000000" w:rsidRDefault="00EE5306">
            <w:pPr>
              <w:spacing w:after="100"/>
              <w:rPr>
                <w:rFonts w:eastAsia="Times New Roman"/>
              </w:rPr>
            </w:pPr>
            <w:r>
              <w:rPr>
                <w:rFonts w:eastAsia="Times New Roman"/>
                <w:i/>
                <w:iCs/>
                <w:color w:val="000000"/>
                <w:sz w:val="20"/>
                <w:szCs w:val="20"/>
              </w:rPr>
              <w:t>Gross profit as % of net revenues</w:t>
            </w:r>
          </w:p>
        </w:tc>
        <w:tc>
          <w:tcPr>
            <w:tcW w:w="0" w:type="auto"/>
            <w:gridSpan w:val="3"/>
            <w:shd w:val="clear" w:color="auto" w:fill="FFFFFF"/>
            <w:tcMar>
              <w:top w:w="0" w:type="dxa"/>
              <w:left w:w="20" w:type="dxa"/>
              <w:bottom w:w="0" w:type="dxa"/>
              <w:right w:w="20" w:type="dxa"/>
            </w:tcMar>
            <w:vAlign w:val="center"/>
            <w:hideMark/>
          </w:tcPr>
          <w:p w14:paraId="4AB54DE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7A9F37" w14:textId="77777777" w:rsidR="00000000" w:rsidRDefault="00EE5306">
            <w:pPr>
              <w:spacing w:after="100"/>
              <w:jc w:val="right"/>
              <w:rPr>
                <w:rFonts w:eastAsia="Times New Roman"/>
              </w:rPr>
            </w:pPr>
            <w:r>
              <w:rPr>
                <w:rFonts w:eastAsia="Times New Roman"/>
                <w:i/>
                <w:iCs/>
                <w:color w:val="000000"/>
                <w:sz w:val="20"/>
                <w:szCs w:val="20"/>
              </w:rPr>
              <w:t>65.0 </w:t>
            </w:r>
          </w:p>
        </w:tc>
        <w:tc>
          <w:tcPr>
            <w:tcW w:w="0" w:type="auto"/>
            <w:shd w:val="clear" w:color="auto" w:fill="FFFFFF"/>
            <w:tcMar>
              <w:top w:w="30" w:type="dxa"/>
              <w:left w:w="0" w:type="dxa"/>
              <w:bottom w:w="30" w:type="dxa"/>
              <w:right w:w="20" w:type="dxa"/>
            </w:tcMar>
            <w:vAlign w:val="bottom"/>
            <w:hideMark/>
          </w:tcPr>
          <w:p w14:paraId="033AC3F8"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07CC36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613D1B" w14:textId="77777777" w:rsidR="00000000" w:rsidRDefault="00EE5306">
            <w:pPr>
              <w:spacing w:after="100"/>
              <w:jc w:val="right"/>
              <w:rPr>
                <w:rFonts w:eastAsia="Times New Roman"/>
              </w:rPr>
            </w:pPr>
            <w:r>
              <w:rPr>
                <w:rFonts w:eastAsia="Times New Roman"/>
                <w:i/>
                <w:iCs/>
                <w:color w:val="000000"/>
                <w:sz w:val="20"/>
                <w:szCs w:val="20"/>
              </w:rPr>
              <w:t>59.3 </w:t>
            </w:r>
          </w:p>
        </w:tc>
        <w:tc>
          <w:tcPr>
            <w:tcW w:w="0" w:type="auto"/>
            <w:shd w:val="clear" w:color="auto" w:fill="FFFFFF"/>
            <w:tcMar>
              <w:top w:w="30" w:type="dxa"/>
              <w:left w:w="0" w:type="dxa"/>
              <w:bottom w:w="30" w:type="dxa"/>
              <w:right w:w="20" w:type="dxa"/>
            </w:tcMar>
            <w:vAlign w:val="bottom"/>
            <w:hideMark/>
          </w:tcPr>
          <w:p w14:paraId="26721ADB"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27D196E"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54A9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4B03C2" w14:textId="77777777" w:rsidR="00000000" w:rsidRDefault="00EE53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5DBFAD9" w14:textId="77777777" w:rsidR="00000000" w:rsidRDefault="00EE5306">
            <w:pPr>
              <w:spacing w:after="100"/>
              <w:jc w:val="right"/>
              <w:rPr>
                <w:rFonts w:eastAsia="Times New Roman"/>
              </w:rPr>
            </w:pPr>
            <w:r>
              <w:rPr>
                <w:rFonts w:eastAsia="Times New Roman"/>
                <w:i/>
                <w:iCs/>
                <w:color w:val="000000"/>
                <w:sz w:val="20"/>
                <w:szCs w:val="20"/>
              </w:rPr>
              <w:t>570 bps</w:t>
            </w:r>
          </w:p>
        </w:tc>
      </w:tr>
      <w:tr w:rsidR="00000000" w14:paraId="5454795A" w14:textId="77777777">
        <w:trPr>
          <w:divId w:val="783693294"/>
        </w:trPr>
        <w:tc>
          <w:tcPr>
            <w:tcW w:w="0" w:type="auto"/>
            <w:gridSpan w:val="3"/>
            <w:shd w:val="clear" w:color="auto" w:fill="CCEEFF"/>
            <w:tcMar>
              <w:top w:w="30" w:type="dxa"/>
              <w:left w:w="20" w:type="dxa"/>
              <w:bottom w:w="30" w:type="dxa"/>
              <w:right w:w="20" w:type="dxa"/>
            </w:tcMar>
            <w:vAlign w:val="bottom"/>
            <w:hideMark/>
          </w:tcPr>
          <w:p w14:paraId="2F6036E7" w14:textId="77777777" w:rsidR="00000000" w:rsidRDefault="00EE5306">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19270D2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2FF406" w14:textId="77777777" w:rsidR="00000000" w:rsidRDefault="00EE5306">
            <w:pPr>
              <w:spacing w:after="100"/>
              <w:jc w:val="right"/>
              <w:rPr>
                <w:rFonts w:eastAsia="Times New Roman"/>
              </w:rPr>
            </w:pPr>
            <w:r>
              <w:rPr>
                <w:rFonts w:eastAsia="Times New Roman"/>
                <w:color w:val="000000"/>
                <w:sz w:val="20"/>
                <w:szCs w:val="20"/>
              </w:rPr>
              <w:t>(2,638.5)</w:t>
            </w:r>
          </w:p>
        </w:tc>
        <w:tc>
          <w:tcPr>
            <w:tcW w:w="0" w:type="auto"/>
            <w:shd w:val="clear" w:color="auto" w:fill="CCEEFF"/>
            <w:tcMar>
              <w:top w:w="30" w:type="dxa"/>
              <w:left w:w="0" w:type="dxa"/>
              <w:bottom w:w="30" w:type="dxa"/>
              <w:right w:w="20" w:type="dxa"/>
            </w:tcMar>
            <w:vAlign w:val="bottom"/>
            <w:hideMark/>
          </w:tcPr>
          <w:p w14:paraId="6CB14AC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E311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FD60B9" w14:textId="77777777" w:rsidR="00000000" w:rsidRDefault="00EE5306">
            <w:pPr>
              <w:spacing w:after="100"/>
              <w:jc w:val="right"/>
              <w:rPr>
                <w:rFonts w:eastAsia="Times New Roman"/>
              </w:rPr>
            </w:pPr>
            <w:r>
              <w:rPr>
                <w:rFonts w:eastAsia="Times New Roman"/>
                <w:color w:val="000000"/>
                <w:sz w:val="20"/>
                <w:szCs w:val="20"/>
              </w:rPr>
              <w:t>(3,237.5)</w:t>
            </w:r>
          </w:p>
        </w:tc>
        <w:tc>
          <w:tcPr>
            <w:tcW w:w="0" w:type="auto"/>
            <w:shd w:val="clear" w:color="auto" w:fill="CCEEFF"/>
            <w:tcMar>
              <w:top w:w="30" w:type="dxa"/>
              <w:left w:w="0" w:type="dxa"/>
              <w:bottom w:w="30" w:type="dxa"/>
              <w:right w:w="20" w:type="dxa"/>
            </w:tcMar>
            <w:vAlign w:val="bottom"/>
            <w:hideMark/>
          </w:tcPr>
          <w:p w14:paraId="6074633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FE05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1D765E" w14:textId="77777777" w:rsidR="00000000" w:rsidRDefault="00EE5306">
            <w:pPr>
              <w:spacing w:after="100"/>
              <w:jc w:val="right"/>
              <w:rPr>
                <w:rFonts w:eastAsia="Times New Roman"/>
              </w:rPr>
            </w:pPr>
            <w:r>
              <w:rPr>
                <w:rFonts w:eastAsia="Times New Roman"/>
                <w:color w:val="000000"/>
                <w:sz w:val="20"/>
                <w:szCs w:val="20"/>
              </w:rPr>
              <w:t>599.0 </w:t>
            </w:r>
          </w:p>
        </w:tc>
        <w:tc>
          <w:tcPr>
            <w:tcW w:w="0" w:type="auto"/>
            <w:shd w:val="clear" w:color="auto" w:fill="CCEEFF"/>
            <w:tcMar>
              <w:top w:w="30" w:type="dxa"/>
              <w:left w:w="0" w:type="dxa"/>
              <w:bottom w:w="30" w:type="dxa"/>
              <w:right w:w="20" w:type="dxa"/>
            </w:tcMar>
            <w:vAlign w:val="bottom"/>
            <w:hideMark/>
          </w:tcPr>
          <w:p w14:paraId="5D52C03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A44C6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12F5A4" w14:textId="77777777" w:rsidR="00000000" w:rsidRDefault="00EE5306">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14:paraId="1E66443C" w14:textId="77777777" w:rsidR="00000000" w:rsidRDefault="00EE5306">
            <w:pPr>
              <w:spacing w:after="100"/>
              <w:rPr>
                <w:rFonts w:eastAsia="Times New Roman"/>
              </w:rPr>
            </w:pPr>
            <w:r>
              <w:rPr>
                <w:rFonts w:eastAsia="Times New Roman"/>
                <w:color w:val="000000"/>
                <w:sz w:val="20"/>
                <w:szCs w:val="20"/>
              </w:rPr>
              <w:t>%)</w:t>
            </w:r>
          </w:p>
        </w:tc>
      </w:tr>
      <w:tr w:rsidR="00000000" w14:paraId="6D4503FA" w14:textId="77777777">
        <w:trPr>
          <w:divId w:val="783693294"/>
        </w:trPr>
        <w:tc>
          <w:tcPr>
            <w:tcW w:w="0" w:type="auto"/>
            <w:gridSpan w:val="3"/>
            <w:shd w:val="clear" w:color="auto" w:fill="FFFFFF"/>
            <w:tcMar>
              <w:top w:w="30" w:type="dxa"/>
              <w:left w:w="245" w:type="dxa"/>
              <w:bottom w:w="30" w:type="dxa"/>
              <w:right w:w="20" w:type="dxa"/>
            </w:tcMar>
            <w:vAlign w:val="bottom"/>
            <w:hideMark/>
          </w:tcPr>
          <w:p w14:paraId="47C05D71" w14:textId="77777777" w:rsidR="00000000" w:rsidRDefault="00EE5306">
            <w:pPr>
              <w:spacing w:after="100"/>
              <w:rPr>
                <w:rFonts w:eastAsia="Times New Roman"/>
              </w:rPr>
            </w:pPr>
            <w:r>
              <w:rPr>
                <w:rFonts w:eastAsia="Times New Roman"/>
                <w:i/>
                <w:iCs/>
                <w:color w:val="000000"/>
                <w:sz w:val="20"/>
                <w:szCs w:val="20"/>
              </w:rPr>
              <w:t>SG&amp;A expenses as % of net revenues</w:t>
            </w:r>
          </w:p>
        </w:tc>
        <w:tc>
          <w:tcPr>
            <w:tcW w:w="0" w:type="auto"/>
            <w:gridSpan w:val="3"/>
            <w:shd w:val="clear" w:color="auto" w:fill="FFFFFF"/>
            <w:tcMar>
              <w:top w:w="0" w:type="dxa"/>
              <w:left w:w="20" w:type="dxa"/>
              <w:bottom w:w="0" w:type="dxa"/>
              <w:right w:w="20" w:type="dxa"/>
            </w:tcMar>
            <w:vAlign w:val="center"/>
            <w:hideMark/>
          </w:tcPr>
          <w:p w14:paraId="39CD998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87DC50" w14:textId="77777777" w:rsidR="00000000" w:rsidRDefault="00EE5306">
            <w:pPr>
              <w:spacing w:after="100"/>
              <w:jc w:val="right"/>
              <w:rPr>
                <w:rFonts w:eastAsia="Times New Roman"/>
              </w:rPr>
            </w:pPr>
            <w:r>
              <w:rPr>
                <w:rFonts w:eastAsia="Times New Roman"/>
                <w:i/>
                <w:iCs/>
                <w:color w:val="000000"/>
                <w:sz w:val="20"/>
                <w:szCs w:val="20"/>
              </w:rPr>
              <w:t>60.0 </w:t>
            </w:r>
          </w:p>
        </w:tc>
        <w:tc>
          <w:tcPr>
            <w:tcW w:w="0" w:type="auto"/>
            <w:shd w:val="clear" w:color="auto" w:fill="FFFFFF"/>
            <w:tcMar>
              <w:top w:w="30" w:type="dxa"/>
              <w:left w:w="0" w:type="dxa"/>
              <w:bottom w:w="30" w:type="dxa"/>
              <w:right w:w="20" w:type="dxa"/>
            </w:tcMar>
            <w:vAlign w:val="bottom"/>
            <w:hideMark/>
          </w:tcPr>
          <w:p w14:paraId="3A1B9DBD"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07F29B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70F57A" w14:textId="77777777" w:rsidR="00000000" w:rsidRDefault="00EE5306">
            <w:pPr>
              <w:spacing w:after="100"/>
              <w:jc w:val="right"/>
              <w:rPr>
                <w:rFonts w:eastAsia="Times New Roman"/>
              </w:rPr>
            </w:pPr>
            <w:r>
              <w:rPr>
                <w:rFonts w:eastAsia="Times New Roman"/>
                <w:i/>
                <w:iCs/>
                <w:color w:val="000000"/>
                <w:sz w:val="20"/>
                <w:szCs w:val="20"/>
              </w:rPr>
              <w:t>52.6 </w:t>
            </w:r>
          </w:p>
        </w:tc>
        <w:tc>
          <w:tcPr>
            <w:tcW w:w="0" w:type="auto"/>
            <w:shd w:val="clear" w:color="auto" w:fill="FFFFFF"/>
            <w:tcMar>
              <w:top w:w="30" w:type="dxa"/>
              <w:left w:w="0" w:type="dxa"/>
              <w:bottom w:w="30" w:type="dxa"/>
              <w:right w:w="20" w:type="dxa"/>
            </w:tcMar>
            <w:vAlign w:val="bottom"/>
            <w:hideMark/>
          </w:tcPr>
          <w:p w14:paraId="3D861D8A"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281744"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1674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B37432" w14:textId="77777777" w:rsidR="00000000" w:rsidRDefault="00EE53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37D697F" w14:textId="77777777" w:rsidR="00000000" w:rsidRDefault="00EE5306">
            <w:pPr>
              <w:spacing w:after="100"/>
              <w:jc w:val="right"/>
              <w:rPr>
                <w:rFonts w:eastAsia="Times New Roman"/>
              </w:rPr>
            </w:pPr>
            <w:r>
              <w:rPr>
                <w:rFonts w:eastAsia="Times New Roman"/>
                <w:i/>
                <w:iCs/>
                <w:color w:val="000000"/>
                <w:sz w:val="20"/>
                <w:szCs w:val="20"/>
              </w:rPr>
              <w:t>740 bps</w:t>
            </w:r>
          </w:p>
        </w:tc>
      </w:tr>
      <w:tr w:rsidR="00000000" w14:paraId="747E0887" w14:textId="77777777">
        <w:trPr>
          <w:divId w:val="783693294"/>
        </w:trPr>
        <w:tc>
          <w:tcPr>
            <w:tcW w:w="0" w:type="auto"/>
            <w:gridSpan w:val="3"/>
            <w:shd w:val="clear" w:color="auto" w:fill="CCEEFF"/>
            <w:tcMar>
              <w:top w:w="30" w:type="dxa"/>
              <w:left w:w="20" w:type="dxa"/>
              <w:bottom w:w="30" w:type="dxa"/>
              <w:right w:w="20" w:type="dxa"/>
            </w:tcMar>
            <w:vAlign w:val="bottom"/>
            <w:hideMark/>
          </w:tcPr>
          <w:p w14:paraId="0BB67BAB" w14:textId="77777777" w:rsidR="00000000" w:rsidRDefault="00EE5306">
            <w:pPr>
              <w:spacing w:after="100"/>
              <w:rPr>
                <w:rFonts w:eastAsia="Times New Roman"/>
              </w:rPr>
            </w:pPr>
            <w:r>
              <w:rPr>
                <w:rFonts w:eastAsia="Times New Roman"/>
                <w:color w:val="000000"/>
                <w:sz w:val="20"/>
                <w:szCs w:val="20"/>
              </w:rPr>
              <w:t>Impairment of assets</w:t>
            </w:r>
          </w:p>
        </w:tc>
        <w:tc>
          <w:tcPr>
            <w:tcW w:w="0" w:type="auto"/>
            <w:gridSpan w:val="3"/>
            <w:shd w:val="clear" w:color="auto" w:fill="CCEEFF"/>
            <w:tcMar>
              <w:top w:w="0" w:type="dxa"/>
              <w:left w:w="20" w:type="dxa"/>
              <w:bottom w:w="0" w:type="dxa"/>
              <w:right w:w="20" w:type="dxa"/>
            </w:tcMar>
            <w:vAlign w:val="center"/>
            <w:hideMark/>
          </w:tcPr>
          <w:p w14:paraId="72B30DA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20E61D" w14:textId="77777777" w:rsidR="00000000" w:rsidRDefault="00EE5306">
            <w:pPr>
              <w:spacing w:after="100"/>
              <w:jc w:val="right"/>
              <w:rPr>
                <w:rFonts w:eastAsia="Times New Roman"/>
              </w:rPr>
            </w:pPr>
            <w:r>
              <w:rPr>
                <w:rFonts w:eastAsia="Times New Roman"/>
                <w:color w:val="000000"/>
                <w:sz w:val="20"/>
                <w:szCs w:val="20"/>
              </w:rPr>
              <w:t>(96.0)</w:t>
            </w:r>
          </w:p>
        </w:tc>
        <w:tc>
          <w:tcPr>
            <w:tcW w:w="0" w:type="auto"/>
            <w:shd w:val="clear" w:color="auto" w:fill="CCEEFF"/>
            <w:tcMar>
              <w:top w:w="30" w:type="dxa"/>
              <w:left w:w="0" w:type="dxa"/>
              <w:bottom w:w="30" w:type="dxa"/>
              <w:right w:w="20" w:type="dxa"/>
            </w:tcMar>
            <w:vAlign w:val="bottom"/>
            <w:hideMark/>
          </w:tcPr>
          <w:p w14:paraId="3B28C3F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2EE5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AE52FF" w14:textId="77777777" w:rsidR="00000000" w:rsidRDefault="00EE5306">
            <w:pPr>
              <w:spacing w:after="100"/>
              <w:jc w:val="right"/>
              <w:rPr>
                <w:rFonts w:eastAsia="Times New Roman"/>
              </w:rPr>
            </w:pPr>
            <w:r>
              <w:rPr>
                <w:rFonts w:eastAsia="Times New Roman"/>
                <w:color w:val="000000"/>
                <w:sz w:val="20"/>
                <w:szCs w:val="20"/>
              </w:rPr>
              <w:t>(31.6)</w:t>
            </w:r>
          </w:p>
        </w:tc>
        <w:tc>
          <w:tcPr>
            <w:tcW w:w="0" w:type="auto"/>
            <w:shd w:val="clear" w:color="auto" w:fill="CCEEFF"/>
            <w:tcMar>
              <w:top w:w="30" w:type="dxa"/>
              <w:left w:w="0" w:type="dxa"/>
              <w:bottom w:w="30" w:type="dxa"/>
              <w:right w:w="20" w:type="dxa"/>
            </w:tcMar>
            <w:vAlign w:val="bottom"/>
            <w:hideMark/>
          </w:tcPr>
          <w:p w14:paraId="01B3073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85EC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C91964" w14:textId="77777777" w:rsidR="00000000" w:rsidRDefault="00EE5306">
            <w:pPr>
              <w:spacing w:after="100"/>
              <w:jc w:val="right"/>
              <w:rPr>
                <w:rFonts w:eastAsia="Times New Roman"/>
              </w:rPr>
            </w:pPr>
            <w:r>
              <w:rPr>
                <w:rFonts w:eastAsia="Times New Roman"/>
                <w:color w:val="000000"/>
                <w:sz w:val="20"/>
                <w:szCs w:val="20"/>
              </w:rPr>
              <w:t>(64.4)</w:t>
            </w:r>
          </w:p>
        </w:tc>
        <w:tc>
          <w:tcPr>
            <w:tcW w:w="0" w:type="auto"/>
            <w:shd w:val="clear" w:color="auto" w:fill="CCEEFF"/>
            <w:tcMar>
              <w:top w:w="30" w:type="dxa"/>
              <w:left w:w="0" w:type="dxa"/>
              <w:bottom w:w="30" w:type="dxa"/>
              <w:right w:w="20" w:type="dxa"/>
            </w:tcMar>
            <w:vAlign w:val="bottom"/>
            <w:hideMark/>
          </w:tcPr>
          <w:p w14:paraId="14DFF00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879E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38D387" w14:textId="77777777" w:rsidR="00000000" w:rsidRDefault="00EE5306">
            <w:pPr>
              <w:spacing w:after="100"/>
              <w:jc w:val="right"/>
              <w:rPr>
                <w:rFonts w:eastAsia="Times New Roman"/>
              </w:rPr>
            </w:pPr>
            <w:r>
              <w:rPr>
                <w:rFonts w:eastAsia="Times New Roman"/>
                <w:color w:val="000000"/>
                <w:sz w:val="20"/>
                <w:szCs w:val="20"/>
              </w:rPr>
              <w:t>203.5 </w:t>
            </w:r>
          </w:p>
        </w:tc>
        <w:tc>
          <w:tcPr>
            <w:tcW w:w="0" w:type="auto"/>
            <w:shd w:val="clear" w:color="auto" w:fill="CCEEFF"/>
            <w:tcMar>
              <w:top w:w="30" w:type="dxa"/>
              <w:left w:w="0" w:type="dxa"/>
              <w:bottom w:w="30" w:type="dxa"/>
              <w:right w:w="20" w:type="dxa"/>
            </w:tcMar>
            <w:vAlign w:val="bottom"/>
            <w:hideMark/>
          </w:tcPr>
          <w:p w14:paraId="5D17C8C5" w14:textId="77777777" w:rsidR="00000000" w:rsidRDefault="00EE5306">
            <w:pPr>
              <w:spacing w:after="100"/>
              <w:rPr>
                <w:rFonts w:eastAsia="Times New Roman"/>
              </w:rPr>
            </w:pPr>
            <w:r>
              <w:rPr>
                <w:rFonts w:eastAsia="Times New Roman"/>
                <w:color w:val="000000"/>
                <w:sz w:val="20"/>
                <w:szCs w:val="20"/>
              </w:rPr>
              <w:t>%</w:t>
            </w:r>
          </w:p>
        </w:tc>
      </w:tr>
      <w:tr w:rsidR="00000000" w14:paraId="33545BE5" w14:textId="77777777">
        <w:trPr>
          <w:divId w:val="783693294"/>
        </w:trPr>
        <w:tc>
          <w:tcPr>
            <w:tcW w:w="0" w:type="auto"/>
            <w:gridSpan w:val="3"/>
            <w:shd w:val="clear" w:color="auto" w:fill="FFFFFF"/>
            <w:tcMar>
              <w:top w:w="30" w:type="dxa"/>
              <w:left w:w="20" w:type="dxa"/>
              <w:bottom w:w="30" w:type="dxa"/>
              <w:right w:w="20" w:type="dxa"/>
            </w:tcMar>
            <w:vAlign w:val="bottom"/>
            <w:hideMark/>
          </w:tcPr>
          <w:p w14:paraId="221A1084" w14:textId="77777777" w:rsidR="00000000" w:rsidRDefault="00EE5306">
            <w:pPr>
              <w:spacing w:after="100"/>
              <w:rPr>
                <w:rFonts w:eastAsia="Times New Roman"/>
              </w:rPr>
            </w:pPr>
            <w:r>
              <w:rPr>
                <w:rFonts w:eastAsia="Times New Roman"/>
                <w:color w:val="000000"/>
                <w:sz w:val="20"/>
                <w:szCs w:val="20"/>
              </w:rPr>
              <w:t>Restructuring and other charges</w:t>
            </w:r>
          </w:p>
        </w:tc>
        <w:tc>
          <w:tcPr>
            <w:tcW w:w="0" w:type="auto"/>
            <w:gridSpan w:val="3"/>
            <w:shd w:val="clear" w:color="auto" w:fill="FFFFFF"/>
            <w:tcMar>
              <w:top w:w="0" w:type="dxa"/>
              <w:left w:w="20" w:type="dxa"/>
              <w:bottom w:w="0" w:type="dxa"/>
              <w:right w:w="20" w:type="dxa"/>
            </w:tcMar>
            <w:vAlign w:val="center"/>
            <w:hideMark/>
          </w:tcPr>
          <w:p w14:paraId="5CF859F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A0338B" w14:textId="77777777" w:rsidR="00000000" w:rsidRDefault="00EE5306">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14:paraId="22E63B0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36C1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65B16" w14:textId="77777777" w:rsidR="00000000" w:rsidRDefault="00EE5306">
            <w:pPr>
              <w:spacing w:after="100"/>
              <w:jc w:val="right"/>
              <w:rPr>
                <w:rFonts w:eastAsia="Times New Roman"/>
              </w:rPr>
            </w:pPr>
            <w:r>
              <w:rPr>
                <w:rFonts w:eastAsia="Times New Roman"/>
                <w:color w:val="000000"/>
                <w:sz w:val="20"/>
                <w:szCs w:val="20"/>
              </w:rPr>
              <w:t>(67.2)</w:t>
            </w:r>
          </w:p>
        </w:tc>
        <w:tc>
          <w:tcPr>
            <w:tcW w:w="0" w:type="auto"/>
            <w:shd w:val="clear" w:color="auto" w:fill="FFFFFF"/>
            <w:tcMar>
              <w:top w:w="30" w:type="dxa"/>
              <w:left w:w="0" w:type="dxa"/>
              <w:bottom w:w="30" w:type="dxa"/>
              <w:right w:w="20" w:type="dxa"/>
            </w:tcMar>
            <w:vAlign w:val="bottom"/>
            <w:hideMark/>
          </w:tcPr>
          <w:p w14:paraId="56E145C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E43D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BCC467" w14:textId="77777777" w:rsidR="00000000" w:rsidRDefault="00EE5306">
            <w:pPr>
              <w:spacing w:after="100"/>
              <w:jc w:val="right"/>
              <w:rPr>
                <w:rFonts w:eastAsia="Times New Roman"/>
              </w:rPr>
            </w:pPr>
            <w:r>
              <w:rPr>
                <w:rFonts w:eastAsia="Times New Roman"/>
                <w:color w:val="000000"/>
                <w:sz w:val="20"/>
                <w:szCs w:val="20"/>
              </w:rPr>
              <w:t>(103.3)</w:t>
            </w:r>
          </w:p>
        </w:tc>
        <w:tc>
          <w:tcPr>
            <w:tcW w:w="0" w:type="auto"/>
            <w:shd w:val="clear" w:color="auto" w:fill="FFFFFF"/>
            <w:tcMar>
              <w:top w:w="30" w:type="dxa"/>
              <w:left w:w="0" w:type="dxa"/>
              <w:bottom w:w="30" w:type="dxa"/>
              <w:right w:w="20" w:type="dxa"/>
            </w:tcMar>
            <w:vAlign w:val="bottom"/>
            <w:hideMark/>
          </w:tcPr>
          <w:p w14:paraId="6AC7799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044F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B35B21" w14:textId="77777777" w:rsidR="00000000" w:rsidRDefault="00EE5306">
            <w:pPr>
              <w:spacing w:after="100"/>
              <w:jc w:val="right"/>
              <w:rPr>
                <w:rFonts w:eastAsia="Times New Roman"/>
              </w:rPr>
            </w:pPr>
            <w:r>
              <w:rPr>
                <w:rFonts w:eastAsia="Times New Roman"/>
                <w:color w:val="000000"/>
                <w:sz w:val="20"/>
                <w:szCs w:val="20"/>
              </w:rPr>
              <w:t>153.9 </w:t>
            </w:r>
          </w:p>
        </w:tc>
        <w:tc>
          <w:tcPr>
            <w:tcW w:w="0" w:type="auto"/>
            <w:shd w:val="clear" w:color="auto" w:fill="FFFFFF"/>
            <w:tcMar>
              <w:top w:w="30" w:type="dxa"/>
              <w:left w:w="0" w:type="dxa"/>
              <w:bottom w:w="30" w:type="dxa"/>
              <w:right w:w="20" w:type="dxa"/>
            </w:tcMar>
            <w:vAlign w:val="bottom"/>
            <w:hideMark/>
          </w:tcPr>
          <w:p w14:paraId="79BBC3D3" w14:textId="77777777" w:rsidR="00000000" w:rsidRDefault="00EE5306">
            <w:pPr>
              <w:spacing w:after="100"/>
              <w:rPr>
                <w:rFonts w:eastAsia="Times New Roman"/>
              </w:rPr>
            </w:pPr>
            <w:r>
              <w:rPr>
                <w:rFonts w:eastAsia="Times New Roman"/>
                <w:color w:val="000000"/>
                <w:sz w:val="20"/>
                <w:szCs w:val="20"/>
              </w:rPr>
              <w:t>%</w:t>
            </w:r>
          </w:p>
        </w:tc>
      </w:tr>
      <w:tr w:rsidR="00000000" w14:paraId="07F053BE" w14:textId="77777777">
        <w:trPr>
          <w:divId w:val="783693294"/>
        </w:trPr>
        <w:tc>
          <w:tcPr>
            <w:tcW w:w="0" w:type="auto"/>
            <w:gridSpan w:val="3"/>
            <w:shd w:val="clear" w:color="auto" w:fill="CCEEFF"/>
            <w:tcMar>
              <w:top w:w="30" w:type="dxa"/>
              <w:left w:w="20" w:type="dxa"/>
              <w:bottom w:w="30" w:type="dxa"/>
              <w:right w:w="20" w:type="dxa"/>
            </w:tcMar>
            <w:vAlign w:val="bottom"/>
            <w:hideMark/>
          </w:tcPr>
          <w:p w14:paraId="46562127" w14:textId="77777777" w:rsidR="00000000" w:rsidRDefault="00EE5306">
            <w:pPr>
              <w:spacing w:after="100"/>
              <w:divId w:val="1964844345"/>
              <w:rPr>
                <w:rFonts w:eastAsia="Times New Roman"/>
              </w:rPr>
            </w:pPr>
            <w:r>
              <w:rPr>
                <w:rFonts w:eastAsia="Times New Roman"/>
                <w:b/>
                <w:bCs/>
                <w:color w:val="000000"/>
                <w:sz w:val="20"/>
                <w:szCs w:val="20"/>
              </w:rPr>
              <w:t>Operating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7142C183"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06B175" w14:textId="77777777" w:rsidR="00000000" w:rsidRDefault="00EE5306">
            <w:pPr>
              <w:spacing w:after="100"/>
              <w:jc w:val="right"/>
              <w:rPr>
                <w:rFonts w:eastAsia="Times New Roman"/>
              </w:rPr>
            </w:pPr>
            <w:r>
              <w:rPr>
                <w:rFonts w:eastAsia="Times New Roman"/>
                <w:color w:val="000000"/>
                <w:sz w:val="20"/>
                <w:szCs w:val="20"/>
              </w:rPr>
              <w:t>(43.6)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D29A8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E7898"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E5335D" w14:textId="77777777" w:rsidR="00000000" w:rsidRDefault="00EE5306">
            <w:pPr>
              <w:spacing w:after="100"/>
              <w:jc w:val="right"/>
              <w:rPr>
                <w:rFonts w:eastAsia="Times New Roman"/>
              </w:rPr>
            </w:pPr>
            <w:r>
              <w:rPr>
                <w:rFonts w:eastAsia="Times New Roman"/>
                <w:color w:val="000000"/>
                <w:sz w:val="20"/>
                <w:szCs w:val="20"/>
              </w:rPr>
              <w:t>317.0 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F05B7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13913"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274FC3" w14:textId="77777777" w:rsidR="00000000" w:rsidRDefault="00EE5306">
            <w:pPr>
              <w:spacing w:after="100"/>
              <w:jc w:val="right"/>
              <w:rPr>
                <w:rFonts w:eastAsia="Times New Roman"/>
              </w:rPr>
            </w:pPr>
            <w:r>
              <w:rPr>
                <w:rFonts w:eastAsia="Times New Roman"/>
                <w:color w:val="000000"/>
                <w:sz w:val="20"/>
                <w:szCs w:val="20"/>
              </w:rPr>
              <w:t>(360.6)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2BDF1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19EA0A"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534716E" w14:textId="77777777" w:rsidR="00000000" w:rsidRDefault="00EE5306">
            <w:pPr>
              <w:spacing w:after="100"/>
              <w:jc w:val="right"/>
              <w:rPr>
                <w:rFonts w:eastAsia="Times New Roman"/>
              </w:rPr>
            </w:pPr>
            <w:r>
              <w:rPr>
                <w:rFonts w:eastAsia="Times New Roman"/>
                <w:color w:val="000000"/>
                <w:sz w:val="20"/>
                <w:szCs w:val="20"/>
              </w:rPr>
              <w:t>NM</w:t>
            </w:r>
          </w:p>
        </w:tc>
      </w:tr>
      <w:tr w:rsidR="00000000" w14:paraId="7E0DA04E" w14:textId="77777777">
        <w:trPr>
          <w:divId w:val="783693294"/>
        </w:trPr>
        <w:tc>
          <w:tcPr>
            <w:tcW w:w="0" w:type="auto"/>
            <w:gridSpan w:val="3"/>
            <w:shd w:val="clear" w:color="auto" w:fill="FFFFFF"/>
            <w:tcMar>
              <w:top w:w="30" w:type="dxa"/>
              <w:left w:w="245" w:type="dxa"/>
              <w:bottom w:w="30" w:type="dxa"/>
              <w:right w:w="20" w:type="dxa"/>
            </w:tcMar>
            <w:vAlign w:val="bottom"/>
            <w:hideMark/>
          </w:tcPr>
          <w:p w14:paraId="29C95E24" w14:textId="77777777" w:rsidR="00000000" w:rsidRDefault="00EE5306">
            <w:pPr>
              <w:spacing w:after="100"/>
              <w:rPr>
                <w:rFonts w:eastAsia="Times New Roman"/>
              </w:rPr>
            </w:pPr>
            <w:r>
              <w:rPr>
                <w:rFonts w:eastAsia="Times New Roman"/>
                <w:i/>
                <w:iCs/>
                <w:color w:val="000000"/>
                <w:sz w:val="20"/>
                <w:szCs w:val="20"/>
              </w:rPr>
              <w:t>Operating income (loss) as % of net revenues</w:t>
            </w:r>
          </w:p>
        </w:tc>
        <w:tc>
          <w:tcPr>
            <w:tcW w:w="0" w:type="auto"/>
            <w:gridSpan w:val="3"/>
            <w:shd w:val="clear" w:color="auto" w:fill="FFFFFF"/>
            <w:tcMar>
              <w:top w:w="0" w:type="dxa"/>
              <w:left w:w="20" w:type="dxa"/>
              <w:bottom w:w="0" w:type="dxa"/>
              <w:right w:w="20" w:type="dxa"/>
            </w:tcMar>
            <w:vAlign w:val="center"/>
            <w:hideMark/>
          </w:tcPr>
          <w:p w14:paraId="2D2D54C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1B58D9" w14:textId="77777777" w:rsidR="00000000" w:rsidRDefault="00EE5306">
            <w:pPr>
              <w:spacing w:after="100"/>
              <w:jc w:val="right"/>
              <w:rPr>
                <w:rFonts w:eastAsia="Times New Roman"/>
              </w:rPr>
            </w:pPr>
            <w:r>
              <w:rPr>
                <w:rFonts w:eastAsia="Times New Roman"/>
                <w:i/>
                <w:iCs/>
                <w:color w:val="000000"/>
                <w:sz w:val="20"/>
                <w:szCs w:val="20"/>
              </w:rPr>
              <w:t>(1.0 </w:t>
            </w:r>
          </w:p>
        </w:tc>
        <w:tc>
          <w:tcPr>
            <w:tcW w:w="0" w:type="auto"/>
            <w:shd w:val="clear" w:color="auto" w:fill="FFFFFF"/>
            <w:tcMar>
              <w:top w:w="30" w:type="dxa"/>
              <w:left w:w="0" w:type="dxa"/>
              <w:bottom w:w="30" w:type="dxa"/>
              <w:right w:w="20" w:type="dxa"/>
            </w:tcMar>
            <w:vAlign w:val="bottom"/>
            <w:hideMark/>
          </w:tcPr>
          <w:p w14:paraId="172C59E5"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B81709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C95F38" w14:textId="77777777" w:rsidR="00000000" w:rsidRDefault="00EE5306">
            <w:pPr>
              <w:spacing w:after="100"/>
              <w:jc w:val="right"/>
              <w:rPr>
                <w:rFonts w:eastAsia="Times New Roman"/>
              </w:rPr>
            </w:pPr>
            <w:r>
              <w:rPr>
                <w:rFonts w:eastAsia="Times New Roman"/>
                <w:i/>
                <w:iCs/>
                <w:color w:val="000000"/>
                <w:sz w:val="20"/>
                <w:szCs w:val="20"/>
              </w:rPr>
              <w:t>5.1 </w:t>
            </w:r>
          </w:p>
        </w:tc>
        <w:tc>
          <w:tcPr>
            <w:tcW w:w="0" w:type="auto"/>
            <w:shd w:val="clear" w:color="auto" w:fill="FFFFFF"/>
            <w:tcMar>
              <w:top w:w="30" w:type="dxa"/>
              <w:left w:w="0" w:type="dxa"/>
              <w:bottom w:w="30" w:type="dxa"/>
              <w:right w:w="20" w:type="dxa"/>
            </w:tcMar>
            <w:vAlign w:val="bottom"/>
            <w:hideMark/>
          </w:tcPr>
          <w:p w14:paraId="7B56C5AD"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AEA71FC"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3BF5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71456D" w14:textId="77777777" w:rsidR="00000000" w:rsidRDefault="00EE53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9813CFD" w14:textId="77777777" w:rsidR="00000000" w:rsidRDefault="00EE5306">
            <w:pPr>
              <w:spacing w:after="100"/>
              <w:jc w:val="right"/>
              <w:rPr>
                <w:rFonts w:eastAsia="Times New Roman"/>
              </w:rPr>
            </w:pPr>
            <w:r>
              <w:rPr>
                <w:rFonts w:eastAsia="Times New Roman"/>
                <w:i/>
                <w:iCs/>
                <w:color w:val="000000"/>
                <w:sz w:val="20"/>
                <w:szCs w:val="20"/>
              </w:rPr>
              <w:t>(610 bps)</w:t>
            </w:r>
          </w:p>
        </w:tc>
      </w:tr>
      <w:tr w:rsidR="00000000" w14:paraId="5008C41E" w14:textId="77777777">
        <w:trPr>
          <w:divId w:val="783693294"/>
        </w:trPr>
        <w:tc>
          <w:tcPr>
            <w:tcW w:w="0" w:type="auto"/>
            <w:gridSpan w:val="3"/>
            <w:shd w:val="clear" w:color="auto" w:fill="CCEEFF"/>
            <w:tcMar>
              <w:top w:w="30" w:type="dxa"/>
              <w:left w:w="20" w:type="dxa"/>
              <w:bottom w:w="30" w:type="dxa"/>
              <w:right w:w="20" w:type="dxa"/>
            </w:tcMar>
            <w:vAlign w:val="bottom"/>
            <w:hideMark/>
          </w:tcPr>
          <w:p w14:paraId="6BCBCDD7" w14:textId="77777777" w:rsidR="00000000" w:rsidRDefault="00EE5306">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14:paraId="04A4948A"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E3271C" w14:textId="77777777" w:rsidR="00000000" w:rsidRDefault="00EE5306">
            <w:pPr>
              <w:spacing w:after="100"/>
              <w:jc w:val="right"/>
              <w:rPr>
                <w:rFonts w:eastAsia="Times New Roman"/>
              </w:rPr>
            </w:pPr>
            <w:r>
              <w:rPr>
                <w:rFonts w:eastAsia="Times New Roman"/>
                <w:color w:val="000000"/>
                <w:sz w:val="20"/>
                <w:szCs w:val="20"/>
              </w:rPr>
              <w:t>(48.5)</w:t>
            </w:r>
          </w:p>
        </w:tc>
        <w:tc>
          <w:tcPr>
            <w:tcW w:w="0" w:type="auto"/>
            <w:shd w:val="clear" w:color="auto" w:fill="CCEEFF"/>
            <w:tcMar>
              <w:top w:w="30" w:type="dxa"/>
              <w:left w:w="0" w:type="dxa"/>
              <w:bottom w:w="30" w:type="dxa"/>
              <w:right w:w="20" w:type="dxa"/>
            </w:tcMar>
            <w:vAlign w:val="bottom"/>
            <w:hideMark/>
          </w:tcPr>
          <w:p w14:paraId="7D6020C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5862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891BC6" w14:textId="77777777" w:rsidR="00000000" w:rsidRDefault="00EE5306">
            <w:pPr>
              <w:spacing w:after="100"/>
              <w:jc w:val="right"/>
              <w:rPr>
                <w:rFonts w:eastAsia="Times New Roman"/>
              </w:rPr>
            </w:pPr>
            <w:r>
              <w:rPr>
                <w:rFonts w:eastAsia="Times New Roman"/>
                <w:color w:val="000000"/>
                <w:sz w:val="20"/>
                <w:szCs w:val="20"/>
              </w:rPr>
              <w:t>(17.6)</w:t>
            </w:r>
          </w:p>
        </w:tc>
        <w:tc>
          <w:tcPr>
            <w:tcW w:w="0" w:type="auto"/>
            <w:shd w:val="clear" w:color="auto" w:fill="CCEEFF"/>
            <w:tcMar>
              <w:top w:w="30" w:type="dxa"/>
              <w:left w:w="0" w:type="dxa"/>
              <w:bottom w:w="30" w:type="dxa"/>
              <w:right w:w="20" w:type="dxa"/>
            </w:tcMar>
            <w:vAlign w:val="bottom"/>
            <w:hideMark/>
          </w:tcPr>
          <w:p w14:paraId="1BFB7A6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2DA6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D11189" w14:textId="77777777" w:rsidR="00000000" w:rsidRDefault="00EE5306">
            <w:pPr>
              <w:spacing w:after="100"/>
              <w:jc w:val="right"/>
              <w:rPr>
                <w:rFonts w:eastAsia="Times New Roman"/>
              </w:rPr>
            </w:pPr>
            <w:r>
              <w:rPr>
                <w:rFonts w:eastAsia="Times New Roman"/>
                <w:color w:val="000000"/>
                <w:sz w:val="20"/>
                <w:szCs w:val="20"/>
              </w:rPr>
              <w:t>(30.9)</w:t>
            </w:r>
          </w:p>
        </w:tc>
        <w:tc>
          <w:tcPr>
            <w:tcW w:w="0" w:type="auto"/>
            <w:shd w:val="clear" w:color="auto" w:fill="CCEEFF"/>
            <w:tcMar>
              <w:top w:w="30" w:type="dxa"/>
              <w:left w:w="0" w:type="dxa"/>
              <w:bottom w:w="30" w:type="dxa"/>
              <w:right w:w="20" w:type="dxa"/>
            </w:tcMar>
            <w:vAlign w:val="bottom"/>
            <w:hideMark/>
          </w:tcPr>
          <w:p w14:paraId="3C9A7B2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269F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5825C8" w14:textId="77777777" w:rsidR="00000000" w:rsidRDefault="00EE5306">
            <w:pPr>
              <w:spacing w:after="100"/>
              <w:jc w:val="right"/>
              <w:rPr>
                <w:rFonts w:eastAsia="Times New Roman"/>
              </w:rPr>
            </w:pPr>
            <w:r>
              <w:rPr>
                <w:rFonts w:eastAsia="Times New Roman"/>
                <w:color w:val="000000"/>
                <w:sz w:val="20"/>
                <w:szCs w:val="20"/>
              </w:rPr>
              <w:t>175.9 </w:t>
            </w:r>
          </w:p>
        </w:tc>
        <w:tc>
          <w:tcPr>
            <w:tcW w:w="0" w:type="auto"/>
            <w:shd w:val="clear" w:color="auto" w:fill="CCEEFF"/>
            <w:tcMar>
              <w:top w:w="30" w:type="dxa"/>
              <w:left w:w="0" w:type="dxa"/>
              <w:bottom w:w="30" w:type="dxa"/>
              <w:right w:w="20" w:type="dxa"/>
            </w:tcMar>
            <w:vAlign w:val="bottom"/>
            <w:hideMark/>
          </w:tcPr>
          <w:p w14:paraId="45AE6FED" w14:textId="77777777" w:rsidR="00000000" w:rsidRDefault="00EE5306">
            <w:pPr>
              <w:spacing w:after="100"/>
              <w:rPr>
                <w:rFonts w:eastAsia="Times New Roman"/>
              </w:rPr>
            </w:pPr>
            <w:r>
              <w:rPr>
                <w:rFonts w:eastAsia="Times New Roman"/>
                <w:color w:val="000000"/>
                <w:sz w:val="20"/>
                <w:szCs w:val="20"/>
              </w:rPr>
              <w:t>%</w:t>
            </w:r>
          </w:p>
        </w:tc>
      </w:tr>
      <w:tr w:rsidR="00000000" w14:paraId="7E130E69" w14:textId="77777777">
        <w:trPr>
          <w:divId w:val="783693294"/>
        </w:trPr>
        <w:tc>
          <w:tcPr>
            <w:tcW w:w="0" w:type="auto"/>
            <w:gridSpan w:val="3"/>
            <w:shd w:val="clear" w:color="auto" w:fill="FFFFFF"/>
            <w:tcMar>
              <w:top w:w="30" w:type="dxa"/>
              <w:left w:w="20" w:type="dxa"/>
              <w:bottom w:w="30" w:type="dxa"/>
              <w:right w:w="20" w:type="dxa"/>
            </w:tcMar>
            <w:vAlign w:val="bottom"/>
            <w:hideMark/>
          </w:tcPr>
          <w:p w14:paraId="7B5897C0" w14:textId="77777777" w:rsidR="00000000" w:rsidRDefault="00EE5306">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14:paraId="10C28D53"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B46446" w14:textId="77777777" w:rsidR="00000000" w:rsidRDefault="00EE5306">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14:paraId="2D7790F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1552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2BC76D" w14:textId="77777777" w:rsidR="00000000" w:rsidRDefault="00EE5306">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14:paraId="178E84C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89A8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9C73BA" w14:textId="77777777" w:rsidR="00000000" w:rsidRDefault="00EE5306">
            <w:pPr>
              <w:spacing w:after="100"/>
              <w:jc w:val="right"/>
              <w:rPr>
                <w:rFonts w:eastAsia="Times New Roman"/>
              </w:rPr>
            </w:pPr>
            <w:r>
              <w:rPr>
                <w:rFonts w:eastAsia="Times New Roman"/>
                <w:color w:val="000000"/>
                <w:sz w:val="20"/>
                <w:szCs w:val="20"/>
              </w:rPr>
              <w:t>(24.7)</w:t>
            </w:r>
          </w:p>
        </w:tc>
        <w:tc>
          <w:tcPr>
            <w:tcW w:w="0" w:type="auto"/>
            <w:shd w:val="clear" w:color="auto" w:fill="FFFFFF"/>
            <w:tcMar>
              <w:top w:w="30" w:type="dxa"/>
              <w:left w:w="0" w:type="dxa"/>
              <w:bottom w:w="30" w:type="dxa"/>
              <w:right w:w="20" w:type="dxa"/>
            </w:tcMar>
            <w:vAlign w:val="bottom"/>
            <w:hideMark/>
          </w:tcPr>
          <w:p w14:paraId="0D105BC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D6D0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DAB47" w14:textId="77777777" w:rsidR="00000000" w:rsidRDefault="00EE5306">
            <w:pPr>
              <w:spacing w:after="100"/>
              <w:jc w:val="right"/>
              <w:rPr>
                <w:rFonts w:eastAsia="Times New Roman"/>
              </w:rPr>
            </w:pPr>
            <w:r>
              <w:rPr>
                <w:rFonts w:eastAsia="Times New Roman"/>
                <w:color w:val="000000"/>
                <w:sz w:val="20"/>
                <w:szCs w:val="20"/>
              </w:rPr>
              <w:t>(71.8 </w:t>
            </w:r>
          </w:p>
        </w:tc>
        <w:tc>
          <w:tcPr>
            <w:tcW w:w="0" w:type="auto"/>
            <w:shd w:val="clear" w:color="auto" w:fill="FFFFFF"/>
            <w:tcMar>
              <w:top w:w="30" w:type="dxa"/>
              <w:left w:w="0" w:type="dxa"/>
              <w:bottom w:w="30" w:type="dxa"/>
              <w:right w:w="20" w:type="dxa"/>
            </w:tcMar>
            <w:vAlign w:val="bottom"/>
            <w:hideMark/>
          </w:tcPr>
          <w:p w14:paraId="7350CE9B" w14:textId="77777777" w:rsidR="00000000" w:rsidRDefault="00EE5306">
            <w:pPr>
              <w:spacing w:after="100"/>
              <w:rPr>
                <w:rFonts w:eastAsia="Times New Roman"/>
              </w:rPr>
            </w:pPr>
            <w:r>
              <w:rPr>
                <w:rFonts w:eastAsia="Times New Roman"/>
                <w:color w:val="000000"/>
                <w:sz w:val="20"/>
                <w:szCs w:val="20"/>
              </w:rPr>
              <w:t>%)</w:t>
            </w:r>
          </w:p>
        </w:tc>
      </w:tr>
      <w:tr w:rsidR="00000000" w14:paraId="3226E9C2" w14:textId="77777777">
        <w:trPr>
          <w:divId w:val="783693294"/>
        </w:trPr>
        <w:tc>
          <w:tcPr>
            <w:tcW w:w="0" w:type="auto"/>
            <w:gridSpan w:val="3"/>
            <w:shd w:val="clear" w:color="auto" w:fill="CCEEFF"/>
            <w:tcMar>
              <w:top w:w="30" w:type="dxa"/>
              <w:left w:w="20" w:type="dxa"/>
              <w:bottom w:w="30" w:type="dxa"/>
              <w:right w:w="20" w:type="dxa"/>
            </w:tcMar>
            <w:vAlign w:val="bottom"/>
            <w:hideMark/>
          </w:tcPr>
          <w:p w14:paraId="3C1CC6F5" w14:textId="77777777" w:rsidR="00000000" w:rsidRDefault="00EE5306">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14:paraId="370985B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5C6A3F" w14:textId="77777777" w:rsidR="00000000" w:rsidRDefault="00EE5306">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14:paraId="0B64AA6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A487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EB2AFD" w14:textId="77777777" w:rsidR="00000000" w:rsidRDefault="00EE5306">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14:paraId="5DDD0E5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CF98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7E620D" w14:textId="77777777" w:rsidR="00000000" w:rsidRDefault="00EE5306">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14:paraId="10845FA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6FFE2"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1A355FF" w14:textId="77777777" w:rsidR="00000000" w:rsidRDefault="00EE5306">
            <w:pPr>
              <w:spacing w:after="100"/>
              <w:jc w:val="right"/>
              <w:rPr>
                <w:rFonts w:eastAsia="Times New Roman"/>
              </w:rPr>
            </w:pPr>
            <w:r>
              <w:rPr>
                <w:rFonts w:eastAsia="Times New Roman"/>
                <w:color w:val="000000"/>
                <w:sz w:val="20"/>
                <w:szCs w:val="20"/>
              </w:rPr>
              <w:t>NM</w:t>
            </w:r>
          </w:p>
        </w:tc>
      </w:tr>
      <w:tr w:rsidR="00000000" w14:paraId="384DEC3A" w14:textId="77777777">
        <w:trPr>
          <w:divId w:val="783693294"/>
        </w:trPr>
        <w:tc>
          <w:tcPr>
            <w:tcW w:w="0" w:type="auto"/>
            <w:gridSpan w:val="3"/>
            <w:shd w:val="clear" w:color="auto" w:fill="FFFFFF"/>
            <w:tcMar>
              <w:top w:w="30" w:type="dxa"/>
              <w:left w:w="20" w:type="dxa"/>
              <w:bottom w:w="30" w:type="dxa"/>
              <w:right w:w="20" w:type="dxa"/>
            </w:tcMar>
            <w:vAlign w:val="bottom"/>
            <w:hideMark/>
          </w:tcPr>
          <w:p w14:paraId="19E29451" w14:textId="77777777" w:rsidR="00000000" w:rsidRDefault="00EE5306">
            <w:pPr>
              <w:spacing w:after="100"/>
              <w:divId w:val="203366426"/>
              <w:rPr>
                <w:rFonts w:eastAsia="Times New Roman"/>
              </w:rPr>
            </w:pPr>
            <w:r>
              <w:rPr>
                <w:rFonts w:eastAsia="Times New Roman"/>
                <w:b/>
                <w:bCs/>
                <w:color w:val="000000"/>
                <w:sz w:val="20"/>
                <w:szCs w:val="20"/>
              </w:rPr>
              <w:t>Income (loss) before income taxes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24609CED"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70FE1A" w14:textId="77777777" w:rsidR="00000000" w:rsidRDefault="00EE5306">
            <w:pPr>
              <w:spacing w:after="100"/>
              <w:jc w:val="right"/>
              <w:rPr>
                <w:rFonts w:eastAsia="Times New Roman"/>
              </w:rPr>
            </w:pPr>
            <w:r>
              <w:rPr>
                <w:rFonts w:eastAsia="Times New Roman"/>
                <w:color w:val="000000"/>
                <w:sz w:val="20"/>
                <w:szCs w:val="20"/>
              </w:rPr>
              <w:t>(74.8)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D0E24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62F96"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DC6D53" w14:textId="77777777" w:rsidR="00000000" w:rsidRDefault="00EE5306">
            <w:pPr>
              <w:spacing w:after="100"/>
              <w:jc w:val="right"/>
              <w:rPr>
                <w:rFonts w:eastAsia="Times New Roman"/>
              </w:rPr>
            </w:pPr>
            <w:r>
              <w:rPr>
                <w:rFonts w:eastAsia="Times New Roman"/>
                <w:color w:val="000000"/>
                <w:sz w:val="20"/>
                <w:szCs w:val="20"/>
              </w:rPr>
              <w:t>326.4 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5AEF3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786DE"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1DB87C" w14:textId="77777777" w:rsidR="00000000" w:rsidRDefault="00EE5306">
            <w:pPr>
              <w:spacing w:after="100"/>
              <w:jc w:val="right"/>
              <w:rPr>
                <w:rFonts w:eastAsia="Times New Roman"/>
              </w:rPr>
            </w:pPr>
            <w:r>
              <w:rPr>
                <w:rFonts w:eastAsia="Times New Roman"/>
                <w:color w:val="000000"/>
                <w:sz w:val="20"/>
                <w:szCs w:val="20"/>
              </w:rPr>
              <w:t>(401.2)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3B2B9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4F337"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2F33BE7" w14:textId="77777777" w:rsidR="00000000" w:rsidRDefault="00EE5306">
            <w:pPr>
              <w:spacing w:after="100"/>
              <w:jc w:val="right"/>
              <w:rPr>
                <w:rFonts w:eastAsia="Times New Roman"/>
              </w:rPr>
            </w:pPr>
            <w:r>
              <w:rPr>
                <w:rFonts w:eastAsia="Times New Roman"/>
                <w:color w:val="000000"/>
                <w:sz w:val="20"/>
                <w:szCs w:val="20"/>
              </w:rPr>
              <w:t>NM</w:t>
            </w:r>
          </w:p>
        </w:tc>
      </w:tr>
      <w:tr w:rsidR="00000000" w14:paraId="017AD8A8" w14:textId="77777777">
        <w:trPr>
          <w:divId w:val="783693294"/>
        </w:trPr>
        <w:tc>
          <w:tcPr>
            <w:tcW w:w="0" w:type="auto"/>
            <w:gridSpan w:val="3"/>
            <w:shd w:val="clear" w:color="auto" w:fill="CCEEFF"/>
            <w:tcMar>
              <w:top w:w="30" w:type="dxa"/>
              <w:left w:w="20" w:type="dxa"/>
              <w:bottom w:w="30" w:type="dxa"/>
              <w:right w:w="20" w:type="dxa"/>
            </w:tcMar>
            <w:vAlign w:val="bottom"/>
            <w:hideMark/>
          </w:tcPr>
          <w:p w14:paraId="206C48B6" w14:textId="77777777" w:rsidR="00000000" w:rsidRDefault="00EE5306">
            <w:pPr>
              <w:spacing w:after="100"/>
              <w:rPr>
                <w:rFonts w:eastAsia="Times New Roman"/>
              </w:rPr>
            </w:pPr>
            <w:r>
              <w:rPr>
                <w:rFonts w:eastAsia="Times New Roman"/>
                <w:color w:val="000000"/>
                <w:sz w:val="20"/>
                <w:szCs w:val="20"/>
              </w:rPr>
              <w:t>Income tax benefit (provision)</w:t>
            </w:r>
          </w:p>
        </w:tc>
        <w:tc>
          <w:tcPr>
            <w:tcW w:w="0" w:type="auto"/>
            <w:gridSpan w:val="3"/>
            <w:shd w:val="clear" w:color="auto" w:fill="CCEEFF"/>
            <w:tcMar>
              <w:top w:w="0" w:type="dxa"/>
              <w:left w:w="20" w:type="dxa"/>
              <w:bottom w:w="0" w:type="dxa"/>
              <w:right w:w="20" w:type="dxa"/>
            </w:tcMar>
            <w:vAlign w:val="center"/>
            <w:hideMark/>
          </w:tcPr>
          <w:p w14:paraId="752E2736"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A32C32" w14:textId="77777777" w:rsidR="00000000" w:rsidRDefault="00EE5306">
            <w:pPr>
              <w:spacing w:after="100"/>
              <w:jc w:val="right"/>
              <w:rPr>
                <w:rFonts w:eastAsia="Times New Roman"/>
              </w:rPr>
            </w:pPr>
            <w:r>
              <w:rPr>
                <w:rFonts w:eastAsia="Times New Roman"/>
                <w:color w:val="000000"/>
                <w:sz w:val="20"/>
                <w:szCs w:val="20"/>
              </w:rPr>
              <w:t>(46.3)</w:t>
            </w:r>
          </w:p>
        </w:tc>
        <w:tc>
          <w:tcPr>
            <w:tcW w:w="0" w:type="auto"/>
            <w:shd w:val="clear" w:color="auto" w:fill="CCEEFF"/>
            <w:tcMar>
              <w:top w:w="30" w:type="dxa"/>
              <w:left w:w="0" w:type="dxa"/>
              <w:bottom w:w="30" w:type="dxa"/>
              <w:right w:w="20" w:type="dxa"/>
            </w:tcMar>
            <w:vAlign w:val="bottom"/>
            <w:hideMark/>
          </w:tcPr>
          <w:p w14:paraId="3CE32B1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902A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7665B" w14:textId="77777777" w:rsidR="00000000" w:rsidRDefault="00EE5306">
            <w:pPr>
              <w:spacing w:after="100"/>
              <w:jc w:val="right"/>
              <w:rPr>
                <w:rFonts w:eastAsia="Times New Roman"/>
              </w:rPr>
            </w:pPr>
            <w:r>
              <w:rPr>
                <w:rFonts w:eastAsia="Times New Roman"/>
                <w:color w:val="000000"/>
                <w:sz w:val="20"/>
                <w:szCs w:val="20"/>
              </w:rPr>
              <w:t>57.9 </w:t>
            </w:r>
          </w:p>
        </w:tc>
        <w:tc>
          <w:tcPr>
            <w:tcW w:w="0" w:type="auto"/>
            <w:shd w:val="clear" w:color="auto" w:fill="CCEEFF"/>
            <w:tcMar>
              <w:top w:w="30" w:type="dxa"/>
              <w:left w:w="0" w:type="dxa"/>
              <w:bottom w:w="30" w:type="dxa"/>
              <w:right w:w="20" w:type="dxa"/>
            </w:tcMar>
            <w:vAlign w:val="bottom"/>
            <w:hideMark/>
          </w:tcPr>
          <w:p w14:paraId="604E98F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4FD2F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5E0CC7" w14:textId="77777777" w:rsidR="00000000" w:rsidRDefault="00EE5306">
            <w:pPr>
              <w:spacing w:after="100"/>
              <w:jc w:val="right"/>
              <w:rPr>
                <w:rFonts w:eastAsia="Times New Roman"/>
              </w:rPr>
            </w:pPr>
            <w:r>
              <w:rPr>
                <w:rFonts w:eastAsia="Times New Roman"/>
                <w:color w:val="000000"/>
                <w:sz w:val="20"/>
                <w:szCs w:val="20"/>
              </w:rPr>
              <w:t>(104.2)</w:t>
            </w:r>
          </w:p>
        </w:tc>
        <w:tc>
          <w:tcPr>
            <w:tcW w:w="0" w:type="auto"/>
            <w:shd w:val="clear" w:color="auto" w:fill="CCEEFF"/>
            <w:tcMar>
              <w:top w:w="30" w:type="dxa"/>
              <w:left w:w="0" w:type="dxa"/>
              <w:bottom w:w="30" w:type="dxa"/>
              <w:right w:w="20" w:type="dxa"/>
            </w:tcMar>
            <w:vAlign w:val="bottom"/>
            <w:hideMark/>
          </w:tcPr>
          <w:p w14:paraId="321CF21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0B80C"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4216DB7" w14:textId="77777777" w:rsidR="00000000" w:rsidRDefault="00EE5306">
            <w:pPr>
              <w:spacing w:after="100"/>
              <w:jc w:val="right"/>
              <w:rPr>
                <w:rFonts w:eastAsia="Times New Roman"/>
              </w:rPr>
            </w:pPr>
            <w:r>
              <w:rPr>
                <w:rFonts w:eastAsia="Times New Roman"/>
                <w:color w:val="000000"/>
                <w:sz w:val="20"/>
                <w:szCs w:val="20"/>
              </w:rPr>
              <w:t>NM</w:t>
            </w:r>
          </w:p>
        </w:tc>
      </w:tr>
      <w:tr w:rsidR="00000000" w14:paraId="66583953" w14:textId="77777777">
        <w:trPr>
          <w:divId w:val="783693294"/>
        </w:trPr>
        <w:tc>
          <w:tcPr>
            <w:tcW w:w="0" w:type="auto"/>
            <w:gridSpan w:val="3"/>
            <w:shd w:val="clear" w:color="auto" w:fill="FFFFFF"/>
            <w:tcMar>
              <w:top w:w="30" w:type="dxa"/>
              <w:left w:w="20" w:type="dxa"/>
              <w:bottom w:w="30" w:type="dxa"/>
              <w:right w:w="20" w:type="dxa"/>
            </w:tcMar>
            <w:vAlign w:val="bottom"/>
            <w:hideMark/>
          </w:tcPr>
          <w:p w14:paraId="60D649F8" w14:textId="77777777" w:rsidR="00000000" w:rsidRDefault="00EE5306">
            <w:pPr>
              <w:spacing w:after="100"/>
              <w:divId w:val="434253211"/>
              <w:rPr>
                <w:rFonts w:eastAsia="Times New Roman"/>
              </w:rPr>
            </w:pPr>
            <w:r>
              <w:rPr>
                <w:rFonts w:eastAsia="Times New Roman"/>
                <w:i/>
                <w:iCs/>
                <w:color w:val="000000"/>
                <w:sz w:val="20"/>
                <w:szCs w:val="20"/>
              </w:rPr>
              <w:t>Effective tax rat</w:t>
            </w:r>
            <w:r>
              <w:rPr>
                <w:rFonts w:eastAsia="Times New Roman"/>
                <w:i/>
                <w:iCs/>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7E09DFE"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19D19F" w14:textId="77777777" w:rsidR="00000000" w:rsidRDefault="00EE5306">
            <w:pPr>
              <w:spacing w:after="100"/>
              <w:jc w:val="right"/>
              <w:rPr>
                <w:rFonts w:eastAsia="Times New Roman"/>
              </w:rPr>
            </w:pPr>
            <w:r>
              <w:rPr>
                <w:rFonts w:eastAsia="Times New Roman"/>
                <w:i/>
                <w:iCs/>
                <w:color w:val="000000"/>
                <w:sz w:val="20"/>
                <w:szCs w:val="20"/>
              </w:rPr>
              <w:t>(61.9 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8B8B04"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060F284"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449888" w14:textId="77777777" w:rsidR="00000000" w:rsidRDefault="00EE5306">
            <w:pPr>
              <w:spacing w:after="100"/>
              <w:jc w:val="right"/>
              <w:rPr>
                <w:rFonts w:eastAsia="Times New Roman"/>
              </w:rPr>
            </w:pPr>
            <w:r>
              <w:rPr>
                <w:rFonts w:eastAsia="Times New Roman"/>
                <w:i/>
                <w:iCs/>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9C6670"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7127FAC" w14:textId="77777777" w:rsidR="00000000" w:rsidRDefault="00EE530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B8D10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382129" w14:textId="77777777" w:rsidR="00000000" w:rsidRDefault="00EE53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05CE208" w14:textId="77777777" w:rsidR="00000000" w:rsidRDefault="00EE5306">
            <w:pPr>
              <w:spacing w:after="100"/>
              <w:jc w:val="right"/>
              <w:rPr>
                <w:rFonts w:eastAsia="Times New Roman"/>
              </w:rPr>
            </w:pPr>
            <w:r>
              <w:rPr>
                <w:rFonts w:eastAsia="Times New Roman"/>
                <w:i/>
                <w:iCs/>
                <w:color w:val="000000"/>
                <w:sz w:val="20"/>
                <w:szCs w:val="20"/>
              </w:rPr>
              <w:t>(4,420 bps)</w:t>
            </w:r>
          </w:p>
        </w:tc>
      </w:tr>
      <w:tr w:rsidR="00000000" w14:paraId="1D35A20D" w14:textId="77777777">
        <w:trPr>
          <w:divId w:val="783693294"/>
        </w:trPr>
        <w:tc>
          <w:tcPr>
            <w:tcW w:w="0" w:type="auto"/>
            <w:gridSpan w:val="3"/>
            <w:shd w:val="clear" w:color="auto" w:fill="CCEEFF"/>
            <w:tcMar>
              <w:top w:w="30" w:type="dxa"/>
              <w:left w:w="20" w:type="dxa"/>
              <w:bottom w:w="30" w:type="dxa"/>
              <w:right w:w="20" w:type="dxa"/>
            </w:tcMar>
            <w:vAlign w:val="bottom"/>
            <w:hideMark/>
          </w:tcPr>
          <w:p w14:paraId="619C1EFC" w14:textId="77777777" w:rsidR="00000000" w:rsidRDefault="00EE5306">
            <w:pPr>
              <w:spacing w:after="100"/>
              <w:divId w:val="493224369"/>
              <w:rPr>
                <w:rFonts w:eastAsia="Times New Roman"/>
              </w:rPr>
            </w:pPr>
            <w:r>
              <w:rPr>
                <w:rFonts w:eastAsia="Times New Roman"/>
                <w:b/>
                <w:bCs/>
                <w:color w:val="000000"/>
                <w:sz w:val="20"/>
                <w:szCs w:val="20"/>
              </w:rPr>
              <w:t>Net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3D5D90B9"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985E79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136D25" w14:textId="77777777" w:rsidR="00000000" w:rsidRDefault="00EE5306">
            <w:pPr>
              <w:spacing w:after="100"/>
              <w:jc w:val="right"/>
              <w:rPr>
                <w:rFonts w:eastAsia="Times New Roman"/>
              </w:rPr>
            </w:pPr>
            <w:r>
              <w:rPr>
                <w:rFonts w:eastAsia="Times New Roman"/>
                <w:color w:val="000000"/>
                <w:sz w:val="20"/>
                <w:szCs w:val="20"/>
              </w:rPr>
              <w:t>(121.1)</w:t>
            </w:r>
          </w:p>
        </w:tc>
        <w:tc>
          <w:tcPr>
            <w:tcW w:w="0" w:type="auto"/>
            <w:shd w:val="clear" w:color="auto" w:fill="CCEEFF"/>
            <w:tcMar>
              <w:top w:w="30" w:type="dxa"/>
              <w:left w:w="0" w:type="dxa"/>
              <w:bottom w:w="30" w:type="dxa"/>
              <w:right w:w="20" w:type="dxa"/>
            </w:tcMar>
            <w:vAlign w:val="bottom"/>
            <w:hideMark/>
          </w:tcPr>
          <w:p w14:paraId="514EE8A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3F2734"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0CFD10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91E868" w14:textId="77777777" w:rsidR="00000000" w:rsidRDefault="00EE5306">
            <w:pPr>
              <w:spacing w:after="100"/>
              <w:jc w:val="right"/>
              <w:rPr>
                <w:rFonts w:eastAsia="Times New Roman"/>
              </w:rPr>
            </w:pPr>
            <w:r>
              <w:rPr>
                <w:rFonts w:eastAsia="Times New Roman"/>
                <w:color w:val="000000"/>
                <w:sz w:val="20"/>
                <w:szCs w:val="20"/>
              </w:rPr>
              <w:t>384.3 </w:t>
            </w:r>
          </w:p>
        </w:tc>
        <w:tc>
          <w:tcPr>
            <w:tcW w:w="0" w:type="auto"/>
            <w:shd w:val="clear" w:color="auto" w:fill="CCEEFF"/>
            <w:tcMar>
              <w:top w:w="30" w:type="dxa"/>
              <w:left w:w="0" w:type="dxa"/>
              <w:bottom w:w="30" w:type="dxa"/>
              <w:right w:w="20" w:type="dxa"/>
            </w:tcMar>
            <w:vAlign w:val="bottom"/>
            <w:hideMark/>
          </w:tcPr>
          <w:p w14:paraId="7B8DBDD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8B5B4"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1F70B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33EA68" w14:textId="77777777" w:rsidR="00000000" w:rsidRDefault="00EE5306">
            <w:pPr>
              <w:spacing w:after="100"/>
              <w:jc w:val="right"/>
              <w:rPr>
                <w:rFonts w:eastAsia="Times New Roman"/>
              </w:rPr>
            </w:pPr>
            <w:r>
              <w:rPr>
                <w:rFonts w:eastAsia="Times New Roman"/>
                <w:color w:val="000000"/>
                <w:sz w:val="20"/>
                <w:szCs w:val="20"/>
              </w:rPr>
              <w:t>(505.4)</w:t>
            </w:r>
          </w:p>
        </w:tc>
        <w:tc>
          <w:tcPr>
            <w:tcW w:w="0" w:type="auto"/>
            <w:shd w:val="clear" w:color="auto" w:fill="CCEEFF"/>
            <w:tcMar>
              <w:top w:w="30" w:type="dxa"/>
              <w:left w:w="0" w:type="dxa"/>
              <w:bottom w:w="30" w:type="dxa"/>
              <w:right w:w="20" w:type="dxa"/>
            </w:tcMar>
            <w:vAlign w:val="bottom"/>
            <w:hideMark/>
          </w:tcPr>
          <w:p w14:paraId="43B46E0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DB8A3"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9D14AF6" w14:textId="77777777" w:rsidR="00000000" w:rsidRDefault="00EE5306">
            <w:pPr>
              <w:spacing w:after="100"/>
              <w:jc w:val="right"/>
              <w:rPr>
                <w:rFonts w:eastAsia="Times New Roman"/>
              </w:rPr>
            </w:pPr>
            <w:r>
              <w:rPr>
                <w:rFonts w:eastAsia="Times New Roman"/>
                <w:color w:val="000000"/>
                <w:sz w:val="20"/>
                <w:szCs w:val="20"/>
              </w:rPr>
              <w:t>NM</w:t>
            </w:r>
          </w:p>
        </w:tc>
      </w:tr>
      <w:tr w:rsidR="00000000" w14:paraId="76D1B393" w14:textId="77777777">
        <w:trPr>
          <w:divId w:val="783693294"/>
        </w:trPr>
        <w:tc>
          <w:tcPr>
            <w:tcW w:w="0" w:type="auto"/>
            <w:gridSpan w:val="3"/>
            <w:shd w:val="clear" w:color="auto" w:fill="FFFFFF"/>
            <w:tcMar>
              <w:top w:w="30" w:type="dxa"/>
              <w:left w:w="20" w:type="dxa"/>
              <w:bottom w:w="30" w:type="dxa"/>
              <w:right w:w="20" w:type="dxa"/>
            </w:tcMar>
            <w:vAlign w:val="bottom"/>
            <w:hideMark/>
          </w:tcPr>
          <w:p w14:paraId="2D9688AB" w14:textId="77777777" w:rsidR="00000000" w:rsidRDefault="00EE5306">
            <w:pPr>
              <w:spacing w:after="100"/>
              <w:rPr>
                <w:rFonts w:eastAsia="Times New Roman"/>
              </w:rPr>
            </w:pPr>
            <w:r>
              <w:rPr>
                <w:rFonts w:eastAsia="Times New Roman"/>
                <w:b/>
                <w:bCs/>
                <w:color w:val="000000"/>
                <w:sz w:val="20"/>
                <w:szCs w:val="20"/>
              </w:rPr>
              <w:t>Net income (loss) per common share:</w:t>
            </w:r>
          </w:p>
        </w:tc>
        <w:tc>
          <w:tcPr>
            <w:tcW w:w="0" w:type="auto"/>
            <w:gridSpan w:val="3"/>
            <w:shd w:val="clear" w:color="auto" w:fill="FFFFFF"/>
            <w:tcMar>
              <w:top w:w="0" w:type="dxa"/>
              <w:left w:w="20" w:type="dxa"/>
              <w:bottom w:w="0" w:type="dxa"/>
              <w:right w:w="20" w:type="dxa"/>
            </w:tcMar>
            <w:vAlign w:val="center"/>
            <w:hideMark/>
          </w:tcPr>
          <w:p w14:paraId="0305C797" w14:textId="77777777" w:rsidR="00000000" w:rsidRDefault="00EE530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FC6999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FDFB83"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A6A50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1618F2"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C7CB1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C7F12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7B21F0" w14:textId="77777777" w:rsidR="00000000" w:rsidRDefault="00EE5306">
            <w:pPr>
              <w:spacing w:after="100"/>
              <w:rPr>
                <w:rFonts w:eastAsia="Times New Roman"/>
                <w:sz w:val="20"/>
                <w:szCs w:val="20"/>
              </w:rPr>
            </w:pPr>
          </w:p>
        </w:tc>
      </w:tr>
      <w:tr w:rsidR="00000000" w14:paraId="2AE25F4E" w14:textId="77777777">
        <w:trPr>
          <w:divId w:val="783693294"/>
        </w:trPr>
        <w:tc>
          <w:tcPr>
            <w:tcW w:w="0" w:type="auto"/>
            <w:gridSpan w:val="3"/>
            <w:shd w:val="clear" w:color="auto" w:fill="CCEEFF"/>
            <w:tcMar>
              <w:top w:w="30" w:type="dxa"/>
              <w:left w:w="20" w:type="dxa"/>
              <w:bottom w:w="30" w:type="dxa"/>
              <w:right w:w="20" w:type="dxa"/>
            </w:tcMar>
            <w:vAlign w:val="bottom"/>
            <w:hideMark/>
          </w:tcPr>
          <w:p w14:paraId="65E301DD" w14:textId="77777777" w:rsidR="00000000" w:rsidRDefault="00EE5306">
            <w:pPr>
              <w:spacing w:after="100"/>
              <w:divId w:val="2092965690"/>
              <w:rPr>
                <w:rFonts w:eastAsia="Times New Roman"/>
              </w:rPr>
            </w:pPr>
            <w:r>
              <w:rPr>
                <w:rFonts w:eastAsia="Times New Roman"/>
                <w:b/>
                <w:bCs/>
                <w:color w:val="000000"/>
                <w:sz w:val="20"/>
                <w:szCs w:val="20"/>
              </w:rPr>
              <w:t>Basic</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50CB780A"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8C9020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5FC40C" w14:textId="77777777" w:rsidR="00000000" w:rsidRDefault="00EE5306">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14:paraId="6EF0E3B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CB7C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030E1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410039" w14:textId="77777777" w:rsidR="00000000" w:rsidRDefault="00EE5306">
            <w:pPr>
              <w:spacing w:after="100"/>
              <w:jc w:val="right"/>
              <w:rPr>
                <w:rFonts w:eastAsia="Times New Roman"/>
              </w:rPr>
            </w:pPr>
            <w:r>
              <w:rPr>
                <w:rFonts w:eastAsia="Times New Roman"/>
                <w:color w:val="000000"/>
                <w:sz w:val="20"/>
                <w:szCs w:val="20"/>
              </w:rPr>
              <w:t>5.07 </w:t>
            </w:r>
          </w:p>
        </w:tc>
        <w:tc>
          <w:tcPr>
            <w:tcW w:w="0" w:type="auto"/>
            <w:shd w:val="clear" w:color="auto" w:fill="CCEEFF"/>
            <w:tcMar>
              <w:top w:w="30" w:type="dxa"/>
              <w:left w:w="0" w:type="dxa"/>
              <w:bottom w:w="30" w:type="dxa"/>
              <w:right w:w="20" w:type="dxa"/>
            </w:tcMar>
            <w:vAlign w:val="bottom"/>
            <w:hideMark/>
          </w:tcPr>
          <w:p w14:paraId="7AB2391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4EB8B"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0CF25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BA9C79" w14:textId="77777777" w:rsidR="00000000" w:rsidRDefault="00EE5306">
            <w:pPr>
              <w:spacing w:after="100"/>
              <w:jc w:val="right"/>
              <w:rPr>
                <w:rFonts w:eastAsia="Times New Roman"/>
              </w:rPr>
            </w:pPr>
            <w:r>
              <w:rPr>
                <w:rFonts w:eastAsia="Times New Roman"/>
                <w:color w:val="000000"/>
                <w:sz w:val="20"/>
                <w:szCs w:val="20"/>
              </w:rPr>
              <w:t>(6.72)</w:t>
            </w:r>
          </w:p>
        </w:tc>
        <w:tc>
          <w:tcPr>
            <w:tcW w:w="0" w:type="auto"/>
            <w:shd w:val="clear" w:color="auto" w:fill="CCEEFF"/>
            <w:tcMar>
              <w:top w:w="30" w:type="dxa"/>
              <w:left w:w="0" w:type="dxa"/>
              <w:bottom w:w="30" w:type="dxa"/>
              <w:right w:w="20" w:type="dxa"/>
            </w:tcMar>
            <w:vAlign w:val="bottom"/>
            <w:hideMark/>
          </w:tcPr>
          <w:p w14:paraId="62119AC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6AE548"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7EAEF13" w14:textId="77777777" w:rsidR="00000000" w:rsidRDefault="00EE5306">
            <w:pPr>
              <w:spacing w:after="100"/>
              <w:jc w:val="right"/>
              <w:rPr>
                <w:rFonts w:eastAsia="Times New Roman"/>
              </w:rPr>
            </w:pPr>
            <w:r>
              <w:rPr>
                <w:rFonts w:eastAsia="Times New Roman"/>
                <w:color w:val="000000"/>
                <w:sz w:val="20"/>
                <w:szCs w:val="20"/>
              </w:rPr>
              <w:t>NM</w:t>
            </w:r>
          </w:p>
        </w:tc>
      </w:tr>
      <w:tr w:rsidR="00000000" w14:paraId="3D118C18" w14:textId="77777777">
        <w:trPr>
          <w:divId w:val="783693294"/>
        </w:trPr>
        <w:tc>
          <w:tcPr>
            <w:tcW w:w="0" w:type="auto"/>
            <w:gridSpan w:val="3"/>
            <w:shd w:val="clear" w:color="auto" w:fill="FFFFFF"/>
            <w:tcMar>
              <w:top w:w="30" w:type="dxa"/>
              <w:left w:w="20" w:type="dxa"/>
              <w:bottom w:w="30" w:type="dxa"/>
              <w:right w:w="20" w:type="dxa"/>
            </w:tcMar>
            <w:vAlign w:val="bottom"/>
            <w:hideMark/>
          </w:tcPr>
          <w:p w14:paraId="496EFE0A" w14:textId="77777777" w:rsidR="00000000" w:rsidRDefault="00EE5306">
            <w:pPr>
              <w:spacing w:after="100"/>
              <w:divId w:val="94253490"/>
              <w:rPr>
                <w:rFonts w:eastAsia="Times New Roman"/>
              </w:rPr>
            </w:pPr>
            <w:r>
              <w:rPr>
                <w:rFonts w:eastAsia="Times New Roman"/>
                <w:color w:val="000000"/>
                <w:sz w:val="20"/>
                <w:szCs w:val="20"/>
              </w:rPr>
              <w:t>  </w:t>
            </w:r>
            <w:r>
              <w:rPr>
                <w:rFonts w:eastAsia="Times New Roman"/>
                <w:b/>
                <w:bCs/>
                <w:color w:val="000000"/>
                <w:sz w:val="20"/>
                <w:szCs w:val="20"/>
              </w:rPr>
              <w:t>Diluted</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4214A325" w14:textId="77777777" w:rsidR="00000000" w:rsidRDefault="00EE5306">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CC3904B"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65835C85" w14:textId="77777777" w:rsidR="00000000" w:rsidRDefault="00EE5306">
            <w:pPr>
              <w:spacing w:after="100"/>
              <w:jc w:val="right"/>
              <w:rPr>
                <w:rFonts w:eastAsia="Times New Roman"/>
              </w:rPr>
            </w:pPr>
            <w:r>
              <w:rPr>
                <w:rFonts w:eastAsia="Times New Roman"/>
                <w:color w:val="000000"/>
                <w:sz w:val="20"/>
                <w:szCs w:val="20"/>
              </w:rPr>
              <w:t>(1.65)</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7B813AE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D6891" w14:textId="77777777" w:rsidR="00000000" w:rsidRDefault="00EE530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8614271"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363EB2A2" w14:textId="77777777" w:rsidR="00000000" w:rsidRDefault="00EE5306">
            <w:pPr>
              <w:spacing w:after="100"/>
              <w:jc w:val="right"/>
              <w:rPr>
                <w:rFonts w:eastAsia="Times New Roman"/>
              </w:rPr>
            </w:pPr>
            <w:r>
              <w:rPr>
                <w:rFonts w:eastAsia="Times New Roman"/>
                <w:color w:val="000000"/>
                <w:sz w:val="20"/>
                <w:szCs w:val="20"/>
              </w:rPr>
              <w:t>4.98 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1E57B29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A239E" w14:textId="77777777" w:rsidR="00000000" w:rsidRDefault="00EE530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3E52E0D"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3A2497C4" w14:textId="77777777" w:rsidR="00000000" w:rsidRDefault="00EE5306">
            <w:pPr>
              <w:spacing w:after="100"/>
              <w:jc w:val="right"/>
              <w:rPr>
                <w:rFonts w:eastAsia="Times New Roman"/>
              </w:rPr>
            </w:pPr>
            <w:r>
              <w:rPr>
                <w:rFonts w:eastAsia="Times New Roman"/>
                <w:color w:val="000000"/>
                <w:sz w:val="20"/>
                <w:szCs w:val="20"/>
              </w:rPr>
              <w:t>(6.63)</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8DF1B8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302EBD"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D7DC593" w14:textId="77777777" w:rsidR="00000000" w:rsidRDefault="00EE5306">
            <w:pPr>
              <w:spacing w:after="100"/>
              <w:jc w:val="right"/>
              <w:rPr>
                <w:rFonts w:eastAsia="Times New Roman"/>
              </w:rPr>
            </w:pPr>
            <w:r>
              <w:rPr>
                <w:rFonts w:eastAsia="Times New Roman"/>
                <w:color w:val="000000"/>
                <w:sz w:val="20"/>
                <w:szCs w:val="20"/>
              </w:rPr>
              <w:t>NM</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260BC39F" w14:textId="77777777">
        <w:tc>
          <w:tcPr>
            <w:tcW w:w="50" w:type="pct"/>
            <w:vAlign w:val="center"/>
            <w:hideMark/>
          </w:tcPr>
          <w:p w14:paraId="65383993" w14:textId="77777777" w:rsidR="00000000" w:rsidRDefault="00EE5306">
            <w:pPr>
              <w:rPr>
                <w:rFonts w:eastAsia="Times New Roman"/>
              </w:rPr>
            </w:pPr>
          </w:p>
        </w:tc>
        <w:tc>
          <w:tcPr>
            <w:tcW w:w="4945" w:type="pct"/>
            <w:vAlign w:val="center"/>
            <w:hideMark/>
          </w:tcPr>
          <w:p w14:paraId="3905B9D5" w14:textId="77777777" w:rsidR="00000000" w:rsidRDefault="00EE5306">
            <w:pPr>
              <w:spacing w:after="100"/>
              <w:rPr>
                <w:rFonts w:eastAsia="Times New Roman"/>
                <w:sz w:val="20"/>
                <w:szCs w:val="20"/>
              </w:rPr>
            </w:pPr>
          </w:p>
        </w:tc>
        <w:tc>
          <w:tcPr>
            <w:tcW w:w="5" w:type="pct"/>
            <w:vAlign w:val="center"/>
            <w:hideMark/>
          </w:tcPr>
          <w:p w14:paraId="2BB6FCC4" w14:textId="77777777" w:rsidR="00000000" w:rsidRDefault="00EE5306">
            <w:pPr>
              <w:spacing w:after="100"/>
              <w:rPr>
                <w:rFonts w:eastAsia="Times New Roman"/>
                <w:sz w:val="20"/>
                <w:szCs w:val="20"/>
              </w:rPr>
            </w:pPr>
          </w:p>
        </w:tc>
      </w:tr>
      <w:tr w:rsidR="00000000" w14:paraId="70868596"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2C5C6B20" w14:textId="77777777" w:rsidR="00000000" w:rsidRDefault="00EE5306">
            <w:pPr>
              <w:spacing w:after="100"/>
              <w:rPr>
                <w:rFonts w:eastAsia="Times New Roman"/>
                <w:sz w:val="20"/>
                <w:szCs w:val="20"/>
              </w:rPr>
            </w:pPr>
          </w:p>
        </w:tc>
      </w:tr>
    </w:tbl>
    <w:p w14:paraId="73BFB8F6" w14:textId="77777777" w:rsidR="00000000" w:rsidRDefault="00EE5306">
      <w:pPr>
        <w:ind w:hanging="540"/>
        <w:jc w:val="both"/>
        <w:divId w:val="535850831"/>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Effective tax rate is calculated by dividing the income tax benefit (provision) by income (loss) before income taxes.</w:t>
      </w:r>
    </w:p>
    <w:p w14:paraId="1D279DBF" w14:textId="77777777" w:rsidR="00000000" w:rsidRDefault="00EE5306">
      <w:pPr>
        <w:ind w:hanging="540"/>
        <w:jc w:val="both"/>
        <w:divId w:val="1651473700"/>
        <w:rPr>
          <w:rFonts w:eastAsia="Times New Roman"/>
        </w:rPr>
      </w:pPr>
      <w:r>
        <w:rPr>
          <w:rFonts w:eastAsia="Times New Roman"/>
          <w:color w:val="000000"/>
          <w:sz w:val="20"/>
          <w:szCs w:val="20"/>
        </w:rPr>
        <w:t>NM Not meaningful.</w:t>
      </w:r>
    </w:p>
    <w:p w14:paraId="13DB5CEA" w14:textId="77777777" w:rsidR="00000000" w:rsidRDefault="00EE5306">
      <w:pPr>
        <w:ind w:firstLine="540"/>
        <w:jc w:val="both"/>
        <w:divId w:val="67315650"/>
        <w:rPr>
          <w:rFonts w:eastAsia="Times New Roman"/>
        </w:rPr>
      </w:pPr>
      <w:r>
        <w:rPr>
          <w:rFonts w:eastAsia="Times New Roman"/>
          <w:i/>
          <w:iCs/>
          <w:color w:val="000000"/>
          <w:sz w:val="20"/>
          <w:szCs w:val="20"/>
        </w:rPr>
        <w:t>Net Revenues.</w:t>
      </w:r>
      <w:r>
        <w:rPr>
          <w:rFonts w:eastAsia="Times New Roman"/>
          <w:color w:val="000000"/>
          <w:sz w:val="20"/>
          <w:szCs w:val="20"/>
        </w:rPr>
        <w:t>    </w:t>
      </w:r>
      <w:r>
        <w:rPr>
          <w:rFonts w:eastAsia="Times New Roman"/>
          <w:color w:val="000000"/>
          <w:sz w:val="20"/>
          <w:szCs w:val="20"/>
        </w:rPr>
        <w:t>Net revenues decreased by $1.759 billion, or 28.6%, to $4.401 billion in Fiscal 2021 as compared to Fiscal 2020, including net favorable foreign currency effects of $80.7 million. On a constant currency basis, net revenues decreased by $1.840 billion, or 2</w:t>
      </w:r>
      <w:r>
        <w:rPr>
          <w:rFonts w:eastAsia="Times New Roman"/>
          <w:color w:val="000000"/>
          <w:sz w:val="20"/>
          <w:szCs w:val="20"/>
        </w:rPr>
        <w:t xml:space="preserve">9.9%. </w:t>
      </w:r>
    </w:p>
    <w:p w14:paraId="61883D25" w14:textId="77777777" w:rsidR="00000000" w:rsidRDefault="00EE5306">
      <w:pPr>
        <w:ind w:firstLine="540"/>
        <w:jc w:val="both"/>
        <w:divId w:val="1321957442"/>
        <w:rPr>
          <w:rFonts w:eastAsia="Times New Roman"/>
        </w:rPr>
      </w:pPr>
      <w:r>
        <w:rPr>
          <w:rFonts w:eastAsia="Times New Roman"/>
          <w:color w:val="000000"/>
          <w:sz w:val="20"/>
          <w:szCs w:val="20"/>
        </w:rPr>
        <w:t>The following table summarizes the percentage change in our Fiscal 2021 consolidated comparable store sales as compared to the prior fiscal year, inclusive of adverse impacts related to COVID-19 business disruptions:</w:t>
      </w:r>
    </w:p>
    <w:tbl>
      <w:tblPr>
        <w:tblW w:w="4722" w:type="pct"/>
        <w:tblCellMar>
          <w:top w:w="15" w:type="dxa"/>
          <w:left w:w="15" w:type="dxa"/>
          <w:bottom w:w="15" w:type="dxa"/>
          <w:right w:w="15" w:type="dxa"/>
        </w:tblCellMar>
        <w:tblLook w:val="04A0" w:firstRow="1" w:lastRow="0" w:firstColumn="1" w:lastColumn="0" w:noHBand="0" w:noVBand="1"/>
      </w:tblPr>
      <w:tblGrid>
        <w:gridCol w:w="37"/>
        <w:gridCol w:w="6393"/>
        <w:gridCol w:w="36"/>
        <w:gridCol w:w="36"/>
        <w:gridCol w:w="36"/>
        <w:gridCol w:w="36"/>
        <w:gridCol w:w="37"/>
        <w:gridCol w:w="979"/>
        <w:gridCol w:w="254"/>
      </w:tblGrid>
      <w:tr w:rsidR="00000000" w14:paraId="720AA3BB" w14:textId="77777777">
        <w:trPr>
          <w:divId w:val="703746831"/>
        </w:trPr>
        <w:tc>
          <w:tcPr>
            <w:tcW w:w="50" w:type="pct"/>
            <w:vAlign w:val="center"/>
            <w:hideMark/>
          </w:tcPr>
          <w:p w14:paraId="429EA0DD" w14:textId="77777777" w:rsidR="00000000" w:rsidRDefault="00EE5306">
            <w:pPr>
              <w:ind w:firstLine="540"/>
              <w:jc w:val="both"/>
              <w:rPr>
                <w:rFonts w:eastAsia="Times New Roman"/>
              </w:rPr>
            </w:pPr>
          </w:p>
        </w:tc>
        <w:tc>
          <w:tcPr>
            <w:tcW w:w="4132" w:type="pct"/>
            <w:vAlign w:val="center"/>
            <w:hideMark/>
          </w:tcPr>
          <w:p w14:paraId="5A8E11C1" w14:textId="77777777" w:rsidR="00000000" w:rsidRDefault="00EE5306">
            <w:pPr>
              <w:spacing w:after="100"/>
              <w:rPr>
                <w:rFonts w:eastAsia="Times New Roman"/>
                <w:sz w:val="20"/>
                <w:szCs w:val="20"/>
              </w:rPr>
            </w:pPr>
          </w:p>
        </w:tc>
        <w:tc>
          <w:tcPr>
            <w:tcW w:w="5" w:type="pct"/>
            <w:vAlign w:val="center"/>
            <w:hideMark/>
          </w:tcPr>
          <w:p w14:paraId="174C004B" w14:textId="77777777" w:rsidR="00000000" w:rsidRDefault="00EE5306">
            <w:pPr>
              <w:spacing w:after="100"/>
              <w:rPr>
                <w:rFonts w:eastAsia="Times New Roman"/>
                <w:sz w:val="20"/>
                <w:szCs w:val="20"/>
              </w:rPr>
            </w:pPr>
          </w:p>
        </w:tc>
        <w:tc>
          <w:tcPr>
            <w:tcW w:w="5" w:type="pct"/>
            <w:vAlign w:val="center"/>
            <w:hideMark/>
          </w:tcPr>
          <w:p w14:paraId="59B3F54B" w14:textId="77777777" w:rsidR="00000000" w:rsidRDefault="00EE5306">
            <w:pPr>
              <w:spacing w:after="100"/>
              <w:rPr>
                <w:rFonts w:eastAsia="Times New Roman"/>
                <w:sz w:val="20"/>
                <w:szCs w:val="20"/>
              </w:rPr>
            </w:pPr>
          </w:p>
        </w:tc>
        <w:tc>
          <w:tcPr>
            <w:tcW w:w="28" w:type="pct"/>
            <w:vAlign w:val="center"/>
            <w:hideMark/>
          </w:tcPr>
          <w:p w14:paraId="67D612FD" w14:textId="77777777" w:rsidR="00000000" w:rsidRDefault="00EE5306">
            <w:pPr>
              <w:spacing w:after="100"/>
              <w:rPr>
                <w:rFonts w:eastAsia="Times New Roman"/>
                <w:sz w:val="20"/>
                <w:szCs w:val="20"/>
              </w:rPr>
            </w:pPr>
          </w:p>
        </w:tc>
        <w:tc>
          <w:tcPr>
            <w:tcW w:w="5" w:type="pct"/>
            <w:vAlign w:val="center"/>
            <w:hideMark/>
          </w:tcPr>
          <w:p w14:paraId="1AA35E76" w14:textId="77777777" w:rsidR="00000000" w:rsidRDefault="00EE5306">
            <w:pPr>
              <w:spacing w:after="100"/>
              <w:rPr>
                <w:rFonts w:eastAsia="Times New Roman"/>
                <w:sz w:val="20"/>
                <w:szCs w:val="20"/>
              </w:rPr>
            </w:pPr>
          </w:p>
        </w:tc>
        <w:tc>
          <w:tcPr>
            <w:tcW w:w="50" w:type="pct"/>
            <w:vAlign w:val="center"/>
            <w:hideMark/>
          </w:tcPr>
          <w:p w14:paraId="086B9396" w14:textId="77777777" w:rsidR="00000000" w:rsidRDefault="00EE5306">
            <w:pPr>
              <w:spacing w:after="100"/>
              <w:rPr>
                <w:rFonts w:eastAsia="Times New Roman"/>
                <w:sz w:val="20"/>
                <w:szCs w:val="20"/>
              </w:rPr>
            </w:pPr>
          </w:p>
        </w:tc>
        <w:tc>
          <w:tcPr>
            <w:tcW w:w="719" w:type="pct"/>
            <w:vAlign w:val="center"/>
            <w:hideMark/>
          </w:tcPr>
          <w:p w14:paraId="2209963E" w14:textId="77777777" w:rsidR="00000000" w:rsidRDefault="00EE5306">
            <w:pPr>
              <w:spacing w:after="100"/>
              <w:rPr>
                <w:rFonts w:eastAsia="Times New Roman"/>
                <w:sz w:val="20"/>
                <w:szCs w:val="20"/>
              </w:rPr>
            </w:pPr>
          </w:p>
        </w:tc>
        <w:tc>
          <w:tcPr>
            <w:tcW w:w="5" w:type="pct"/>
            <w:vAlign w:val="center"/>
            <w:hideMark/>
          </w:tcPr>
          <w:p w14:paraId="64D59D91" w14:textId="77777777" w:rsidR="00000000" w:rsidRDefault="00EE5306">
            <w:pPr>
              <w:spacing w:after="100"/>
              <w:rPr>
                <w:rFonts w:eastAsia="Times New Roman"/>
                <w:sz w:val="20"/>
                <w:szCs w:val="20"/>
              </w:rPr>
            </w:pPr>
          </w:p>
        </w:tc>
      </w:tr>
      <w:tr w:rsidR="00000000" w14:paraId="674B40FB" w14:textId="77777777">
        <w:trPr>
          <w:divId w:val="703746831"/>
        </w:trPr>
        <w:tc>
          <w:tcPr>
            <w:tcW w:w="0" w:type="auto"/>
            <w:gridSpan w:val="3"/>
            <w:tcMar>
              <w:top w:w="30" w:type="dxa"/>
              <w:left w:w="20" w:type="dxa"/>
              <w:bottom w:w="30" w:type="dxa"/>
              <w:right w:w="20" w:type="dxa"/>
            </w:tcMar>
            <w:vAlign w:val="bottom"/>
            <w:hideMark/>
          </w:tcPr>
          <w:p w14:paraId="1D3837E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0C50285"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70FE4FE0" w14:textId="77777777" w:rsidR="00000000" w:rsidRDefault="00EE5306">
            <w:pPr>
              <w:spacing w:after="100"/>
              <w:jc w:val="center"/>
              <w:rPr>
                <w:rFonts w:eastAsia="Times New Roman"/>
              </w:rPr>
            </w:pPr>
            <w:r>
              <w:rPr>
                <w:rFonts w:eastAsia="Times New Roman"/>
                <w:b/>
                <w:bCs/>
                <w:color w:val="000000"/>
                <w:sz w:val="16"/>
                <w:szCs w:val="16"/>
              </w:rPr>
              <w:t>% Change</w:t>
            </w:r>
          </w:p>
        </w:tc>
      </w:tr>
      <w:tr w:rsidR="00000000" w14:paraId="68736DE1" w14:textId="77777777">
        <w:trPr>
          <w:divId w:val="703746831"/>
        </w:trPr>
        <w:tc>
          <w:tcPr>
            <w:tcW w:w="0" w:type="auto"/>
            <w:gridSpan w:val="3"/>
            <w:shd w:val="clear" w:color="auto" w:fill="CCEEFF"/>
            <w:tcMar>
              <w:top w:w="30" w:type="dxa"/>
              <w:left w:w="20" w:type="dxa"/>
              <w:bottom w:w="30" w:type="dxa"/>
              <w:right w:w="20" w:type="dxa"/>
            </w:tcMar>
            <w:vAlign w:val="bottom"/>
            <w:hideMark/>
          </w:tcPr>
          <w:p w14:paraId="4D08B9B8" w14:textId="77777777" w:rsidR="00000000" w:rsidRDefault="00EE5306">
            <w:pPr>
              <w:spacing w:after="100"/>
              <w:rPr>
                <w:rFonts w:eastAsia="Times New Roman"/>
              </w:rPr>
            </w:pPr>
            <w:r>
              <w:rPr>
                <w:rFonts w:eastAsia="Times New Roman"/>
                <w:color w:val="000000"/>
                <w:sz w:val="20"/>
                <w:szCs w:val="20"/>
              </w:rPr>
              <w:t>Digital commerce comparable store sales</w:t>
            </w:r>
          </w:p>
        </w:tc>
        <w:tc>
          <w:tcPr>
            <w:tcW w:w="0" w:type="auto"/>
            <w:gridSpan w:val="3"/>
            <w:shd w:val="clear" w:color="auto" w:fill="CCEEFF"/>
            <w:tcMar>
              <w:top w:w="0" w:type="dxa"/>
              <w:left w:w="20" w:type="dxa"/>
              <w:bottom w:w="0" w:type="dxa"/>
              <w:right w:w="20" w:type="dxa"/>
            </w:tcMar>
            <w:vAlign w:val="center"/>
            <w:hideMark/>
          </w:tcPr>
          <w:p w14:paraId="62C9AE32"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2C92A5" w14:textId="77777777" w:rsidR="00000000" w:rsidRDefault="00EE5306">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02C604" w14:textId="77777777" w:rsidR="00000000" w:rsidRDefault="00EE5306">
            <w:pPr>
              <w:spacing w:after="100"/>
              <w:rPr>
                <w:rFonts w:eastAsia="Times New Roman"/>
              </w:rPr>
            </w:pPr>
            <w:r>
              <w:rPr>
                <w:rFonts w:eastAsia="Times New Roman"/>
                <w:color w:val="000000"/>
                <w:sz w:val="20"/>
                <w:szCs w:val="20"/>
              </w:rPr>
              <w:t>%</w:t>
            </w:r>
          </w:p>
        </w:tc>
      </w:tr>
      <w:tr w:rsidR="00000000" w14:paraId="7AB603B8" w14:textId="77777777">
        <w:trPr>
          <w:divId w:val="703746831"/>
        </w:trPr>
        <w:tc>
          <w:tcPr>
            <w:tcW w:w="0" w:type="auto"/>
            <w:gridSpan w:val="3"/>
            <w:shd w:val="clear" w:color="auto" w:fill="FFFFFF"/>
            <w:tcMar>
              <w:top w:w="30" w:type="dxa"/>
              <w:left w:w="20" w:type="dxa"/>
              <w:bottom w:w="30" w:type="dxa"/>
              <w:right w:w="20" w:type="dxa"/>
            </w:tcMar>
            <w:vAlign w:val="bottom"/>
            <w:hideMark/>
          </w:tcPr>
          <w:p w14:paraId="2F4B3631" w14:textId="77777777" w:rsidR="00000000" w:rsidRDefault="00EE5306">
            <w:pPr>
              <w:spacing w:after="100"/>
              <w:rPr>
                <w:rFonts w:eastAsia="Times New Roman"/>
              </w:rPr>
            </w:pPr>
            <w:r>
              <w:rPr>
                <w:rFonts w:eastAsia="Times New Roman"/>
                <w:color w:val="000000"/>
                <w:sz w:val="20"/>
                <w:szCs w:val="20"/>
              </w:rPr>
              <w:t>Comparable store sales excluding digital commerce</w:t>
            </w:r>
          </w:p>
        </w:tc>
        <w:tc>
          <w:tcPr>
            <w:tcW w:w="0" w:type="auto"/>
            <w:gridSpan w:val="3"/>
            <w:shd w:val="clear" w:color="auto" w:fill="FFFFFF"/>
            <w:tcMar>
              <w:top w:w="0" w:type="dxa"/>
              <w:left w:w="20" w:type="dxa"/>
              <w:bottom w:w="0" w:type="dxa"/>
              <w:right w:w="20" w:type="dxa"/>
            </w:tcMar>
            <w:vAlign w:val="center"/>
            <w:hideMark/>
          </w:tcPr>
          <w:p w14:paraId="736ACD6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565C21" w14:textId="77777777" w:rsidR="00000000" w:rsidRDefault="00EE5306">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03193FEC" w14:textId="77777777" w:rsidR="00000000" w:rsidRDefault="00EE5306">
            <w:pPr>
              <w:spacing w:after="100"/>
              <w:rPr>
                <w:rFonts w:eastAsia="Times New Roman"/>
              </w:rPr>
            </w:pPr>
            <w:r>
              <w:rPr>
                <w:rFonts w:eastAsia="Times New Roman"/>
                <w:color w:val="000000"/>
                <w:sz w:val="20"/>
                <w:szCs w:val="20"/>
              </w:rPr>
              <w:t>%)</w:t>
            </w:r>
          </w:p>
        </w:tc>
      </w:tr>
      <w:tr w:rsidR="00000000" w14:paraId="4914BA9F" w14:textId="77777777">
        <w:trPr>
          <w:divId w:val="703746831"/>
        </w:trPr>
        <w:tc>
          <w:tcPr>
            <w:tcW w:w="0" w:type="auto"/>
            <w:gridSpan w:val="3"/>
            <w:shd w:val="clear" w:color="auto" w:fill="CCEEFF"/>
            <w:tcMar>
              <w:top w:w="30" w:type="dxa"/>
              <w:left w:w="20" w:type="dxa"/>
              <w:bottom w:w="30" w:type="dxa"/>
              <w:right w:w="20" w:type="dxa"/>
            </w:tcMar>
            <w:vAlign w:val="bottom"/>
            <w:hideMark/>
          </w:tcPr>
          <w:p w14:paraId="33B99286" w14:textId="77777777" w:rsidR="00000000" w:rsidRDefault="00EE5306">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14:paraId="7136DFA4"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2E82EC" w14:textId="77777777" w:rsidR="00000000" w:rsidRDefault="00EE5306">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50618AC0" w14:textId="77777777" w:rsidR="00000000" w:rsidRDefault="00EE5306">
            <w:pPr>
              <w:spacing w:after="100"/>
              <w:rPr>
                <w:rFonts w:eastAsia="Times New Roman"/>
              </w:rPr>
            </w:pPr>
            <w:r>
              <w:rPr>
                <w:rFonts w:eastAsia="Times New Roman"/>
                <w:color w:val="000000"/>
                <w:sz w:val="20"/>
                <w:szCs w:val="20"/>
              </w:rPr>
              <w:t>%)</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3FB63703" w14:textId="77777777">
        <w:trPr>
          <w:jc w:val="center"/>
        </w:trPr>
        <w:tc>
          <w:tcPr>
            <w:tcW w:w="50" w:type="pct"/>
            <w:vAlign w:val="center"/>
            <w:hideMark/>
          </w:tcPr>
          <w:p w14:paraId="3B483B8E" w14:textId="77777777" w:rsidR="00000000" w:rsidRDefault="00EE5306">
            <w:pPr>
              <w:rPr>
                <w:rFonts w:eastAsia="Times New Roman"/>
              </w:rPr>
            </w:pPr>
          </w:p>
        </w:tc>
        <w:tc>
          <w:tcPr>
            <w:tcW w:w="1699" w:type="pct"/>
            <w:vAlign w:val="center"/>
            <w:hideMark/>
          </w:tcPr>
          <w:p w14:paraId="5D218F99" w14:textId="77777777" w:rsidR="00000000" w:rsidRDefault="00EE5306">
            <w:pPr>
              <w:spacing w:after="100"/>
              <w:rPr>
                <w:rFonts w:eastAsia="Times New Roman"/>
                <w:sz w:val="20"/>
                <w:szCs w:val="20"/>
              </w:rPr>
            </w:pPr>
          </w:p>
        </w:tc>
        <w:tc>
          <w:tcPr>
            <w:tcW w:w="5" w:type="pct"/>
            <w:vAlign w:val="center"/>
            <w:hideMark/>
          </w:tcPr>
          <w:p w14:paraId="6B8ED8B1" w14:textId="77777777" w:rsidR="00000000" w:rsidRDefault="00EE5306">
            <w:pPr>
              <w:spacing w:after="100"/>
              <w:rPr>
                <w:rFonts w:eastAsia="Times New Roman"/>
                <w:sz w:val="20"/>
                <w:szCs w:val="20"/>
              </w:rPr>
            </w:pPr>
          </w:p>
        </w:tc>
        <w:tc>
          <w:tcPr>
            <w:tcW w:w="50" w:type="pct"/>
            <w:vAlign w:val="center"/>
            <w:hideMark/>
          </w:tcPr>
          <w:p w14:paraId="621BDEA8" w14:textId="77777777" w:rsidR="00000000" w:rsidRDefault="00EE5306">
            <w:pPr>
              <w:spacing w:after="100"/>
              <w:rPr>
                <w:rFonts w:eastAsia="Times New Roman"/>
                <w:sz w:val="20"/>
                <w:szCs w:val="20"/>
              </w:rPr>
            </w:pPr>
          </w:p>
        </w:tc>
        <w:tc>
          <w:tcPr>
            <w:tcW w:w="1436" w:type="pct"/>
            <w:vAlign w:val="center"/>
            <w:hideMark/>
          </w:tcPr>
          <w:p w14:paraId="6239C3A6" w14:textId="77777777" w:rsidR="00000000" w:rsidRDefault="00EE5306">
            <w:pPr>
              <w:spacing w:after="100"/>
              <w:rPr>
                <w:rFonts w:eastAsia="Times New Roman"/>
                <w:sz w:val="20"/>
                <w:szCs w:val="20"/>
              </w:rPr>
            </w:pPr>
          </w:p>
        </w:tc>
        <w:tc>
          <w:tcPr>
            <w:tcW w:w="5" w:type="pct"/>
            <w:vAlign w:val="center"/>
            <w:hideMark/>
          </w:tcPr>
          <w:p w14:paraId="5D13915E" w14:textId="77777777" w:rsidR="00000000" w:rsidRDefault="00EE5306">
            <w:pPr>
              <w:spacing w:after="100"/>
              <w:rPr>
                <w:rFonts w:eastAsia="Times New Roman"/>
                <w:sz w:val="20"/>
                <w:szCs w:val="20"/>
              </w:rPr>
            </w:pPr>
          </w:p>
        </w:tc>
        <w:tc>
          <w:tcPr>
            <w:tcW w:w="50" w:type="pct"/>
            <w:vAlign w:val="center"/>
            <w:hideMark/>
          </w:tcPr>
          <w:p w14:paraId="52BCA9B9" w14:textId="77777777" w:rsidR="00000000" w:rsidRDefault="00EE5306">
            <w:pPr>
              <w:spacing w:after="100"/>
              <w:rPr>
                <w:rFonts w:eastAsia="Times New Roman"/>
                <w:sz w:val="20"/>
                <w:szCs w:val="20"/>
              </w:rPr>
            </w:pPr>
          </w:p>
        </w:tc>
        <w:tc>
          <w:tcPr>
            <w:tcW w:w="1699" w:type="pct"/>
            <w:vAlign w:val="center"/>
            <w:hideMark/>
          </w:tcPr>
          <w:p w14:paraId="2AC81199" w14:textId="77777777" w:rsidR="00000000" w:rsidRDefault="00EE5306">
            <w:pPr>
              <w:spacing w:after="100"/>
              <w:rPr>
                <w:rFonts w:eastAsia="Times New Roman"/>
                <w:sz w:val="20"/>
                <w:szCs w:val="20"/>
              </w:rPr>
            </w:pPr>
          </w:p>
        </w:tc>
        <w:tc>
          <w:tcPr>
            <w:tcW w:w="5" w:type="pct"/>
            <w:vAlign w:val="center"/>
            <w:hideMark/>
          </w:tcPr>
          <w:p w14:paraId="5857E9EE" w14:textId="77777777" w:rsidR="00000000" w:rsidRDefault="00EE5306">
            <w:pPr>
              <w:spacing w:after="100"/>
              <w:rPr>
                <w:rFonts w:eastAsia="Times New Roman"/>
                <w:sz w:val="20"/>
                <w:szCs w:val="20"/>
              </w:rPr>
            </w:pPr>
          </w:p>
        </w:tc>
      </w:tr>
      <w:tr w:rsidR="00000000" w14:paraId="33C3F62A" w14:textId="77777777">
        <w:trPr>
          <w:jc w:val="center"/>
        </w:trPr>
        <w:tc>
          <w:tcPr>
            <w:tcW w:w="0" w:type="auto"/>
            <w:gridSpan w:val="3"/>
            <w:tcMar>
              <w:top w:w="0" w:type="dxa"/>
              <w:left w:w="20" w:type="dxa"/>
              <w:bottom w:w="0" w:type="dxa"/>
              <w:right w:w="20" w:type="dxa"/>
            </w:tcMar>
            <w:vAlign w:val="center"/>
            <w:hideMark/>
          </w:tcPr>
          <w:p w14:paraId="4C6948F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E218552" w14:textId="77777777" w:rsidR="00000000" w:rsidRDefault="00EE5306">
            <w:pPr>
              <w:spacing w:after="100"/>
              <w:jc w:val="center"/>
              <w:rPr>
                <w:rFonts w:eastAsia="Times New Roman"/>
              </w:rPr>
            </w:pPr>
            <w:r>
              <w:rPr>
                <w:rFonts w:eastAsia="Times New Roman"/>
                <w:color w:val="000000"/>
                <w:sz w:val="20"/>
                <w:szCs w:val="20"/>
              </w:rPr>
              <w:t>51</w:t>
            </w:r>
          </w:p>
        </w:tc>
        <w:tc>
          <w:tcPr>
            <w:tcW w:w="0" w:type="auto"/>
            <w:gridSpan w:val="3"/>
            <w:tcMar>
              <w:top w:w="0" w:type="dxa"/>
              <w:left w:w="20" w:type="dxa"/>
              <w:bottom w:w="0" w:type="dxa"/>
              <w:right w:w="20" w:type="dxa"/>
            </w:tcMar>
            <w:vAlign w:val="center"/>
            <w:hideMark/>
          </w:tcPr>
          <w:p w14:paraId="67048735" w14:textId="77777777" w:rsidR="00000000" w:rsidRDefault="00EE5306">
            <w:pPr>
              <w:spacing w:after="100"/>
              <w:jc w:val="center"/>
              <w:rPr>
                <w:rFonts w:eastAsia="Times New Roman"/>
              </w:rPr>
            </w:pPr>
          </w:p>
        </w:tc>
      </w:tr>
    </w:tbl>
    <w:p w14:paraId="7FC77109" w14:textId="77777777" w:rsidR="00000000" w:rsidRDefault="00EE5306">
      <w:pPr>
        <w:rPr>
          <w:rFonts w:eastAsia="Times New Roman"/>
        </w:rPr>
      </w:pPr>
      <w:r>
        <w:rPr>
          <w:rFonts w:eastAsia="Times New Roman"/>
        </w:rPr>
        <w:pict w14:anchorId="431B8AA5">
          <v:rect id="_x0000_i1078" style="width:0;height:1.5pt" o:hralign="center" o:hrstd="t" o:hr="t" fillcolor="#a0a0a0" stroked="f"/>
        </w:pict>
      </w:r>
    </w:p>
    <w:p w14:paraId="214866EC" w14:textId="77777777" w:rsidR="00000000" w:rsidRDefault="00EE5306">
      <w:pPr>
        <w:divId w:val="983776898"/>
        <w:rPr>
          <w:rFonts w:eastAsia="Times New Roman"/>
        </w:rPr>
      </w:pPr>
    </w:p>
    <w:p w14:paraId="71A140ED" w14:textId="77777777" w:rsidR="00000000" w:rsidRDefault="00EE5306">
      <w:pPr>
        <w:ind w:firstLine="540"/>
        <w:jc w:val="both"/>
        <w:divId w:val="1526283146"/>
        <w:rPr>
          <w:rFonts w:eastAsia="Times New Roman"/>
        </w:rPr>
      </w:pPr>
      <w:r>
        <w:rPr>
          <w:rFonts w:eastAsia="Times New Roman"/>
          <w:color w:val="000000"/>
          <w:sz w:val="20"/>
          <w:szCs w:val="20"/>
        </w:rPr>
        <w:t>Our global average store count increased by 20 stores and concession shops during Fiscal 2021 compared with the prior fiscal year, largely driven by new openings in Asia. The following table details our retail store pr</w:t>
      </w:r>
      <w:r>
        <w:rPr>
          <w:rFonts w:eastAsia="Times New Roman"/>
          <w:color w:val="000000"/>
          <w:sz w:val="20"/>
          <w:szCs w:val="20"/>
        </w:rPr>
        <w:t>esence by segment as of the periods presented:</w:t>
      </w:r>
    </w:p>
    <w:tbl>
      <w:tblPr>
        <w:tblW w:w="4729" w:type="pct"/>
        <w:tblCellMar>
          <w:top w:w="15" w:type="dxa"/>
          <w:left w:w="15" w:type="dxa"/>
          <w:bottom w:w="15" w:type="dxa"/>
          <w:right w:w="15" w:type="dxa"/>
        </w:tblCellMar>
        <w:tblLook w:val="04A0" w:firstRow="1" w:lastRow="0" w:firstColumn="1" w:lastColumn="0" w:noHBand="0" w:noVBand="1"/>
      </w:tblPr>
      <w:tblGrid>
        <w:gridCol w:w="54"/>
        <w:gridCol w:w="5173"/>
        <w:gridCol w:w="37"/>
        <w:gridCol w:w="36"/>
        <w:gridCol w:w="36"/>
        <w:gridCol w:w="36"/>
        <w:gridCol w:w="38"/>
        <w:gridCol w:w="1090"/>
        <w:gridCol w:w="36"/>
        <w:gridCol w:w="36"/>
        <w:gridCol w:w="55"/>
        <w:gridCol w:w="36"/>
        <w:gridCol w:w="54"/>
        <w:gridCol w:w="1103"/>
        <w:gridCol w:w="36"/>
      </w:tblGrid>
      <w:tr w:rsidR="00000000" w14:paraId="6298F53D" w14:textId="77777777">
        <w:trPr>
          <w:divId w:val="1271355968"/>
        </w:trPr>
        <w:tc>
          <w:tcPr>
            <w:tcW w:w="50" w:type="pct"/>
            <w:vAlign w:val="center"/>
            <w:hideMark/>
          </w:tcPr>
          <w:p w14:paraId="5244B217" w14:textId="77777777" w:rsidR="00000000" w:rsidRDefault="00EE5306">
            <w:pPr>
              <w:ind w:firstLine="540"/>
              <w:jc w:val="both"/>
              <w:rPr>
                <w:rFonts w:eastAsia="Times New Roman"/>
              </w:rPr>
            </w:pPr>
          </w:p>
        </w:tc>
        <w:tc>
          <w:tcPr>
            <w:tcW w:w="3306" w:type="pct"/>
            <w:vAlign w:val="center"/>
            <w:hideMark/>
          </w:tcPr>
          <w:p w14:paraId="30710F12" w14:textId="77777777" w:rsidR="00000000" w:rsidRDefault="00EE5306">
            <w:pPr>
              <w:spacing w:after="100"/>
              <w:rPr>
                <w:rFonts w:eastAsia="Times New Roman"/>
                <w:sz w:val="20"/>
                <w:szCs w:val="20"/>
              </w:rPr>
            </w:pPr>
          </w:p>
        </w:tc>
        <w:tc>
          <w:tcPr>
            <w:tcW w:w="5" w:type="pct"/>
            <w:vAlign w:val="center"/>
            <w:hideMark/>
          </w:tcPr>
          <w:p w14:paraId="7C5C02E5" w14:textId="77777777" w:rsidR="00000000" w:rsidRDefault="00EE5306">
            <w:pPr>
              <w:spacing w:after="100"/>
              <w:rPr>
                <w:rFonts w:eastAsia="Times New Roman"/>
                <w:sz w:val="20"/>
                <w:szCs w:val="20"/>
              </w:rPr>
            </w:pPr>
          </w:p>
        </w:tc>
        <w:tc>
          <w:tcPr>
            <w:tcW w:w="5" w:type="pct"/>
            <w:vAlign w:val="center"/>
            <w:hideMark/>
          </w:tcPr>
          <w:p w14:paraId="70E817D4" w14:textId="77777777" w:rsidR="00000000" w:rsidRDefault="00EE5306">
            <w:pPr>
              <w:spacing w:after="100"/>
              <w:rPr>
                <w:rFonts w:eastAsia="Times New Roman"/>
                <w:sz w:val="20"/>
                <w:szCs w:val="20"/>
              </w:rPr>
            </w:pPr>
          </w:p>
        </w:tc>
        <w:tc>
          <w:tcPr>
            <w:tcW w:w="28" w:type="pct"/>
            <w:vAlign w:val="center"/>
            <w:hideMark/>
          </w:tcPr>
          <w:p w14:paraId="12E71DF9" w14:textId="77777777" w:rsidR="00000000" w:rsidRDefault="00EE5306">
            <w:pPr>
              <w:spacing w:after="100"/>
              <w:rPr>
                <w:rFonts w:eastAsia="Times New Roman"/>
                <w:sz w:val="20"/>
                <w:szCs w:val="20"/>
              </w:rPr>
            </w:pPr>
          </w:p>
        </w:tc>
        <w:tc>
          <w:tcPr>
            <w:tcW w:w="5" w:type="pct"/>
            <w:vAlign w:val="center"/>
            <w:hideMark/>
          </w:tcPr>
          <w:p w14:paraId="477599F8" w14:textId="77777777" w:rsidR="00000000" w:rsidRDefault="00EE5306">
            <w:pPr>
              <w:spacing w:after="100"/>
              <w:rPr>
                <w:rFonts w:eastAsia="Times New Roman"/>
                <w:sz w:val="20"/>
                <w:szCs w:val="20"/>
              </w:rPr>
            </w:pPr>
          </w:p>
        </w:tc>
        <w:tc>
          <w:tcPr>
            <w:tcW w:w="50" w:type="pct"/>
            <w:vAlign w:val="center"/>
            <w:hideMark/>
          </w:tcPr>
          <w:p w14:paraId="05A0A7FF" w14:textId="77777777" w:rsidR="00000000" w:rsidRDefault="00EE5306">
            <w:pPr>
              <w:spacing w:after="100"/>
              <w:rPr>
                <w:rFonts w:eastAsia="Times New Roman"/>
                <w:sz w:val="20"/>
                <w:szCs w:val="20"/>
              </w:rPr>
            </w:pPr>
          </w:p>
        </w:tc>
        <w:tc>
          <w:tcPr>
            <w:tcW w:w="710" w:type="pct"/>
            <w:vAlign w:val="center"/>
            <w:hideMark/>
          </w:tcPr>
          <w:p w14:paraId="7F59A07F" w14:textId="77777777" w:rsidR="00000000" w:rsidRDefault="00EE5306">
            <w:pPr>
              <w:spacing w:after="100"/>
              <w:rPr>
                <w:rFonts w:eastAsia="Times New Roman"/>
                <w:sz w:val="20"/>
                <w:szCs w:val="20"/>
              </w:rPr>
            </w:pPr>
          </w:p>
        </w:tc>
        <w:tc>
          <w:tcPr>
            <w:tcW w:w="5" w:type="pct"/>
            <w:vAlign w:val="center"/>
            <w:hideMark/>
          </w:tcPr>
          <w:p w14:paraId="2C6F378D" w14:textId="77777777" w:rsidR="00000000" w:rsidRDefault="00EE5306">
            <w:pPr>
              <w:spacing w:after="100"/>
              <w:rPr>
                <w:rFonts w:eastAsia="Times New Roman"/>
                <w:sz w:val="20"/>
                <w:szCs w:val="20"/>
              </w:rPr>
            </w:pPr>
          </w:p>
        </w:tc>
        <w:tc>
          <w:tcPr>
            <w:tcW w:w="5" w:type="pct"/>
            <w:vAlign w:val="center"/>
            <w:hideMark/>
          </w:tcPr>
          <w:p w14:paraId="41B2E92D" w14:textId="77777777" w:rsidR="00000000" w:rsidRDefault="00EE5306">
            <w:pPr>
              <w:spacing w:after="100"/>
              <w:rPr>
                <w:rFonts w:eastAsia="Times New Roman"/>
                <w:sz w:val="20"/>
                <w:szCs w:val="20"/>
              </w:rPr>
            </w:pPr>
          </w:p>
        </w:tc>
        <w:tc>
          <w:tcPr>
            <w:tcW w:w="51" w:type="pct"/>
            <w:vAlign w:val="center"/>
            <w:hideMark/>
          </w:tcPr>
          <w:p w14:paraId="07A82BBB" w14:textId="77777777" w:rsidR="00000000" w:rsidRDefault="00EE5306">
            <w:pPr>
              <w:spacing w:after="100"/>
              <w:rPr>
                <w:rFonts w:eastAsia="Times New Roman"/>
                <w:sz w:val="20"/>
                <w:szCs w:val="20"/>
              </w:rPr>
            </w:pPr>
          </w:p>
        </w:tc>
        <w:tc>
          <w:tcPr>
            <w:tcW w:w="5" w:type="pct"/>
            <w:vAlign w:val="center"/>
            <w:hideMark/>
          </w:tcPr>
          <w:p w14:paraId="59A26A3E" w14:textId="77777777" w:rsidR="00000000" w:rsidRDefault="00EE5306">
            <w:pPr>
              <w:spacing w:after="100"/>
              <w:rPr>
                <w:rFonts w:eastAsia="Times New Roman"/>
                <w:sz w:val="20"/>
                <w:szCs w:val="20"/>
              </w:rPr>
            </w:pPr>
          </w:p>
        </w:tc>
        <w:tc>
          <w:tcPr>
            <w:tcW w:w="50" w:type="pct"/>
            <w:vAlign w:val="center"/>
            <w:hideMark/>
          </w:tcPr>
          <w:p w14:paraId="46D2A709" w14:textId="77777777" w:rsidR="00000000" w:rsidRDefault="00EE5306">
            <w:pPr>
              <w:spacing w:after="100"/>
              <w:rPr>
                <w:rFonts w:eastAsia="Times New Roman"/>
                <w:sz w:val="20"/>
                <w:szCs w:val="20"/>
              </w:rPr>
            </w:pPr>
          </w:p>
        </w:tc>
        <w:tc>
          <w:tcPr>
            <w:tcW w:w="717" w:type="pct"/>
            <w:vAlign w:val="center"/>
            <w:hideMark/>
          </w:tcPr>
          <w:p w14:paraId="1A5EEE4C" w14:textId="77777777" w:rsidR="00000000" w:rsidRDefault="00EE5306">
            <w:pPr>
              <w:spacing w:after="100"/>
              <w:rPr>
                <w:rFonts w:eastAsia="Times New Roman"/>
                <w:sz w:val="20"/>
                <w:szCs w:val="20"/>
              </w:rPr>
            </w:pPr>
          </w:p>
        </w:tc>
        <w:tc>
          <w:tcPr>
            <w:tcW w:w="5" w:type="pct"/>
            <w:vAlign w:val="center"/>
            <w:hideMark/>
          </w:tcPr>
          <w:p w14:paraId="46E88DE9" w14:textId="77777777" w:rsidR="00000000" w:rsidRDefault="00EE5306">
            <w:pPr>
              <w:spacing w:after="100"/>
              <w:rPr>
                <w:rFonts w:eastAsia="Times New Roman"/>
                <w:sz w:val="20"/>
                <w:szCs w:val="20"/>
              </w:rPr>
            </w:pPr>
          </w:p>
        </w:tc>
      </w:tr>
      <w:tr w:rsidR="00000000" w14:paraId="3939F85E" w14:textId="77777777">
        <w:trPr>
          <w:divId w:val="1271355968"/>
        </w:trPr>
        <w:tc>
          <w:tcPr>
            <w:tcW w:w="0" w:type="auto"/>
            <w:gridSpan w:val="3"/>
            <w:tcMar>
              <w:top w:w="30" w:type="dxa"/>
              <w:left w:w="20" w:type="dxa"/>
              <w:bottom w:w="30" w:type="dxa"/>
              <w:right w:w="20" w:type="dxa"/>
            </w:tcMar>
            <w:vAlign w:val="bottom"/>
            <w:hideMark/>
          </w:tcPr>
          <w:p w14:paraId="21051DF2"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C5A9F42"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1B9C98B8"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619B9A57"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7CF118"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76F06E95" w14:textId="77777777">
        <w:trPr>
          <w:divId w:val="1271355968"/>
        </w:trPr>
        <w:tc>
          <w:tcPr>
            <w:tcW w:w="0" w:type="auto"/>
            <w:gridSpan w:val="3"/>
            <w:shd w:val="clear" w:color="auto" w:fill="CCEEFF"/>
            <w:tcMar>
              <w:top w:w="30" w:type="dxa"/>
              <w:left w:w="20" w:type="dxa"/>
              <w:bottom w:w="30" w:type="dxa"/>
              <w:right w:w="20" w:type="dxa"/>
            </w:tcMar>
            <w:vAlign w:val="bottom"/>
            <w:hideMark/>
          </w:tcPr>
          <w:p w14:paraId="7FF9EF08" w14:textId="77777777" w:rsidR="00000000" w:rsidRDefault="00EE5306">
            <w:pPr>
              <w:spacing w:after="100"/>
              <w:rPr>
                <w:rFonts w:eastAsia="Times New Roman"/>
              </w:rPr>
            </w:pPr>
            <w:r>
              <w:rPr>
                <w:rFonts w:eastAsia="Times New Roman"/>
                <w:b/>
                <w:bCs/>
                <w:color w:val="000000"/>
                <w:sz w:val="20"/>
                <w:szCs w:val="20"/>
              </w:rPr>
              <w:t>Freestanding Stores:</w:t>
            </w:r>
          </w:p>
        </w:tc>
        <w:tc>
          <w:tcPr>
            <w:tcW w:w="0" w:type="auto"/>
            <w:gridSpan w:val="3"/>
            <w:shd w:val="clear" w:color="auto" w:fill="CCEEFF"/>
            <w:tcMar>
              <w:top w:w="0" w:type="dxa"/>
              <w:left w:w="20" w:type="dxa"/>
              <w:bottom w:w="0" w:type="dxa"/>
              <w:right w:w="20" w:type="dxa"/>
            </w:tcMar>
            <w:vAlign w:val="center"/>
            <w:hideMark/>
          </w:tcPr>
          <w:p w14:paraId="325411A6"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35DE0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9297E4"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D9E344" w14:textId="77777777" w:rsidR="00000000" w:rsidRDefault="00EE5306">
            <w:pPr>
              <w:spacing w:after="100"/>
              <w:rPr>
                <w:rFonts w:eastAsia="Times New Roman"/>
                <w:sz w:val="20"/>
                <w:szCs w:val="20"/>
              </w:rPr>
            </w:pPr>
          </w:p>
        </w:tc>
      </w:tr>
      <w:tr w:rsidR="00000000" w14:paraId="30801858" w14:textId="77777777">
        <w:trPr>
          <w:divId w:val="1271355968"/>
        </w:trPr>
        <w:tc>
          <w:tcPr>
            <w:tcW w:w="0" w:type="auto"/>
            <w:gridSpan w:val="3"/>
            <w:shd w:val="clear" w:color="auto" w:fill="FFFFFF"/>
            <w:tcMar>
              <w:top w:w="30" w:type="dxa"/>
              <w:left w:w="155" w:type="dxa"/>
              <w:bottom w:w="30" w:type="dxa"/>
              <w:right w:w="20" w:type="dxa"/>
            </w:tcMar>
            <w:vAlign w:val="bottom"/>
            <w:hideMark/>
          </w:tcPr>
          <w:p w14:paraId="00CF43E4"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14:paraId="2A6C3BC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3CF7E4" w14:textId="77777777" w:rsidR="00000000" w:rsidRDefault="00EE5306">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14:paraId="5EFE9B3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563B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1F0D4A" w14:textId="77777777" w:rsidR="00000000" w:rsidRDefault="00EE5306">
            <w:pPr>
              <w:spacing w:after="100"/>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14:paraId="304DB75C" w14:textId="77777777" w:rsidR="00000000" w:rsidRDefault="00EE5306">
            <w:pPr>
              <w:spacing w:after="100"/>
              <w:jc w:val="right"/>
              <w:rPr>
                <w:rFonts w:eastAsia="Times New Roman"/>
              </w:rPr>
            </w:pPr>
          </w:p>
        </w:tc>
      </w:tr>
      <w:tr w:rsidR="00000000" w14:paraId="140CD46D" w14:textId="77777777">
        <w:trPr>
          <w:divId w:val="1271355968"/>
        </w:trPr>
        <w:tc>
          <w:tcPr>
            <w:tcW w:w="0" w:type="auto"/>
            <w:gridSpan w:val="3"/>
            <w:shd w:val="clear" w:color="auto" w:fill="CCEEFF"/>
            <w:tcMar>
              <w:top w:w="30" w:type="dxa"/>
              <w:left w:w="155" w:type="dxa"/>
              <w:bottom w:w="30" w:type="dxa"/>
              <w:right w:w="20" w:type="dxa"/>
            </w:tcMar>
            <w:vAlign w:val="bottom"/>
            <w:hideMark/>
          </w:tcPr>
          <w:p w14:paraId="3D32AC3B"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14:paraId="5C06191E"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FE6AE3" w14:textId="77777777" w:rsidR="00000000" w:rsidRDefault="00EE5306">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6B57823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2C876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5420AA" w14:textId="77777777" w:rsidR="00000000" w:rsidRDefault="00EE5306">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1075D8DA" w14:textId="77777777" w:rsidR="00000000" w:rsidRDefault="00EE5306">
            <w:pPr>
              <w:spacing w:after="100"/>
              <w:jc w:val="right"/>
              <w:rPr>
                <w:rFonts w:eastAsia="Times New Roman"/>
              </w:rPr>
            </w:pPr>
          </w:p>
        </w:tc>
      </w:tr>
      <w:tr w:rsidR="00000000" w14:paraId="7A2AD887" w14:textId="77777777">
        <w:trPr>
          <w:divId w:val="1271355968"/>
        </w:trPr>
        <w:tc>
          <w:tcPr>
            <w:tcW w:w="0" w:type="auto"/>
            <w:gridSpan w:val="3"/>
            <w:shd w:val="clear" w:color="auto" w:fill="FFFFFF"/>
            <w:tcMar>
              <w:top w:w="30" w:type="dxa"/>
              <w:left w:w="155" w:type="dxa"/>
              <w:bottom w:w="30" w:type="dxa"/>
              <w:right w:w="20" w:type="dxa"/>
            </w:tcMar>
            <w:vAlign w:val="bottom"/>
            <w:hideMark/>
          </w:tcPr>
          <w:p w14:paraId="4B3E1A09"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14:paraId="2879AD3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F666E0" w14:textId="77777777" w:rsidR="00000000" w:rsidRDefault="00EE5306">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14:paraId="2DD5880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12B0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6D3A69" w14:textId="77777777" w:rsidR="00000000" w:rsidRDefault="00EE5306">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14:paraId="0B6699E7" w14:textId="77777777" w:rsidR="00000000" w:rsidRDefault="00EE5306">
            <w:pPr>
              <w:spacing w:after="100"/>
              <w:jc w:val="right"/>
              <w:rPr>
                <w:rFonts w:eastAsia="Times New Roman"/>
              </w:rPr>
            </w:pPr>
          </w:p>
        </w:tc>
      </w:tr>
      <w:tr w:rsidR="00000000" w14:paraId="2CC6E1B4" w14:textId="77777777">
        <w:trPr>
          <w:divId w:val="1271355968"/>
        </w:trPr>
        <w:tc>
          <w:tcPr>
            <w:tcW w:w="0" w:type="auto"/>
            <w:gridSpan w:val="3"/>
            <w:shd w:val="clear" w:color="auto" w:fill="CCEEFF"/>
            <w:tcMar>
              <w:top w:w="30" w:type="dxa"/>
              <w:left w:w="155" w:type="dxa"/>
              <w:bottom w:w="30" w:type="dxa"/>
              <w:right w:w="20" w:type="dxa"/>
            </w:tcMar>
            <w:vAlign w:val="bottom"/>
            <w:hideMark/>
          </w:tcPr>
          <w:p w14:paraId="58C1BA4A"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14:paraId="1B147D7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1E8DEE" w14:textId="77777777" w:rsidR="00000000" w:rsidRDefault="00EE5306">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3B37D0C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1631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372C6" w14:textId="77777777" w:rsidR="00000000" w:rsidRDefault="00EE5306">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14:paraId="7466F4B6" w14:textId="77777777" w:rsidR="00000000" w:rsidRDefault="00EE5306">
            <w:pPr>
              <w:spacing w:after="100"/>
              <w:jc w:val="right"/>
              <w:rPr>
                <w:rFonts w:eastAsia="Times New Roman"/>
              </w:rPr>
            </w:pPr>
          </w:p>
        </w:tc>
      </w:tr>
      <w:tr w:rsidR="00000000" w14:paraId="5FA5D70F" w14:textId="77777777">
        <w:trPr>
          <w:divId w:val="1271355968"/>
        </w:trPr>
        <w:tc>
          <w:tcPr>
            <w:tcW w:w="0" w:type="auto"/>
            <w:gridSpan w:val="3"/>
            <w:shd w:val="clear" w:color="auto" w:fill="FFFFFF"/>
            <w:tcMar>
              <w:top w:w="30" w:type="dxa"/>
              <w:left w:w="245" w:type="dxa"/>
              <w:bottom w:w="30" w:type="dxa"/>
              <w:right w:w="20" w:type="dxa"/>
            </w:tcMar>
            <w:vAlign w:val="bottom"/>
            <w:hideMark/>
          </w:tcPr>
          <w:p w14:paraId="64CD8C55" w14:textId="77777777" w:rsidR="00000000" w:rsidRDefault="00EE5306">
            <w:pPr>
              <w:spacing w:after="100"/>
              <w:rPr>
                <w:rFonts w:eastAsia="Times New Roman"/>
              </w:rPr>
            </w:pPr>
            <w:r>
              <w:rPr>
                <w:rFonts w:eastAsia="Times New Roman"/>
                <w:color w:val="000000"/>
                <w:sz w:val="20"/>
                <w:szCs w:val="20"/>
              </w:rPr>
              <w:t>Total freestanding stores</w:t>
            </w:r>
          </w:p>
        </w:tc>
        <w:tc>
          <w:tcPr>
            <w:tcW w:w="0" w:type="auto"/>
            <w:gridSpan w:val="3"/>
            <w:shd w:val="clear" w:color="auto" w:fill="FFFFFF"/>
            <w:tcMar>
              <w:top w:w="0" w:type="dxa"/>
              <w:left w:w="20" w:type="dxa"/>
              <w:bottom w:w="0" w:type="dxa"/>
              <w:right w:w="20" w:type="dxa"/>
            </w:tcMar>
            <w:vAlign w:val="center"/>
            <w:hideMark/>
          </w:tcPr>
          <w:p w14:paraId="3C8D7FD5"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6DD7E3" w14:textId="77777777" w:rsidR="00000000" w:rsidRDefault="00EE5306">
            <w:pPr>
              <w:spacing w:after="100"/>
              <w:jc w:val="right"/>
              <w:rPr>
                <w:rFonts w:eastAsia="Times New Roman"/>
              </w:rPr>
            </w:pPr>
            <w:r>
              <w:rPr>
                <w:rFonts w:eastAsia="Times New Roman"/>
                <w:color w:val="000000"/>
                <w:sz w:val="20"/>
                <w:szCs w:val="20"/>
              </w:rPr>
              <w:t>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FFDA3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30CAD"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EA387D" w14:textId="77777777" w:rsidR="00000000" w:rsidRDefault="00EE5306">
            <w:pPr>
              <w:spacing w:after="100"/>
              <w:jc w:val="right"/>
              <w:rPr>
                <w:rFonts w:eastAsia="Times New Roman"/>
              </w:rPr>
            </w:pPr>
            <w:r>
              <w:rPr>
                <w:rFonts w:eastAsia="Times New Roman"/>
                <w:color w:val="000000"/>
                <w:sz w:val="20"/>
                <w:szCs w:val="20"/>
              </w:rPr>
              <w:t>530 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86061F" w14:textId="77777777" w:rsidR="00000000" w:rsidRDefault="00EE5306">
            <w:pPr>
              <w:spacing w:after="100"/>
              <w:jc w:val="right"/>
              <w:rPr>
                <w:rFonts w:eastAsia="Times New Roman"/>
              </w:rPr>
            </w:pPr>
          </w:p>
        </w:tc>
      </w:tr>
      <w:tr w:rsidR="00000000" w14:paraId="528B4998" w14:textId="77777777">
        <w:trPr>
          <w:divId w:val="1271355968"/>
          <w:trHeight w:val="180"/>
        </w:trPr>
        <w:tc>
          <w:tcPr>
            <w:tcW w:w="0" w:type="auto"/>
            <w:gridSpan w:val="3"/>
            <w:shd w:val="clear" w:color="auto" w:fill="CCEEFF"/>
            <w:tcMar>
              <w:top w:w="0" w:type="dxa"/>
              <w:left w:w="20" w:type="dxa"/>
              <w:bottom w:w="0" w:type="dxa"/>
              <w:right w:w="20" w:type="dxa"/>
            </w:tcMar>
            <w:vAlign w:val="center"/>
            <w:hideMark/>
          </w:tcPr>
          <w:p w14:paraId="783847C4"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262AE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49C8B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A5458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6854D6" w14:textId="77777777" w:rsidR="00000000" w:rsidRDefault="00EE5306">
            <w:pPr>
              <w:spacing w:after="100"/>
              <w:rPr>
                <w:rFonts w:eastAsia="Times New Roman"/>
                <w:sz w:val="20"/>
                <w:szCs w:val="20"/>
              </w:rPr>
            </w:pPr>
          </w:p>
        </w:tc>
      </w:tr>
      <w:tr w:rsidR="00000000" w14:paraId="4B0CABC3" w14:textId="77777777">
        <w:trPr>
          <w:divId w:val="1271355968"/>
        </w:trPr>
        <w:tc>
          <w:tcPr>
            <w:tcW w:w="0" w:type="auto"/>
            <w:gridSpan w:val="3"/>
            <w:shd w:val="clear" w:color="auto" w:fill="FFFFFF"/>
            <w:tcMar>
              <w:top w:w="30" w:type="dxa"/>
              <w:left w:w="20" w:type="dxa"/>
              <w:bottom w:w="30" w:type="dxa"/>
              <w:right w:w="20" w:type="dxa"/>
            </w:tcMar>
            <w:vAlign w:val="bottom"/>
            <w:hideMark/>
          </w:tcPr>
          <w:p w14:paraId="4493315F" w14:textId="77777777" w:rsidR="00000000" w:rsidRDefault="00EE5306">
            <w:pPr>
              <w:spacing w:after="100"/>
              <w:rPr>
                <w:rFonts w:eastAsia="Times New Roman"/>
              </w:rPr>
            </w:pPr>
            <w:r>
              <w:rPr>
                <w:rFonts w:eastAsia="Times New Roman"/>
                <w:b/>
                <w:bCs/>
                <w:color w:val="000000"/>
                <w:sz w:val="20"/>
                <w:szCs w:val="20"/>
              </w:rPr>
              <w:t>Concession Shops:</w:t>
            </w:r>
          </w:p>
        </w:tc>
        <w:tc>
          <w:tcPr>
            <w:tcW w:w="0" w:type="auto"/>
            <w:gridSpan w:val="3"/>
            <w:shd w:val="clear" w:color="auto" w:fill="FFFFFF"/>
            <w:tcMar>
              <w:top w:w="0" w:type="dxa"/>
              <w:left w:w="20" w:type="dxa"/>
              <w:bottom w:w="0" w:type="dxa"/>
              <w:right w:w="20" w:type="dxa"/>
            </w:tcMar>
            <w:vAlign w:val="center"/>
            <w:hideMark/>
          </w:tcPr>
          <w:p w14:paraId="5DD9EB97"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FF72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29008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0572A9" w14:textId="77777777" w:rsidR="00000000" w:rsidRDefault="00EE5306">
            <w:pPr>
              <w:spacing w:after="100"/>
              <w:rPr>
                <w:rFonts w:eastAsia="Times New Roman"/>
                <w:sz w:val="20"/>
                <w:szCs w:val="20"/>
              </w:rPr>
            </w:pPr>
          </w:p>
        </w:tc>
      </w:tr>
      <w:tr w:rsidR="00000000" w14:paraId="76EA22AF" w14:textId="77777777">
        <w:trPr>
          <w:divId w:val="1271355968"/>
        </w:trPr>
        <w:tc>
          <w:tcPr>
            <w:tcW w:w="0" w:type="auto"/>
            <w:gridSpan w:val="3"/>
            <w:shd w:val="clear" w:color="auto" w:fill="CCEEFF"/>
            <w:tcMar>
              <w:top w:w="30" w:type="dxa"/>
              <w:left w:w="155" w:type="dxa"/>
              <w:bottom w:w="30" w:type="dxa"/>
              <w:right w:w="20" w:type="dxa"/>
            </w:tcMar>
            <w:vAlign w:val="bottom"/>
            <w:hideMark/>
          </w:tcPr>
          <w:p w14:paraId="4026471C"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14:paraId="1782CCE6"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FB5139" w14:textId="77777777" w:rsidR="00000000" w:rsidRDefault="00EE5306">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767BDF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F07B4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B67A56" w14:textId="77777777" w:rsidR="00000000" w:rsidRDefault="00EE5306">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707FEE69" w14:textId="77777777" w:rsidR="00000000" w:rsidRDefault="00EE5306">
            <w:pPr>
              <w:spacing w:after="100"/>
              <w:jc w:val="right"/>
              <w:rPr>
                <w:rFonts w:eastAsia="Times New Roman"/>
              </w:rPr>
            </w:pPr>
          </w:p>
        </w:tc>
      </w:tr>
      <w:tr w:rsidR="00000000" w14:paraId="4A6954DB" w14:textId="77777777">
        <w:trPr>
          <w:divId w:val="1271355968"/>
        </w:trPr>
        <w:tc>
          <w:tcPr>
            <w:tcW w:w="0" w:type="auto"/>
            <w:gridSpan w:val="3"/>
            <w:shd w:val="clear" w:color="auto" w:fill="FFFFFF"/>
            <w:tcMar>
              <w:top w:w="30" w:type="dxa"/>
              <w:left w:w="155" w:type="dxa"/>
              <w:bottom w:w="30" w:type="dxa"/>
              <w:right w:w="20" w:type="dxa"/>
            </w:tcMar>
            <w:vAlign w:val="bottom"/>
            <w:hideMark/>
          </w:tcPr>
          <w:p w14:paraId="0F418D30"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14:paraId="60D2166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B2F89C" w14:textId="77777777" w:rsidR="00000000" w:rsidRDefault="00EE5306">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4AF86E8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54CF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569FB5" w14:textId="77777777" w:rsidR="00000000" w:rsidRDefault="00EE5306">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3339C5E3" w14:textId="77777777" w:rsidR="00000000" w:rsidRDefault="00EE5306">
            <w:pPr>
              <w:spacing w:after="100"/>
              <w:jc w:val="right"/>
              <w:rPr>
                <w:rFonts w:eastAsia="Times New Roman"/>
              </w:rPr>
            </w:pPr>
          </w:p>
        </w:tc>
      </w:tr>
      <w:tr w:rsidR="00000000" w14:paraId="6CEFD117" w14:textId="77777777">
        <w:trPr>
          <w:divId w:val="1271355968"/>
        </w:trPr>
        <w:tc>
          <w:tcPr>
            <w:tcW w:w="0" w:type="auto"/>
            <w:gridSpan w:val="3"/>
            <w:shd w:val="clear" w:color="auto" w:fill="CCEEFF"/>
            <w:tcMar>
              <w:top w:w="30" w:type="dxa"/>
              <w:left w:w="155" w:type="dxa"/>
              <w:bottom w:w="30" w:type="dxa"/>
              <w:right w:w="20" w:type="dxa"/>
            </w:tcMar>
            <w:vAlign w:val="bottom"/>
            <w:hideMark/>
          </w:tcPr>
          <w:p w14:paraId="45E922A9"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14:paraId="1BE383B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40C08D" w14:textId="77777777" w:rsidR="00000000" w:rsidRDefault="00EE5306">
            <w:pPr>
              <w:spacing w:after="100"/>
              <w:jc w:val="right"/>
              <w:rPr>
                <w:rFonts w:eastAsia="Times New Roman"/>
              </w:rPr>
            </w:pPr>
            <w:r>
              <w:rPr>
                <w:rFonts w:eastAsia="Times New Roman"/>
                <w:color w:val="000000"/>
                <w:sz w:val="20"/>
                <w:szCs w:val="20"/>
              </w:rPr>
              <w:t>616 </w:t>
            </w:r>
          </w:p>
        </w:tc>
        <w:tc>
          <w:tcPr>
            <w:tcW w:w="0" w:type="auto"/>
            <w:shd w:val="clear" w:color="auto" w:fill="CCEEFF"/>
            <w:tcMar>
              <w:top w:w="30" w:type="dxa"/>
              <w:left w:w="0" w:type="dxa"/>
              <w:bottom w:w="30" w:type="dxa"/>
              <w:right w:w="20" w:type="dxa"/>
            </w:tcMar>
            <w:vAlign w:val="bottom"/>
            <w:hideMark/>
          </w:tcPr>
          <w:p w14:paraId="0927962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7063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776755" w14:textId="77777777" w:rsidR="00000000" w:rsidRDefault="00EE5306">
            <w:pPr>
              <w:spacing w:after="100"/>
              <w:jc w:val="right"/>
              <w:rPr>
                <w:rFonts w:eastAsia="Times New Roman"/>
              </w:rPr>
            </w:pPr>
            <w:r>
              <w:rPr>
                <w:rFonts w:eastAsia="Times New Roman"/>
                <w:color w:val="000000"/>
                <w:sz w:val="20"/>
                <w:szCs w:val="20"/>
              </w:rPr>
              <w:t>619 </w:t>
            </w:r>
          </w:p>
        </w:tc>
        <w:tc>
          <w:tcPr>
            <w:tcW w:w="0" w:type="auto"/>
            <w:shd w:val="clear" w:color="auto" w:fill="CCEEFF"/>
            <w:tcMar>
              <w:top w:w="30" w:type="dxa"/>
              <w:left w:w="0" w:type="dxa"/>
              <w:bottom w:w="30" w:type="dxa"/>
              <w:right w:w="20" w:type="dxa"/>
            </w:tcMar>
            <w:vAlign w:val="bottom"/>
            <w:hideMark/>
          </w:tcPr>
          <w:p w14:paraId="25C40B3C" w14:textId="77777777" w:rsidR="00000000" w:rsidRDefault="00EE5306">
            <w:pPr>
              <w:spacing w:after="100"/>
              <w:jc w:val="right"/>
              <w:rPr>
                <w:rFonts w:eastAsia="Times New Roman"/>
              </w:rPr>
            </w:pPr>
          </w:p>
        </w:tc>
      </w:tr>
      <w:tr w:rsidR="00000000" w14:paraId="22172C1A" w14:textId="77777777">
        <w:trPr>
          <w:divId w:val="1271355968"/>
        </w:trPr>
        <w:tc>
          <w:tcPr>
            <w:tcW w:w="0" w:type="auto"/>
            <w:gridSpan w:val="3"/>
            <w:shd w:val="clear" w:color="auto" w:fill="FFFFFF"/>
            <w:tcMar>
              <w:top w:w="30" w:type="dxa"/>
              <w:left w:w="155" w:type="dxa"/>
              <w:bottom w:w="30" w:type="dxa"/>
              <w:right w:w="20" w:type="dxa"/>
            </w:tcMar>
            <w:vAlign w:val="bottom"/>
            <w:hideMark/>
          </w:tcPr>
          <w:p w14:paraId="47354675"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FFFFFF"/>
            <w:tcMar>
              <w:top w:w="0" w:type="dxa"/>
              <w:left w:w="20" w:type="dxa"/>
              <w:bottom w:w="0" w:type="dxa"/>
              <w:right w:w="20" w:type="dxa"/>
            </w:tcMar>
            <w:vAlign w:val="center"/>
            <w:hideMark/>
          </w:tcPr>
          <w:p w14:paraId="61DCCDF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D595C7" w14:textId="77777777" w:rsidR="00000000" w:rsidRDefault="00EE5306">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12DFDD7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006E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5C29C" w14:textId="77777777" w:rsidR="00000000" w:rsidRDefault="00EE5306">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7517835B" w14:textId="77777777" w:rsidR="00000000" w:rsidRDefault="00EE5306">
            <w:pPr>
              <w:spacing w:after="100"/>
              <w:jc w:val="right"/>
              <w:rPr>
                <w:rFonts w:eastAsia="Times New Roman"/>
              </w:rPr>
            </w:pPr>
          </w:p>
        </w:tc>
      </w:tr>
      <w:tr w:rsidR="00000000" w14:paraId="2545FA16" w14:textId="77777777">
        <w:trPr>
          <w:divId w:val="1271355968"/>
        </w:trPr>
        <w:tc>
          <w:tcPr>
            <w:tcW w:w="0" w:type="auto"/>
            <w:gridSpan w:val="3"/>
            <w:shd w:val="clear" w:color="auto" w:fill="CCEEFF"/>
            <w:tcMar>
              <w:top w:w="30" w:type="dxa"/>
              <w:left w:w="245" w:type="dxa"/>
              <w:bottom w:w="30" w:type="dxa"/>
              <w:right w:w="20" w:type="dxa"/>
            </w:tcMar>
            <w:vAlign w:val="bottom"/>
            <w:hideMark/>
          </w:tcPr>
          <w:p w14:paraId="6E03B4D7" w14:textId="77777777" w:rsidR="00000000" w:rsidRDefault="00EE5306">
            <w:pPr>
              <w:spacing w:after="100"/>
              <w:rPr>
                <w:rFonts w:eastAsia="Times New Roman"/>
              </w:rPr>
            </w:pPr>
            <w:r>
              <w:rPr>
                <w:rFonts w:eastAsia="Times New Roman"/>
                <w:color w:val="000000"/>
                <w:sz w:val="20"/>
                <w:szCs w:val="20"/>
              </w:rPr>
              <w:t>Total concession shops</w:t>
            </w:r>
          </w:p>
        </w:tc>
        <w:tc>
          <w:tcPr>
            <w:tcW w:w="0" w:type="auto"/>
            <w:gridSpan w:val="3"/>
            <w:shd w:val="clear" w:color="auto" w:fill="CCEEFF"/>
            <w:tcMar>
              <w:top w:w="0" w:type="dxa"/>
              <w:left w:w="20" w:type="dxa"/>
              <w:bottom w:w="0" w:type="dxa"/>
              <w:right w:w="20" w:type="dxa"/>
            </w:tcMar>
            <w:vAlign w:val="center"/>
            <w:hideMark/>
          </w:tcPr>
          <w:p w14:paraId="1F3D7C51"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D6EB99" w14:textId="77777777" w:rsidR="00000000" w:rsidRDefault="00EE5306">
            <w:pPr>
              <w:spacing w:after="100"/>
              <w:jc w:val="right"/>
              <w:rPr>
                <w:rFonts w:eastAsia="Times New Roman"/>
              </w:rPr>
            </w:pPr>
            <w:r>
              <w:rPr>
                <w:rFonts w:eastAsia="Times New Roman"/>
                <w:color w:val="000000"/>
                <w:sz w:val="20"/>
                <w:szCs w:val="20"/>
              </w:rPr>
              <w:t>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18FA9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523A90"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9D79A1" w14:textId="77777777" w:rsidR="00000000" w:rsidRDefault="00EE5306">
            <w:pPr>
              <w:spacing w:after="100"/>
              <w:jc w:val="right"/>
              <w:rPr>
                <w:rFonts w:eastAsia="Times New Roman"/>
              </w:rPr>
            </w:pPr>
            <w:r>
              <w:rPr>
                <w:rFonts w:eastAsia="Times New Roman"/>
                <w:color w:val="000000"/>
                <w:sz w:val="20"/>
                <w:szCs w:val="20"/>
              </w:rPr>
              <w:t>654 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501518" w14:textId="77777777" w:rsidR="00000000" w:rsidRDefault="00EE5306">
            <w:pPr>
              <w:spacing w:after="100"/>
              <w:jc w:val="right"/>
              <w:rPr>
                <w:rFonts w:eastAsia="Times New Roman"/>
              </w:rPr>
            </w:pPr>
          </w:p>
        </w:tc>
      </w:tr>
      <w:tr w:rsidR="00000000" w14:paraId="41F38619" w14:textId="77777777">
        <w:trPr>
          <w:divId w:val="1271355968"/>
        </w:trPr>
        <w:tc>
          <w:tcPr>
            <w:tcW w:w="0" w:type="auto"/>
            <w:gridSpan w:val="3"/>
            <w:shd w:val="clear" w:color="auto" w:fill="FFFFFF"/>
            <w:tcMar>
              <w:top w:w="30" w:type="dxa"/>
              <w:left w:w="380" w:type="dxa"/>
              <w:bottom w:w="30" w:type="dxa"/>
              <w:right w:w="20" w:type="dxa"/>
            </w:tcMar>
            <w:vAlign w:val="bottom"/>
            <w:hideMark/>
          </w:tcPr>
          <w:p w14:paraId="0897D298" w14:textId="77777777" w:rsidR="00000000" w:rsidRDefault="00EE5306">
            <w:pPr>
              <w:spacing w:after="100"/>
              <w:rPr>
                <w:rFonts w:eastAsia="Times New Roman"/>
              </w:rPr>
            </w:pPr>
            <w:r>
              <w:rPr>
                <w:rFonts w:eastAsia="Times New Roman"/>
                <w:color w:val="000000"/>
                <w:sz w:val="20"/>
                <w:szCs w:val="20"/>
              </w:rPr>
              <w:t>Total stores</w:t>
            </w:r>
          </w:p>
        </w:tc>
        <w:tc>
          <w:tcPr>
            <w:tcW w:w="0" w:type="auto"/>
            <w:gridSpan w:val="3"/>
            <w:shd w:val="clear" w:color="auto" w:fill="FFFFFF"/>
            <w:tcMar>
              <w:top w:w="0" w:type="dxa"/>
              <w:left w:w="20" w:type="dxa"/>
              <w:bottom w:w="0" w:type="dxa"/>
              <w:right w:w="20" w:type="dxa"/>
            </w:tcMar>
            <w:vAlign w:val="center"/>
            <w:hideMark/>
          </w:tcPr>
          <w:p w14:paraId="4376D853"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55D074" w14:textId="77777777" w:rsidR="00000000" w:rsidRDefault="00EE5306">
            <w:pPr>
              <w:spacing w:after="100"/>
              <w:jc w:val="right"/>
              <w:rPr>
                <w:rFonts w:eastAsia="Times New Roman"/>
              </w:rPr>
            </w:pPr>
            <w:r>
              <w:rPr>
                <w:rFonts w:eastAsia="Times New Roman"/>
                <w:color w:val="000000"/>
                <w:sz w:val="20"/>
                <w:szCs w:val="20"/>
              </w:rPr>
              <w:t>1,198 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2AC5F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FA3834" w14:textId="77777777" w:rsidR="00000000" w:rsidRDefault="00EE530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4AECB1" w14:textId="77777777" w:rsidR="00000000" w:rsidRDefault="00EE5306">
            <w:pPr>
              <w:spacing w:after="100"/>
              <w:jc w:val="right"/>
              <w:rPr>
                <w:rFonts w:eastAsia="Times New Roman"/>
              </w:rPr>
            </w:pPr>
            <w:r>
              <w:rPr>
                <w:rFonts w:eastAsia="Times New Roman"/>
                <w:color w:val="000000"/>
                <w:sz w:val="20"/>
                <w:szCs w:val="20"/>
              </w:rPr>
              <w:t>1,184 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673F49" w14:textId="77777777" w:rsidR="00000000" w:rsidRDefault="00EE5306">
            <w:pPr>
              <w:spacing w:after="100"/>
              <w:jc w:val="right"/>
              <w:rPr>
                <w:rFonts w:eastAsia="Times New Roman"/>
              </w:rPr>
            </w:pPr>
          </w:p>
        </w:tc>
      </w:tr>
    </w:tbl>
    <w:p w14:paraId="366C37DD" w14:textId="77777777" w:rsidR="00000000" w:rsidRDefault="00EE5306">
      <w:pPr>
        <w:ind w:firstLine="540"/>
        <w:jc w:val="both"/>
        <w:divId w:val="1995837442"/>
        <w:rPr>
          <w:rFonts w:eastAsia="Times New Roman"/>
        </w:rPr>
      </w:pPr>
      <w:r>
        <w:rPr>
          <w:rFonts w:eastAsia="Times New Roman"/>
          <w:color w:val="000000"/>
          <w:sz w:val="20"/>
          <w:szCs w:val="20"/>
        </w:rPr>
        <w:t>In addition to our stores, we sell products online in North America, Europe, and Asia through our various digital commerce sites, as well as through our Polo mobile app in North America and the United Kingdom. We also sell products online through various t</w:t>
      </w:r>
      <w:r>
        <w:rPr>
          <w:rFonts w:eastAsia="Times New Roman"/>
          <w:color w:val="000000"/>
          <w:sz w:val="20"/>
          <w:szCs w:val="20"/>
        </w:rPr>
        <w:t>hird-party digital partner commerce sites, primarily in Asia.</w:t>
      </w:r>
    </w:p>
    <w:p w14:paraId="70A7D766" w14:textId="77777777" w:rsidR="00000000" w:rsidRDefault="00EE5306">
      <w:pPr>
        <w:ind w:firstLine="540"/>
        <w:jc w:val="both"/>
        <w:divId w:val="737677576"/>
        <w:rPr>
          <w:rFonts w:eastAsia="Times New Roman"/>
        </w:rPr>
      </w:pPr>
      <w:r>
        <w:rPr>
          <w:rFonts w:eastAsia="Times New Roman"/>
          <w:color w:val="000000"/>
          <w:sz w:val="20"/>
          <w:szCs w:val="20"/>
        </w:rPr>
        <w:t>Net revenues for our segments, as well as a discussion of the changes in each reportable segment's net revenues from the prior fiscal year, are provided below:</w:t>
      </w:r>
    </w:p>
    <w:tbl>
      <w:tblPr>
        <w:tblW w:w="4729" w:type="pct"/>
        <w:tblCellMar>
          <w:top w:w="15" w:type="dxa"/>
          <w:left w:w="15" w:type="dxa"/>
          <w:bottom w:w="15" w:type="dxa"/>
          <w:right w:w="15" w:type="dxa"/>
        </w:tblCellMar>
        <w:tblLook w:val="04A0" w:firstRow="1" w:lastRow="0" w:firstColumn="1" w:lastColumn="0" w:noHBand="0" w:noVBand="1"/>
      </w:tblPr>
      <w:tblGrid>
        <w:gridCol w:w="39"/>
        <w:gridCol w:w="1351"/>
        <w:gridCol w:w="38"/>
        <w:gridCol w:w="36"/>
        <w:gridCol w:w="36"/>
        <w:gridCol w:w="36"/>
        <w:gridCol w:w="110"/>
        <w:gridCol w:w="585"/>
        <w:gridCol w:w="36"/>
        <w:gridCol w:w="36"/>
        <w:gridCol w:w="36"/>
        <w:gridCol w:w="36"/>
        <w:gridCol w:w="110"/>
        <w:gridCol w:w="585"/>
        <w:gridCol w:w="36"/>
        <w:gridCol w:w="36"/>
        <w:gridCol w:w="36"/>
        <w:gridCol w:w="36"/>
        <w:gridCol w:w="110"/>
        <w:gridCol w:w="660"/>
        <w:gridCol w:w="36"/>
        <w:gridCol w:w="36"/>
        <w:gridCol w:w="36"/>
        <w:gridCol w:w="36"/>
        <w:gridCol w:w="111"/>
        <w:gridCol w:w="627"/>
        <w:gridCol w:w="36"/>
        <w:gridCol w:w="36"/>
        <w:gridCol w:w="36"/>
        <w:gridCol w:w="36"/>
        <w:gridCol w:w="110"/>
        <w:gridCol w:w="660"/>
        <w:gridCol w:w="36"/>
        <w:gridCol w:w="36"/>
        <w:gridCol w:w="36"/>
        <w:gridCol w:w="36"/>
        <w:gridCol w:w="73"/>
        <w:gridCol w:w="600"/>
        <w:gridCol w:w="230"/>
        <w:gridCol w:w="36"/>
        <w:gridCol w:w="36"/>
        <w:gridCol w:w="36"/>
        <w:gridCol w:w="75"/>
        <w:gridCol w:w="616"/>
        <w:gridCol w:w="230"/>
      </w:tblGrid>
      <w:tr w:rsidR="00000000" w14:paraId="3E06283C" w14:textId="77777777">
        <w:trPr>
          <w:divId w:val="2041468778"/>
        </w:trPr>
        <w:tc>
          <w:tcPr>
            <w:tcW w:w="50" w:type="pct"/>
            <w:vAlign w:val="center"/>
            <w:hideMark/>
          </w:tcPr>
          <w:p w14:paraId="71FF5425" w14:textId="77777777" w:rsidR="00000000" w:rsidRDefault="00EE5306">
            <w:pPr>
              <w:ind w:firstLine="540"/>
              <w:jc w:val="both"/>
              <w:rPr>
                <w:rFonts w:eastAsia="Times New Roman"/>
              </w:rPr>
            </w:pPr>
          </w:p>
        </w:tc>
        <w:tc>
          <w:tcPr>
            <w:tcW w:w="1297" w:type="pct"/>
            <w:vAlign w:val="center"/>
            <w:hideMark/>
          </w:tcPr>
          <w:p w14:paraId="6B4C0573" w14:textId="77777777" w:rsidR="00000000" w:rsidRDefault="00EE5306">
            <w:pPr>
              <w:spacing w:after="100"/>
              <w:rPr>
                <w:rFonts w:eastAsia="Times New Roman"/>
                <w:sz w:val="20"/>
                <w:szCs w:val="20"/>
              </w:rPr>
            </w:pPr>
          </w:p>
        </w:tc>
        <w:tc>
          <w:tcPr>
            <w:tcW w:w="5" w:type="pct"/>
            <w:vAlign w:val="center"/>
            <w:hideMark/>
          </w:tcPr>
          <w:p w14:paraId="5E7A1046" w14:textId="77777777" w:rsidR="00000000" w:rsidRDefault="00EE5306">
            <w:pPr>
              <w:spacing w:after="100"/>
              <w:rPr>
                <w:rFonts w:eastAsia="Times New Roman"/>
                <w:sz w:val="20"/>
                <w:szCs w:val="20"/>
              </w:rPr>
            </w:pPr>
          </w:p>
        </w:tc>
        <w:tc>
          <w:tcPr>
            <w:tcW w:w="5" w:type="pct"/>
            <w:vAlign w:val="center"/>
            <w:hideMark/>
          </w:tcPr>
          <w:p w14:paraId="0BCF453E" w14:textId="77777777" w:rsidR="00000000" w:rsidRDefault="00EE5306">
            <w:pPr>
              <w:spacing w:after="100"/>
              <w:rPr>
                <w:rFonts w:eastAsia="Times New Roman"/>
                <w:sz w:val="20"/>
                <w:szCs w:val="20"/>
              </w:rPr>
            </w:pPr>
          </w:p>
        </w:tc>
        <w:tc>
          <w:tcPr>
            <w:tcW w:w="28" w:type="pct"/>
            <w:vAlign w:val="center"/>
            <w:hideMark/>
          </w:tcPr>
          <w:p w14:paraId="29A02002" w14:textId="77777777" w:rsidR="00000000" w:rsidRDefault="00EE5306">
            <w:pPr>
              <w:spacing w:after="100"/>
              <w:rPr>
                <w:rFonts w:eastAsia="Times New Roman"/>
                <w:sz w:val="20"/>
                <w:szCs w:val="20"/>
              </w:rPr>
            </w:pPr>
          </w:p>
        </w:tc>
        <w:tc>
          <w:tcPr>
            <w:tcW w:w="5" w:type="pct"/>
            <w:vAlign w:val="center"/>
            <w:hideMark/>
          </w:tcPr>
          <w:p w14:paraId="7EF8C750" w14:textId="77777777" w:rsidR="00000000" w:rsidRDefault="00EE5306">
            <w:pPr>
              <w:spacing w:after="100"/>
              <w:rPr>
                <w:rFonts w:eastAsia="Times New Roman"/>
                <w:sz w:val="20"/>
                <w:szCs w:val="20"/>
              </w:rPr>
            </w:pPr>
          </w:p>
        </w:tc>
        <w:tc>
          <w:tcPr>
            <w:tcW w:w="50" w:type="pct"/>
            <w:vAlign w:val="center"/>
            <w:hideMark/>
          </w:tcPr>
          <w:p w14:paraId="2903390E" w14:textId="77777777" w:rsidR="00000000" w:rsidRDefault="00EE5306">
            <w:pPr>
              <w:spacing w:after="100"/>
              <w:rPr>
                <w:rFonts w:eastAsia="Times New Roman"/>
                <w:sz w:val="20"/>
                <w:szCs w:val="20"/>
              </w:rPr>
            </w:pPr>
          </w:p>
        </w:tc>
        <w:tc>
          <w:tcPr>
            <w:tcW w:w="431" w:type="pct"/>
            <w:vAlign w:val="center"/>
            <w:hideMark/>
          </w:tcPr>
          <w:p w14:paraId="7BB0A4A0" w14:textId="77777777" w:rsidR="00000000" w:rsidRDefault="00EE5306">
            <w:pPr>
              <w:spacing w:after="100"/>
              <w:rPr>
                <w:rFonts w:eastAsia="Times New Roman"/>
                <w:sz w:val="20"/>
                <w:szCs w:val="20"/>
              </w:rPr>
            </w:pPr>
          </w:p>
        </w:tc>
        <w:tc>
          <w:tcPr>
            <w:tcW w:w="5" w:type="pct"/>
            <w:vAlign w:val="center"/>
            <w:hideMark/>
          </w:tcPr>
          <w:p w14:paraId="42A88676" w14:textId="77777777" w:rsidR="00000000" w:rsidRDefault="00EE5306">
            <w:pPr>
              <w:spacing w:after="100"/>
              <w:rPr>
                <w:rFonts w:eastAsia="Times New Roman"/>
                <w:sz w:val="20"/>
                <w:szCs w:val="20"/>
              </w:rPr>
            </w:pPr>
          </w:p>
        </w:tc>
        <w:tc>
          <w:tcPr>
            <w:tcW w:w="5" w:type="pct"/>
            <w:vAlign w:val="center"/>
            <w:hideMark/>
          </w:tcPr>
          <w:p w14:paraId="563B2BEA" w14:textId="77777777" w:rsidR="00000000" w:rsidRDefault="00EE5306">
            <w:pPr>
              <w:spacing w:after="100"/>
              <w:rPr>
                <w:rFonts w:eastAsia="Times New Roman"/>
                <w:sz w:val="20"/>
                <w:szCs w:val="20"/>
              </w:rPr>
            </w:pPr>
          </w:p>
        </w:tc>
        <w:tc>
          <w:tcPr>
            <w:tcW w:w="28" w:type="pct"/>
            <w:vAlign w:val="center"/>
            <w:hideMark/>
          </w:tcPr>
          <w:p w14:paraId="3710A20D" w14:textId="77777777" w:rsidR="00000000" w:rsidRDefault="00EE5306">
            <w:pPr>
              <w:spacing w:after="100"/>
              <w:rPr>
                <w:rFonts w:eastAsia="Times New Roman"/>
                <w:sz w:val="20"/>
                <w:szCs w:val="20"/>
              </w:rPr>
            </w:pPr>
          </w:p>
        </w:tc>
        <w:tc>
          <w:tcPr>
            <w:tcW w:w="5" w:type="pct"/>
            <w:vAlign w:val="center"/>
            <w:hideMark/>
          </w:tcPr>
          <w:p w14:paraId="142591BC" w14:textId="77777777" w:rsidR="00000000" w:rsidRDefault="00EE5306">
            <w:pPr>
              <w:spacing w:after="100"/>
              <w:rPr>
                <w:rFonts w:eastAsia="Times New Roman"/>
                <w:sz w:val="20"/>
                <w:szCs w:val="20"/>
              </w:rPr>
            </w:pPr>
          </w:p>
        </w:tc>
        <w:tc>
          <w:tcPr>
            <w:tcW w:w="50" w:type="pct"/>
            <w:vAlign w:val="center"/>
            <w:hideMark/>
          </w:tcPr>
          <w:p w14:paraId="005497F1" w14:textId="77777777" w:rsidR="00000000" w:rsidRDefault="00EE5306">
            <w:pPr>
              <w:spacing w:after="100"/>
              <w:rPr>
                <w:rFonts w:eastAsia="Times New Roman"/>
                <w:sz w:val="20"/>
                <w:szCs w:val="20"/>
              </w:rPr>
            </w:pPr>
          </w:p>
        </w:tc>
        <w:tc>
          <w:tcPr>
            <w:tcW w:w="431" w:type="pct"/>
            <w:vAlign w:val="center"/>
            <w:hideMark/>
          </w:tcPr>
          <w:p w14:paraId="4855A655" w14:textId="77777777" w:rsidR="00000000" w:rsidRDefault="00EE5306">
            <w:pPr>
              <w:spacing w:after="100"/>
              <w:rPr>
                <w:rFonts w:eastAsia="Times New Roman"/>
                <w:sz w:val="20"/>
                <w:szCs w:val="20"/>
              </w:rPr>
            </w:pPr>
          </w:p>
        </w:tc>
        <w:tc>
          <w:tcPr>
            <w:tcW w:w="5" w:type="pct"/>
            <w:vAlign w:val="center"/>
            <w:hideMark/>
          </w:tcPr>
          <w:p w14:paraId="18DAE40C" w14:textId="77777777" w:rsidR="00000000" w:rsidRDefault="00EE5306">
            <w:pPr>
              <w:spacing w:after="100"/>
              <w:rPr>
                <w:rFonts w:eastAsia="Times New Roman"/>
                <w:sz w:val="20"/>
                <w:szCs w:val="20"/>
              </w:rPr>
            </w:pPr>
          </w:p>
        </w:tc>
        <w:tc>
          <w:tcPr>
            <w:tcW w:w="5" w:type="pct"/>
            <w:vAlign w:val="center"/>
            <w:hideMark/>
          </w:tcPr>
          <w:p w14:paraId="206B6811" w14:textId="77777777" w:rsidR="00000000" w:rsidRDefault="00EE5306">
            <w:pPr>
              <w:spacing w:after="100"/>
              <w:rPr>
                <w:rFonts w:eastAsia="Times New Roman"/>
                <w:sz w:val="20"/>
                <w:szCs w:val="20"/>
              </w:rPr>
            </w:pPr>
          </w:p>
        </w:tc>
        <w:tc>
          <w:tcPr>
            <w:tcW w:w="28" w:type="pct"/>
            <w:vAlign w:val="center"/>
            <w:hideMark/>
          </w:tcPr>
          <w:p w14:paraId="5384277F" w14:textId="77777777" w:rsidR="00000000" w:rsidRDefault="00EE5306">
            <w:pPr>
              <w:spacing w:after="100"/>
              <w:rPr>
                <w:rFonts w:eastAsia="Times New Roman"/>
                <w:sz w:val="20"/>
                <w:szCs w:val="20"/>
              </w:rPr>
            </w:pPr>
          </w:p>
        </w:tc>
        <w:tc>
          <w:tcPr>
            <w:tcW w:w="5" w:type="pct"/>
            <w:vAlign w:val="center"/>
            <w:hideMark/>
          </w:tcPr>
          <w:p w14:paraId="0FEC0C61" w14:textId="77777777" w:rsidR="00000000" w:rsidRDefault="00EE5306">
            <w:pPr>
              <w:spacing w:after="100"/>
              <w:rPr>
                <w:rFonts w:eastAsia="Times New Roman"/>
                <w:sz w:val="20"/>
                <w:szCs w:val="20"/>
              </w:rPr>
            </w:pPr>
          </w:p>
        </w:tc>
        <w:tc>
          <w:tcPr>
            <w:tcW w:w="50" w:type="pct"/>
            <w:vAlign w:val="center"/>
            <w:hideMark/>
          </w:tcPr>
          <w:p w14:paraId="6DA3A586" w14:textId="77777777" w:rsidR="00000000" w:rsidRDefault="00EE5306">
            <w:pPr>
              <w:spacing w:after="100"/>
              <w:rPr>
                <w:rFonts w:eastAsia="Times New Roman"/>
                <w:sz w:val="20"/>
                <w:szCs w:val="20"/>
              </w:rPr>
            </w:pPr>
          </w:p>
        </w:tc>
        <w:tc>
          <w:tcPr>
            <w:tcW w:w="431" w:type="pct"/>
            <w:vAlign w:val="center"/>
            <w:hideMark/>
          </w:tcPr>
          <w:p w14:paraId="3A12000A" w14:textId="77777777" w:rsidR="00000000" w:rsidRDefault="00EE5306">
            <w:pPr>
              <w:spacing w:after="100"/>
              <w:rPr>
                <w:rFonts w:eastAsia="Times New Roman"/>
                <w:sz w:val="20"/>
                <w:szCs w:val="20"/>
              </w:rPr>
            </w:pPr>
          </w:p>
        </w:tc>
        <w:tc>
          <w:tcPr>
            <w:tcW w:w="5" w:type="pct"/>
            <w:vAlign w:val="center"/>
            <w:hideMark/>
          </w:tcPr>
          <w:p w14:paraId="5F984AEF" w14:textId="77777777" w:rsidR="00000000" w:rsidRDefault="00EE5306">
            <w:pPr>
              <w:spacing w:after="100"/>
              <w:rPr>
                <w:rFonts w:eastAsia="Times New Roman"/>
                <w:sz w:val="20"/>
                <w:szCs w:val="20"/>
              </w:rPr>
            </w:pPr>
          </w:p>
        </w:tc>
        <w:tc>
          <w:tcPr>
            <w:tcW w:w="5" w:type="pct"/>
            <w:vAlign w:val="center"/>
            <w:hideMark/>
          </w:tcPr>
          <w:p w14:paraId="707FA1B7" w14:textId="77777777" w:rsidR="00000000" w:rsidRDefault="00EE5306">
            <w:pPr>
              <w:spacing w:after="100"/>
              <w:rPr>
                <w:rFonts w:eastAsia="Times New Roman"/>
                <w:sz w:val="20"/>
                <w:szCs w:val="20"/>
              </w:rPr>
            </w:pPr>
          </w:p>
        </w:tc>
        <w:tc>
          <w:tcPr>
            <w:tcW w:w="28" w:type="pct"/>
            <w:vAlign w:val="center"/>
            <w:hideMark/>
          </w:tcPr>
          <w:p w14:paraId="6B6BE316" w14:textId="77777777" w:rsidR="00000000" w:rsidRDefault="00EE5306">
            <w:pPr>
              <w:spacing w:after="100"/>
              <w:rPr>
                <w:rFonts w:eastAsia="Times New Roman"/>
                <w:sz w:val="20"/>
                <w:szCs w:val="20"/>
              </w:rPr>
            </w:pPr>
          </w:p>
        </w:tc>
        <w:tc>
          <w:tcPr>
            <w:tcW w:w="5" w:type="pct"/>
            <w:vAlign w:val="center"/>
            <w:hideMark/>
          </w:tcPr>
          <w:p w14:paraId="24F3BBB4" w14:textId="77777777" w:rsidR="00000000" w:rsidRDefault="00EE5306">
            <w:pPr>
              <w:spacing w:after="100"/>
              <w:rPr>
                <w:rFonts w:eastAsia="Times New Roman"/>
                <w:sz w:val="20"/>
                <w:szCs w:val="20"/>
              </w:rPr>
            </w:pPr>
          </w:p>
        </w:tc>
        <w:tc>
          <w:tcPr>
            <w:tcW w:w="50" w:type="pct"/>
            <w:vAlign w:val="center"/>
            <w:hideMark/>
          </w:tcPr>
          <w:p w14:paraId="3574B3D8" w14:textId="77777777" w:rsidR="00000000" w:rsidRDefault="00EE5306">
            <w:pPr>
              <w:spacing w:after="100"/>
              <w:rPr>
                <w:rFonts w:eastAsia="Times New Roman"/>
                <w:sz w:val="20"/>
                <w:szCs w:val="20"/>
              </w:rPr>
            </w:pPr>
          </w:p>
        </w:tc>
        <w:tc>
          <w:tcPr>
            <w:tcW w:w="431" w:type="pct"/>
            <w:vAlign w:val="center"/>
            <w:hideMark/>
          </w:tcPr>
          <w:p w14:paraId="59243BEF" w14:textId="77777777" w:rsidR="00000000" w:rsidRDefault="00EE5306">
            <w:pPr>
              <w:spacing w:after="100"/>
              <w:rPr>
                <w:rFonts w:eastAsia="Times New Roman"/>
                <w:sz w:val="20"/>
                <w:szCs w:val="20"/>
              </w:rPr>
            </w:pPr>
          </w:p>
        </w:tc>
        <w:tc>
          <w:tcPr>
            <w:tcW w:w="5" w:type="pct"/>
            <w:vAlign w:val="center"/>
            <w:hideMark/>
          </w:tcPr>
          <w:p w14:paraId="5E1C3130" w14:textId="77777777" w:rsidR="00000000" w:rsidRDefault="00EE5306">
            <w:pPr>
              <w:spacing w:after="100"/>
              <w:rPr>
                <w:rFonts w:eastAsia="Times New Roman"/>
                <w:sz w:val="20"/>
                <w:szCs w:val="20"/>
              </w:rPr>
            </w:pPr>
          </w:p>
        </w:tc>
        <w:tc>
          <w:tcPr>
            <w:tcW w:w="5" w:type="pct"/>
            <w:vAlign w:val="center"/>
            <w:hideMark/>
          </w:tcPr>
          <w:p w14:paraId="7A97F7D1" w14:textId="77777777" w:rsidR="00000000" w:rsidRDefault="00EE5306">
            <w:pPr>
              <w:spacing w:after="100"/>
              <w:rPr>
                <w:rFonts w:eastAsia="Times New Roman"/>
                <w:sz w:val="20"/>
                <w:szCs w:val="20"/>
              </w:rPr>
            </w:pPr>
          </w:p>
        </w:tc>
        <w:tc>
          <w:tcPr>
            <w:tcW w:w="28" w:type="pct"/>
            <w:vAlign w:val="center"/>
            <w:hideMark/>
          </w:tcPr>
          <w:p w14:paraId="330B1705" w14:textId="77777777" w:rsidR="00000000" w:rsidRDefault="00EE5306">
            <w:pPr>
              <w:spacing w:after="100"/>
              <w:rPr>
                <w:rFonts w:eastAsia="Times New Roman"/>
                <w:sz w:val="20"/>
                <w:szCs w:val="20"/>
              </w:rPr>
            </w:pPr>
          </w:p>
        </w:tc>
        <w:tc>
          <w:tcPr>
            <w:tcW w:w="5" w:type="pct"/>
            <w:vAlign w:val="center"/>
            <w:hideMark/>
          </w:tcPr>
          <w:p w14:paraId="4B7EEBAA" w14:textId="77777777" w:rsidR="00000000" w:rsidRDefault="00EE5306">
            <w:pPr>
              <w:spacing w:after="100"/>
              <w:rPr>
                <w:rFonts w:eastAsia="Times New Roman"/>
                <w:sz w:val="20"/>
                <w:szCs w:val="20"/>
              </w:rPr>
            </w:pPr>
          </w:p>
        </w:tc>
        <w:tc>
          <w:tcPr>
            <w:tcW w:w="50" w:type="pct"/>
            <w:vAlign w:val="center"/>
            <w:hideMark/>
          </w:tcPr>
          <w:p w14:paraId="5F23B238" w14:textId="77777777" w:rsidR="00000000" w:rsidRDefault="00EE5306">
            <w:pPr>
              <w:spacing w:after="100"/>
              <w:rPr>
                <w:rFonts w:eastAsia="Times New Roman"/>
                <w:sz w:val="20"/>
                <w:szCs w:val="20"/>
              </w:rPr>
            </w:pPr>
          </w:p>
        </w:tc>
        <w:tc>
          <w:tcPr>
            <w:tcW w:w="431" w:type="pct"/>
            <w:vAlign w:val="center"/>
            <w:hideMark/>
          </w:tcPr>
          <w:p w14:paraId="777909E6" w14:textId="77777777" w:rsidR="00000000" w:rsidRDefault="00EE5306">
            <w:pPr>
              <w:spacing w:after="100"/>
              <w:rPr>
                <w:rFonts w:eastAsia="Times New Roman"/>
                <w:sz w:val="20"/>
                <w:szCs w:val="20"/>
              </w:rPr>
            </w:pPr>
          </w:p>
        </w:tc>
        <w:tc>
          <w:tcPr>
            <w:tcW w:w="5" w:type="pct"/>
            <w:vAlign w:val="center"/>
            <w:hideMark/>
          </w:tcPr>
          <w:p w14:paraId="797DAA8C" w14:textId="77777777" w:rsidR="00000000" w:rsidRDefault="00EE5306">
            <w:pPr>
              <w:spacing w:after="100"/>
              <w:rPr>
                <w:rFonts w:eastAsia="Times New Roman"/>
                <w:sz w:val="20"/>
                <w:szCs w:val="20"/>
              </w:rPr>
            </w:pPr>
          </w:p>
        </w:tc>
        <w:tc>
          <w:tcPr>
            <w:tcW w:w="5" w:type="pct"/>
            <w:vAlign w:val="center"/>
            <w:hideMark/>
          </w:tcPr>
          <w:p w14:paraId="6504AF93" w14:textId="77777777" w:rsidR="00000000" w:rsidRDefault="00EE5306">
            <w:pPr>
              <w:spacing w:after="100"/>
              <w:rPr>
                <w:rFonts w:eastAsia="Times New Roman"/>
                <w:sz w:val="20"/>
                <w:szCs w:val="20"/>
              </w:rPr>
            </w:pPr>
          </w:p>
        </w:tc>
        <w:tc>
          <w:tcPr>
            <w:tcW w:w="28" w:type="pct"/>
            <w:vAlign w:val="center"/>
            <w:hideMark/>
          </w:tcPr>
          <w:p w14:paraId="7FD077D6" w14:textId="77777777" w:rsidR="00000000" w:rsidRDefault="00EE5306">
            <w:pPr>
              <w:spacing w:after="100"/>
              <w:rPr>
                <w:rFonts w:eastAsia="Times New Roman"/>
                <w:sz w:val="20"/>
                <w:szCs w:val="20"/>
              </w:rPr>
            </w:pPr>
          </w:p>
        </w:tc>
        <w:tc>
          <w:tcPr>
            <w:tcW w:w="5" w:type="pct"/>
            <w:vAlign w:val="center"/>
            <w:hideMark/>
          </w:tcPr>
          <w:p w14:paraId="7B9239FC" w14:textId="77777777" w:rsidR="00000000" w:rsidRDefault="00EE5306">
            <w:pPr>
              <w:spacing w:after="100"/>
              <w:rPr>
                <w:rFonts w:eastAsia="Times New Roman"/>
                <w:sz w:val="20"/>
                <w:szCs w:val="20"/>
              </w:rPr>
            </w:pPr>
          </w:p>
        </w:tc>
        <w:tc>
          <w:tcPr>
            <w:tcW w:w="50" w:type="pct"/>
            <w:vAlign w:val="center"/>
            <w:hideMark/>
          </w:tcPr>
          <w:p w14:paraId="33C77275" w14:textId="77777777" w:rsidR="00000000" w:rsidRDefault="00EE5306">
            <w:pPr>
              <w:spacing w:after="100"/>
              <w:rPr>
                <w:rFonts w:eastAsia="Times New Roman"/>
                <w:sz w:val="20"/>
                <w:szCs w:val="20"/>
              </w:rPr>
            </w:pPr>
          </w:p>
        </w:tc>
        <w:tc>
          <w:tcPr>
            <w:tcW w:w="416" w:type="pct"/>
            <w:vAlign w:val="center"/>
            <w:hideMark/>
          </w:tcPr>
          <w:p w14:paraId="057EBA5D" w14:textId="77777777" w:rsidR="00000000" w:rsidRDefault="00EE5306">
            <w:pPr>
              <w:spacing w:after="100"/>
              <w:rPr>
                <w:rFonts w:eastAsia="Times New Roman"/>
                <w:sz w:val="20"/>
                <w:szCs w:val="20"/>
              </w:rPr>
            </w:pPr>
          </w:p>
        </w:tc>
        <w:tc>
          <w:tcPr>
            <w:tcW w:w="5" w:type="pct"/>
            <w:vAlign w:val="center"/>
            <w:hideMark/>
          </w:tcPr>
          <w:p w14:paraId="69C03CAD" w14:textId="77777777" w:rsidR="00000000" w:rsidRDefault="00EE5306">
            <w:pPr>
              <w:spacing w:after="100"/>
              <w:rPr>
                <w:rFonts w:eastAsia="Times New Roman"/>
                <w:sz w:val="20"/>
                <w:szCs w:val="20"/>
              </w:rPr>
            </w:pPr>
          </w:p>
        </w:tc>
        <w:tc>
          <w:tcPr>
            <w:tcW w:w="5" w:type="pct"/>
            <w:vAlign w:val="center"/>
            <w:hideMark/>
          </w:tcPr>
          <w:p w14:paraId="0EE4B036" w14:textId="77777777" w:rsidR="00000000" w:rsidRDefault="00EE5306">
            <w:pPr>
              <w:spacing w:after="100"/>
              <w:rPr>
                <w:rFonts w:eastAsia="Times New Roman"/>
                <w:sz w:val="20"/>
                <w:szCs w:val="20"/>
              </w:rPr>
            </w:pPr>
          </w:p>
        </w:tc>
        <w:tc>
          <w:tcPr>
            <w:tcW w:w="28" w:type="pct"/>
            <w:vAlign w:val="center"/>
            <w:hideMark/>
          </w:tcPr>
          <w:p w14:paraId="7648C8A7" w14:textId="77777777" w:rsidR="00000000" w:rsidRDefault="00EE5306">
            <w:pPr>
              <w:spacing w:after="100"/>
              <w:rPr>
                <w:rFonts w:eastAsia="Times New Roman"/>
                <w:sz w:val="20"/>
                <w:szCs w:val="20"/>
              </w:rPr>
            </w:pPr>
          </w:p>
        </w:tc>
        <w:tc>
          <w:tcPr>
            <w:tcW w:w="5" w:type="pct"/>
            <w:vAlign w:val="center"/>
            <w:hideMark/>
          </w:tcPr>
          <w:p w14:paraId="6146A1FB" w14:textId="77777777" w:rsidR="00000000" w:rsidRDefault="00EE5306">
            <w:pPr>
              <w:spacing w:after="100"/>
              <w:rPr>
                <w:rFonts w:eastAsia="Times New Roman"/>
                <w:sz w:val="20"/>
                <w:szCs w:val="20"/>
              </w:rPr>
            </w:pPr>
          </w:p>
        </w:tc>
        <w:tc>
          <w:tcPr>
            <w:tcW w:w="50" w:type="pct"/>
            <w:vAlign w:val="center"/>
            <w:hideMark/>
          </w:tcPr>
          <w:p w14:paraId="6DC10900" w14:textId="77777777" w:rsidR="00000000" w:rsidRDefault="00EE5306">
            <w:pPr>
              <w:spacing w:after="100"/>
              <w:rPr>
                <w:rFonts w:eastAsia="Times New Roman"/>
                <w:sz w:val="20"/>
                <w:szCs w:val="20"/>
              </w:rPr>
            </w:pPr>
          </w:p>
        </w:tc>
        <w:tc>
          <w:tcPr>
            <w:tcW w:w="416" w:type="pct"/>
            <w:vAlign w:val="center"/>
            <w:hideMark/>
          </w:tcPr>
          <w:p w14:paraId="218337A4" w14:textId="77777777" w:rsidR="00000000" w:rsidRDefault="00EE5306">
            <w:pPr>
              <w:spacing w:after="100"/>
              <w:rPr>
                <w:rFonts w:eastAsia="Times New Roman"/>
                <w:sz w:val="20"/>
                <w:szCs w:val="20"/>
              </w:rPr>
            </w:pPr>
          </w:p>
        </w:tc>
        <w:tc>
          <w:tcPr>
            <w:tcW w:w="5" w:type="pct"/>
            <w:vAlign w:val="center"/>
            <w:hideMark/>
          </w:tcPr>
          <w:p w14:paraId="41FA651F" w14:textId="77777777" w:rsidR="00000000" w:rsidRDefault="00EE5306">
            <w:pPr>
              <w:spacing w:after="100"/>
              <w:rPr>
                <w:rFonts w:eastAsia="Times New Roman"/>
                <w:sz w:val="20"/>
                <w:szCs w:val="20"/>
              </w:rPr>
            </w:pPr>
          </w:p>
        </w:tc>
      </w:tr>
      <w:tr w:rsidR="00000000" w14:paraId="32CB85F5" w14:textId="77777777">
        <w:trPr>
          <w:divId w:val="2041468778"/>
          <w:trHeight w:val="240"/>
        </w:trPr>
        <w:tc>
          <w:tcPr>
            <w:tcW w:w="0" w:type="auto"/>
            <w:gridSpan w:val="3"/>
            <w:tcMar>
              <w:top w:w="30" w:type="dxa"/>
              <w:left w:w="20" w:type="dxa"/>
              <w:bottom w:w="30" w:type="dxa"/>
              <w:right w:w="20" w:type="dxa"/>
            </w:tcMar>
            <w:vAlign w:val="bottom"/>
            <w:hideMark/>
          </w:tcPr>
          <w:p w14:paraId="0D4254B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4B814C5" w14:textId="77777777" w:rsidR="00000000" w:rsidRDefault="00EE5306">
            <w:pPr>
              <w:spacing w:after="100"/>
              <w:rPr>
                <w:rFonts w:eastAsia="Times New Roman"/>
              </w:rPr>
            </w:pPr>
          </w:p>
        </w:tc>
        <w:tc>
          <w:tcPr>
            <w:tcW w:w="0" w:type="auto"/>
            <w:gridSpan w:val="9"/>
            <w:tcMar>
              <w:top w:w="30" w:type="dxa"/>
              <w:left w:w="20" w:type="dxa"/>
              <w:bottom w:w="30" w:type="dxa"/>
              <w:right w:w="20" w:type="dxa"/>
            </w:tcMar>
            <w:vAlign w:val="bottom"/>
            <w:hideMark/>
          </w:tcPr>
          <w:p w14:paraId="650196D1"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0903B42F"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2423E5" w14:textId="77777777" w:rsidR="00000000" w:rsidRDefault="00EE5306">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14:paraId="7B820A90" w14:textId="77777777" w:rsidR="00000000" w:rsidRDefault="00EE5306">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46DC389D" w14:textId="77777777" w:rsidR="00000000" w:rsidRDefault="00EE5306">
            <w:pPr>
              <w:spacing w:after="100"/>
              <w:jc w:val="center"/>
              <w:rPr>
                <w:rFonts w:eastAsia="Times New Roman"/>
              </w:rPr>
            </w:pPr>
            <w:r>
              <w:rPr>
                <w:rFonts w:eastAsia="Times New Roman"/>
                <w:b/>
                <w:bCs/>
                <w:color w:val="000000"/>
                <w:sz w:val="16"/>
                <w:szCs w:val="16"/>
              </w:rPr>
              <w:t>Foreign Exchange Impact</w:t>
            </w:r>
          </w:p>
        </w:tc>
        <w:tc>
          <w:tcPr>
            <w:tcW w:w="0" w:type="auto"/>
            <w:gridSpan w:val="3"/>
            <w:tcMar>
              <w:top w:w="0" w:type="dxa"/>
              <w:left w:w="20" w:type="dxa"/>
              <w:bottom w:w="0" w:type="dxa"/>
              <w:right w:w="20" w:type="dxa"/>
            </w:tcMar>
            <w:vAlign w:val="center"/>
            <w:hideMark/>
          </w:tcPr>
          <w:p w14:paraId="0974B415"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D2D4352" w14:textId="77777777" w:rsidR="00000000" w:rsidRDefault="00EE5306">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14:paraId="2C7C9BBF" w14:textId="77777777" w:rsidR="00000000" w:rsidRDefault="00EE530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36FCB00" w14:textId="77777777" w:rsidR="00000000" w:rsidRDefault="00EE5306">
            <w:pPr>
              <w:spacing w:after="100"/>
              <w:jc w:val="center"/>
              <w:rPr>
                <w:rFonts w:eastAsia="Times New Roman"/>
              </w:rPr>
            </w:pPr>
            <w:r>
              <w:rPr>
                <w:rFonts w:eastAsia="Times New Roman"/>
                <w:b/>
                <w:bCs/>
                <w:color w:val="000000"/>
                <w:sz w:val="16"/>
                <w:szCs w:val="16"/>
              </w:rPr>
              <w:t>% Change</w:t>
            </w:r>
          </w:p>
        </w:tc>
      </w:tr>
      <w:tr w:rsidR="00000000" w14:paraId="3332E8C4" w14:textId="77777777">
        <w:trPr>
          <w:divId w:val="2041468778"/>
          <w:trHeight w:val="420"/>
        </w:trPr>
        <w:tc>
          <w:tcPr>
            <w:tcW w:w="0" w:type="auto"/>
            <w:gridSpan w:val="3"/>
            <w:tcMar>
              <w:top w:w="30" w:type="dxa"/>
              <w:left w:w="20" w:type="dxa"/>
              <w:bottom w:w="30" w:type="dxa"/>
              <w:right w:w="20" w:type="dxa"/>
            </w:tcMar>
            <w:vAlign w:val="bottom"/>
            <w:hideMark/>
          </w:tcPr>
          <w:p w14:paraId="44DEE25E"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59F0C3C"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A53CB4"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B16963D"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C8E7BA1"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21297E52"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DFD76B" w14:textId="77777777" w:rsidR="00000000" w:rsidRDefault="00EE5306">
            <w:pPr>
              <w:spacing w:after="100"/>
              <w:jc w:val="center"/>
              <w:rPr>
                <w:rFonts w:eastAsia="Times New Roman"/>
              </w:rPr>
            </w:pPr>
            <w:r>
              <w:rPr>
                <w:rFonts w:eastAsia="Times New Roman"/>
                <w:b/>
                <w:bCs/>
                <w:color w:val="000000"/>
                <w:sz w:val="16"/>
                <w:szCs w:val="16"/>
              </w:rPr>
              <w:t>As</w:t>
            </w:r>
            <w:r>
              <w:rPr>
                <w:rFonts w:eastAsia="Times New Roman"/>
                <w:b/>
                <w:bCs/>
                <w:color w:val="000000"/>
                <w:sz w:val="16"/>
                <w:szCs w:val="16"/>
              </w:rPr>
              <w:br/>
              <w:t>Reported</w:t>
            </w:r>
          </w:p>
        </w:tc>
        <w:tc>
          <w:tcPr>
            <w:tcW w:w="0" w:type="auto"/>
            <w:gridSpan w:val="3"/>
            <w:tcMar>
              <w:top w:w="0" w:type="dxa"/>
              <w:left w:w="20" w:type="dxa"/>
              <w:bottom w:w="0" w:type="dxa"/>
              <w:right w:w="20" w:type="dxa"/>
            </w:tcMar>
            <w:vAlign w:val="center"/>
            <w:hideMark/>
          </w:tcPr>
          <w:p w14:paraId="59581696" w14:textId="77777777" w:rsidR="00000000" w:rsidRDefault="00EE5306">
            <w:pPr>
              <w:spacing w:after="100"/>
              <w:jc w:val="center"/>
              <w:rPr>
                <w:rFonts w:eastAsia="Times New Roman"/>
              </w:rPr>
            </w:pPr>
          </w:p>
        </w:tc>
        <w:tc>
          <w:tcPr>
            <w:tcW w:w="0" w:type="auto"/>
            <w:gridSpan w:val="3"/>
            <w:vMerge/>
            <w:tcBorders>
              <w:bottom w:val="single" w:sz="8" w:space="0" w:color="000000"/>
            </w:tcBorders>
            <w:vAlign w:val="center"/>
            <w:hideMark/>
          </w:tcPr>
          <w:p w14:paraId="236755DB"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4E557279" w14:textId="77777777" w:rsidR="00000000" w:rsidRDefault="00EE5306">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156379" w14:textId="77777777" w:rsidR="00000000" w:rsidRDefault="00EE5306">
            <w:pPr>
              <w:spacing w:after="100"/>
              <w:jc w:val="center"/>
              <w:rPr>
                <w:rFonts w:eastAsia="Times New Roman"/>
              </w:rPr>
            </w:pPr>
            <w:r>
              <w:rPr>
                <w:rFonts w:eastAsia="Times New Roman"/>
                <w:b/>
                <w:bCs/>
                <w:color w:val="000000"/>
                <w:sz w:val="16"/>
                <w:szCs w:val="16"/>
              </w:rPr>
              <w:t>Constant Currency</w:t>
            </w:r>
          </w:p>
        </w:tc>
        <w:tc>
          <w:tcPr>
            <w:tcW w:w="0" w:type="auto"/>
            <w:gridSpan w:val="3"/>
            <w:tcMar>
              <w:top w:w="0" w:type="dxa"/>
              <w:left w:w="20" w:type="dxa"/>
              <w:bottom w:w="0" w:type="dxa"/>
              <w:right w:w="20" w:type="dxa"/>
            </w:tcMar>
            <w:vAlign w:val="center"/>
            <w:hideMark/>
          </w:tcPr>
          <w:p w14:paraId="3295F8CB"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764370" w14:textId="77777777" w:rsidR="00000000" w:rsidRDefault="00EE5306">
            <w:pPr>
              <w:spacing w:after="100"/>
              <w:jc w:val="center"/>
              <w:rPr>
                <w:rFonts w:eastAsia="Times New Roman"/>
              </w:rPr>
            </w:pPr>
            <w:r>
              <w:rPr>
                <w:rFonts w:eastAsia="Times New Roman"/>
                <w:b/>
                <w:bCs/>
                <w:color w:val="000000"/>
                <w:sz w:val="16"/>
                <w:szCs w:val="16"/>
              </w:rPr>
              <w:t>As</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14:paraId="5A05E24C"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C769CF" w14:textId="77777777" w:rsidR="00000000" w:rsidRDefault="00EE5306">
            <w:pPr>
              <w:spacing w:after="100"/>
              <w:jc w:val="center"/>
              <w:rPr>
                <w:rFonts w:eastAsia="Times New Roman"/>
              </w:rPr>
            </w:pPr>
            <w:r>
              <w:rPr>
                <w:rFonts w:eastAsia="Times New Roman"/>
                <w:b/>
                <w:bCs/>
                <w:color w:val="000000"/>
                <w:sz w:val="16"/>
                <w:szCs w:val="16"/>
              </w:rPr>
              <w:t>Constant</w:t>
            </w:r>
            <w:r>
              <w:rPr>
                <w:rFonts w:eastAsia="Times New Roman"/>
                <w:b/>
                <w:bCs/>
                <w:color w:val="000000"/>
                <w:sz w:val="16"/>
                <w:szCs w:val="16"/>
              </w:rPr>
              <w:br/>
            </w:r>
            <w:r>
              <w:rPr>
                <w:rFonts w:eastAsia="Times New Roman"/>
                <w:b/>
                <w:bCs/>
                <w:color w:val="000000"/>
                <w:sz w:val="16"/>
                <w:szCs w:val="16"/>
              </w:rPr>
              <w:t>Currency</w:t>
            </w:r>
          </w:p>
        </w:tc>
      </w:tr>
      <w:tr w:rsidR="00000000" w14:paraId="0278D417" w14:textId="77777777">
        <w:trPr>
          <w:divId w:val="2041468778"/>
        </w:trPr>
        <w:tc>
          <w:tcPr>
            <w:tcW w:w="0" w:type="auto"/>
            <w:gridSpan w:val="3"/>
            <w:tcMar>
              <w:top w:w="30" w:type="dxa"/>
              <w:left w:w="20" w:type="dxa"/>
              <w:bottom w:w="30" w:type="dxa"/>
              <w:right w:w="20" w:type="dxa"/>
            </w:tcMar>
            <w:vAlign w:val="bottom"/>
            <w:hideMark/>
          </w:tcPr>
          <w:p w14:paraId="4318746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C358A87" w14:textId="77777777" w:rsidR="00000000" w:rsidRDefault="00EE5306">
            <w:pPr>
              <w:spacing w:after="100"/>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14:paraId="4D1015FD"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7D28668B"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F2E852" w14:textId="77777777" w:rsidR="00000000" w:rsidRDefault="00EE5306">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EC75527"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01A77F6" w14:textId="77777777" w:rsidR="00000000" w:rsidRDefault="00EE5306">
            <w:pPr>
              <w:spacing w:after="100"/>
              <w:rPr>
                <w:rFonts w:eastAsia="Times New Roman"/>
                <w:sz w:val="20"/>
                <w:szCs w:val="20"/>
              </w:rPr>
            </w:pPr>
          </w:p>
        </w:tc>
      </w:tr>
      <w:tr w:rsidR="00000000" w14:paraId="1EC486C0" w14:textId="77777777">
        <w:trPr>
          <w:divId w:val="2041468778"/>
        </w:trPr>
        <w:tc>
          <w:tcPr>
            <w:tcW w:w="0" w:type="auto"/>
            <w:gridSpan w:val="3"/>
            <w:shd w:val="clear" w:color="auto" w:fill="CCEEFF"/>
            <w:tcMar>
              <w:top w:w="30" w:type="dxa"/>
              <w:left w:w="20" w:type="dxa"/>
              <w:bottom w:w="30" w:type="dxa"/>
              <w:right w:w="20" w:type="dxa"/>
            </w:tcMar>
            <w:vAlign w:val="bottom"/>
            <w:hideMark/>
          </w:tcPr>
          <w:p w14:paraId="706D20EA" w14:textId="77777777" w:rsidR="00000000" w:rsidRDefault="00EE5306">
            <w:pPr>
              <w:spacing w:after="100"/>
              <w:rPr>
                <w:rFonts w:eastAsia="Times New Roman"/>
              </w:rPr>
            </w:pPr>
            <w:r>
              <w:rPr>
                <w:rFonts w:eastAsia="Times New Roman"/>
                <w:b/>
                <w:bCs/>
                <w:color w:val="000000"/>
                <w:sz w:val="18"/>
                <w:szCs w:val="18"/>
              </w:rPr>
              <w:t>Net Revenues:</w:t>
            </w:r>
          </w:p>
        </w:tc>
        <w:tc>
          <w:tcPr>
            <w:tcW w:w="0" w:type="auto"/>
            <w:gridSpan w:val="3"/>
            <w:shd w:val="clear" w:color="auto" w:fill="CCEEFF"/>
            <w:tcMar>
              <w:top w:w="0" w:type="dxa"/>
              <w:left w:w="20" w:type="dxa"/>
              <w:bottom w:w="0" w:type="dxa"/>
              <w:right w:w="20" w:type="dxa"/>
            </w:tcMar>
            <w:vAlign w:val="center"/>
            <w:hideMark/>
          </w:tcPr>
          <w:p w14:paraId="25949172"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C842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85A4E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15081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E52F9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5F21F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A6316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C148B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0FF66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6C269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11DEB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99636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8823B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CFED05" w14:textId="77777777" w:rsidR="00000000" w:rsidRDefault="00EE5306">
            <w:pPr>
              <w:spacing w:after="100"/>
              <w:rPr>
                <w:rFonts w:eastAsia="Times New Roman"/>
                <w:sz w:val="20"/>
                <w:szCs w:val="20"/>
              </w:rPr>
            </w:pPr>
          </w:p>
        </w:tc>
      </w:tr>
      <w:tr w:rsidR="00EE5306" w14:paraId="7688C8CB" w14:textId="77777777">
        <w:trPr>
          <w:divId w:val="2041468778"/>
        </w:trPr>
        <w:tc>
          <w:tcPr>
            <w:tcW w:w="0" w:type="auto"/>
            <w:gridSpan w:val="3"/>
            <w:shd w:val="clear" w:color="auto" w:fill="FFFFFF"/>
            <w:tcMar>
              <w:top w:w="30" w:type="dxa"/>
              <w:left w:w="155" w:type="dxa"/>
              <w:bottom w:w="30" w:type="dxa"/>
              <w:right w:w="20" w:type="dxa"/>
            </w:tcMar>
            <w:vAlign w:val="bottom"/>
            <w:hideMark/>
          </w:tcPr>
          <w:p w14:paraId="7472347C" w14:textId="77777777" w:rsidR="00000000" w:rsidRDefault="00EE5306">
            <w:pPr>
              <w:spacing w:after="100"/>
              <w:rPr>
                <w:rFonts w:eastAsia="Times New Roman"/>
              </w:rPr>
            </w:pPr>
            <w:r>
              <w:rPr>
                <w:rFonts w:eastAsia="Times New Roman"/>
                <w:color w:val="000000"/>
                <w:sz w:val="18"/>
                <w:szCs w:val="18"/>
              </w:rPr>
              <w:t>North America</w:t>
            </w:r>
          </w:p>
        </w:tc>
        <w:tc>
          <w:tcPr>
            <w:tcW w:w="0" w:type="auto"/>
            <w:gridSpan w:val="3"/>
            <w:shd w:val="clear" w:color="auto" w:fill="FFFFFF"/>
            <w:tcMar>
              <w:top w:w="0" w:type="dxa"/>
              <w:left w:w="20" w:type="dxa"/>
              <w:bottom w:w="0" w:type="dxa"/>
              <w:right w:w="20" w:type="dxa"/>
            </w:tcMar>
            <w:vAlign w:val="center"/>
            <w:hideMark/>
          </w:tcPr>
          <w:p w14:paraId="5C5476DA"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F606223"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FA1A37F" w14:textId="77777777" w:rsidR="00000000" w:rsidRDefault="00EE5306">
            <w:pPr>
              <w:spacing w:after="100"/>
              <w:jc w:val="right"/>
              <w:rPr>
                <w:rFonts w:eastAsia="Times New Roman"/>
              </w:rPr>
            </w:pPr>
            <w:r>
              <w:rPr>
                <w:rFonts w:eastAsia="Times New Roman"/>
                <w:color w:val="000000"/>
                <w:sz w:val="18"/>
                <w:szCs w:val="18"/>
              </w:rPr>
              <w:t>1,992.4 </w:t>
            </w:r>
          </w:p>
        </w:tc>
        <w:tc>
          <w:tcPr>
            <w:tcW w:w="0" w:type="auto"/>
            <w:shd w:val="clear" w:color="auto" w:fill="FFFFFF"/>
            <w:tcMar>
              <w:top w:w="30" w:type="dxa"/>
              <w:left w:w="0" w:type="dxa"/>
              <w:bottom w:w="30" w:type="dxa"/>
              <w:right w:w="20" w:type="dxa"/>
            </w:tcMar>
            <w:vAlign w:val="bottom"/>
            <w:hideMark/>
          </w:tcPr>
          <w:p w14:paraId="1709FD4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57057"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F3AF9F"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6A51D89" w14:textId="77777777" w:rsidR="00000000" w:rsidRDefault="00EE5306">
            <w:pPr>
              <w:spacing w:after="100"/>
              <w:jc w:val="right"/>
              <w:rPr>
                <w:rFonts w:eastAsia="Times New Roman"/>
              </w:rPr>
            </w:pPr>
            <w:r>
              <w:rPr>
                <w:rFonts w:eastAsia="Times New Roman"/>
                <w:color w:val="000000"/>
                <w:sz w:val="18"/>
                <w:szCs w:val="18"/>
              </w:rPr>
              <w:t>3,140.5 </w:t>
            </w:r>
          </w:p>
        </w:tc>
        <w:tc>
          <w:tcPr>
            <w:tcW w:w="0" w:type="auto"/>
            <w:shd w:val="clear" w:color="auto" w:fill="FFFFFF"/>
            <w:tcMar>
              <w:top w:w="30" w:type="dxa"/>
              <w:left w:w="0" w:type="dxa"/>
              <w:bottom w:w="30" w:type="dxa"/>
              <w:right w:w="20" w:type="dxa"/>
            </w:tcMar>
            <w:vAlign w:val="bottom"/>
            <w:hideMark/>
          </w:tcPr>
          <w:p w14:paraId="776AE22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262F5"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4B2FC9"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C75299A" w14:textId="77777777" w:rsidR="00000000" w:rsidRDefault="00EE5306">
            <w:pPr>
              <w:spacing w:after="100"/>
              <w:jc w:val="right"/>
              <w:rPr>
                <w:rFonts w:eastAsia="Times New Roman"/>
              </w:rPr>
            </w:pPr>
            <w:r>
              <w:rPr>
                <w:rFonts w:eastAsia="Times New Roman"/>
                <w:color w:val="000000"/>
                <w:sz w:val="18"/>
                <w:szCs w:val="18"/>
              </w:rPr>
              <w:t>(1,148.1)</w:t>
            </w:r>
          </w:p>
        </w:tc>
        <w:tc>
          <w:tcPr>
            <w:tcW w:w="0" w:type="auto"/>
            <w:shd w:val="clear" w:color="auto" w:fill="FFFFFF"/>
            <w:tcMar>
              <w:top w:w="30" w:type="dxa"/>
              <w:left w:w="0" w:type="dxa"/>
              <w:bottom w:w="30" w:type="dxa"/>
              <w:right w:w="20" w:type="dxa"/>
            </w:tcMar>
            <w:vAlign w:val="bottom"/>
            <w:hideMark/>
          </w:tcPr>
          <w:p w14:paraId="65C9F54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27F48"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699745"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2DCE8B1" w14:textId="77777777" w:rsidR="00000000" w:rsidRDefault="00EE530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D791B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FEC56C"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E88ED6"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FBC6FF8" w14:textId="77777777" w:rsidR="00000000" w:rsidRDefault="00EE5306">
            <w:pPr>
              <w:spacing w:after="100"/>
              <w:jc w:val="right"/>
              <w:rPr>
                <w:rFonts w:eastAsia="Times New Roman"/>
              </w:rPr>
            </w:pPr>
            <w:r>
              <w:rPr>
                <w:rFonts w:eastAsia="Times New Roman"/>
                <w:color w:val="000000"/>
                <w:sz w:val="18"/>
                <w:szCs w:val="18"/>
              </w:rPr>
              <w:t>(1,148.1)</w:t>
            </w:r>
          </w:p>
        </w:tc>
        <w:tc>
          <w:tcPr>
            <w:tcW w:w="0" w:type="auto"/>
            <w:shd w:val="clear" w:color="auto" w:fill="FFFFFF"/>
            <w:tcMar>
              <w:top w:w="30" w:type="dxa"/>
              <w:left w:w="0" w:type="dxa"/>
              <w:bottom w:w="30" w:type="dxa"/>
              <w:right w:w="20" w:type="dxa"/>
            </w:tcMar>
            <w:vAlign w:val="bottom"/>
            <w:hideMark/>
          </w:tcPr>
          <w:p w14:paraId="2B20813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917A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C6BBC" w14:textId="77777777" w:rsidR="00000000" w:rsidRDefault="00EE5306">
            <w:pPr>
              <w:spacing w:after="100"/>
              <w:jc w:val="right"/>
              <w:rPr>
                <w:rFonts w:eastAsia="Times New Roman"/>
              </w:rPr>
            </w:pPr>
            <w:r>
              <w:rPr>
                <w:rFonts w:eastAsia="Times New Roman"/>
                <w:color w:val="000000"/>
                <w:sz w:val="18"/>
                <w:szCs w:val="18"/>
              </w:rPr>
              <w:t>(36.6 </w:t>
            </w:r>
          </w:p>
        </w:tc>
        <w:tc>
          <w:tcPr>
            <w:tcW w:w="0" w:type="auto"/>
            <w:shd w:val="clear" w:color="auto" w:fill="FFFFFF"/>
            <w:tcMar>
              <w:top w:w="30" w:type="dxa"/>
              <w:left w:w="0" w:type="dxa"/>
              <w:bottom w:w="30" w:type="dxa"/>
              <w:right w:w="20" w:type="dxa"/>
            </w:tcMar>
            <w:vAlign w:val="bottom"/>
            <w:hideMark/>
          </w:tcPr>
          <w:p w14:paraId="7F1DC284" w14:textId="77777777" w:rsidR="00000000" w:rsidRDefault="00EE530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3BC3D23"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8232DE" w14:textId="77777777" w:rsidR="00000000" w:rsidRDefault="00EE5306">
            <w:pPr>
              <w:spacing w:after="100"/>
              <w:jc w:val="right"/>
              <w:rPr>
                <w:rFonts w:eastAsia="Times New Roman"/>
              </w:rPr>
            </w:pPr>
            <w:r>
              <w:rPr>
                <w:rFonts w:eastAsia="Times New Roman"/>
                <w:color w:val="000000"/>
                <w:sz w:val="18"/>
                <w:szCs w:val="18"/>
              </w:rPr>
              <w:t>(36.6 </w:t>
            </w:r>
          </w:p>
        </w:tc>
        <w:tc>
          <w:tcPr>
            <w:tcW w:w="0" w:type="auto"/>
            <w:shd w:val="clear" w:color="auto" w:fill="FFFFFF"/>
            <w:tcMar>
              <w:top w:w="30" w:type="dxa"/>
              <w:left w:w="0" w:type="dxa"/>
              <w:bottom w:w="30" w:type="dxa"/>
              <w:right w:w="20" w:type="dxa"/>
            </w:tcMar>
            <w:vAlign w:val="bottom"/>
            <w:hideMark/>
          </w:tcPr>
          <w:p w14:paraId="38E64F9B" w14:textId="77777777" w:rsidR="00000000" w:rsidRDefault="00EE5306">
            <w:pPr>
              <w:spacing w:after="100"/>
              <w:rPr>
                <w:rFonts w:eastAsia="Times New Roman"/>
              </w:rPr>
            </w:pPr>
            <w:r>
              <w:rPr>
                <w:rFonts w:eastAsia="Times New Roman"/>
                <w:color w:val="000000"/>
                <w:sz w:val="18"/>
                <w:szCs w:val="18"/>
              </w:rPr>
              <w:t>%)</w:t>
            </w:r>
          </w:p>
        </w:tc>
      </w:tr>
      <w:tr w:rsidR="00000000" w14:paraId="38BBC709" w14:textId="77777777">
        <w:trPr>
          <w:divId w:val="2041468778"/>
        </w:trPr>
        <w:tc>
          <w:tcPr>
            <w:tcW w:w="0" w:type="auto"/>
            <w:gridSpan w:val="3"/>
            <w:shd w:val="clear" w:color="auto" w:fill="CCEEFF"/>
            <w:tcMar>
              <w:top w:w="30" w:type="dxa"/>
              <w:left w:w="155" w:type="dxa"/>
              <w:bottom w:w="30" w:type="dxa"/>
              <w:right w:w="20" w:type="dxa"/>
            </w:tcMar>
            <w:vAlign w:val="bottom"/>
            <w:hideMark/>
          </w:tcPr>
          <w:p w14:paraId="788C0BA1" w14:textId="77777777" w:rsidR="00000000" w:rsidRDefault="00EE5306">
            <w:pPr>
              <w:spacing w:after="100"/>
              <w:rPr>
                <w:rFonts w:eastAsia="Times New Roman"/>
              </w:rPr>
            </w:pPr>
            <w:r>
              <w:rPr>
                <w:rFonts w:eastAsia="Times New Roman"/>
                <w:color w:val="000000"/>
                <w:sz w:val="18"/>
                <w:szCs w:val="18"/>
              </w:rPr>
              <w:t>Europe</w:t>
            </w:r>
          </w:p>
        </w:tc>
        <w:tc>
          <w:tcPr>
            <w:tcW w:w="0" w:type="auto"/>
            <w:gridSpan w:val="3"/>
            <w:shd w:val="clear" w:color="auto" w:fill="CCEEFF"/>
            <w:tcMar>
              <w:top w:w="0" w:type="dxa"/>
              <w:left w:w="20" w:type="dxa"/>
              <w:bottom w:w="0" w:type="dxa"/>
              <w:right w:w="20" w:type="dxa"/>
            </w:tcMar>
            <w:vAlign w:val="center"/>
            <w:hideMark/>
          </w:tcPr>
          <w:p w14:paraId="2FA7114E"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4FB3E1" w14:textId="77777777" w:rsidR="00000000" w:rsidRDefault="00EE5306">
            <w:pPr>
              <w:spacing w:after="100"/>
              <w:jc w:val="right"/>
              <w:rPr>
                <w:rFonts w:eastAsia="Times New Roman"/>
              </w:rPr>
            </w:pPr>
            <w:r>
              <w:rPr>
                <w:rFonts w:eastAsia="Times New Roman"/>
                <w:color w:val="000000"/>
                <w:sz w:val="18"/>
                <w:szCs w:val="18"/>
              </w:rPr>
              <w:t>1,165.9 </w:t>
            </w:r>
          </w:p>
        </w:tc>
        <w:tc>
          <w:tcPr>
            <w:tcW w:w="0" w:type="auto"/>
            <w:shd w:val="clear" w:color="auto" w:fill="CCEEFF"/>
            <w:tcMar>
              <w:top w:w="30" w:type="dxa"/>
              <w:left w:w="0" w:type="dxa"/>
              <w:bottom w:w="30" w:type="dxa"/>
              <w:right w:w="20" w:type="dxa"/>
            </w:tcMar>
            <w:vAlign w:val="bottom"/>
            <w:hideMark/>
          </w:tcPr>
          <w:p w14:paraId="07B490B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0650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D02E8F" w14:textId="77777777" w:rsidR="00000000" w:rsidRDefault="00EE5306">
            <w:pPr>
              <w:spacing w:after="100"/>
              <w:jc w:val="right"/>
              <w:rPr>
                <w:rFonts w:eastAsia="Times New Roman"/>
              </w:rPr>
            </w:pPr>
            <w:r>
              <w:rPr>
                <w:rFonts w:eastAsia="Times New Roman"/>
                <w:color w:val="000000"/>
                <w:sz w:val="18"/>
                <w:szCs w:val="18"/>
              </w:rPr>
              <w:t>1,632.2 </w:t>
            </w:r>
          </w:p>
        </w:tc>
        <w:tc>
          <w:tcPr>
            <w:tcW w:w="0" w:type="auto"/>
            <w:shd w:val="clear" w:color="auto" w:fill="CCEEFF"/>
            <w:tcMar>
              <w:top w:w="30" w:type="dxa"/>
              <w:left w:w="0" w:type="dxa"/>
              <w:bottom w:w="30" w:type="dxa"/>
              <w:right w:w="20" w:type="dxa"/>
            </w:tcMar>
            <w:vAlign w:val="bottom"/>
            <w:hideMark/>
          </w:tcPr>
          <w:p w14:paraId="6B96F13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015C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4074FF" w14:textId="77777777" w:rsidR="00000000" w:rsidRDefault="00EE5306">
            <w:pPr>
              <w:spacing w:after="100"/>
              <w:jc w:val="right"/>
              <w:rPr>
                <w:rFonts w:eastAsia="Times New Roman"/>
              </w:rPr>
            </w:pPr>
            <w:r>
              <w:rPr>
                <w:rFonts w:eastAsia="Times New Roman"/>
                <w:color w:val="000000"/>
                <w:sz w:val="18"/>
                <w:szCs w:val="18"/>
              </w:rPr>
              <w:t>(466.3)</w:t>
            </w:r>
          </w:p>
        </w:tc>
        <w:tc>
          <w:tcPr>
            <w:tcW w:w="0" w:type="auto"/>
            <w:shd w:val="clear" w:color="auto" w:fill="CCEEFF"/>
            <w:tcMar>
              <w:top w:w="30" w:type="dxa"/>
              <w:left w:w="0" w:type="dxa"/>
              <w:bottom w:w="30" w:type="dxa"/>
              <w:right w:w="20" w:type="dxa"/>
            </w:tcMar>
            <w:vAlign w:val="bottom"/>
            <w:hideMark/>
          </w:tcPr>
          <w:p w14:paraId="61D51E3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5446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4DF923" w14:textId="77777777" w:rsidR="00000000" w:rsidRDefault="00EE5306">
            <w:pPr>
              <w:spacing w:after="100"/>
              <w:jc w:val="right"/>
              <w:rPr>
                <w:rFonts w:eastAsia="Times New Roman"/>
              </w:rPr>
            </w:pPr>
            <w:r>
              <w:rPr>
                <w:rFonts w:eastAsia="Times New Roman"/>
                <w:color w:val="000000"/>
                <w:sz w:val="18"/>
                <w:szCs w:val="18"/>
              </w:rPr>
              <w:t>52.1 </w:t>
            </w:r>
          </w:p>
        </w:tc>
        <w:tc>
          <w:tcPr>
            <w:tcW w:w="0" w:type="auto"/>
            <w:shd w:val="clear" w:color="auto" w:fill="CCEEFF"/>
            <w:tcMar>
              <w:top w:w="30" w:type="dxa"/>
              <w:left w:w="0" w:type="dxa"/>
              <w:bottom w:w="30" w:type="dxa"/>
              <w:right w:w="20" w:type="dxa"/>
            </w:tcMar>
            <w:vAlign w:val="bottom"/>
            <w:hideMark/>
          </w:tcPr>
          <w:p w14:paraId="755B85C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75FB5"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8F82E3" w14:textId="77777777" w:rsidR="00000000" w:rsidRDefault="00EE5306">
            <w:pPr>
              <w:spacing w:after="100"/>
              <w:jc w:val="right"/>
              <w:rPr>
                <w:rFonts w:eastAsia="Times New Roman"/>
              </w:rPr>
            </w:pPr>
            <w:r>
              <w:rPr>
                <w:rFonts w:eastAsia="Times New Roman"/>
                <w:color w:val="000000"/>
                <w:sz w:val="18"/>
                <w:szCs w:val="18"/>
              </w:rPr>
              <w:t>(518.4)</w:t>
            </w:r>
          </w:p>
        </w:tc>
        <w:tc>
          <w:tcPr>
            <w:tcW w:w="0" w:type="auto"/>
            <w:shd w:val="clear" w:color="auto" w:fill="CCEEFF"/>
            <w:tcMar>
              <w:top w:w="30" w:type="dxa"/>
              <w:left w:w="0" w:type="dxa"/>
              <w:bottom w:w="30" w:type="dxa"/>
              <w:right w:w="20" w:type="dxa"/>
            </w:tcMar>
            <w:vAlign w:val="bottom"/>
            <w:hideMark/>
          </w:tcPr>
          <w:p w14:paraId="249D1A0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C5709"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A3BB9A" w14:textId="77777777" w:rsidR="00000000" w:rsidRDefault="00EE5306">
            <w:pPr>
              <w:spacing w:after="100"/>
              <w:jc w:val="right"/>
              <w:rPr>
                <w:rFonts w:eastAsia="Times New Roman"/>
              </w:rPr>
            </w:pPr>
            <w:r>
              <w:rPr>
                <w:rFonts w:eastAsia="Times New Roman"/>
                <w:color w:val="000000"/>
                <w:sz w:val="18"/>
                <w:szCs w:val="18"/>
              </w:rPr>
              <w:t>(28.6 </w:t>
            </w:r>
          </w:p>
        </w:tc>
        <w:tc>
          <w:tcPr>
            <w:tcW w:w="0" w:type="auto"/>
            <w:shd w:val="clear" w:color="auto" w:fill="CCEEFF"/>
            <w:tcMar>
              <w:top w:w="30" w:type="dxa"/>
              <w:left w:w="0" w:type="dxa"/>
              <w:bottom w:w="30" w:type="dxa"/>
              <w:right w:w="20" w:type="dxa"/>
            </w:tcMar>
            <w:vAlign w:val="bottom"/>
            <w:hideMark/>
          </w:tcPr>
          <w:p w14:paraId="4460D9CA" w14:textId="77777777" w:rsidR="00000000" w:rsidRDefault="00EE530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28FE1D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D8C010" w14:textId="77777777" w:rsidR="00000000" w:rsidRDefault="00EE5306">
            <w:pPr>
              <w:spacing w:after="100"/>
              <w:jc w:val="right"/>
              <w:rPr>
                <w:rFonts w:eastAsia="Times New Roman"/>
              </w:rPr>
            </w:pPr>
            <w:r>
              <w:rPr>
                <w:rFonts w:eastAsia="Times New Roman"/>
                <w:color w:val="000000"/>
                <w:sz w:val="18"/>
                <w:szCs w:val="18"/>
              </w:rPr>
              <w:t>(31.8 </w:t>
            </w:r>
          </w:p>
        </w:tc>
        <w:tc>
          <w:tcPr>
            <w:tcW w:w="0" w:type="auto"/>
            <w:shd w:val="clear" w:color="auto" w:fill="CCEEFF"/>
            <w:tcMar>
              <w:top w:w="30" w:type="dxa"/>
              <w:left w:w="0" w:type="dxa"/>
              <w:bottom w:w="30" w:type="dxa"/>
              <w:right w:w="20" w:type="dxa"/>
            </w:tcMar>
            <w:vAlign w:val="bottom"/>
            <w:hideMark/>
          </w:tcPr>
          <w:p w14:paraId="3A4D0B6A" w14:textId="77777777" w:rsidR="00000000" w:rsidRDefault="00EE5306">
            <w:pPr>
              <w:spacing w:after="100"/>
              <w:rPr>
                <w:rFonts w:eastAsia="Times New Roman"/>
              </w:rPr>
            </w:pPr>
            <w:r>
              <w:rPr>
                <w:rFonts w:eastAsia="Times New Roman"/>
                <w:color w:val="000000"/>
                <w:sz w:val="18"/>
                <w:szCs w:val="18"/>
              </w:rPr>
              <w:t>%)</w:t>
            </w:r>
          </w:p>
        </w:tc>
      </w:tr>
      <w:tr w:rsidR="00000000" w14:paraId="75905D92" w14:textId="77777777">
        <w:trPr>
          <w:divId w:val="2041468778"/>
        </w:trPr>
        <w:tc>
          <w:tcPr>
            <w:tcW w:w="0" w:type="auto"/>
            <w:gridSpan w:val="3"/>
            <w:shd w:val="clear" w:color="auto" w:fill="FFFFFF"/>
            <w:tcMar>
              <w:top w:w="30" w:type="dxa"/>
              <w:left w:w="155" w:type="dxa"/>
              <w:bottom w:w="30" w:type="dxa"/>
              <w:right w:w="20" w:type="dxa"/>
            </w:tcMar>
            <w:vAlign w:val="bottom"/>
            <w:hideMark/>
          </w:tcPr>
          <w:p w14:paraId="16CF82D5" w14:textId="77777777" w:rsidR="00000000" w:rsidRDefault="00EE5306">
            <w:pPr>
              <w:spacing w:after="100"/>
              <w:rPr>
                <w:rFonts w:eastAsia="Times New Roman"/>
              </w:rPr>
            </w:pPr>
            <w:r>
              <w:rPr>
                <w:rFonts w:eastAsia="Times New Roman"/>
                <w:color w:val="000000"/>
                <w:sz w:val="18"/>
                <w:szCs w:val="18"/>
              </w:rPr>
              <w:t>Asia</w:t>
            </w:r>
          </w:p>
        </w:tc>
        <w:tc>
          <w:tcPr>
            <w:tcW w:w="0" w:type="auto"/>
            <w:gridSpan w:val="3"/>
            <w:shd w:val="clear" w:color="auto" w:fill="FFFFFF"/>
            <w:tcMar>
              <w:top w:w="0" w:type="dxa"/>
              <w:left w:w="20" w:type="dxa"/>
              <w:bottom w:w="0" w:type="dxa"/>
              <w:right w:w="20" w:type="dxa"/>
            </w:tcMar>
            <w:vAlign w:val="center"/>
            <w:hideMark/>
          </w:tcPr>
          <w:p w14:paraId="31DAE1B3"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114BF9" w14:textId="77777777" w:rsidR="00000000" w:rsidRDefault="00EE5306">
            <w:pPr>
              <w:spacing w:after="100"/>
              <w:jc w:val="right"/>
              <w:rPr>
                <w:rFonts w:eastAsia="Times New Roman"/>
              </w:rPr>
            </w:pPr>
            <w:r>
              <w:rPr>
                <w:rFonts w:eastAsia="Times New Roman"/>
                <w:color w:val="000000"/>
                <w:sz w:val="18"/>
                <w:szCs w:val="18"/>
              </w:rPr>
              <w:t>1,027.5 </w:t>
            </w:r>
          </w:p>
        </w:tc>
        <w:tc>
          <w:tcPr>
            <w:tcW w:w="0" w:type="auto"/>
            <w:shd w:val="clear" w:color="auto" w:fill="FFFFFF"/>
            <w:tcMar>
              <w:top w:w="30" w:type="dxa"/>
              <w:left w:w="0" w:type="dxa"/>
              <w:bottom w:w="30" w:type="dxa"/>
              <w:right w:w="20" w:type="dxa"/>
            </w:tcMar>
            <w:vAlign w:val="bottom"/>
            <w:hideMark/>
          </w:tcPr>
          <w:p w14:paraId="739C4EE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C87C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42BC30" w14:textId="77777777" w:rsidR="00000000" w:rsidRDefault="00EE5306">
            <w:pPr>
              <w:spacing w:after="100"/>
              <w:jc w:val="right"/>
              <w:rPr>
                <w:rFonts w:eastAsia="Times New Roman"/>
              </w:rPr>
            </w:pPr>
            <w:r>
              <w:rPr>
                <w:rFonts w:eastAsia="Times New Roman"/>
                <w:color w:val="000000"/>
                <w:sz w:val="18"/>
                <w:szCs w:val="18"/>
              </w:rPr>
              <w:t>1,017.2 </w:t>
            </w:r>
          </w:p>
        </w:tc>
        <w:tc>
          <w:tcPr>
            <w:tcW w:w="0" w:type="auto"/>
            <w:shd w:val="clear" w:color="auto" w:fill="FFFFFF"/>
            <w:tcMar>
              <w:top w:w="30" w:type="dxa"/>
              <w:left w:w="0" w:type="dxa"/>
              <w:bottom w:w="30" w:type="dxa"/>
              <w:right w:w="20" w:type="dxa"/>
            </w:tcMar>
            <w:vAlign w:val="bottom"/>
            <w:hideMark/>
          </w:tcPr>
          <w:p w14:paraId="1B3A227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88BA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21F017" w14:textId="77777777" w:rsidR="00000000" w:rsidRDefault="00EE5306">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14:paraId="2304703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51708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56CBA0" w14:textId="77777777" w:rsidR="00000000" w:rsidRDefault="00EE5306">
            <w:pPr>
              <w:spacing w:after="100"/>
              <w:jc w:val="right"/>
              <w:rPr>
                <w:rFonts w:eastAsia="Times New Roman"/>
              </w:rPr>
            </w:pPr>
            <w:r>
              <w:rPr>
                <w:rFonts w:eastAsia="Times New Roman"/>
                <w:color w:val="000000"/>
                <w:sz w:val="18"/>
                <w:szCs w:val="18"/>
              </w:rPr>
              <w:t>28.5 </w:t>
            </w:r>
          </w:p>
        </w:tc>
        <w:tc>
          <w:tcPr>
            <w:tcW w:w="0" w:type="auto"/>
            <w:shd w:val="clear" w:color="auto" w:fill="FFFFFF"/>
            <w:tcMar>
              <w:top w:w="30" w:type="dxa"/>
              <w:left w:w="0" w:type="dxa"/>
              <w:bottom w:w="30" w:type="dxa"/>
              <w:right w:w="20" w:type="dxa"/>
            </w:tcMar>
            <w:vAlign w:val="bottom"/>
            <w:hideMark/>
          </w:tcPr>
          <w:p w14:paraId="2BCE983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2165A"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104027" w14:textId="77777777" w:rsidR="00000000" w:rsidRDefault="00EE5306">
            <w:pPr>
              <w:spacing w:after="100"/>
              <w:jc w:val="right"/>
              <w:rPr>
                <w:rFonts w:eastAsia="Times New Roman"/>
              </w:rPr>
            </w:pPr>
            <w:r>
              <w:rPr>
                <w:rFonts w:eastAsia="Times New Roman"/>
                <w:color w:val="000000"/>
                <w:sz w:val="18"/>
                <w:szCs w:val="18"/>
              </w:rPr>
              <w:t>(18.2)</w:t>
            </w:r>
          </w:p>
        </w:tc>
        <w:tc>
          <w:tcPr>
            <w:tcW w:w="0" w:type="auto"/>
            <w:shd w:val="clear" w:color="auto" w:fill="FFFFFF"/>
            <w:tcMar>
              <w:top w:w="30" w:type="dxa"/>
              <w:left w:w="0" w:type="dxa"/>
              <w:bottom w:w="30" w:type="dxa"/>
              <w:right w:w="20" w:type="dxa"/>
            </w:tcMar>
            <w:vAlign w:val="bottom"/>
            <w:hideMark/>
          </w:tcPr>
          <w:p w14:paraId="307A009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68F2E"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5FB321" w14:textId="77777777" w:rsidR="00000000" w:rsidRDefault="00EE5306">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20679D2E" w14:textId="77777777" w:rsidR="00000000" w:rsidRDefault="00EE530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205BD4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3B6F9C" w14:textId="77777777" w:rsidR="00000000" w:rsidRDefault="00EE5306">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14:paraId="1035A890" w14:textId="77777777" w:rsidR="00000000" w:rsidRDefault="00EE5306">
            <w:pPr>
              <w:spacing w:after="100"/>
              <w:rPr>
                <w:rFonts w:eastAsia="Times New Roman"/>
              </w:rPr>
            </w:pPr>
            <w:r>
              <w:rPr>
                <w:rFonts w:eastAsia="Times New Roman"/>
                <w:color w:val="000000"/>
                <w:sz w:val="18"/>
                <w:szCs w:val="18"/>
              </w:rPr>
              <w:t>%)</w:t>
            </w:r>
          </w:p>
        </w:tc>
      </w:tr>
      <w:tr w:rsidR="00000000" w14:paraId="7B342F1D" w14:textId="77777777">
        <w:trPr>
          <w:divId w:val="2041468778"/>
        </w:trPr>
        <w:tc>
          <w:tcPr>
            <w:tcW w:w="0" w:type="auto"/>
            <w:gridSpan w:val="3"/>
            <w:shd w:val="clear" w:color="auto" w:fill="CCEEFF"/>
            <w:tcMar>
              <w:top w:w="30" w:type="dxa"/>
              <w:left w:w="155" w:type="dxa"/>
              <w:bottom w:w="30" w:type="dxa"/>
              <w:right w:w="20" w:type="dxa"/>
            </w:tcMar>
            <w:vAlign w:val="bottom"/>
            <w:hideMark/>
          </w:tcPr>
          <w:p w14:paraId="3E62B242" w14:textId="77777777" w:rsidR="00000000" w:rsidRDefault="00EE5306">
            <w:pPr>
              <w:spacing w:after="100"/>
              <w:rPr>
                <w:rFonts w:eastAsia="Times New Roman"/>
              </w:rPr>
            </w:pPr>
            <w:r>
              <w:rPr>
                <w:rFonts w:eastAsia="Times New Roman"/>
                <w:color w:val="000000"/>
                <w:sz w:val="18"/>
                <w:szCs w:val="18"/>
              </w:rPr>
              <w:t>Other non-reportable segments</w:t>
            </w:r>
          </w:p>
        </w:tc>
        <w:tc>
          <w:tcPr>
            <w:tcW w:w="0" w:type="auto"/>
            <w:gridSpan w:val="3"/>
            <w:shd w:val="clear" w:color="auto" w:fill="CCEEFF"/>
            <w:tcMar>
              <w:top w:w="0" w:type="dxa"/>
              <w:left w:w="20" w:type="dxa"/>
              <w:bottom w:w="0" w:type="dxa"/>
              <w:right w:w="20" w:type="dxa"/>
            </w:tcMar>
            <w:vAlign w:val="center"/>
            <w:hideMark/>
          </w:tcPr>
          <w:p w14:paraId="6B5D708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B1FF98" w14:textId="77777777" w:rsidR="00000000" w:rsidRDefault="00EE5306">
            <w:pPr>
              <w:spacing w:after="100"/>
              <w:jc w:val="right"/>
              <w:rPr>
                <w:rFonts w:eastAsia="Times New Roman"/>
              </w:rPr>
            </w:pPr>
            <w:r>
              <w:rPr>
                <w:rFonts w:eastAsia="Times New Roman"/>
                <w:color w:val="000000"/>
                <w:sz w:val="18"/>
                <w:szCs w:val="18"/>
              </w:rPr>
              <w:t>215.0 </w:t>
            </w:r>
          </w:p>
        </w:tc>
        <w:tc>
          <w:tcPr>
            <w:tcW w:w="0" w:type="auto"/>
            <w:shd w:val="clear" w:color="auto" w:fill="CCEEFF"/>
            <w:tcMar>
              <w:top w:w="30" w:type="dxa"/>
              <w:left w:w="0" w:type="dxa"/>
              <w:bottom w:w="30" w:type="dxa"/>
              <w:right w:w="20" w:type="dxa"/>
            </w:tcMar>
            <w:vAlign w:val="bottom"/>
            <w:hideMark/>
          </w:tcPr>
          <w:p w14:paraId="19A7587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F8A20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6C71C9" w14:textId="77777777" w:rsidR="00000000" w:rsidRDefault="00EE5306">
            <w:pPr>
              <w:spacing w:after="100"/>
              <w:jc w:val="right"/>
              <w:rPr>
                <w:rFonts w:eastAsia="Times New Roman"/>
              </w:rPr>
            </w:pPr>
            <w:r>
              <w:rPr>
                <w:rFonts w:eastAsia="Times New Roman"/>
                <w:color w:val="000000"/>
                <w:sz w:val="18"/>
                <w:szCs w:val="18"/>
              </w:rPr>
              <w:t>369.9 </w:t>
            </w:r>
          </w:p>
        </w:tc>
        <w:tc>
          <w:tcPr>
            <w:tcW w:w="0" w:type="auto"/>
            <w:shd w:val="clear" w:color="auto" w:fill="CCEEFF"/>
            <w:tcMar>
              <w:top w:w="30" w:type="dxa"/>
              <w:left w:w="0" w:type="dxa"/>
              <w:bottom w:w="30" w:type="dxa"/>
              <w:right w:w="20" w:type="dxa"/>
            </w:tcMar>
            <w:vAlign w:val="bottom"/>
            <w:hideMark/>
          </w:tcPr>
          <w:p w14:paraId="3F55E8F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D60C8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AAE8CF" w14:textId="77777777" w:rsidR="00000000" w:rsidRDefault="00EE5306">
            <w:pPr>
              <w:spacing w:after="100"/>
              <w:jc w:val="right"/>
              <w:rPr>
                <w:rFonts w:eastAsia="Times New Roman"/>
              </w:rPr>
            </w:pPr>
            <w:r>
              <w:rPr>
                <w:rFonts w:eastAsia="Times New Roman"/>
                <w:color w:val="000000"/>
                <w:sz w:val="18"/>
                <w:szCs w:val="18"/>
              </w:rPr>
              <w:t>(154.9)</w:t>
            </w:r>
          </w:p>
        </w:tc>
        <w:tc>
          <w:tcPr>
            <w:tcW w:w="0" w:type="auto"/>
            <w:shd w:val="clear" w:color="auto" w:fill="CCEEFF"/>
            <w:tcMar>
              <w:top w:w="30" w:type="dxa"/>
              <w:left w:w="0" w:type="dxa"/>
              <w:bottom w:w="30" w:type="dxa"/>
              <w:right w:w="20" w:type="dxa"/>
            </w:tcMar>
            <w:vAlign w:val="bottom"/>
            <w:hideMark/>
          </w:tcPr>
          <w:p w14:paraId="72B24AA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5DF0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A9CF9B" w14:textId="77777777" w:rsidR="00000000" w:rsidRDefault="00EE5306">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628E52C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9DA6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0D94C3" w14:textId="77777777" w:rsidR="00000000" w:rsidRDefault="00EE5306">
            <w:pPr>
              <w:spacing w:after="100"/>
              <w:jc w:val="right"/>
              <w:rPr>
                <w:rFonts w:eastAsia="Times New Roman"/>
              </w:rPr>
            </w:pPr>
            <w:r>
              <w:rPr>
                <w:rFonts w:eastAsia="Times New Roman"/>
                <w:color w:val="000000"/>
                <w:sz w:val="18"/>
                <w:szCs w:val="18"/>
              </w:rPr>
              <w:t>(155.0)</w:t>
            </w:r>
          </w:p>
        </w:tc>
        <w:tc>
          <w:tcPr>
            <w:tcW w:w="0" w:type="auto"/>
            <w:shd w:val="clear" w:color="auto" w:fill="CCEEFF"/>
            <w:tcMar>
              <w:top w:w="30" w:type="dxa"/>
              <w:left w:w="0" w:type="dxa"/>
              <w:bottom w:w="30" w:type="dxa"/>
              <w:right w:w="20" w:type="dxa"/>
            </w:tcMar>
            <w:vAlign w:val="bottom"/>
            <w:hideMark/>
          </w:tcPr>
          <w:p w14:paraId="5610DEC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F14E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123DAE" w14:textId="77777777" w:rsidR="00000000" w:rsidRDefault="00EE5306">
            <w:pPr>
              <w:spacing w:after="100"/>
              <w:jc w:val="right"/>
              <w:rPr>
                <w:rFonts w:eastAsia="Times New Roman"/>
              </w:rPr>
            </w:pPr>
            <w:r>
              <w:rPr>
                <w:rFonts w:eastAsia="Times New Roman"/>
                <w:color w:val="000000"/>
                <w:sz w:val="18"/>
                <w:szCs w:val="18"/>
              </w:rPr>
              <w:t>(41.9 </w:t>
            </w:r>
          </w:p>
        </w:tc>
        <w:tc>
          <w:tcPr>
            <w:tcW w:w="0" w:type="auto"/>
            <w:shd w:val="clear" w:color="auto" w:fill="CCEEFF"/>
            <w:tcMar>
              <w:top w:w="30" w:type="dxa"/>
              <w:left w:w="0" w:type="dxa"/>
              <w:bottom w:w="30" w:type="dxa"/>
              <w:right w:w="20" w:type="dxa"/>
            </w:tcMar>
            <w:vAlign w:val="bottom"/>
            <w:hideMark/>
          </w:tcPr>
          <w:p w14:paraId="29D532E6" w14:textId="77777777" w:rsidR="00000000" w:rsidRDefault="00EE530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30E709A"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02B5FD" w14:textId="77777777" w:rsidR="00000000" w:rsidRDefault="00EE5306">
            <w:pPr>
              <w:spacing w:after="100"/>
              <w:jc w:val="right"/>
              <w:rPr>
                <w:rFonts w:eastAsia="Times New Roman"/>
              </w:rPr>
            </w:pPr>
            <w:r>
              <w:rPr>
                <w:rFonts w:eastAsia="Times New Roman"/>
                <w:color w:val="000000"/>
                <w:sz w:val="18"/>
                <w:szCs w:val="18"/>
              </w:rPr>
              <w:t>(41.9 </w:t>
            </w:r>
          </w:p>
        </w:tc>
        <w:tc>
          <w:tcPr>
            <w:tcW w:w="0" w:type="auto"/>
            <w:shd w:val="clear" w:color="auto" w:fill="CCEEFF"/>
            <w:tcMar>
              <w:top w:w="30" w:type="dxa"/>
              <w:left w:w="0" w:type="dxa"/>
              <w:bottom w:w="30" w:type="dxa"/>
              <w:right w:w="20" w:type="dxa"/>
            </w:tcMar>
            <w:vAlign w:val="bottom"/>
            <w:hideMark/>
          </w:tcPr>
          <w:p w14:paraId="5F0C7011" w14:textId="77777777" w:rsidR="00000000" w:rsidRDefault="00EE5306">
            <w:pPr>
              <w:spacing w:after="100"/>
              <w:rPr>
                <w:rFonts w:eastAsia="Times New Roman"/>
              </w:rPr>
            </w:pPr>
            <w:r>
              <w:rPr>
                <w:rFonts w:eastAsia="Times New Roman"/>
                <w:color w:val="000000"/>
                <w:sz w:val="18"/>
                <w:szCs w:val="18"/>
              </w:rPr>
              <w:t>%)</w:t>
            </w:r>
          </w:p>
        </w:tc>
      </w:tr>
      <w:tr w:rsidR="00EE5306" w14:paraId="1CFBA821" w14:textId="77777777">
        <w:trPr>
          <w:divId w:val="2041468778"/>
        </w:trPr>
        <w:tc>
          <w:tcPr>
            <w:tcW w:w="0" w:type="auto"/>
            <w:gridSpan w:val="3"/>
            <w:shd w:val="clear" w:color="auto" w:fill="FFFFFF"/>
            <w:tcMar>
              <w:top w:w="30" w:type="dxa"/>
              <w:left w:w="380" w:type="dxa"/>
              <w:bottom w:w="30" w:type="dxa"/>
              <w:right w:w="20" w:type="dxa"/>
            </w:tcMar>
            <w:vAlign w:val="bottom"/>
            <w:hideMark/>
          </w:tcPr>
          <w:p w14:paraId="1C005DCE" w14:textId="77777777" w:rsidR="00000000" w:rsidRDefault="00EE5306">
            <w:pPr>
              <w:spacing w:after="100"/>
              <w:rPr>
                <w:rFonts w:eastAsia="Times New Roman"/>
              </w:rPr>
            </w:pPr>
            <w:r>
              <w:rPr>
                <w:rFonts w:eastAsia="Times New Roman"/>
                <w:color w:val="000000"/>
                <w:sz w:val="18"/>
                <w:szCs w:val="18"/>
              </w:rPr>
              <w:t>Total net revenues</w:t>
            </w:r>
          </w:p>
        </w:tc>
        <w:tc>
          <w:tcPr>
            <w:tcW w:w="0" w:type="auto"/>
            <w:gridSpan w:val="3"/>
            <w:shd w:val="clear" w:color="auto" w:fill="FFFFFF"/>
            <w:tcMar>
              <w:top w:w="0" w:type="dxa"/>
              <w:left w:w="20" w:type="dxa"/>
              <w:bottom w:w="0" w:type="dxa"/>
              <w:right w:w="20" w:type="dxa"/>
            </w:tcMar>
            <w:vAlign w:val="center"/>
            <w:hideMark/>
          </w:tcPr>
          <w:p w14:paraId="551B5B76"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909D7B"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F62277" w14:textId="77777777" w:rsidR="00000000" w:rsidRDefault="00EE5306">
            <w:pPr>
              <w:spacing w:after="100"/>
              <w:jc w:val="right"/>
              <w:rPr>
                <w:rFonts w:eastAsia="Times New Roman"/>
              </w:rPr>
            </w:pPr>
            <w:r>
              <w:rPr>
                <w:rFonts w:eastAsia="Times New Roman"/>
                <w:color w:val="000000"/>
                <w:sz w:val="18"/>
                <w:szCs w:val="18"/>
              </w:rPr>
              <w:t>4,400.8 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95249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8B9C0"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EAC3E2"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69735E" w14:textId="77777777" w:rsidR="00000000" w:rsidRDefault="00EE5306">
            <w:pPr>
              <w:spacing w:after="100"/>
              <w:jc w:val="right"/>
              <w:rPr>
                <w:rFonts w:eastAsia="Times New Roman"/>
              </w:rPr>
            </w:pPr>
            <w:r>
              <w:rPr>
                <w:rFonts w:eastAsia="Times New Roman"/>
                <w:color w:val="000000"/>
                <w:sz w:val="18"/>
                <w:szCs w:val="18"/>
              </w:rPr>
              <w:t>6,159.8 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7BB4D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47D56"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D903B0"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6F60A9" w14:textId="77777777" w:rsidR="00000000" w:rsidRDefault="00EE5306">
            <w:pPr>
              <w:spacing w:after="100"/>
              <w:jc w:val="right"/>
              <w:rPr>
                <w:rFonts w:eastAsia="Times New Roman"/>
              </w:rPr>
            </w:pPr>
            <w:r>
              <w:rPr>
                <w:rFonts w:eastAsia="Times New Roman"/>
                <w:color w:val="000000"/>
                <w:sz w:val="18"/>
                <w:szCs w:val="18"/>
              </w:rPr>
              <w:t>(1,759.0)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DC18A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974E3"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F5FC3D"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DA667B" w14:textId="77777777" w:rsidR="00000000" w:rsidRDefault="00EE5306">
            <w:pPr>
              <w:spacing w:after="100"/>
              <w:jc w:val="right"/>
              <w:rPr>
                <w:rFonts w:eastAsia="Times New Roman"/>
              </w:rPr>
            </w:pPr>
            <w:r>
              <w:rPr>
                <w:rFonts w:eastAsia="Times New Roman"/>
                <w:color w:val="000000"/>
                <w:sz w:val="18"/>
                <w:szCs w:val="18"/>
              </w:rPr>
              <w:t>80.7 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9A70F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CD6B4"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F56D90"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37913A9" w14:textId="77777777" w:rsidR="00000000" w:rsidRDefault="00EE5306">
            <w:pPr>
              <w:spacing w:after="100"/>
              <w:jc w:val="right"/>
              <w:rPr>
                <w:rFonts w:eastAsia="Times New Roman"/>
              </w:rPr>
            </w:pPr>
            <w:r>
              <w:rPr>
                <w:rFonts w:eastAsia="Times New Roman"/>
                <w:color w:val="000000"/>
                <w:sz w:val="18"/>
                <w:szCs w:val="18"/>
              </w:rPr>
              <w:t>(1,839.7)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F43F3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2B094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110919" w14:textId="77777777" w:rsidR="00000000" w:rsidRDefault="00EE5306">
            <w:pPr>
              <w:spacing w:after="100"/>
              <w:jc w:val="right"/>
              <w:rPr>
                <w:rFonts w:eastAsia="Times New Roman"/>
              </w:rPr>
            </w:pPr>
            <w:r>
              <w:rPr>
                <w:rFonts w:eastAsia="Times New Roman"/>
                <w:color w:val="000000"/>
                <w:sz w:val="18"/>
                <w:szCs w:val="18"/>
              </w:rPr>
              <w:t>(28.6 </w:t>
            </w:r>
          </w:p>
        </w:tc>
        <w:tc>
          <w:tcPr>
            <w:tcW w:w="0" w:type="auto"/>
            <w:shd w:val="clear" w:color="auto" w:fill="FFFFFF"/>
            <w:tcMar>
              <w:top w:w="30" w:type="dxa"/>
              <w:left w:w="0" w:type="dxa"/>
              <w:bottom w:w="30" w:type="dxa"/>
              <w:right w:w="20" w:type="dxa"/>
            </w:tcMar>
            <w:vAlign w:val="bottom"/>
            <w:hideMark/>
          </w:tcPr>
          <w:p w14:paraId="7996BF0C" w14:textId="77777777" w:rsidR="00000000" w:rsidRDefault="00EE530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72C2DB1"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E19C5E" w14:textId="77777777" w:rsidR="00000000" w:rsidRDefault="00EE5306">
            <w:pPr>
              <w:spacing w:after="100"/>
              <w:jc w:val="right"/>
              <w:rPr>
                <w:rFonts w:eastAsia="Times New Roman"/>
              </w:rPr>
            </w:pPr>
            <w:r>
              <w:rPr>
                <w:rFonts w:eastAsia="Times New Roman"/>
                <w:color w:val="000000"/>
                <w:sz w:val="18"/>
                <w:szCs w:val="18"/>
              </w:rPr>
              <w:t>(29.9 </w:t>
            </w:r>
          </w:p>
        </w:tc>
        <w:tc>
          <w:tcPr>
            <w:tcW w:w="0" w:type="auto"/>
            <w:shd w:val="clear" w:color="auto" w:fill="FFFFFF"/>
            <w:tcMar>
              <w:top w:w="30" w:type="dxa"/>
              <w:left w:w="0" w:type="dxa"/>
              <w:bottom w:w="30" w:type="dxa"/>
              <w:right w:w="20" w:type="dxa"/>
            </w:tcMar>
            <w:vAlign w:val="bottom"/>
            <w:hideMark/>
          </w:tcPr>
          <w:p w14:paraId="3E389D69" w14:textId="77777777" w:rsidR="00000000" w:rsidRDefault="00EE5306">
            <w:pPr>
              <w:spacing w:after="100"/>
              <w:rPr>
                <w:rFonts w:eastAsia="Times New Roman"/>
              </w:rPr>
            </w:pPr>
            <w:r>
              <w:rPr>
                <w:rFonts w:eastAsia="Times New Roman"/>
                <w:color w:val="000000"/>
                <w:sz w:val="18"/>
                <w:szCs w:val="18"/>
              </w:rPr>
              <w:t>%)</w:t>
            </w:r>
          </w:p>
        </w:tc>
      </w:tr>
    </w:tbl>
    <w:p w14:paraId="7D6DAB70" w14:textId="77777777" w:rsidR="00000000" w:rsidRDefault="00EE5306">
      <w:pPr>
        <w:ind w:firstLine="540"/>
        <w:jc w:val="both"/>
        <w:divId w:val="601957688"/>
        <w:rPr>
          <w:rFonts w:eastAsia="Times New Roman"/>
        </w:rPr>
      </w:pPr>
      <w:r>
        <w:rPr>
          <w:rFonts w:eastAsia="Times New Roman"/>
          <w:i/>
          <w:iCs/>
          <w:color w:val="000000"/>
          <w:sz w:val="20"/>
          <w:szCs w:val="20"/>
        </w:rPr>
        <w:t>North America net revenues</w:t>
      </w:r>
      <w:r>
        <w:rPr>
          <w:rFonts w:eastAsia="Times New Roman"/>
          <w:color w:val="000000"/>
          <w:sz w:val="20"/>
          <w:szCs w:val="20"/>
        </w:rPr>
        <w:t xml:space="preserve"> — </w:t>
      </w:r>
      <w:r>
        <w:rPr>
          <w:rFonts w:eastAsia="Times New Roman"/>
          <w:color w:val="000000"/>
          <w:sz w:val="20"/>
          <w:szCs w:val="20"/>
        </w:rPr>
        <w:t xml:space="preserve">Net revenues decreased by $1.148 billion, or 36.6%, during Fiscal 2021 as compared to Fiscal 2020, on both a reported and constant currency basis. </w:t>
      </w:r>
    </w:p>
    <w:p w14:paraId="7356E364" w14:textId="77777777" w:rsidR="00000000" w:rsidRDefault="00EE5306">
      <w:pPr>
        <w:ind w:firstLine="540"/>
        <w:jc w:val="both"/>
        <w:divId w:val="1849825115"/>
        <w:rPr>
          <w:rFonts w:eastAsia="Times New Roman"/>
        </w:rPr>
      </w:pPr>
      <w:r>
        <w:rPr>
          <w:rFonts w:eastAsia="Times New Roman"/>
          <w:color w:val="000000"/>
          <w:sz w:val="20"/>
          <w:szCs w:val="20"/>
        </w:rPr>
        <w:t>The $1.148 billion net decline in North America net revenues was driven by:</w:t>
      </w:r>
    </w:p>
    <w:p w14:paraId="675E6F55" w14:textId="77777777" w:rsidR="00000000" w:rsidRDefault="00EE5306">
      <w:pPr>
        <w:ind w:hanging="360"/>
        <w:jc w:val="both"/>
        <w:divId w:val="59522222"/>
        <w:rPr>
          <w:rFonts w:eastAsia="Times New Roman"/>
        </w:rPr>
      </w:pPr>
      <w:r>
        <w:rPr>
          <w:rFonts w:eastAsia="Times New Roman"/>
          <w:color w:val="000000"/>
          <w:sz w:val="20"/>
          <w:szCs w:val="20"/>
        </w:rPr>
        <w:t>•a $634.9 million net decrease r</w:t>
      </w:r>
      <w:r>
        <w:rPr>
          <w:rFonts w:eastAsia="Times New Roman"/>
          <w:color w:val="000000"/>
          <w:sz w:val="20"/>
          <w:szCs w:val="20"/>
        </w:rPr>
        <w:t>elated to our North America wholesale business, driven by COVID-19 business disruptions and continued challenging department store traffic trends; and</w:t>
      </w:r>
    </w:p>
    <w:p w14:paraId="2CE20166" w14:textId="77777777" w:rsidR="00000000" w:rsidRDefault="00EE5306">
      <w:pPr>
        <w:ind w:hanging="360"/>
        <w:jc w:val="both"/>
        <w:divId w:val="159544951"/>
        <w:rPr>
          <w:rFonts w:eastAsia="Times New Roman"/>
        </w:rPr>
      </w:pPr>
      <w:r>
        <w:rPr>
          <w:rFonts w:eastAsia="Times New Roman"/>
          <w:color w:val="000000"/>
          <w:sz w:val="20"/>
          <w:szCs w:val="20"/>
        </w:rPr>
        <w:t>•a $513.2 million net decrease related to our North America retail business, inclusive of the adverse imp</w:t>
      </w:r>
      <w:r>
        <w:rPr>
          <w:rFonts w:eastAsia="Times New Roman"/>
          <w:color w:val="000000"/>
          <w:sz w:val="20"/>
          <w:szCs w:val="20"/>
        </w:rPr>
        <w:t>act of COVID-19 business disruptions. On a constant currency basis, net revenues decreased by $513.1 million driven by decreases of $498.4 million in comparable store sales and $14.7 million in non-comparable store sales. The following table summarizes the</w:t>
      </w:r>
      <w:r>
        <w:rPr>
          <w:rFonts w:eastAsia="Times New Roman"/>
          <w:color w:val="000000"/>
          <w:sz w:val="20"/>
          <w:szCs w:val="20"/>
        </w:rPr>
        <w:t xml:space="preserve"> percentage change in comparable store sales related to our North America retail business, inclusive of adverse impacts related to COVID-19 business disruptions: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CEC1A53" w14:textId="77777777">
        <w:trPr>
          <w:divId w:val="331568097"/>
          <w:jc w:val="center"/>
        </w:trPr>
        <w:tc>
          <w:tcPr>
            <w:tcW w:w="50" w:type="pct"/>
            <w:vAlign w:val="center"/>
            <w:hideMark/>
          </w:tcPr>
          <w:p w14:paraId="755C60A5" w14:textId="77777777" w:rsidR="00000000" w:rsidRDefault="00EE5306">
            <w:pPr>
              <w:ind w:hanging="360"/>
              <w:jc w:val="both"/>
              <w:rPr>
                <w:rFonts w:eastAsia="Times New Roman"/>
              </w:rPr>
            </w:pPr>
          </w:p>
        </w:tc>
        <w:tc>
          <w:tcPr>
            <w:tcW w:w="1699" w:type="pct"/>
            <w:vAlign w:val="center"/>
            <w:hideMark/>
          </w:tcPr>
          <w:p w14:paraId="73F49BCA" w14:textId="77777777" w:rsidR="00000000" w:rsidRDefault="00EE5306">
            <w:pPr>
              <w:spacing w:after="100"/>
              <w:rPr>
                <w:rFonts w:eastAsia="Times New Roman"/>
                <w:sz w:val="20"/>
                <w:szCs w:val="20"/>
              </w:rPr>
            </w:pPr>
          </w:p>
        </w:tc>
        <w:tc>
          <w:tcPr>
            <w:tcW w:w="5" w:type="pct"/>
            <w:vAlign w:val="center"/>
            <w:hideMark/>
          </w:tcPr>
          <w:p w14:paraId="0A098C59" w14:textId="77777777" w:rsidR="00000000" w:rsidRDefault="00EE5306">
            <w:pPr>
              <w:spacing w:after="100"/>
              <w:rPr>
                <w:rFonts w:eastAsia="Times New Roman"/>
                <w:sz w:val="20"/>
                <w:szCs w:val="20"/>
              </w:rPr>
            </w:pPr>
          </w:p>
        </w:tc>
        <w:tc>
          <w:tcPr>
            <w:tcW w:w="50" w:type="pct"/>
            <w:vAlign w:val="center"/>
            <w:hideMark/>
          </w:tcPr>
          <w:p w14:paraId="2B59DE77" w14:textId="77777777" w:rsidR="00000000" w:rsidRDefault="00EE5306">
            <w:pPr>
              <w:spacing w:after="100"/>
              <w:rPr>
                <w:rFonts w:eastAsia="Times New Roman"/>
                <w:sz w:val="20"/>
                <w:szCs w:val="20"/>
              </w:rPr>
            </w:pPr>
          </w:p>
        </w:tc>
        <w:tc>
          <w:tcPr>
            <w:tcW w:w="1436" w:type="pct"/>
            <w:vAlign w:val="center"/>
            <w:hideMark/>
          </w:tcPr>
          <w:p w14:paraId="31B8548C" w14:textId="77777777" w:rsidR="00000000" w:rsidRDefault="00EE5306">
            <w:pPr>
              <w:spacing w:after="100"/>
              <w:rPr>
                <w:rFonts w:eastAsia="Times New Roman"/>
                <w:sz w:val="20"/>
                <w:szCs w:val="20"/>
              </w:rPr>
            </w:pPr>
          </w:p>
        </w:tc>
        <w:tc>
          <w:tcPr>
            <w:tcW w:w="5" w:type="pct"/>
            <w:vAlign w:val="center"/>
            <w:hideMark/>
          </w:tcPr>
          <w:p w14:paraId="0790461F" w14:textId="77777777" w:rsidR="00000000" w:rsidRDefault="00EE5306">
            <w:pPr>
              <w:spacing w:after="100"/>
              <w:rPr>
                <w:rFonts w:eastAsia="Times New Roman"/>
                <w:sz w:val="20"/>
                <w:szCs w:val="20"/>
              </w:rPr>
            </w:pPr>
          </w:p>
        </w:tc>
        <w:tc>
          <w:tcPr>
            <w:tcW w:w="50" w:type="pct"/>
            <w:vAlign w:val="center"/>
            <w:hideMark/>
          </w:tcPr>
          <w:p w14:paraId="44DEBCC6" w14:textId="77777777" w:rsidR="00000000" w:rsidRDefault="00EE5306">
            <w:pPr>
              <w:spacing w:after="100"/>
              <w:rPr>
                <w:rFonts w:eastAsia="Times New Roman"/>
                <w:sz w:val="20"/>
                <w:szCs w:val="20"/>
              </w:rPr>
            </w:pPr>
          </w:p>
        </w:tc>
        <w:tc>
          <w:tcPr>
            <w:tcW w:w="1699" w:type="pct"/>
            <w:vAlign w:val="center"/>
            <w:hideMark/>
          </w:tcPr>
          <w:p w14:paraId="2FFCC389" w14:textId="77777777" w:rsidR="00000000" w:rsidRDefault="00EE5306">
            <w:pPr>
              <w:spacing w:after="100"/>
              <w:rPr>
                <w:rFonts w:eastAsia="Times New Roman"/>
                <w:sz w:val="20"/>
                <w:szCs w:val="20"/>
              </w:rPr>
            </w:pPr>
          </w:p>
        </w:tc>
        <w:tc>
          <w:tcPr>
            <w:tcW w:w="5" w:type="pct"/>
            <w:vAlign w:val="center"/>
            <w:hideMark/>
          </w:tcPr>
          <w:p w14:paraId="0EE61CD0" w14:textId="77777777" w:rsidR="00000000" w:rsidRDefault="00EE5306">
            <w:pPr>
              <w:spacing w:after="100"/>
              <w:rPr>
                <w:rFonts w:eastAsia="Times New Roman"/>
                <w:sz w:val="20"/>
                <w:szCs w:val="20"/>
              </w:rPr>
            </w:pPr>
          </w:p>
        </w:tc>
      </w:tr>
      <w:tr w:rsidR="00000000" w14:paraId="63E8D701" w14:textId="77777777">
        <w:trPr>
          <w:divId w:val="331568097"/>
          <w:jc w:val="center"/>
        </w:trPr>
        <w:tc>
          <w:tcPr>
            <w:tcW w:w="0" w:type="auto"/>
            <w:gridSpan w:val="3"/>
            <w:tcMar>
              <w:top w:w="0" w:type="dxa"/>
              <w:left w:w="20" w:type="dxa"/>
              <w:bottom w:w="0" w:type="dxa"/>
              <w:right w:w="20" w:type="dxa"/>
            </w:tcMar>
            <w:vAlign w:val="center"/>
            <w:hideMark/>
          </w:tcPr>
          <w:p w14:paraId="78BAB5E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DE1FB6C" w14:textId="77777777" w:rsidR="00000000" w:rsidRDefault="00EE5306">
            <w:pPr>
              <w:spacing w:after="100"/>
              <w:jc w:val="center"/>
              <w:rPr>
                <w:rFonts w:eastAsia="Times New Roman"/>
              </w:rPr>
            </w:pPr>
            <w:r>
              <w:rPr>
                <w:rFonts w:eastAsia="Times New Roman"/>
                <w:color w:val="000000"/>
                <w:sz w:val="20"/>
                <w:szCs w:val="20"/>
              </w:rPr>
              <w:t>52</w:t>
            </w:r>
          </w:p>
        </w:tc>
        <w:tc>
          <w:tcPr>
            <w:tcW w:w="0" w:type="auto"/>
            <w:gridSpan w:val="3"/>
            <w:tcMar>
              <w:top w:w="0" w:type="dxa"/>
              <w:left w:w="20" w:type="dxa"/>
              <w:bottom w:w="0" w:type="dxa"/>
              <w:right w:w="20" w:type="dxa"/>
            </w:tcMar>
            <w:vAlign w:val="center"/>
            <w:hideMark/>
          </w:tcPr>
          <w:p w14:paraId="51772C3C" w14:textId="77777777" w:rsidR="00000000" w:rsidRDefault="00EE5306">
            <w:pPr>
              <w:spacing w:after="100"/>
              <w:jc w:val="center"/>
              <w:rPr>
                <w:rFonts w:eastAsia="Times New Roman"/>
              </w:rPr>
            </w:pPr>
          </w:p>
        </w:tc>
      </w:tr>
    </w:tbl>
    <w:p w14:paraId="768D4010" w14:textId="77777777" w:rsidR="00000000" w:rsidRDefault="00EE5306">
      <w:pPr>
        <w:rPr>
          <w:rFonts w:eastAsia="Times New Roman"/>
        </w:rPr>
      </w:pPr>
      <w:r>
        <w:rPr>
          <w:rFonts w:eastAsia="Times New Roman"/>
        </w:rPr>
        <w:pict w14:anchorId="12A2B0EA">
          <v:rect id="_x0000_i1079" style="width:0;height:1.5pt" o:hralign="center" o:hrstd="t" o:hr="t" fillcolor="#a0a0a0" stroked="f"/>
        </w:pict>
      </w:r>
    </w:p>
    <w:p w14:paraId="23DFABF0" w14:textId="77777777" w:rsidR="00000000" w:rsidRDefault="00EE5306">
      <w:pPr>
        <w:divId w:val="2047096947"/>
        <w:rPr>
          <w:rFonts w:eastAsia="Times New Roman"/>
        </w:rPr>
      </w:pPr>
    </w:p>
    <w:tbl>
      <w:tblPr>
        <w:tblW w:w="4459" w:type="pct"/>
        <w:tblCellMar>
          <w:top w:w="15" w:type="dxa"/>
          <w:left w:w="15" w:type="dxa"/>
          <w:bottom w:w="15" w:type="dxa"/>
          <w:right w:w="15" w:type="dxa"/>
        </w:tblCellMar>
        <w:tblLook w:val="04A0" w:firstRow="1" w:lastRow="0" w:firstColumn="1" w:lastColumn="0" w:noHBand="0" w:noVBand="1"/>
      </w:tblPr>
      <w:tblGrid>
        <w:gridCol w:w="37"/>
        <w:gridCol w:w="5956"/>
        <w:gridCol w:w="36"/>
        <w:gridCol w:w="36"/>
        <w:gridCol w:w="36"/>
        <w:gridCol w:w="36"/>
        <w:gridCol w:w="37"/>
        <w:gridCol w:w="979"/>
        <w:gridCol w:w="254"/>
      </w:tblGrid>
      <w:tr w:rsidR="00000000" w14:paraId="2CE43EFD" w14:textId="77777777">
        <w:trPr>
          <w:divId w:val="1645313287"/>
        </w:trPr>
        <w:tc>
          <w:tcPr>
            <w:tcW w:w="50" w:type="pct"/>
            <w:vAlign w:val="center"/>
            <w:hideMark/>
          </w:tcPr>
          <w:p w14:paraId="56D3CF0F" w14:textId="77777777" w:rsidR="00000000" w:rsidRDefault="00EE5306">
            <w:pPr>
              <w:rPr>
                <w:rFonts w:eastAsia="Times New Roman"/>
              </w:rPr>
            </w:pPr>
          </w:p>
        </w:tc>
        <w:tc>
          <w:tcPr>
            <w:tcW w:w="4084" w:type="pct"/>
            <w:vAlign w:val="center"/>
            <w:hideMark/>
          </w:tcPr>
          <w:p w14:paraId="16BB471F" w14:textId="77777777" w:rsidR="00000000" w:rsidRDefault="00EE5306">
            <w:pPr>
              <w:spacing w:after="100"/>
              <w:rPr>
                <w:rFonts w:eastAsia="Times New Roman"/>
                <w:sz w:val="20"/>
                <w:szCs w:val="20"/>
              </w:rPr>
            </w:pPr>
          </w:p>
        </w:tc>
        <w:tc>
          <w:tcPr>
            <w:tcW w:w="5" w:type="pct"/>
            <w:vAlign w:val="center"/>
            <w:hideMark/>
          </w:tcPr>
          <w:p w14:paraId="29A42D7B" w14:textId="77777777" w:rsidR="00000000" w:rsidRDefault="00EE5306">
            <w:pPr>
              <w:spacing w:after="100"/>
              <w:rPr>
                <w:rFonts w:eastAsia="Times New Roman"/>
                <w:sz w:val="20"/>
                <w:szCs w:val="20"/>
              </w:rPr>
            </w:pPr>
          </w:p>
        </w:tc>
        <w:tc>
          <w:tcPr>
            <w:tcW w:w="5" w:type="pct"/>
            <w:vAlign w:val="center"/>
            <w:hideMark/>
          </w:tcPr>
          <w:p w14:paraId="1A718A86" w14:textId="77777777" w:rsidR="00000000" w:rsidRDefault="00EE5306">
            <w:pPr>
              <w:spacing w:after="100"/>
              <w:rPr>
                <w:rFonts w:eastAsia="Times New Roman"/>
                <w:sz w:val="20"/>
                <w:szCs w:val="20"/>
              </w:rPr>
            </w:pPr>
          </w:p>
        </w:tc>
        <w:tc>
          <w:tcPr>
            <w:tcW w:w="30" w:type="pct"/>
            <w:vAlign w:val="center"/>
            <w:hideMark/>
          </w:tcPr>
          <w:p w14:paraId="10DBEB0F" w14:textId="77777777" w:rsidR="00000000" w:rsidRDefault="00EE5306">
            <w:pPr>
              <w:spacing w:after="100"/>
              <w:rPr>
                <w:rFonts w:eastAsia="Times New Roman"/>
                <w:sz w:val="20"/>
                <w:szCs w:val="20"/>
              </w:rPr>
            </w:pPr>
          </w:p>
        </w:tc>
        <w:tc>
          <w:tcPr>
            <w:tcW w:w="5" w:type="pct"/>
            <w:vAlign w:val="center"/>
            <w:hideMark/>
          </w:tcPr>
          <w:p w14:paraId="5FD550A6" w14:textId="77777777" w:rsidR="00000000" w:rsidRDefault="00EE5306">
            <w:pPr>
              <w:spacing w:after="100"/>
              <w:rPr>
                <w:rFonts w:eastAsia="Times New Roman"/>
                <w:sz w:val="20"/>
                <w:szCs w:val="20"/>
              </w:rPr>
            </w:pPr>
          </w:p>
        </w:tc>
        <w:tc>
          <w:tcPr>
            <w:tcW w:w="50" w:type="pct"/>
            <w:vAlign w:val="center"/>
            <w:hideMark/>
          </w:tcPr>
          <w:p w14:paraId="1583E4F9" w14:textId="77777777" w:rsidR="00000000" w:rsidRDefault="00EE5306">
            <w:pPr>
              <w:spacing w:after="100"/>
              <w:rPr>
                <w:rFonts w:eastAsia="Times New Roman"/>
                <w:sz w:val="20"/>
                <w:szCs w:val="20"/>
              </w:rPr>
            </w:pPr>
          </w:p>
        </w:tc>
        <w:tc>
          <w:tcPr>
            <w:tcW w:w="764" w:type="pct"/>
            <w:vAlign w:val="center"/>
            <w:hideMark/>
          </w:tcPr>
          <w:p w14:paraId="7FF3D0D0" w14:textId="77777777" w:rsidR="00000000" w:rsidRDefault="00EE5306">
            <w:pPr>
              <w:spacing w:after="100"/>
              <w:rPr>
                <w:rFonts w:eastAsia="Times New Roman"/>
                <w:sz w:val="20"/>
                <w:szCs w:val="20"/>
              </w:rPr>
            </w:pPr>
          </w:p>
        </w:tc>
        <w:tc>
          <w:tcPr>
            <w:tcW w:w="5" w:type="pct"/>
            <w:vAlign w:val="center"/>
            <w:hideMark/>
          </w:tcPr>
          <w:p w14:paraId="479EA9C8" w14:textId="77777777" w:rsidR="00000000" w:rsidRDefault="00EE5306">
            <w:pPr>
              <w:spacing w:after="100"/>
              <w:rPr>
                <w:rFonts w:eastAsia="Times New Roman"/>
                <w:sz w:val="20"/>
                <w:szCs w:val="20"/>
              </w:rPr>
            </w:pPr>
          </w:p>
        </w:tc>
      </w:tr>
      <w:tr w:rsidR="00000000" w14:paraId="472DD748" w14:textId="77777777">
        <w:trPr>
          <w:divId w:val="1645313287"/>
        </w:trPr>
        <w:tc>
          <w:tcPr>
            <w:tcW w:w="0" w:type="auto"/>
            <w:gridSpan w:val="3"/>
            <w:tcMar>
              <w:top w:w="30" w:type="dxa"/>
              <w:left w:w="20" w:type="dxa"/>
              <w:bottom w:w="30" w:type="dxa"/>
              <w:right w:w="20" w:type="dxa"/>
            </w:tcMar>
            <w:vAlign w:val="bottom"/>
            <w:hideMark/>
          </w:tcPr>
          <w:p w14:paraId="4B5147E0"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83F3FA9"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7D79DD5B" w14:textId="77777777" w:rsidR="00000000" w:rsidRDefault="00EE5306">
            <w:pPr>
              <w:spacing w:after="100"/>
              <w:jc w:val="center"/>
              <w:rPr>
                <w:rFonts w:eastAsia="Times New Roman"/>
              </w:rPr>
            </w:pPr>
            <w:r>
              <w:rPr>
                <w:rFonts w:eastAsia="Times New Roman"/>
                <w:b/>
                <w:bCs/>
                <w:color w:val="000000"/>
                <w:sz w:val="16"/>
                <w:szCs w:val="16"/>
              </w:rPr>
              <w:t>% Change</w:t>
            </w:r>
          </w:p>
        </w:tc>
      </w:tr>
      <w:tr w:rsidR="00000000" w14:paraId="6BB28C98" w14:textId="77777777">
        <w:trPr>
          <w:divId w:val="1645313287"/>
        </w:trPr>
        <w:tc>
          <w:tcPr>
            <w:tcW w:w="0" w:type="auto"/>
            <w:gridSpan w:val="3"/>
            <w:shd w:val="clear" w:color="auto" w:fill="CCEEFF"/>
            <w:tcMar>
              <w:top w:w="30" w:type="dxa"/>
              <w:left w:w="20" w:type="dxa"/>
              <w:bottom w:w="30" w:type="dxa"/>
              <w:right w:w="20" w:type="dxa"/>
            </w:tcMar>
            <w:vAlign w:val="bottom"/>
            <w:hideMark/>
          </w:tcPr>
          <w:p w14:paraId="44A8BC4C" w14:textId="77777777" w:rsidR="00000000" w:rsidRDefault="00EE5306">
            <w:pPr>
              <w:spacing w:after="100"/>
              <w:rPr>
                <w:rFonts w:eastAsia="Times New Roman"/>
              </w:rPr>
            </w:pPr>
            <w:r>
              <w:rPr>
                <w:rFonts w:eastAsia="Times New Roman"/>
                <w:color w:val="000000"/>
                <w:sz w:val="20"/>
                <w:szCs w:val="20"/>
              </w:rPr>
              <w:t>Digital commerce comparable store sales</w:t>
            </w:r>
          </w:p>
        </w:tc>
        <w:tc>
          <w:tcPr>
            <w:tcW w:w="0" w:type="auto"/>
            <w:gridSpan w:val="3"/>
            <w:shd w:val="clear" w:color="auto" w:fill="CCEEFF"/>
            <w:tcMar>
              <w:top w:w="0" w:type="dxa"/>
              <w:left w:w="20" w:type="dxa"/>
              <w:bottom w:w="0" w:type="dxa"/>
              <w:right w:w="20" w:type="dxa"/>
            </w:tcMar>
            <w:vAlign w:val="center"/>
            <w:hideMark/>
          </w:tcPr>
          <w:p w14:paraId="184C92F8"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AEE206" w14:textId="77777777" w:rsidR="00000000" w:rsidRDefault="00EE5306">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21E747" w14:textId="77777777" w:rsidR="00000000" w:rsidRDefault="00EE5306">
            <w:pPr>
              <w:spacing w:after="100"/>
              <w:rPr>
                <w:rFonts w:eastAsia="Times New Roman"/>
              </w:rPr>
            </w:pPr>
            <w:r>
              <w:rPr>
                <w:rFonts w:eastAsia="Times New Roman"/>
                <w:color w:val="000000"/>
                <w:sz w:val="20"/>
                <w:szCs w:val="20"/>
              </w:rPr>
              <w:t>%</w:t>
            </w:r>
          </w:p>
        </w:tc>
      </w:tr>
      <w:tr w:rsidR="00000000" w14:paraId="202465A6" w14:textId="77777777">
        <w:trPr>
          <w:divId w:val="1645313287"/>
        </w:trPr>
        <w:tc>
          <w:tcPr>
            <w:tcW w:w="0" w:type="auto"/>
            <w:gridSpan w:val="3"/>
            <w:shd w:val="clear" w:color="auto" w:fill="FFFFFF"/>
            <w:tcMar>
              <w:top w:w="30" w:type="dxa"/>
              <w:left w:w="20" w:type="dxa"/>
              <w:bottom w:w="30" w:type="dxa"/>
              <w:right w:w="20" w:type="dxa"/>
            </w:tcMar>
            <w:vAlign w:val="bottom"/>
            <w:hideMark/>
          </w:tcPr>
          <w:p w14:paraId="3BC8A286" w14:textId="77777777" w:rsidR="00000000" w:rsidRDefault="00EE5306">
            <w:pPr>
              <w:spacing w:after="100"/>
              <w:rPr>
                <w:rFonts w:eastAsia="Times New Roman"/>
              </w:rPr>
            </w:pPr>
            <w:r>
              <w:rPr>
                <w:rFonts w:eastAsia="Times New Roman"/>
                <w:color w:val="000000"/>
                <w:sz w:val="20"/>
                <w:szCs w:val="20"/>
              </w:rPr>
              <w:t>Comparable store sales excluding digital commerce</w:t>
            </w:r>
          </w:p>
        </w:tc>
        <w:tc>
          <w:tcPr>
            <w:tcW w:w="0" w:type="auto"/>
            <w:gridSpan w:val="3"/>
            <w:shd w:val="clear" w:color="auto" w:fill="FFFFFF"/>
            <w:tcMar>
              <w:top w:w="0" w:type="dxa"/>
              <w:left w:w="20" w:type="dxa"/>
              <w:bottom w:w="0" w:type="dxa"/>
              <w:right w:w="20" w:type="dxa"/>
            </w:tcMar>
            <w:vAlign w:val="center"/>
            <w:hideMark/>
          </w:tcPr>
          <w:p w14:paraId="1B0FB98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4D81DA" w14:textId="77777777" w:rsidR="00000000" w:rsidRDefault="00EE5306">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497B742B" w14:textId="77777777" w:rsidR="00000000" w:rsidRDefault="00EE5306">
            <w:pPr>
              <w:spacing w:after="100"/>
              <w:rPr>
                <w:rFonts w:eastAsia="Times New Roman"/>
              </w:rPr>
            </w:pPr>
            <w:r>
              <w:rPr>
                <w:rFonts w:eastAsia="Times New Roman"/>
                <w:color w:val="000000"/>
                <w:sz w:val="20"/>
                <w:szCs w:val="20"/>
              </w:rPr>
              <w:t>%)</w:t>
            </w:r>
          </w:p>
        </w:tc>
      </w:tr>
      <w:tr w:rsidR="00000000" w14:paraId="0CD1A782" w14:textId="77777777">
        <w:trPr>
          <w:divId w:val="1645313287"/>
        </w:trPr>
        <w:tc>
          <w:tcPr>
            <w:tcW w:w="0" w:type="auto"/>
            <w:gridSpan w:val="3"/>
            <w:shd w:val="clear" w:color="auto" w:fill="CCEEFF"/>
            <w:tcMar>
              <w:top w:w="30" w:type="dxa"/>
              <w:left w:w="20" w:type="dxa"/>
              <w:bottom w:w="30" w:type="dxa"/>
              <w:right w:w="20" w:type="dxa"/>
            </w:tcMar>
            <w:vAlign w:val="bottom"/>
            <w:hideMark/>
          </w:tcPr>
          <w:p w14:paraId="2F5C447B" w14:textId="77777777" w:rsidR="00000000" w:rsidRDefault="00EE5306">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14:paraId="01BBFED9"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2C8E58" w14:textId="77777777" w:rsidR="00000000" w:rsidRDefault="00EE5306">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14:paraId="5C5D92B2" w14:textId="77777777" w:rsidR="00000000" w:rsidRDefault="00EE5306">
            <w:pPr>
              <w:spacing w:after="100"/>
              <w:rPr>
                <w:rFonts w:eastAsia="Times New Roman"/>
              </w:rPr>
            </w:pPr>
            <w:r>
              <w:rPr>
                <w:rFonts w:eastAsia="Times New Roman"/>
                <w:color w:val="000000"/>
                <w:sz w:val="20"/>
                <w:szCs w:val="20"/>
              </w:rPr>
              <w:t>%)</w:t>
            </w:r>
          </w:p>
        </w:tc>
      </w:tr>
    </w:tbl>
    <w:p w14:paraId="6213EED5" w14:textId="77777777" w:rsidR="00000000" w:rsidRDefault="00EE5306">
      <w:pPr>
        <w:ind w:firstLine="540"/>
        <w:jc w:val="both"/>
        <w:divId w:val="657224035"/>
        <w:rPr>
          <w:rFonts w:eastAsia="Times New Roman"/>
        </w:rPr>
      </w:pPr>
      <w:r>
        <w:rPr>
          <w:rFonts w:eastAsia="Times New Roman"/>
          <w:i/>
          <w:iCs/>
          <w:color w:val="000000"/>
          <w:sz w:val="20"/>
          <w:szCs w:val="20"/>
        </w:rPr>
        <w:t>Europe net revenues</w:t>
      </w:r>
      <w:r>
        <w:rPr>
          <w:rFonts w:eastAsia="Times New Roman"/>
          <w:color w:val="000000"/>
          <w:sz w:val="20"/>
          <w:szCs w:val="20"/>
        </w:rPr>
        <w:t> — Net revenues decreased by $466.3 million, or 28.6%, during Fiscal 2021 as compared to Fiscal 2020, including net favorable foreign currency effects of $52.1 million. On a constant currency basis, net revenues decreased by $518.4 milli</w:t>
      </w:r>
      <w:r>
        <w:rPr>
          <w:rFonts w:eastAsia="Times New Roman"/>
          <w:color w:val="000000"/>
          <w:sz w:val="20"/>
          <w:szCs w:val="20"/>
        </w:rPr>
        <w:t xml:space="preserve">on, or 31.8%. </w:t>
      </w:r>
    </w:p>
    <w:p w14:paraId="31BE3B98" w14:textId="77777777" w:rsidR="00000000" w:rsidRDefault="00EE5306">
      <w:pPr>
        <w:ind w:firstLine="540"/>
        <w:jc w:val="both"/>
        <w:divId w:val="362368738"/>
        <w:rPr>
          <w:rFonts w:eastAsia="Times New Roman"/>
        </w:rPr>
      </w:pPr>
      <w:r>
        <w:rPr>
          <w:rFonts w:eastAsia="Times New Roman"/>
          <w:color w:val="000000"/>
          <w:sz w:val="20"/>
          <w:szCs w:val="20"/>
        </w:rPr>
        <w:t>The $466.3 million net decline in Europe net revenues was driven by:</w:t>
      </w:r>
    </w:p>
    <w:p w14:paraId="6A01045E" w14:textId="77777777" w:rsidR="00000000" w:rsidRDefault="00EE5306">
      <w:pPr>
        <w:ind w:hanging="360"/>
        <w:jc w:val="both"/>
        <w:divId w:val="1153378196"/>
        <w:rPr>
          <w:rFonts w:eastAsia="Times New Roman"/>
        </w:rPr>
      </w:pPr>
      <w:r>
        <w:rPr>
          <w:rFonts w:eastAsia="Times New Roman"/>
          <w:color w:val="000000"/>
          <w:sz w:val="20"/>
          <w:szCs w:val="20"/>
        </w:rPr>
        <w:t>•a $357.5 million net decrease related to our Europe retail business, inclusive of the adverse impact of COVID-19 business disruptions, as well as net favorable foreign cur</w:t>
      </w:r>
      <w:r>
        <w:rPr>
          <w:rFonts w:eastAsia="Times New Roman"/>
          <w:color w:val="000000"/>
          <w:sz w:val="20"/>
          <w:szCs w:val="20"/>
        </w:rPr>
        <w:t>rency effects of $15.1 million. On a constant currency basis, net revenues decreased by $372.6 million driven by decreases of $336.2 million in comparable store sales and $36.4 million in non-comparable store sales. The following table summarizes the perce</w:t>
      </w:r>
      <w:r>
        <w:rPr>
          <w:rFonts w:eastAsia="Times New Roman"/>
          <w:color w:val="000000"/>
          <w:sz w:val="20"/>
          <w:szCs w:val="20"/>
        </w:rPr>
        <w:t>ntage change in comparable store sales related to our Europe retail business, inclusive of adverse impacts related to COVID-19 business disruptions:</w:t>
      </w:r>
    </w:p>
    <w:tbl>
      <w:tblPr>
        <w:tblW w:w="4459" w:type="pct"/>
        <w:tblCellMar>
          <w:top w:w="15" w:type="dxa"/>
          <w:left w:w="15" w:type="dxa"/>
          <w:bottom w:w="15" w:type="dxa"/>
          <w:right w:w="15" w:type="dxa"/>
        </w:tblCellMar>
        <w:tblLook w:val="04A0" w:firstRow="1" w:lastRow="0" w:firstColumn="1" w:lastColumn="0" w:noHBand="0" w:noVBand="1"/>
      </w:tblPr>
      <w:tblGrid>
        <w:gridCol w:w="37"/>
        <w:gridCol w:w="5956"/>
        <w:gridCol w:w="36"/>
        <w:gridCol w:w="36"/>
        <w:gridCol w:w="36"/>
        <w:gridCol w:w="36"/>
        <w:gridCol w:w="37"/>
        <w:gridCol w:w="979"/>
        <w:gridCol w:w="254"/>
      </w:tblGrid>
      <w:tr w:rsidR="00000000" w14:paraId="1A14D68C" w14:textId="77777777">
        <w:trPr>
          <w:divId w:val="2041469515"/>
        </w:trPr>
        <w:tc>
          <w:tcPr>
            <w:tcW w:w="50" w:type="pct"/>
            <w:vAlign w:val="center"/>
            <w:hideMark/>
          </w:tcPr>
          <w:p w14:paraId="4411754C" w14:textId="77777777" w:rsidR="00000000" w:rsidRDefault="00EE5306">
            <w:pPr>
              <w:ind w:hanging="360"/>
              <w:jc w:val="both"/>
              <w:rPr>
                <w:rFonts w:eastAsia="Times New Roman"/>
              </w:rPr>
            </w:pPr>
          </w:p>
        </w:tc>
        <w:tc>
          <w:tcPr>
            <w:tcW w:w="4084" w:type="pct"/>
            <w:vAlign w:val="center"/>
            <w:hideMark/>
          </w:tcPr>
          <w:p w14:paraId="6CCDB4B5" w14:textId="77777777" w:rsidR="00000000" w:rsidRDefault="00EE5306">
            <w:pPr>
              <w:spacing w:after="100"/>
              <w:rPr>
                <w:rFonts w:eastAsia="Times New Roman"/>
                <w:sz w:val="20"/>
                <w:szCs w:val="20"/>
              </w:rPr>
            </w:pPr>
          </w:p>
        </w:tc>
        <w:tc>
          <w:tcPr>
            <w:tcW w:w="5" w:type="pct"/>
            <w:vAlign w:val="center"/>
            <w:hideMark/>
          </w:tcPr>
          <w:p w14:paraId="2A9A6443" w14:textId="77777777" w:rsidR="00000000" w:rsidRDefault="00EE5306">
            <w:pPr>
              <w:spacing w:after="100"/>
              <w:rPr>
                <w:rFonts w:eastAsia="Times New Roman"/>
                <w:sz w:val="20"/>
                <w:szCs w:val="20"/>
              </w:rPr>
            </w:pPr>
          </w:p>
        </w:tc>
        <w:tc>
          <w:tcPr>
            <w:tcW w:w="5" w:type="pct"/>
            <w:vAlign w:val="center"/>
            <w:hideMark/>
          </w:tcPr>
          <w:p w14:paraId="00053663" w14:textId="77777777" w:rsidR="00000000" w:rsidRDefault="00EE5306">
            <w:pPr>
              <w:spacing w:after="100"/>
              <w:rPr>
                <w:rFonts w:eastAsia="Times New Roman"/>
                <w:sz w:val="20"/>
                <w:szCs w:val="20"/>
              </w:rPr>
            </w:pPr>
          </w:p>
        </w:tc>
        <w:tc>
          <w:tcPr>
            <w:tcW w:w="30" w:type="pct"/>
            <w:vAlign w:val="center"/>
            <w:hideMark/>
          </w:tcPr>
          <w:p w14:paraId="6304117C" w14:textId="77777777" w:rsidR="00000000" w:rsidRDefault="00EE5306">
            <w:pPr>
              <w:spacing w:after="100"/>
              <w:rPr>
                <w:rFonts w:eastAsia="Times New Roman"/>
                <w:sz w:val="20"/>
                <w:szCs w:val="20"/>
              </w:rPr>
            </w:pPr>
          </w:p>
        </w:tc>
        <w:tc>
          <w:tcPr>
            <w:tcW w:w="5" w:type="pct"/>
            <w:vAlign w:val="center"/>
            <w:hideMark/>
          </w:tcPr>
          <w:p w14:paraId="2E1FB19E" w14:textId="77777777" w:rsidR="00000000" w:rsidRDefault="00EE5306">
            <w:pPr>
              <w:spacing w:after="100"/>
              <w:rPr>
                <w:rFonts w:eastAsia="Times New Roman"/>
                <w:sz w:val="20"/>
                <w:szCs w:val="20"/>
              </w:rPr>
            </w:pPr>
          </w:p>
        </w:tc>
        <w:tc>
          <w:tcPr>
            <w:tcW w:w="50" w:type="pct"/>
            <w:vAlign w:val="center"/>
            <w:hideMark/>
          </w:tcPr>
          <w:p w14:paraId="10EDCD7F" w14:textId="77777777" w:rsidR="00000000" w:rsidRDefault="00EE5306">
            <w:pPr>
              <w:spacing w:after="100"/>
              <w:rPr>
                <w:rFonts w:eastAsia="Times New Roman"/>
                <w:sz w:val="20"/>
                <w:szCs w:val="20"/>
              </w:rPr>
            </w:pPr>
          </w:p>
        </w:tc>
        <w:tc>
          <w:tcPr>
            <w:tcW w:w="764" w:type="pct"/>
            <w:vAlign w:val="center"/>
            <w:hideMark/>
          </w:tcPr>
          <w:p w14:paraId="0DF1457A" w14:textId="77777777" w:rsidR="00000000" w:rsidRDefault="00EE5306">
            <w:pPr>
              <w:spacing w:after="100"/>
              <w:rPr>
                <w:rFonts w:eastAsia="Times New Roman"/>
                <w:sz w:val="20"/>
                <w:szCs w:val="20"/>
              </w:rPr>
            </w:pPr>
          </w:p>
        </w:tc>
        <w:tc>
          <w:tcPr>
            <w:tcW w:w="5" w:type="pct"/>
            <w:vAlign w:val="center"/>
            <w:hideMark/>
          </w:tcPr>
          <w:p w14:paraId="7C02FF9B" w14:textId="77777777" w:rsidR="00000000" w:rsidRDefault="00EE5306">
            <w:pPr>
              <w:spacing w:after="100"/>
              <w:rPr>
                <w:rFonts w:eastAsia="Times New Roman"/>
                <w:sz w:val="20"/>
                <w:szCs w:val="20"/>
              </w:rPr>
            </w:pPr>
          </w:p>
        </w:tc>
      </w:tr>
      <w:tr w:rsidR="00000000" w14:paraId="28873ED0" w14:textId="77777777">
        <w:trPr>
          <w:divId w:val="2041469515"/>
        </w:trPr>
        <w:tc>
          <w:tcPr>
            <w:tcW w:w="0" w:type="auto"/>
            <w:gridSpan w:val="3"/>
            <w:tcMar>
              <w:top w:w="30" w:type="dxa"/>
              <w:left w:w="20" w:type="dxa"/>
              <w:bottom w:w="30" w:type="dxa"/>
              <w:right w:w="20" w:type="dxa"/>
            </w:tcMar>
            <w:vAlign w:val="bottom"/>
            <w:hideMark/>
          </w:tcPr>
          <w:p w14:paraId="2C77687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BEE77A3"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06709816" w14:textId="77777777" w:rsidR="00000000" w:rsidRDefault="00EE5306">
            <w:pPr>
              <w:spacing w:after="100"/>
              <w:jc w:val="center"/>
              <w:rPr>
                <w:rFonts w:eastAsia="Times New Roman"/>
              </w:rPr>
            </w:pPr>
            <w:r>
              <w:rPr>
                <w:rFonts w:eastAsia="Times New Roman"/>
                <w:b/>
                <w:bCs/>
                <w:color w:val="000000"/>
                <w:sz w:val="16"/>
                <w:szCs w:val="16"/>
              </w:rPr>
              <w:t>% Change</w:t>
            </w:r>
          </w:p>
        </w:tc>
      </w:tr>
      <w:tr w:rsidR="00000000" w14:paraId="1201CBAD" w14:textId="77777777">
        <w:trPr>
          <w:divId w:val="2041469515"/>
        </w:trPr>
        <w:tc>
          <w:tcPr>
            <w:tcW w:w="0" w:type="auto"/>
            <w:gridSpan w:val="3"/>
            <w:shd w:val="clear" w:color="auto" w:fill="CCEEFF"/>
            <w:tcMar>
              <w:top w:w="30" w:type="dxa"/>
              <w:left w:w="20" w:type="dxa"/>
              <w:bottom w:w="30" w:type="dxa"/>
              <w:right w:w="20" w:type="dxa"/>
            </w:tcMar>
            <w:vAlign w:val="bottom"/>
            <w:hideMark/>
          </w:tcPr>
          <w:p w14:paraId="67817B97" w14:textId="77777777" w:rsidR="00000000" w:rsidRDefault="00EE5306">
            <w:pPr>
              <w:spacing w:after="100"/>
              <w:rPr>
                <w:rFonts w:eastAsia="Times New Roman"/>
              </w:rPr>
            </w:pPr>
            <w:r>
              <w:rPr>
                <w:rFonts w:eastAsia="Times New Roman"/>
                <w:color w:val="000000"/>
                <w:sz w:val="20"/>
                <w:szCs w:val="20"/>
              </w:rPr>
              <w:t>Digital commerce comparable store sales</w:t>
            </w:r>
          </w:p>
        </w:tc>
        <w:tc>
          <w:tcPr>
            <w:tcW w:w="0" w:type="auto"/>
            <w:gridSpan w:val="3"/>
            <w:shd w:val="clear" w:color="auto" w:fill="CCEEFF"/>
            <w:tcMar>
              <w:top w:w="0" w:type="dxa"/>
              <w:left w:w="20" w:type="dxa"/>
              <w:bottom w:w="0" w:type="dxa"/>
              <w:right w:w="20" w:type="dxa"/>
            </w:tcMar>
            <w:vAlign w:val="center"/>
            <w:hideMark/>
          </w:tcPr>
          <w:p w14:paraId="6D6F3B60"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45C4D0" w14:textId="77777777" w:rsidR="00000000" w:rsidRDefault="00EE5306">
            <w:pPr>
              <w:spacing w:after="100"/>
              <w:jc w:val="right"/>
              <w:rPr>
                <w:rFonts w:eastAsia="Times New Roman"/>
              </w:rPr>
            </w:pPr>
            <w:r>
              <w:rPr>
                <w:rFonts w:eastAsia="Times New Roman"/>
                <w:color w:val="000000"/>
                <w:sz w:val="20"/>
                <w:szCs w:val="20"/>
              </w:rPr>
              <w:t>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9C51FB" w14:textId="77777777" w:rsidR="00000000" w:rsidRDefault="00EE5306">
            <w:pPr>
              <w:spacing w:after="100"/>
              <w:rPr>
                <w:rFonts w:eastAsia="Times New Roman"/>
              </w:rPr>
            </w:pPr>
            <w:r>
              <w:rPr>
                <w:rFonts w:eastAsia="Times New Roman"/>
                <w:color w:val="000000"/>
                <w:sz w:val="20"/>
                <w:szCs w:val="20"/>
              </w:rPr>
              <w:t>%</w:t>
            </w:r>
          </w:p>
        </w:tc>
      </w:tr>
      <w:tr w:rsidR="00000000" w14:paraId="04D185F8" w14:textId="77777777">
        <w:trPr>
          <w:divId w:val="2041469515"/>
        </w:trPr>
        <w:tc>
          <w:tcPr>
            <w:tcW w:w="0" w:type="auto"/>
            <w:gridSpan w:val="3"/>
            <w:shd w:val="clear" w:color="auto" w:fill="FFFFFF"/>
            <w:tcMar>
              <w:top w:w="30" w:type="dxa"/>
              <w:left w:w="20" w:type="dxa"/>
              <w:bottom w:w="30" w:type="dxa"/>
              <w:right w:w="20" w:type="dxa"/>
            </w:tcMar>
            <w:vAlign w:val="bottom"/>
            <w:hideMark/>
          </w:tcPr>
          <w:p w14:paraId="69EF55E1" w14:textId="77777777" w:rsidR="00000000" w:rsidRDefault="00EE5306">
            <w:pPr>
              <w:spacing w:after="100"/>
              <w:rPr>
                <w:rFonts w:eastAsia="Times New Roman"/>
              </w:rPr>
            </w:pPr>
            <w:r>
              <w:rPr>
                <w:rFonts w:eastAsia="Times New Roman"/>
                <w:color w:val="000000"/>
                <w:sz w:val="20"/>
                <w:szCs w:val="20"/>
              </w:rPr>
              <w:t>Comparable store sales excluding digital commerce</w:t>
            </w:r>
          </w:p>
        </w:tc>
        <w:tc>
          <w:tcPr>
            <w:tcW w:w="0" w:type="auto"/>
            <w:gridSpan w:val="3"/>
            <w:shd w:val="clear" w:color="auto" w:fill="FFFFFF"/>
            <w:tcMar>
              <w:top w:w="0" w:type="dxa"/>
              <w:left w:w="20" w:type="dxa"/>
              <w:bottom w:w="0" w:type="dxa"/>
              <w:right w:w="20" w:type="dxa"/>
            </w:tcMar>
            <w:vAlign w:val="center"/>
            <w:hideMark/>
          </w:tcPr>
          <w:p w14:paraId="1DBE951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6B8DD2" w14:textId="77777777" w:rsidR="00000000" w:rsidRDefault="00EE5306">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402C76AC" w14:textId="77777777" w:rsidR="00000000" w:rsidRDefault="00EE5306">
            <w:pPr>
              <w:spacing w:after="100"/>
              <w:rPr>
                <w:rFonts w:eastAsia="Times New Roman"/>
              </w:rPr>
            </w:pPr>
            <w:r>
              <w:rPr>
                <w:rFonts w:eastAsia="Times New Roman"/>
                <w:color w:val="000000"/>
                <w:sz w:val="20"/>
                <w:szCs w:val="20"/>
              </w:rPr>
              <w:t>%)</w:t>
            </w:r>
          </w:p>
        </w:tc>
      </w:tr>
      <w:tr w:rsidR="00000000" w14:paraId="6281EE57" w14:textId="77777777">
        <w:trPr>
          <w:divId w:val="2041469515"/>
        </w:trPr>
        <w:tc>
          <w:tcPr>
            <w:tcW w:w="0" w:type="auto"/>
            <w:gridSpan w:val="3"/>
            <w:shd w:val="clear" w:color="auto" w:fill="CCEEFF"/>
            <w:tcMar>
              <w:top w:w="30" w:type="dxa"/>
              <w:left w:w="20" w:type="dxa"/>
              <w:bottom w:w="30" w:type="dxa"/>
              <w:right w:w="20" w:type="dxa"/>
            </w:tcMar>
            <w:vAlign w:val="bottom"/>
            <w:hideMark/>
          </w:tcPr>
          <w:p w14:paraId="750D3AA1" w14:textId="77777777" w:rsidR="00000000" w:rsidRDefault="00EE5306">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14:paraId="178F33E4"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C67FFA" w14:textId="77777777" w:rsidR="00000000" w:rsidRDefault="00EE5306">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392884F8" w14:textId="77777777" w:rsidR="00000000" w:rsidRDefault="00EE5306">
            <w:pPr>
              <w:spacing w:after="100"/>
              <w:rPr>
                <w:rFonts w:eastAsia="Times New Roman"/>
              </w:rPr>
            </w:pPr>
            <w:r>
              <w:rPr>
                <w:rFonts w:eastAsia="Times New Roman"/>
                <w:color w:val="000000"/>
                <w:sz w:val="20"/>
                <w:szCs w:val="20"/>
              </w:rPr>
              <w:t>%)</w:t>
            </w:r>
          </w:p>
        </w:tc>
      </w:tr>
    </w:tbl>
    <w:p w14:paraId="2DA16E0D" w14:textId="77777777" w:rsidR="00000000" w:rsidRDefault="00EE5306">
      <w:pPr>
        <w:ind w:hanging="360"/>
        <w:jc w:val="both"/>
        <w:divId w:val="16389412"/>
        <w:rPr>
          <w:rFonts w:eastAsia="Times New Roman"/>
        </w:rPr>
      </w:pPr>
      <w:r>
        <w:rPr>
          <w:rFonts w:eastAsia="Times New Roman"/>
          <w:i/>
          <w:iCs/>
          <w:color w:val="000000"/>
          <w:sz w:val="20"/>
          <w:szCs w:val="20"/>
        </w:rPr>
        <w:t>•</w:t>
      </w:r>
      <w:r>
        <w:rPr>
          <w:rFonts w:eastAsia="Times New Roman"/>
          <w:color w:val="000000"/>
          <w:sz w:val="20"/>
          <w:szCs w:val="20"/>
        </w:rPr>
        <w:t>a $108.8 </w:t>
      </w:r>
      <w:r>
        <w:rPr>
          <w:rFonts w:eastAsia="Times New Roman"/>
          <w:color w:val="000000"/>
          <w:sz w:val="20"/>
          <w:szCs w:val="20"/>
        </w:rPr>
        <w:t>million net decrease related to our Europe wholesale business driven by COVID-19 business disruptions partially offset by net favorable foreign currency effects of $37.0 million.</w:t>
      </w:r>
    </w:p>
    <w:p w14:paraId="2507B886" w14:textId="77777777" w:rsidR="00000000" w:rsidRDefault="00EE5306">
      <w:pPr>
        <w:ind w:firstLine="540"/>
        <w:jc w:val="both"/>
        <w:divId w:val="356666049"/>
        <w:rPr>
          <w:rFonts w:eastAsia="Times New Roman"/>
        </w:rPr>
      </w:pPr>
      <w:r>
        <w:rPr>
          <w:rFonts w:eastAsia="Times New Roman"/>
          <w:i/>
          <w:iCs/>
          <w:color w:val="000000"/>
          <w:sz w:val="20"/>
          <w:szCs w:val="20"/>
        </w:rPr>
        <w:t>Asia net revenues</w:t>
      </w:r>
      <w:r>
        <w:rPr>
          <w:rFonts w:eastAsia="Times New Roman"/>
          <w:color w:val="000000"/>
          <w:sz w:val="20"/>
          <w:szCs w:val="20"/>
        </w:rPr>
        <w:t xml:space="preserve"> — Net revenues increased by $10.3 million, or 1.0%, during </w:t>
      </w:r>
      <w:r>
        <w:rPr>
          <w:rFonts w:eastAsia="Times New Roman"/>
          <w:color w:val="000000"/>
          <w:sz w:val="20"/>
          <w:szCs w:val="20"/>
        </w:rPr>
        <w:t xml:space="preserve">Fiscal 2021 as compared to Fiscal 2020, including net favorable foreign currency effects of $28.5 million. On a constant currency basis, net revenues decreased by $18.2 million, or 1.8%. </w:t>
      </w:r>
    </w:p>
    <w:p w14:paraId="343EB151" w14:textId="77777777" w:rsidR="00000000" w:rsidRDefault="00EE5306">
      <w:pPr>
        <w:ind w:firstLine="540"/>
        <w:jc w:val="both"/>
        <w:divId w:val="1626086224"/>
        <w:rPr>
          <w:rFonts w:eastAsia="Times New Roman"/>
        </w:rPr>
      </w:pPr>
      <w:r>
        <w:rPr>
          <w:rFonts w:eastAsia="Times New Roman"/>
          <w:color w:val="000000"/>
          <w:sz w:val="20"/>
          <w:szCs w:val="20"/>
        </w:rPr>
        <w:t xml:space="preserve">The $10.3 million net increase in Asia net revenues was driven by: </w:t>
      </w:r>
    </w:p>
    <w:p w14:paraId="64253296" w14:textId="77777777" w:rsidR="00000000" w:rsidRDefault="00EE5306">
      <w:pPr>
        <w:ind w:hanging="360"/>
        <w:jc w:val="both"/>
        <w:divId w:val="1750810590"/>
        <w:rPr>
          <w:rFonts w:eastAsia="Times New Roman"/>
        </w:rPr>
      </w:pPr>
      <w:r>
        <w:rPr>
          <w:rFonts w:eastAsia="Times New Roman"/>
          <w:color w:val="000000"/>
          <w:sz w:val="20"/>
          <w:szCs w:val="20"/>
        </w:rPr>
        <w:t>•a $20.4 million net increase related to our Asia retail business, inclusive of the adverse impact of COVID-19 business disruptions, as well as net favorable foreign currency effects of $26.9 million. On a constant currency basis, net revenues decreased by</w:t>
      </w:r>
      <w:r>
        <w:rPr>
          <w:rFonts w:eastAsia="Times New Roman"/>
          <w:color w:val="000000"/>
          <w:sz w:val="20"/>
          <w:szCs w:val="20"/>
        </w:rPr>
        <w:t xml:space="preserve"> $6.5 million, reflecting a decrease of $43.1 million in comparable store sales, partially offset by an increase of $36.6 million in non-comparable store sales. The following table summarizes the percentage change in comparable store sales related to our A</w:t>
      </w:r>
      <w:r>
        <w:rPr>
          <w:rFonts w:eastAsia="Times New Roman"/>
          <w:color w:val="000000"/>
          <w:sz w:val="20"/>
          <w:szCs w:val="20"/>
        </w:rPr>
        <w:t>sia retail business, inclusive of adverse impacts related to COVID-19 business disruptions:</w:t>
      </w:r>
    </w:p>
    <w:tbl>
      <w:tblPr>
        <w:tblW w:w="4459" w:type="pct"/>
        <w:tblCellMar>
          <w:top w:w="15" w:type="dxa"/>
          <w:left w:w="15" w:type="dxa"/>
          <w:bottom w:w="15" w:type="dxa"/>
          <w:right w:w="15" w:type="dxa"/>
        </w:tblCellMar>
        <w:tblLook w:val="04A0" w:firstRow="1" w:lastRow="0" w:firstColumn="1" w:lastColumn="0" w:noHBand="0" w:noVBand="1"/>
      </w:tblPr>
      <w:tblGrid>
        <w:gridCol w:w="37"/>
        <w:gridCol w:w="5956"/>
        <w:gridCol w:w="36"/>
        <w:gridCol w:w="36"/>
        <w:gridCol w:w="36"/>
        <w:gridCol w:w="36"/>
        <w:gridCol w:w="37"/>
        <w:gridCol w:w="979"/>
        <w:gridCol w:w="254"/>
      </w:tblGrid>
      <w:tr w:rsidR="00000000" w14:paraId="46EEB593" w14:textId="77777777">
        <w:trPr>
          <w:divId w:val="1020935242"/>
        </w:trPr>
        <w:tc>
          <w:tcPr>
            <w:tcW w:w="50" w:type="pct"/>
            <w:vAlign w:val="center"/>
            <w:hideMark/>
          </w:tcPr>
          <w:p w14:paraId="02128D3F" w14:textId="77777777" w:rsidR="00000000" w:rsidRDefault="00EE5306">
            <w:pPr>
              <w:ind w:hanging="360"/>
              <w:jc w:val="both"/>
              <w:rPr>
                <w:rFonts w:eastAsia="Times New Roman"/>
              </w:rPr>
            </w:pPr>
          </w:p>
        </w:tc>
        <w:tc>
          <w:tcPr>
            <w:tcW w:w="4084" w:type="pct"/>
            <w:vAlign w:val="center"/>
            <w:hideMark/>
          </w:tcPr>
          <w:p w14:paraId="1CC15AD1" w14:textId="77777777" w:rsidR="00000000" w:rsidRDefault="00EE5306">
            <w:pPr>
              <w:spacing w:after="100"/>
              <w:rPr>
                <w:rFonts w:eastAsia="Times New Roman"/>
                <w:sz w:val="20"/>
                <w:szCs w:val="20"/>
              </w:rPr>
            </w:pPr>
          </w:p>
        </w:tc>
        <w:tc>
          <w:tcPr>
            <w:tcW w:w="5" w:type="pct"/>
            <w:vAlign w:val="center"/>
            <w:hideMark/>
          </w:tcPr>
          <w:p w14:paraId="40C5CEDB" w14:textId="77777777" w:rsidR="00000000" w:rsidRDefault="00EE5306">
            <w:pPr>
              <w:spacing w:after="100"/>
              <w:rPr>
                <w:rFonts w:eastAsia="Times New Roman"/>
                <w:sz w:val="20"/>
                <w:szCs w:val="20"/>
              </w:rPr>
            </w:pPr>
          </w:p>
        </w:tc>
        <w:tc>
          <w:tcPr>
            <w:tcW w:w="5" w:type="pct"/>
            <w:vAlign w:val="center"/>
            <w:hideMark/>
          </w:tcPr>
          <w:p w14:paraId="7F9D8A9C" w14:textId="77777777" w:rsidR="00000000" w:rsidRDefault="00EE5306">
            <w:pPr>
              <w:spacing w:after="100"/>
              <w:rPr>
                <w:rFonts w:eastAsia="Times New Roman"/>
                <w:sz w:val="20"/>
                <w:szCs w:val="20"/>
              </w:rPr>
            </w:pPr>
          </w:p>
        </w:tc>
        <w:tc>
          <w:tcPr>
            <w:tcW w:w="30" w:type="pct"/>
            <w:vAlign w:val="center"/>
            <w:hideMark/>
          </w:tcPr>
          <w:p w14:paraId="59DB87D1" w14:textId="77777777" w:rsidR="00000000" w:rsidRDefault="00EE5306">
            <w:pPr>
              <w:spacing w:after="100"/>
              <w:rPr>
                <w:rFonts w:eastAsia="Times New Roman"/>
                <w:sz w:val="20"/>
                <w:szCs w:val="20"/>
              </w:rPr>
            </w:pPr>
          </w:p>
        </w:tc>
        <w:tc>
          <w:tcPr>
            <w:tcW w:w="5" w:type="pct"/>
            <w:vAlign w:val="center"/>
            <w:hideMark/>
          </w:tcPr>
          <w:p w14:paraId="55F65496" w14:textId="77777777" w:rsidR="00000000" w:rsidRDefault="00EE5306">
            <w:pPr>
              <w:spacing w:after="100"/>
              <w:rPr>
                <w:rFonts w:eastAsia="Times New Roman"/>
                <w:sz w:val="20"/>
                <w:szCs w:val="20"/>
              </w:rPr>
            </w:pPr>
          </w:p>
        </w:tc>
        <w:tc>
          <w:tcPr>
            <w:tcW w:w="50" w:type="pct"/>
            <w:vAlign w:val="center"/>
            <w:hideMark/>
          </w:tcPr>
          <w:p w14:paraId="6617DB67" w14:textId="77777777" w:rsidR="00000000" w:rsidRDefault="00EE5306">
            <w:pPr>
              <w:spacing w:after="100"/>
              <w:rPr>
                <w:rFonts w:eastAsia="Times New Roman"/>
                <w:sz w:val="20"/>
                <w:szCs w:val="20"/>
              </w:rPr>
            </w:pPr>
          </w:p>
        </w:tc>
        <w:tc>
          <w:tcPr>
            <w:tcW w:w="764" w:type="pct"/>
            <w:vAlign w:val="center"/>
            <w:hideMark/>
          </w:tcPr>
          <w:p w14:paraId="3C48E140" w14:textId="77777777" w:rsidR="00000000" w:rsidRDefault="00EE5306">
            <w:pPr>
              <w:spacing w:after="100"/>
              <w:rPr>
                <w:rFonts w:eastAsia="Times New Roman"/>
                <w:sz w:val="20"/>
                <w:szCs w:val="20"/>
              </w:rPr>
            </w:pPr>
          </w:p>
        </w:tc>
        <w:tc>
          <w:tcPr>
            <w:tcW w:w="5" w:type="pct"/>
            <w:vAlign w:val="center"/>
            <w:hideMark/>
          </w:tcPr>
          <w:p w14:paraId="52F61E21" w14:textId="77777777" w:rsidR="00000000" w:rsidRDefault="00EE5306">
            <w:pPr>
              <w:spacing w:after="100"/>
              <w:rPr>
                <w:rFonts w:eastAsia="Times New Roman"/>
                <w:sz w:val="20"/>
                <w:szCs w:val="20"/>
              </w:rPr>
            </w:pPr>
          </w:p>
        </w:tc>
      </w:tr>
      <w:tr w:rsidR="00000000" w14:paraId="62A9D939" w14:textId="77777777">
        <w:trPr>
          <w:divId w:val="1020935242"/>
        </w:trPr>
        <w:tc>
          <w:tcPr>
            <w:tcW w:w="0" w:type="auto"/>
            <w:gridSpan w:val="3"/>
            <w:tcMar>
              <w:top w:w="30" w:type="dxa"/>
              <w:left w:w="20" w:type="dxa"/>
              <w:bottom w:w="30" w:type="dxa"/>
              <w:right w:w="20" w:type="dxa"/>
            </w:tcMar>
            <w:vAlign w:val="bottom"/>
            <w:hideMark/>
          </w:tcPr>
          <w:p w14:paraId="4EB89D38"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B745EDD"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5A67FEE1" w14:textId="77777777" w:rsidR="00000000" w:rsidRDefault="00EE5306">
            <w:pPr>
              <w:spacing w:after="100"/>
              <w:jc w:val="center"/>
              <w:rPr>
                <w:rFonts w:eastAsia="Times New Roman"/>
              </w:rPr>
            </w:pPr>
            <w:r>
              <w:rPr>
                <w:rFonts w:eastAsia="Times New Roman"/>
                <w:b/>
                <w:bCs/>
                <w:color w:val="000000"/>
                <w:sz w:val="16"/>
                <w:szCs w:val="16"/>
              </w:rPr>
              <w:t>% Change</w:t>
            </w:r>
          </w:p>
        </w:tc>
      </w:tr>
      <w:tr w:rsidR="00000000" w14:paraId="424AF8F6" w14:textId="77777777">
        <w:trPr>
          <w:divId w:val="1020935242"/>
        </w:trPr>
        <w:tc>
          <w:tcPr>
            <w:tcW w:w="0" w:type="auto"/>
            <w:gridSpan w:val="3"/>
            <w:shd w:val="clear" w:color="auto" w:fill="CCEEFF"/>
            <w:tcMar>
              <w:top w:w="30" w:type="dxa"/>
              <w:left w:w="20" w:type="dxa"/>
              <w:bottom w:w="30" w:type="dxa"/>
              <w:right w:w="20" w:type="dxa"/>
            </w:tcMar>
            <w:vAlign w:val="bottom"/>
            <w:hideMark/>
          </w:tcPr>
          <w:p w14:paraId="28FF5798" w14:textId="77777777" w:rsidR="00000000" w:rsidRDefault="00EE5306">
            <w:pPr>
              <w:spacing w:after="100"/>
              <w:rPr>
                <w:rFonts w:eastAsia="Times New Roman"/>
              </w:rPr>
            </w:pPr>
            <w:r>
              <w:rPr>
                <w:rFonts w:eastAsia="Times New Roman"/>
                <w:color w:val="000000"/>
                <w:sz w:val="20"/>
                <w:szCs w:val="20"/>
              </w:rPr>
              <w:t>Digital commerce comparable store sales</w:t>
            </w:r>
          </w:p>
        </w:tc>
        <w:tc>
          <w:tcPr>
            <w:tcW w:w="0" w:type="auto"/>
            <w:gridSpan w:val="3"/>
            <w:shd w:val="clear" w:color="auto" w:fill="CCEEFF"/>
            <w:tcMar>
              <w:top w:w="0" w:type="dxa"/>
              <w:left w:w="20" w:type="dxa"/>
              <w:bottom w:w="0" w:type="dxa"/>
              <w:right w:w="20" w:type="dxa"/>
            </w:tcMar>
            <w:vAlign w:val="center"/>
            <w:hideMark/>
          </w:tcPr>
          <w:p w14:paraId="66D02DAB"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74F5F3" w14:textId="77777777" w:rsidR="00000000" w:rsidRDefault="00EE5306">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0C5CA5" w14:textId="77777777" w:rsidR="00000000" w:rsidRDefault="00EE5306">
            <w:pPr>
              <w:spacing w:after="100"/>
              <w:rPr>
                <w:rFonts w:eastAsia="Times New Roman"/>
              </w:rPr>
            </w:pPr>
            <w:r>
              <w:rPr>
                <w:rFonts w:eastAsia="Times New Roman"/>
                <w:color w:val="000000"/>
                <w:sz w:val="20"/>
                <w:szCs w:val="20"/>
              </w:rPr>
              <w:t>%</w:t>
            </w:r>
          </w:p>
        </w:tc>
      </w:tr>
      <w:tr w:rsidR="00000000" w14:paraId="3637D8AD" w14:textId="77777777">
        <w:trPr>
          <w:divId w:val="1020935242"/>
        </w:trPr>
        <w:tc>
          <w:tcPr>
            <w:tcW w:w="0" w:type="auto"/>
            <w:gridSpan w:val="3"/>
            <w:shd w:val="clear" w:color="auto" w:fill="FFFFFF"/>
            <w:tcMar>
              <w:top w:w="30" w:type="dxa"/>
              <w:left w:w="20" w:type="dxa"/>
              <w:bottom w:w="30" w:type="dxa"/>
              <w:right w:w="20" w:type="dxa"/>
            </w:tcMar>
            <w:vAlign w:val="bottom"/>
            <w:hideMark/>
          </w:tcPr>
          <w:p w14:paraId="513DD919" w14:textId="77777777" w:rsidR="00000000" w:rsidRDefault="00EE5306">
            <w:pPr>
              <w:spacing w:after="100"/>
              <w:rPr>
                <w:rFonts w:eastAsia="Times New Roman"/>
              </w:rPr>
            </w:pPr>
            <w:r>
              <w:rPr>
                <w:rFonts w:eastAsia="Times New Roman"/>
                <w:color w:val="000000"/>
                <w:sz w:val="20"/>
                <w:szCs w:val="20"/>
              </w:rPr>
              <w:t>Comparable store sales excluding digital commerce</w:t>
            </w:r>
          </w:p>
        </w:tc>
        <w:tc>
          <w:tcPr>
            <w:tcW w:w="0" w:type="auto"/>
            <w:gridSpan w:val="3"/>
            <w:shd w:val="clear" w:color="auto" w:fill="FFFFFF"/>
            <w:tcMar>
              <w:top w:w="0" w:type="dxa"/>
              <w:left w:w="20" w:type="dxa"/>
              <w:bottom w:w="0" w:type="dxa"/>
              <w:right w:w="20" w:type="dxa"/>
            </w:tcMar>
            <w:vAlign w:val="center"/>
            <w:hideMark/>
          </w:tcPr>
          <w:p w14:paraId="4CBE64D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2FF80E" w14:textId="77777777" w:rsidR="00000000" w:rsidRDefault="00EE5306">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2E4C0A67" w14:textId="77777777" w:rsidR="00000000" w:rsidRDefault="00EE5306">
            <w:pPr>
              <w:spacing w:after="100"/>
              <w:rPr>
                <w:rFonts w:eastAsia="Times New Roman"/>
              </w:rPr>
            </w:pPr>
            <w:r>
              <w:rPr>
                <w:rFonts w:eastAsia="Times New Roman"/>
                <w:color w:val="000000"/>
                <w:sz w:val="20"/>
                <w:szCs w:val="20"/>
              </w:rPr>
              <w:t>%)</w:t>
            </w:r>
          </w:p>
        </w:tc>
      </w:tr>
      <w:tr w:rsidR="00000000" w14:paraId="25B06850" w14:textId="77777777">
        <w:trPr>
          <w:divId w:val="1020935242"/>
        </w:trPr>
        <w:tc>
          <w:tcPr>
            <w:tcW w:w="0" w:type="auto"/>
            <w:gridSpan w:val="3"/>
            <w:shd w:val="clear" w:color="auto" w:fill="CCEEFF"/>
            <w:tcMar>
              <w:top w:w="30" w:type="dxa"/>
              <w:left w:w="20" w:type="dxa"/>
              <w:bottom w:w="30" w:type="dxa"/>
              <w:right w:w="20" w:type="dxa"/>
            </w:tcMar>
            <w:vAlign w:val="bottom"/>
            <w:hideMark/>
          </w:tcPr>
          <w:p w14:paraId="178034B9" w14:textId="77777777" w:rsidR="00000000" w:rsidRDefault="00EE5306">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14:paraId="2C7368D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88B19A" w14:textId="77777777" w:rsidR="00000000" w:rsidRDefault="00EE5306">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31124A12" w14:textId="77777777" w:rsidR="00000000" w:rsidRDefault="00EE5306">
            <w:pPr>
              <w:spacing w:after="100"/>
              <w:rPr>
                <w:rFonts w:eastAsia="Times New Roman"/>
              </w:rPr>
            </w:pPr>
            <w:r>
              <w:rPr>
                <w:rFonts w:eastAsia="Times New Roman"/>
                <w:color w:val="000000"/>
                <w:sz w:val="20"/>
                <w:szCs w:val="20"/>
              </w:rPr>
              <w:t>%)</w:t>
            </w:r>
          </w:p>
        </w:tc>
      </w:tr>
    </w:tbl>
    <w:p w14:paraId="7B9E7B62" w14:textId="77777777" w:rsidR="00000000" w:rsidRDefault="00EE5306">
      <w:pPr>
        <w:ind w:firstLine="540"/>
        <w:jc w:val="both"/>
        <w:divId w:val="1907640519"/>
        <w:rPr>
          <w:rFonts w:eastAsia="Times New Roman"/>
        </w:rPr>
      </w:pPr>
      <w:r>
        <w:rPr>
          <w:rFonts w:eastAsia="Times New Roman"/>
          <w:color w:val="000000"/>
          <w:sz w:val="20"/>
          <w:szCs w:val="20"/>
        </w:rPr>
        <w:t>This increase was partially offset by a $10.1 </w:t>
      </w:r>
      <w:r>
        <w:rPr>
          <w:rFonts w:eastAsia="Times New Roman"/>
          <w:color w:val="000000"/>
          <w:sz w:val="20"/>
          <w:szCs w:val="20"/>
        </w:rPr>
        <w:t>million net decrease related to our Asia wholesale business driven by COVID-19 business disruptions, primarily in Japan.</w:t>
      </w:r>
    </w:p>
    <w:p w14:paraId="09F052E5" w14:textId="77777777" w:rsidR="00000000" w:rsidRDefault="00EE5306">
      <w:pPr>
        <w:ind w:firstLine="540"/>
        <w:jc w:val="both"/>
        <w:divId w:val="557207194"/>
        <w:rPr>
          <w:rFonts w:eastAsia="Times New Roman"/>
        </w:rPr>
      </w:pPr>
      <w:r>
        <w:rPr>
          <w:rFonts w:eastAsia="Times New Roman"/>
          <w:i/>
          <w:iCs/>
          <w:color w:val="000000"/>
          <w:sz w:val="20"/>
          <w:szCs w:val="20"/>
        </w:rPr>
        <w:t>Gross Profit.    </w:t>
      </w:r>
      <w:r>
        <w:rPr>
          <w:rFonts w:eastAsia="Times New Roman"/>
          <w:color w:val="000000"/>
          <w:sz w:val="20"/>
          <w:szCs w:val="20"/>
        </w:rPr>
        <w:t xml:space="preserve">Gross profit decreased by $791.9 million, or 21.7%, to $2.861 billion in Fiscal 2021, including net favorable foreign </w:t>
      </w:r>
      <w:r>
        <w:rPr>
          <w:rFonts w:eastAsia="Times New Roman"/>
          <w:color w:val="000000"/>
          <w:sz w:val="20"/>
          <w:szCs w:val="20"/>
        </w:rPr>
        <w:t>currency effects of $60.2 million. Gross profit during Fiscal 2021 and Fiscal 2020 reflects adverse impacts related to COVID-19 business disruptions, including incremental inventory charges of $21.0 million and $157.3 million, respectively. Gross profit du</w:t>
      </w:r>
      <w:r>
        <w:rPr>
          <w:rFonts w:eastAsia="Times New Roman"/>
          <w:color w:val="000000"/>
          <w:sz w:val="20"/>
          <w:szCs w:val="20"/>
        </w:rPr>
        <w:t xml:space="preserve">ring Fiscal 2021 and Fiscal 2020 also reflects inventory charges of $8.3 million and $2.2 million, respectively, recorded in connection with our restructuring plans. Gross profit as a percentage of net revenues increased to 65.0% in Fiscal 2021 from 59.3% </w:t>
      </w:r>
      <w:r>
        <w:rPr>
          <w:rFonts w:eastAsia="Times New Roman"/>
          <w:color w:val="000000"/>
          <w:sz w:val="20"/>
          <w:szCs w:val="20"/>
        </w:rPr>
        <w:t>in Fiscal 2020. The 570 basis point improvement was primarily driven by improved pricing and lower levels of promotional activity, lower non-routine inventory charges recorded during Fiscal 2021 as compared to the prior fiscal year, and favorable geographi</w:t>
      </w:r>
      <w:r>
        <w:rPr>
          <w:rFonts w:eastAsia="Times New Roman"/>
          <w:color w:val="000000"/>
          <w:sz w:val="20"/>
          <w:szCs w:val="20"/>
        </w:rPr>
        <w:t>c and channel mix.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DA36F5A" w14:textId="77777777">
        <w:trPr>
          <w:divId w:val="435173880"/>
          <w:jc w:val="center"/>
        </w:trPr>
        <w:tc>
          <w:tcPr>
            <w:tcW w:w="50" w:type="pct"/>
            <w:vAlign w:val="center"/>
            <w:hideMark/>
          </w:tcPr>
          <w:p w14:paraId="63A8CB12" w14:textId="77777777" w:rsidR="00000000" w:rsidRDefault="00EE5306">
            <w:pPr>
              <w:ind w:firstLine="540"/>
              <w:jc w:val="both"/>
              <w:rPr>
                <w:rFonts w:eastAsia="Times New Roman"/>
              </w:rPr>
            </w:pPr>
          </w:p>
        </w:tc>
        <w:tc>
          <w:tcPr>
            <w:tcW w:w="1699" w:type="pct"/>
            <w:vAlign w:val="center"/>
            <w:hideMark/>
          </w:tcPr>
          <w:p w14:paraId="5D834E00" w14:textId="77777777" w:rsidR="00000000" w:rsidRDefault="00EE5306">
            <w:pPr>
              <w:spacing w:after="100"/>
              <w:rPr>
                <w:rFonts w:eastAsia="Times New Roman"/>
                <w:sz w:val="20"/>
                <w:szCs w:val="20"/>
              </w:rPr>
            </w:pPr>
          </w:p>
        </w:tc>
        <w:tc>
          <w:tcPr>
            <w:tcW w:w="5" w:type="pct"/>
            <w:vAlign w:val="center"/>
            <w:hideMark/>
          </w:tcPr>
          <w:p w14:paraId="11543563" w14:textId="77777777" w:rsidR="00000000" w:rsidRDefault="00EE5306">
            <w:pPr>
              <w:spacing w:after="100"/>
              <w:rPr>
                <w:rFonts w:eastAsia="Times New Roman"/>
                <w:sz w:val="20"/>
                <w:szCs w:val="20"/>
              </w:rPr>
            </w:pPr>
          </w:p>
        </w:tc>
        <w:tc>
          <w:tcPr>
            <w:tcW w:w="50" w:type="pct"/>
            <w:vAlign w:val="center"/>
            <w:hideMark/>
          </w:tcPr>
          <w:p w14:paraId="6690D335" w14:textId="77777777" w:rsidR="00000000" w:rsidRDefault="00EE5306">
            <w:pPr>
              <w:spacing w:after="100"/>
              <w:rPr>
                <w:rFonts w:eastAsia="Times New Roman"/>
                <w:sz w:val="20"/>
                <w:szCs w:val="20"/>
              </w:rPr>
            </w:pPr>
          </w:p>
        </w:tc>
        <w:tc>
          <w:tcPr>
            <w:tcW w:w="1436" w:type="pct"/>
            <w:vAlign w:val="center"/>
            <w:hideMark/>
          </w:tcPr>
          <w:p w14:paraId="5D037397" w14:textId="77777777" w:rsidR="00000000" w:rsidRDefault="00EE5306">
            <w:pPr>
              <w:spacing w:after="100"/>
              <w:rPr>
                <w:rFonts w:eastAsia="Times New Roman"/>
                <w:sz w:val="20"/>
                <w:szCs w:val="20"/>
              </w:rPr>
            </w:pPr>
          </w:p>
        </w:tc>
        <w:tc>
          <w:tcPr>
            <w:tcW w:w="5" w:type="pct"/>
            <w:vAlign w:val="center"/>
            <w:hideMark/>
          </w:tcPr>
          <w:p w14:paraId="687651CD" w14:textId="77777777" w:rsidR="00000000" w:rsidRDefault="00EE5306">
            <w:pPr>
              <w:spacing w:after="100"/>
              <w:rPr>
                <w:rFonts w:eastAsia="Times New Roman"/>
                <w:sz w:val="20"/>
                <w:szCs w:val="20"/>
              </w:rPr>
            </w:pPr>
          </w:p>
        </w:tc>
        <w:tc>
          <w:tcPr>
            <w:tcW w:w="50" w:type="pct"/>
            <w:vAlign w:val="center"/>
            <w:hideMark/>
          </w:tcPr>
          <w:p w14:paraId="1E2D1F89" w14:textId="77777777" w:rsidR="00000000" w:rsidRDefault="00EE5306">
            <w:pPr>
              <w:spacing w:after="100"/>
              <w:rPr>
                <w:rFonts w:eastAsia="Times New Roman"/>
                <w:sz w:val="20"/>
                <w:szCs w:val="20"/>
              </w:rPr>
            </w:pPr>
          </w:p>
        </w:tc>
        <w:tc>
          <w:tcPr>
            <w:tcW w:w="1699" w:type="pct"/>
            <w:vAlign w:val="center"/>
            <w:hideMark/>
          </w:tcPr>
          <w:p w14:paraId="441F7A20" w14:textId="77777777" w:rsidR="00000000" w:rsidRDefault="00EE5306">
            <w:pPr>
              <w:spacing w:after="100"/>
              <w:rPr>
                <w:rFonts w:eastAsia="Times New Roman"/>
                <w:sz w:val="20"/>
                <w:szCs w:val="20"/>
              </w:rPr>
            </w:pPr>
          </w:p>
        </w:tc>
        <w:tc>
          <w:tcPr>
            <w:tcW w:w="5" w:type="pct"/>
            <w:vAlign w:val="center"/>
            <w:hideMark/>
          </w:tcPr>
          <w:p w14:paraId="069CEFAD" w14:textId="77777777" w:rsidR="00000000" w:rsidRDefault="00EE5306">
            <w:pPr>
              <w:spacing w:after="100"/>
              <w:rPr>
                <w:rFonts w:eastAsia="Times New Roman"/>
                <w:sz w:val="20"/>
                <w:szCs w:val="20"/>
              </w:rPr>
            </w:pPr>
          </w:p>
        </w:tc>
      </w:tr>
      <w:tr w:rsidR="00000000" w14:paraId="42BF43E7" w14:textId="77777777">
        <w:trPr>
          <w:divId w:val="435173880"/>
          <w:jc w:val="center"/>
        </w:trPr>
        <w:tc>
          <w:tcPr>
            <w:tcW w:w="0" w:type="auto"/>
            <w:gridSpan w:val="3"/>
            <w:tcMar>
              <w:top w:w="0" w:type="dxa"/>
              <w:left w:w="20" w:type="dxa"/>
              <w:bottom w:w="0" w:type="dxa"/>
              <w:right w:w="20" w:type="dxa"/>
            </w:tcMar>
            <w:vAlign w:val="center"/>
            <w:hideMark/>
          </w:tcPr>
          <w:p w14:paraId="11F3AFAE"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CA773D6" w14:textId="77777777" w:rsidR="00000000" w:rsidRDefault="00EE5306">
            <w:pPr>
              <w:spacing w:after="100"/>
              <w:jc w:val="center"/>
              <w:rPr>
                <w:rFonts w:eastAsia="Times New Roman"/>
              </w:rPr>
            </w:pPr>
            <w:r>
              <w:rPr>
                <w:rFonts w:eastAsia="Times New Roman"/>
                <w:color w:val="000000"/>
                <w:sz w:val="20"/>
                <w:szCs w:val="20"/>
              </w:rPr>
              <w:t>53</w:t>
            </w:r>
          </w:p>
        </w:tc>
        <w:tc>
          <w:tcPr>
            <w:tcW w:w="0" w:type="auto"/>
            <w:gridSpan w:val="3"/>
            <w:tcMar>
              <w:top w:w="0" w:type="dxa"/>
              <w:left w:w="20" w:type="dxa"/>
              <w:bottom w:w="0" w:type="dxa"/>
              <w:right w:w="20" w:type="dxa"/>
            </w:tcMar>
            <w:vAlign w:val="center"/>
            <w:hideMark/>
          </w:tcPr>
          <w:p w14:paraId="4F13B979" w14:textId="77777777" w:rsidR="00000000" w:rsidRDefault="00EE5306">
            <w:pPr>
              <w:spacing w:after="100"/>
              <w:jc w:val="center"/>
              <w:rPr>
                <w:rFonts w:eastAsia="Times New Roman"/>
              </w:rPr>
            </w:pPr>
          </w:p>
        </w:tc>
      </w:tr>
    </w:tbl>
    <w:p w14:paraId="3E9CD2CE" w14:textId="77777777" w:rsidR="00000000" w:rsidRDefault="00EE5306">
      <w:pPr>
        <w:rPr>
          <w:rFonts w:eastAsia="Times New Roman"/>
        </w:rPr>
      </w:pPr>
      <w:r>
        <w:rPr>
          <w:rFonts w:eastAsia="Times New Roman"/>
        </w:rPr>
        <w:pict w14:anchorId="0669B3BD">
          <v:rect id="_x0000_i1080" style="width:0;height:1.5pt" o:hralign="center" o:hrstd="t" o:hr="t" fillcolor="#a0a0a0" stroked="f"/>
        </w:pict>
      </w:r>
    </w:p>
    <w:p w14:paraId="214FF32B" w14:textId="77777777" w:rsidR="00000000" w:rsidRDefault="00EE5306">
      <w:pPr>
        <w:divId w:val="1339038797"/>
        <w:rPr>
          <w:rFonts w:eastAsia="Times New Roman"/>
        </w:rPr>
      </w:pPr>
    </w:p>
    <w:p w14:paraId="1330734B" w14:textId="77777777" w:rsidR="00000000" w:rsidRDefault="00EE5306">
      <w:pPr>
        <w:ind w:firstLine="540"/>
        <w:jc w:val="both"/>
        <w:divId w:val="908733873"/>
        <w:rPr>
          <w:rFonts w:eastAsia="Times New Roman"/>
        </w:rPr>
      </w:pPr>
      <w:r>
        <w:rPr>
          <w:rFonts w:eastAsia="Times New Roman"/>
          <w:color w:val="000000"/>
          <w:sz w:val="20"/>
          <w:szCs w:val="20"/>
        </w:rPr>
        <w:t>Gross profit as a percentage of net revenues is dependent upon a variety of factors, including changes in the relative sales mix among distribution channels, changes in the mix of products sold, pricing, the timing and</w:t>
      </w:r>
      <w:r>
        <w:rPr>
          <w:rFonts w:eastAsia="Times New Roman"/>
          <w:color w:val="000000"/>
          <w:sz w:val="20"/>
          <w:szCs w:val="20"/>
        </w:rPr>
        <w:t xml:space="preserve"> level of promotional activities, foreign currency exchange rates, and fluctuations in material costs. These factors, among others, may cause gross profit as a percentage of net revenues to fluctuate from year to year.</w:t>
      </w:r>
    </w:p>
    <w:p w14:paraId="44C3C057" w14:textId="77777777" w:rsidR="00000000" w:rsidRDefault="00EE5306">
      <w:pPr>
        <w:ind w:firstLine="540"/>
        <w:jc w:val="both"/>
        <w:divId w:val="118765409"/>
        <w:rPr>
          <w:rFonts w:eastAsia="Times New Roman"/>
        </w:rPr>
      </w:pPr>
      <w:r>
        <w:rPr>
          <w:rFonts w:eastAsia="Times New Roman"/>
          <w:i/>
          <w:iCs/>
          <w:color w:val="000000"/>
          <w:sz w:val="20"/>
          <w:szCs w:val="20"/>
        </w:rPr>
        <w:t xml:space="preserve">Selling, General, and Administrative </w:t>
      </w:r>
      <w:r>
        <w:rPr>
          <w:rFonts w:eastAsia="Times New Roman"/>
          <w:i/>
          <w:iCs/>
          <w:color w:val="000000"/>
          <w:sz w:val="20"/>
          <w:szCs w:val="20"/>
        </w:rPr>
        <w:t>Expenses.</w:t>
      </w:r>
      <w:r>
        <w:rPr>
          <w:rFonts w:eastAsia="Times New Roman"/>
          <w:color w:val="000000"/>
          <w:sz w:val="20"/>
          <w:szCs w:val="20"/>
        </w:rPr>
        <w:t>    SG&amp;A expenses include compensation and benefits, advertising and marketing, rent and occupancy, distribution, information technology, legal, depreciation and amortization, bad debt, and other selling and administrative costs. SG&amp;A expenses dec</w:t>
      </w:r>
      <w:r>
        <w:rPr>
          <w:rFonts w:eastAsia="Times New Roman"/>
          <w:color w:val="000000"/>
          <w:sz w:val="20"/>
          <w:szCs w:val="20"/>
        </w:rPr>
        <w:t>reased by $599.0 million, or 18.5%, to $2.639 billion in Fiscal 2021, including net unfavorable foreign currency effect of $40.7 million. The decrease in SG&amp;A expenses reflects impacts related to COVID-19 business disruptions and our related mitigating act</w:t>
      </w:r>
      <w:r>
        <w:rPr>
          <w:rFonts w:eastAsia="Times New Roman"/>
          <w:color w:val="000000"/>
          <w:sz w:val="20"/>
          <w:szCs w:val="20"/>
        </w:rPr>
        <w:t>ions, including (i) lower compensation-related expenses largely driven by employee furloughs and terminations, reduced pay for our executives, senior management team, and Board of Directors, and COVID-19-related government subsidies, (ii) lower rent and oc</w:t>
      </w:r>
      <w:r>
        <w:rPr>
          <w:rFonts w:eastAsia="Times New Roman"/>
          <w:color w:val="000000"/>
          <w:sz w:val="20"/>
          <w:szCs w:val="20"/>
        </w:rPr>
        <w:t>cupancy costs largely driven by reduced percentage-of-sales-based rent due to store closures and a reduction in traffic, as well as rent abatements negotiated with certain of our landlords, (iii) favorable COVID-19-related bad debt expense adjustments, and</w:t>
      </w:r>
      <w:r>
        <w:rPr>
          <w:rFonts w:eastAsia="Times New Roman"/>
          <w:color w:val="000000"/>
          <w:sz w:val="20"/>
          <w:szCs w:val="20"/>
        </w:rPr>
        <w:t xml:space="preserve"> (iv) our operational discipline. SG&amp;A expenses as a percentage of net revenues increased to 60.0% in Fiscal 2021 from 52.6% in Fiscal 2020. The 740 basis point increase was primarily due to operating deleverage on lower net revenues, partially offset by e</w:t>
      </w:r>
      <w:r>
        <w:rPr>
          <w:rFonts w:eastAsia="Times New Roman"/>
          <w:color w:val="000000"/>
          <w:sz w:val="20"/>
          <w:szCs w:val="20"/>
        </w:rPr>
        <w:t>xpense savings across various categories.</w:t>
      </w:r>
    </w:p>
    <w:p w14:paraId="24B69702" w14:textId="77777777" w:rsidR="00000000" w:rsidRDefault="00EE5306">
      <w:pPr>
        <w:ind w:firstLine="540"/>
        <w:jc w:val="both"/>
        <w:divId w:val="690642962"/>
        <w:rPr>
          <w:rFonts w:eastAsia="Times New Roman"/>
        </w:rPr>
      </w:pPr>
      <w:r>
        <w:rPr>
          <w:rFonts w:eastAsia="Times New Roman"/>
          <w:color w:val="000000"/>
          <w:sz w:val="20"/>
          <w:szCs w:val="20"/>
        </w:rPr>
        <w:t>The $599.0 million decrease in SG&amp;A expenses was driven by:</w:t>
      </w:r>
    </w:p>
    <w:tbl>
      <w:tblPr>
        <w:tblW w:w="4722" w:type="pct"/>
        <w:tblCellMar>
          <w:top w:w="15" w:type="dxa"/>
          <w:left w:w="15" w:type="dxa"/>
          <w:bottom w:w="15" w:type="dxa"/>
          <w:right w:w="15" w:type="dxa"/>
        </w:tblCellMar>
        <w:tblLook w:val="04A0" w:firstRow="1" w:lastRow="0" w:firstColumn="1" w:lastColumn="0" w:noHBand="0" w:noVBand="1"/>
      </w:tblPr>
      <w:tblGrid>
        <w:gridCol w:w="39"/>
        <w:gridCol w:w="6142"/>
        <w:gridCol w:w="37"/>
        <w:gridCol w:w="36"/>
        <w:gridCol w:w="36"/>
        <w:gridCol w:w="36"/>
        <w:gridCol w:w="121"/>
        <w:gridCol w:w="1361"/>
        <w:gridCol w:w="36"/>
      </w:tblGrid>
      <w:tr w:rsidR="00000000" w14:paraId="6715D393" w14:textId="77777777">
        <w:trPr>
          <w:divId w:val="620578275"/>
        </w:trPr>
        <w:tc>
          <w:tcPr>
            <w:tcW w:w="50" w:type="pct"/>
            <w:vAlign w:val="center"/>
            <w:hideMark/>
          </w:tcPr>
          <w:p w14:paraId="0BCBF38F" w14:textId="77777777" w:rsidR="00000000" w:rsidRDefault="00EE5306">
            <w:pPr>
              <w:ind w:firstLine="540"/>
              <w:jc w:val="both"/>
              <w:rPr>
                <w:rFonts w:eastAsia="Times New Roman"/>
              </w:rPr>
            </w:pPr>
          </w:p>
        </w:tc>
        <w:tc>
          <w:tcPr>
            <w:tcW w:w="3938" w:type="pct"/>
            <w:vAlign w:val="center"/>
            <w:hideMark/>
          </w:tcPr>
          <w:p w14:paraId="2A4B6189" w14:textId="77777777" w:rsidR="00000000" w:rsidRDefault="00EE5306">
            <w:pPr>
              <w:spacing w:after="100"/>
              <w:rPr>
                <w:rFonts w:eastAsia="Times New Roman"/>
                <w:sz w:val="20"/>
                <w:szCs w:val="20"/>
              </w:rPr>
            </w:pPr>
          </w:p>
        </w:tc>
        <w:tc>
          <w:tcPr>
            <w:tcW w:w="5" w:type="pct"/>
            <w:vAlign w:val="center"/>
            <w:hideMark/>
          </w:tcPr>
          <w:p w14:paraId="28E97B2B" w14:textId="77777777" w:rsidR="00000000" w:rsidRDefault="00EE5306">
            <w:pPr>
              <w:spacing w:after="100"/>
              <w:rPr>
                <w:rFonts w:eastAsia="Times New Roman"/>
                <w:sz w:val="20"/>
                <w:szCs w:val="20"/>
              </w:rPr>
            </w:pPr>
          </w:p>
        </w:tc>
        <w:tc>
          <w:tcPr>
            <w:tcW w:w="5" w:type="pct"/>
            <w:vAlign w:val="center"/>
            <w:hideMark/>
          </w:tcPr>
          <w:p w14:paraId="2026F584" w14:textId="77777777" w:rsidR="00000000" w:rsidRDefault="00EE5306">
            <w:pPr>
              <w:spacing w:after="100"/>
              <w:rPr>
                <w:rFonts w:eastAsia="Times New Roman"/>
                <w:sz w:val="20"/>
                <w:szCs w:val="20"/>
              </w:rPr>
            </w:pPr>
          </w:p>
        </w:tc>
        <w:tc>
          <w:tcPr>
            <w:tcW w:w="28" w:type="pct"/>
            <w:vAlign w:val="center"/>
            <w:hideMark/>
          </w:tcPr>
          <w:p w14:paraId="11A59B14" w14:textId="77777777" w:rsidR="00000000" w:rsidRDefault="00EE5306">
            <w:pPr>
              <w:spacing w:after="100"/>
              <w:rPr>
                <w:rFonts w:eastAsia="Times New Roman"/>
                <w:sz w:val="20"/>
                <w:szCs w:val="20"/>
              </w:rPr>
            </w:pPr>
          </w:p>
        </w:tc>
        <w:tc>
          <w:tcPr>
            <w:tcW w:w="5" w:type="pct"/>
            <w:vAlign w:val="center"/>
            <w:hideMark/>
          </w:tcPr>
          <w:p w14:paraId="193B04BE" w14:textId="77777777" w:rsidR="00000000" w:rsidRDefault="00EE5306">
            <w:pPr>
              <w:spacing w:after="100"/>
              <w:rPr>
                <w:rFonts w:eastAsia="Times New Roman"/>
                <w:sz w:val="20"/>
                <w:szCs w:val="20"/>
              </w:rPr>
            </w:pPr>
          </w:p>
        </w:tc>
        <w:tc>
          <w:tcPr>
            <w:tcW w:w="50" w:type="pct"/>
            <w:vAlign w:val="center"/>
            <w:hideMark/>
          </w:tcPr>
          <w:p w14:paraId="0831A287" w14:textId="77777777" w:rsidR="00000000" w:rsidRDefault="00EE5306">
            <w:pPr>
              <w:spacing w:after="100"/>
              <w:rPr>
                <w:rFonts w:eastAsia="Times New Roman"/>
                <w:sz w:val="20"/>
                <w:szCs w:val="20"/>
              </w:rPr>
            </w:pPr>
          </w:p>
        </w:tc>
        <w:tc>
          <w:tcPr>
            <w:tcW w:w="912" w:type="pct"/>
            <w:vAlign w:val="center"/>
            <w:hideMark/>
          </w:tcPr>
          <w:p w14:paraId="7334BCAD" w14:textId="77777777" w:rsidR="00000000" w:rsidRDefault="00EE5306">
            <w:pPr>
              <w:spacing w:after="100"/>
              <w:rPr>
                <w:rFonts w:eastAsia="Times New Roman"/>
                <w:sz w:val="20"/>
                <w:szCs w:val="20"/>
              </w:rPr>
            </w:pPr>
          </w:p>
        </w:tc>
        <w:tc>
          <w:tcPr>
            <w:tcW w:w="5" w:type="pct"/>
            <w:vAlign w:val="center"/>
            <w:hideMark/>
          </w:tcPr>
          <w:p w14:paraId="49373C6C" w14:textId="77777777" w:rsidR="00000000" w:rsidRDefault="00EE5306">
            <w:pPr>
              <w:spacing w:after="100"/>
              <w:rPr>
                <w:rFonts w:eastAsia="Times New Roman"/>
                <w:sz w:val="20"/>
                <w:szCs w:val="20"/>
              </w:rPr>
            </w:pPr>
          </w:p>
        </w:tc>
      </w:tr>
      <w:tr w:rsidR="00000000" w14:paraId="013114D5" w14:textId="77777777">
        <w:trPr>
          <w:divId w:val="620578275"/>
        </w:trPr>
        <w:tc>
          <w:tcPr>
            <w:tcW w:w="0" w:type="auto"/>
            <w:gridSpan w:val="3"/>
            <w:tcMar>
              <w:top w:w="0" w:type="dxa"/>
              <w:left w:w="20" w:type="dxa"/>
              <w:bottom w:w="0" w:type="dxa"/>
              <w:right w:w="20" w:type="dxa"/>
            </w:tcMar>
            <w:vAlign w:val="center"/>
            <w:hideMark/>
          </w:tcPr>
          <w:p w14:paraId="4B628E2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F499F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8C3F8EB" w14:textId="77777777" w:rsidR="00000000" w:rsidRDefault="00EE5306">
            <w:pPr>
              <w:spacing w:after="100"/>
              <w:jc w:val="center"/>
              <w:rPr>
                <w:rFonts w:eastAsia="Times New Roman"/>
              </w:rPr>
            </w:pPr>
            <w:r>
              <w:rPr>
                <w:rFonts w:eastAsia="Times New Roman"/>
                <w:b/>
                <w:bCs/>
                <w:color w:val="000000"/>
                <w:sz w:val="16"/>
                <w:szCs w:val="16"/>
              </w:rPr>
              <w:t>Fiscal 2021</w:t>
            </w:r>
            <w:r>
              <w:rPr>
                <w:rFonts w:eastAsia="Times New Roman"/>
                <w:b/>
                <w:bCs/>
                <w:color w:val="000000"/>
                <w:sz w:val="16"/>
                <w:szCs w:val="16"/>
              </w:rPr>
              <w:br/>
              <w:t xml:space="preserve">Compared to </w:t>
            </w:r>
            <w:r>
              <w:rPr>
                <w:rFonts w:eastAsia="Times New Roman"/>
                <w:b/>
                <w:bCs/>
                <w:color w:val="000000"/>
                <w:sz w:val="16"/>
                <w:szCs w:val="16"/>
              </w:rPr>
              <w:br/>
              <w:t>Fiscal 2020</w:t>
            </w:r>
          </w:p>
        </w:tc>
      </w:tr>
      <w:tr w:rsidR="00000000" w14:paraId="299EA5A2" w14:textId="77777777">
        <w:trPr>
          <w:divId w:val="620578275"/>
        </w:trPr>
        <w:tc>
          <w:tcPr>
            <w:tcW w:w="0" w:type="auto"/>
            <w:gridSpan w:val="3"/>
            <w:tcMar>
              <w:top w:w="0" w:type="dxa"/>
              <w:left w:w="20" w:type="dxa"/>
              <w:bottom w:w="0" w:type="dxa"/>
              <w:right w:w="20" w:type="dxa"/>
            </w:tcMar>
            <w:vAlign w:val="center"/>
            <w:hideMark/>
          </w:tcPr>
          <w:p w14:paraId="52F8F177"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3544404"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2C20DF7"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68EB130F" w14:textId="77777777">
        <w:trPr>
          <w:divId w:val="620578275"/>
        </w:trPr>
        <w:tc>
          <w:tcPr>
            <w:tcW w:w="0" w:type="auto"/>
            <w:gridSpan w:val="3"/>
            <w:shd w:val="clear" w:color="auto" w:fill="CCEEFF"/>
            <w:tcMar>
              <w:top w:w="30" w:type="dxa"/>
              <w:left w:w="20" w:type="dxa"/>
              <w:bottom w:w="30" w:type="dxa"/>
              <w:right w:w="20" w:type="dxa"/>
            </w:tcMar>
            <w:vAlign w:val="bottom"/>
            <w:hideMark/>
          </w:tcPr>
          <w:p w14:paraId="4644F6B7" w14:textId="77777777" w:rsidR="00000000" w:rsidRDefault="00EE5306">
            <w:pPr>
              <w:spacing w:after="100"/>
              <w:rPr>
                <w:rFonts w:eastAsia="Times New Roman"/>
              </w:rPr>
            </w:pPr>
            <w:r>
              <w:rPr>
                <w:rFonts w:eastAsia="Times New Roman"/>
                <w:b/>
                <w:bCs/>
                <w:color w:val="000000"/>
                <w:sz w:val="20"/>
                <w:szCs w:val="20"/>
              </w:rPr>
              <w:t>SG&amp;A expense category:</w:t>
            </w:r>
          </w:p>
        </w:tc>
        <w:tc>
          <w:tcPr>
            <w:tcW w:w="0" w:type="auto"/>
            <w:gridSpan w:val="3"/>
            <w:shd w:val="clear" w:color="auto" w:fill="CCEEFF"/>
            <w:tcMar>
              <w:top w:w="0" w:type="dxa"/>
              <w:left w:w="20" w:type="dxa"/>
              <w:bottom w:w="0" w:type="dxa"/>
              <w:right w:w="20" w:type="dxa"/>
            </w:tcMar>
            <w:vAlign w:val="center"/>
            <w:hideMark/>
          </w:tcPr>
          <w:p w14:paraId="5EB9B387"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93536" w14:textId="77777777" w:rsidR="00000000" w:rsidRDefault="00EE5306">
            <w:pPr>
              <w:spacing w:after="100"/>
              <w:rPr>
                <w:rFonts w:eastAsia="Times New Roman"/>
                <w:sz w:val="20"/>
                <w:szCs w:val="20"/>
              </w:rPr>
            </w:pPr>
          </w:p>
        </w:tc>
      </w:tr>
      <w:tr w:rsidR="00000000" w14:paraId="039C84F5" w14:textId="77777777">
        <w:trPr>
          <w:divId w:val="620578275"/>
        </w:trPr>
        <w:tc>
          <w:tcPr>
            <w:tcW w:w="0" w:type="auto"/>
            <w:gridSpan w:val="3"/>
            <w:shd w:val="clear" w:color="auto" w:fill="FFFFFF"/>
            <w:tcMar>
              <w:top w:w="30" w:type="dxa"/>
              <w:left w:w="155" w:type="dxa"/>
              <w:bottom w:w="30" w:type="dxa"/>
              <w:right w:w="20" w:type="dxa"/>
            </w:tcMar>
            <w:vAlign w:val="bottom"/>
            <w:hideMark/>
          </w:tcPr>
          <w:p w14:paraId="1D471A5E" w14:textId="77777777" w:rsidR="00000000" w:rsidRDefault="00EE5306">
            <w:pPr>
              <w:spacing w:after="100"/>
              <w:rPr>
                <w:rFonts w:eastAsia="Times New Roman"/>
              </w:rPr>
            </w:pPr>
            <w:r>
              <w:rPr>
                <w:rFonts w:eastAsia="Times New Roman"/>
                <w:color w:val="000000"/>
                <w:sz w:val="20"/>
                <w:szCs w:val="20"/>
              </w:rPr>
              <w:t>Compensation-related expenses</w:t>
            </w:r>
          </w:p>
        </w:tc>
        <w:tc>
          <w:tcPr>
            <w:tcW w:w="0" w:type="auto"/>
            <w:gridSpan w:val="3"/>
            <w:shd w:val="clear" w:color="auto" w:fill="FFFFFF"/>
            <w:tcMar>
              <w:top w:w="0" w:type="dxa"/>
              <w:left w:w="20" w:type="dxa"/>
              <w:bottom w:w="0" w:type="dxa"/>
              <w:right w:w="20" w:type="dxa"/>
            </w:tcMar>
            <w:vAlign w:val="center"/>
            <w:hideMark/>
          </w:tcPr>
          <w:p w14:paraId="4BCB3B8D"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EB85AE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85139C" w14:textId="77777777" w:rsidR="00000000" w:rsidRDefault="00EE5306">
            <w:pPr>
              <w:spacing w:after="100"/>
              <w:jc w:val="right"/>
              <w:rPr>
                <w:rFonts w:eastAsia="Times New Roman"/>
              </w:rPr>
            </w:pPr>
            <w:r>
              <w:rPr>
                <w:rFonts w:eastAsia="Times New Roman"/>
                <w:color w:val="000000"/>
                <w:sz w:val="20"/>
                <w:szCs w:val="20"/>
              </w:rPr>
              <w:t>(263.9)</w:t>
            </w:r>
          </w:p>
        </w:tc>
        <w:tc>
          <w:tcPr>
            <w:tcW w:w="0" w:type="auto"/>
            <w:shd w:val="clear" w:color="auto" w:fill="FFFFFF"/>
            <w:tcMar>
              <w:top w:w="30" w:type="dxa"/>
              <w:left w:w="0" w:type="dxa"/>
              <w:bottom w:w="30" w:type="dxa"/>
              <w:right w:w="20" w:type="dxa"/>
            </w:tcMar>
            <w:vAlign w:val="bottom"/>
            <w:hideMark/>
          </w:tcPr>
          <w:p w14:paraId="394E1586" w14:textId="77777777" w:rsidR="00000000" w:rsidRDefault="00EE5306">
            <w:pPr>
              <w:spacing w:after="100"/>
              <w:jc w:val="right"/>
              <w:rPr>
                <w:rFonts w:eastAsia="Times New Roman"/>
              </w:rPr>
            </w:pPr>
          </w:p>
        </w:tc>
      </w:tr>
      <w:tr w:rsidR="00000000" w14:paraId="1FC5A57A" w14:textId="77777777">
        <w:trPr>
          <w:divId w:val="620578275"/>
        </w:trPr>
        <w:tc>
          <w:tcPr>
            <w:tcW w:w="0" w:type="auto"/>
            <w:gridSpan w:val="3"/>
            <w:shd w:val="clear" w:color="auto" w:fill="CCEEFF"/>
            <w:tcMar>
              <w:top w:w="30" w:type="dxa"/>
              <w:left w:w="155" w:type="dxa"/>
              <w:bottom w:w="30" w:type="dxa"/>
              <w:right w:w="20" w:type="dxa"/>
            </w:tcMar>
            <w:vAlign w:val="bottom"/>
            <w:hideMark/>
          </w:tcPr>
          <w:p w14:paraId="26A5653A" w14:textId="77777777" w:rsidR="00000000" w:rsidRDefault="00EE5306">
            <w:pPr>
              <w:spacing w:after="100"/>
              <w:rPr>
                <w:rFonts w:eastAsia="Times New Roman"/>
              </w:rPr>
            </w:pPr>
            <w:r>
              <w:rPr>
                <w:rFonts w:eastAsia="Times New Roman"/>
                <w:color w:val="000000"/>
                <w:sz w:val="20"/>
                <w:szCs w:val="20"/>
              </w:rPr>
              <w:t>Bad debt expense</w:t>
            </w:r>
          </w:p>
        </w:tc>
        <w:tc>
          <w:tcPr>
            <w:tcW w:w="0" w:type="auto"/>
            <w:gridSpan w:val="3"/>
            <w:shd w:val="clear" w:color="auto" w:fill="CCEEFF"/>
            <w:tcMar>
              <w:top w:w="0" w:type="dxa"/>
              <w:left w:w="20" w:type="dxa"/>
              <w:bottom w:w="0" w:type="dxa"/>
              <w:right w:w="20" w:type="dxa"/>
            </w:tcMar>
            <w:vAlign w:val="center"/>
            <w:hideMark/>
          </w:tcPr>
          <w:p w14:paraId="32291AB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F2C49B" w14:textId="77777777" w:rsidR="00000000" w:rsidRDefault="00EE5306">
            <w:pPr>
              <w:spacing w:after="100"/>
              <w:jc w:val="right"/>
              <w:rPr>
                <w:rFonts w:eastAsia="Times New Roman"/>
              </w:rPr>
            </w:pPr>
            <w:r>
              <w:rPr>
                <w:rFonts w:eastAsia="Times New Roman"/>
                <w:color w:val="000000"/>
                <w:sz w:val="20"/>
                <w:szCs w:val="20"/>
              </w:rPr>
              <w:t>(86.3)</w:t>
            </w:r>
          </w:p>
        </w:tc>
        <w:tc>
          <w:tcPr>
            <w:tcW w:w="0" w:type="auto"/>
            <w:shd w:val="clear" w:color="auto" w:fill="CCEEFF"/>
            <w:tcMar>
              <w:top w:w="30" w:type="dxa"/>
              <w:left w:w="0" w:type="dxa"/>
              <w:bottom w:w="30" w:type="dxa"/>
              <w:right w:w="20" w:type="dxa"/>
            </w:tcMar>
            <w:vAlign w:val="bottom"/>
            <w:hideMark/>
          </w:tcPr>
          <w:p w14:paraId="156D5E41" w14:textId="77777777" w:rsidR="00000000" w:rsidRDefault="00EE5306">
            <w:pPr>
              <w:spacing w:after="100"/>
              <w:jc w:val="right"/>
              <w:rPr>
                <w:rFonts w:eastAsia="Times New Roman"/>
              </w:rPr>
            </w:pPr>
          </w:p>
        </w:tc>
      </w:tr>
      <w:tr w:rsidR="00000000" w14:paraId="25D8513A" w14:textId="77777777">
        <w:trPr>
          <w:divId w:val="620578275"/>
        </w:trPr>
        <w:tc>
          <w:tcPr>
            <w:tcW w:w="0" w:type="auto"/>
            <w:gridSpan w:val="3"/>
            <w:shd w:val="clear" w:color="auto" w:fill="FFFFFF"/>
            <w:tcMar>
              <w:top w:w="30" w:type="dxa"/>
              <w:left w:w="155" w:type="dxa"/>
              <w:bottom w:w="30" w:type="dxa"/>
              <w:right w:w="20" w:type="dxa"/>
            </w:tcMar>
            <w:vAlign w:val="bottom"/>
            <w:hideMark/>
          </w:tcPr>
          <w:p w14:paraId="7C6A0632" w14:textId="77777777" w:rsidR="00000000" w:rsidRDefault="00EE5306">
            <w:pPr>
              <w:spacing w:after="100"/>
              <w:rPr>
                <w:rFonts w:eastAsia="Times New Roman"/>
              </w:rPr>
            </w:pPr>
            <w:r>
              <w:rPr>
                <w:rFonts w:eastAsia="Times New Roman"/>
                <w:color w:val="000000"/>
                <w:sz w:val="20"/>
                <w:szCs w:val="20"/>
              </w:rPr>
              <w:t>Rent and occupancy costs</w:t>
            </w:r>
          </w:p>
        </w:tc>
        <w:tc>
          <w:tcPr>
            <w:tcW w:w="0" w:type="auto"/>
            <w:gridSpan w:val="3"/>
            <w:shd w:val="clear" w:color="auto" w:fill="FFFFFF"/>
            <w:tcMar>
              <w:top w:w="0" w:type="dxa"/>
              <w:left w:w="20" w:type="dxa"/>
              <w:bottom w:w="0" w:type="dxa"/>
              <w:right w:w="20" w:type="dxa"/>
            </w:tcMar>
            <w:vAlign w:val="center"/>
            <w:hideMark/>
          </w:tcPr>
          <w:p w14:paraId="0A7C93F1"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444E0E" w14:textId="77777777" w:rsidR="00000000" w:rsidRDefault="00EE5306">
            <w:pPr>
              <w:spacing w:after="100"/>
              <w:jc w:val="right"/>
              <w:rPr>
                <w:rFonts w:eastAsia="Times New Roman"/>
              </w:rPr>
            </w:pPr>
            <w:r>
              <w:rPr>
                <w:rFonts w:eastAsia="Times New Roman"/>
                <w:color w:val="000000"/>
                <w:sz w:val="20"/>
                <w:szCs w:val="20"/>
              </w:rPr>
              <w:t>(80.4)</w:t>
            </w:r>
          </w:p>
        </w:tc>
        <w:tc>
          <w:tcPr>
            <w:tcW w:w="0" w:type="auto"/>
            <w:shd w:val="clear" w:color="auto" w:fill="FFFFFF"/>
            <w:tcMar>
              <w:top w:w="30" w:type="dxa"/>
              <w:left w:w="0" w:type="dxa"/>
              <w:bottom w:w="30" w:type="dxa"/>
              <w:right w:w="20" w:type="dxa"/>
            </w:tcMar>
            <w:vAlign w:val="bottom"/>
            <w:hideMark/>
          </w:tcPr>
          <w:p w14:paraId="1F735032" w14:textId="77777777" w:rsidR="00000000" w:rsidRDefault="00EE5306">
            <w:pPr>
              <w:spacing w:after="100"/>
              <w:jc w:val="right"/>
              <w:rPr>
                <w:rFonts w:eastAsia="Times New Roman"/>
              </w:rPr>
            </w:pPr>
          </w:p>
        </w:tc>
      </w:tr>
      <w:tr w:rsidR="00000000" w14:paraId="399CD036" w14:textId="77777777">
        <w:trPr>
          <w:divId w:val="620578275"/>
        </w:trPr>
        <w:tc>
          <w:tcPr>
            <w:tcW w:w="0" w:type="auto"/>
            <w:gridSpan w:val="3"/>
            <w:shd w:val="clear" w:color="auto" w:fill="CCEEFF"/>
            <w:tcMar>
              <w:top w:w="30" w:type="dxa"/>
              <w:left w:w="155" w:type="dxa"/>
              <w:bottom w:w="30" w:type="dxa"/>
              <w:right w:w="20" w:type="dxa"/>
            </w:tcMar>
            <w:vAlign w:val="bottom"/>
            <w:hideMark/>
          </w:tcPr>
          <w:p w14:paraId="76B0E759" w14:textId="77777777" w:rsidR="00000000" w:rsidRDefault="00EE5306">
            <w:pPr>
              <w:spacing w:after="100"/>
              <w:rPr>
                <w:rFonts w:eastAsia="Times New Roman"/>
              </w:rPr>
            </w:pPr>
            <w:r>
              <w:rPr>
                <w:rFonts w:eastAsia="Times New Roman"/>
                <w:color w:val="000000"/>
                <w:sz w:val="20"/>
                <w:szCs w:val="20"/>
              </w:rPr>
              <w:t>Staff-related expenses</w:t>
            </w:r>
          </w:p>
        </w:tc>
        <w:tc>
          <w:tcPr>
            <w:tcW w:w="0" w:type="auto"/>
            <w:gridSpan w:val="3"/>
            <w:shd w:val="clear" w:color="auto" w:fill="CCEEFF"/>
            <w:tcMar>
              <w:top w:w="0" w:type="dxa"/>
              <w:left w:w="20" w:type="dxa"/>
              <w:bottom w:w="0" w:type="dxa"/>
              <w:right w:w="20" w:type="dxa"/>
            </w:tcMar>
            <w:vAlign w:val="center"/>
            <w:hideMark/>
          </w:tcPr>
          <w:p w14:paraId="7BA833E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DBCE0D" w14:textId="77777777" w:rsidR="00000000" w:rsidRDefault="00EE5306">
            <w:pPr>
              <w:spacing w:after="100"/>
              <w:jc w:val="right"/>
              <w:rPr>
                <w:rFonts w:eastAsia="Times New Roman"/>
              </w:rPr>
            </w:pPr>
            <w:r>
              <w:rPr>
                <w:rFonts w:eastAsia="Times New Roman"/>
                <w:color w:val="000000"/>
                <w:sz w:val="20"/>
                <w:szCs w:val="20"/>
              </w:rPr>
              <w:t>(59.4)</w:t>
            </w:r>
          </w:p>
        </w:tc>
        <w:tc>
          <w:tcPr>
            <w:tcW w:w="0" w:type="auto"/>
            <w:shd w:val="clear" w:color="auto" w:fill="CCEEFF"/>
            <w:tcMar>
              <w:top w:w="30" w:type="dxa"/>
              <w:left w:w="0" w:type="dxa"/>
              <w:bottom w:w="30" w:type="dxa"/>
              <w:right w:w="20" w:type="dxa"/>
            </w:tcMar>
            <w:vAlign w:val="bottom"/>
            <w:hideMark/>
          </w:tcPr>
          <w:p w14:paraId="517CBE49" w14:textId="77777777" w:rsidR="00000000" w:rsidRDefault="00EE5306">
            <w:pPr>
              <w:spacing w:after="100"/>
              <w:jc w:val="right"/>
              <w:rPr>
                <w:rFonts w:eastAsia="Times New Roman"/>
              </w:rPr>
            </w:pPr>
          </w:p>
        </w:tc>
      </w:tr>
      <w:tr w:rsidR="00000000" w14:paraId="4647E470" w14:textId="77777777">
        <w:trPr>
          <w:divId w:val="620578275"/>
        </w:trPr>
        <w:tc>
          <w:tcPr>
            <w:tcW w:w="0" w:type="auto"/>
            <w:gridSpan w:val="3"/>
            <w:shd w:val="clear" w:color="auto" w:fill="FFFFFF"/>
            <w:tcMar>
              <w:top w:w="30" w:type="dxa"/>
              <w:left w:w="155" w:type="dxa"/>
              <w:bottom w:w="30" w:type="dxa"/>
              <w:right w:w="20" w:type="dxa"/>
            </w:tcMar>
            <w:vAlign w:val="bottom"/>
            <w:hideMark/>
          </w:tcPr>
          <w:p w14:paraId="4FEC6B5A" w14:textId="77777777" w:rsidR="00000000" w:rsidRDefault="00EE5306">
            <w:pPr>
              <w:spacing w:after="100"/>
              <w:rPr>
                <w:rFonts w:eastAsia="Times New Roman"/>
              </w:rPr>
            </w:pPr>
            <w:r>
              <w:rPr>
                <w:rFonts w:eastAsia="Times New Roman"/>
                <w:color w:val="000000"/>
                <w:sz w:val="20"/>
                <w:szCs w:val="20"/>
              </w:rPr>
              <w:t>Selling-related expenses</w:t>
            </w:r>
          </w:p>
        </w:tc>
        <w:tc>
          <w:tcPr>
            <w:tcW w:w="0" w:type="auto"/>
            <w:gridSpan w:val="3"/>
            <w:shd w:val="clear" w:color="auto" w:fill="FFFFFF"/>
            <w:tcMar>
              <w:top w:w="0" w:type="dxa"/>
              <w:left w:w="20" w:type="dxa"/>
              <w:bottom w:w="0" w:type="dxa"/>
              <w:right w:w="20" w:type="dxa"/>
            </w:tcMar>
            <w:vAlign w:val="center"/>
            <w:hideMark/>
          </w:tcPr>
          <w:p w14:paraId="3BDF3D5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408CFD" w14:textId="77777777" w:rsidR="00000000" w:rsidRDefault="00EE5306">
            <w:pPr>
              <w:spacing w:after="100"/>
              <w:jc w:val="right"/>
              <w:rPr>
                <w:rFonts w:eastAsia="Times New Roman"/>
              </w:rPr>
            </w:pPr>
            <w:r>
              <w:rPr>
                <w:rFonts w:eastAsia="Times New Roman"/>
                <w:color w:val="000000"/>
                <w:sz w:val="20"/>
                <w:szCs w:val="20"/>
              </w:rPr>
              <w:t>(46.8)</w:t>
            </w:r>
          </w:p>
        </w:tc>
        <w:tc>
          <w:tcPr>
            <w:tcW w:w="0" w:type="auto"/>
            <w:shd w:val="clear" w:color="auto" w:fill="FFFFFF"/>
            <w:tcMar>
              <w:top w:w="30" w:type="dxa"/>
              <w:left w:w="0" w:type="dxa"/>
              <w:bottom w:w="30" w:type="dxa"/>
              <w:right w:w="20" w:type="dxa"/>
            </w:tcMar>
            <w:vAlign w:val="bottom"/>
            <w:hideMark/>
          </w:tcPr>
          <w:p w14:paraId="0D6DBF13" w14:textId="77777777" w:rsidR="00000000" w:rsidRDefault="00EE5306">
            <w:pPr>
              <w:spacing w:after="100"/>
              <w:jc w:val="right"/>
              <w:rPr>
                <w:rFonts w:eastAsia="Times New Roman"/>
              </w:rPr>
            </w:pPr>
          </w:p>
        </w:tc>
      </w:tr>
      <w:tr w:rsidR="00000000" w14:paraId="4C5BA577" w14:textId="77777777">
        <w:trPr>
          <w:divId w:val="620578275"/>
        </w:trPr>
        <w:tc>
          <w:tcPr>
            <w:tcW w:w="0" w:type="auto"/>
            <w:gridSpan w:val="3"/>
            <w:shd w:val="clear" w:color="auto" w:fill="CCEEFF"/>
            <w:tcMar>
              <w:top w:w="30" w:type="dxa"/>
              <w:left w:w="155" w:type="dxa"/>
              <w:bottom w:w="30" w:type="dxa"/>
              <w:right w:w="20" w:type="dxa"/>
            </w:tcMar>
            <w:vAlign w:val="bottom"/>
            <w:hideMark/>
          </w:tcPr>
          <w:p w14:paraId="4F1380CB" w14:textId="77777777" w:rsidR="00000000" w:rsidRDefault="00EE5306">
            <w:pPr>
              <w:spacing w:after="100"/>
              <w:rPr>
                <w:rFonts w:eastAsia="Times New Roman"/>
              </w:rPr>
            </w:pPr>
            <w:r>
              <w:rPr>
                <w:rFonts w:eastAsia="Times New Roman"/>
                <w:color w:val="000000"/>
                <w:sz w:val="20"/>
                <w:szCs w:val="20"/>
              </w:rPr>
              <w:t>Depreciation and amortization expense</w:t>
            </w:r>
          </w:p>
        </w:tc>
        <w:tc>
          <w:tcPr>
            <w:tcW w:w="0" w:type="auto"/>
            <w:gridSpan w:val="3"/>
            <w:shd w:val="clear" w:color="auto" w:fill="CCEEFF"/>
            <w:tcMar>
              <w:top w:w="0" w:type="dxa"/>
              <w:left w:w="20" w:type="dxa"/>
              <w:bottom w:w="0" w:type="dxa"/>
              <w:right w:w="20" w:type="dxa"/>
            </w:tcMar>
            <w:vAlign w:val="center"/>
            <w:hideMark/>
          </w:tcPr>
          <w:p w14:paraId="3A40B8F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05F2E4" w14:textId="77777777" w:rsidR="00000000" w:rsidRDefault="00EE5306">
            <w:pPr>
              <w:spacing w:after="100"/>
              <w:jc w:val="right"/>
              <w:rPr>
                <w:rFonts w:eastAsia="Times New Roman"/>
              </w:rPr>
            </w:pPr>
            <w:r>
              <w:rPr>
                <w:rFonts w:eastAsia="Times New Roman"/>
                <w:color w:val="000000"/>
                <w:sz w:val="20"/>
                <w:szCs w:val="20"/>
              </w:rPr>
              <w:t>(22.1)</w:t>
            </w:r>
          </w:p>
        </w:tc>
        <w:tc>
          <w:tcPr>
            <w:tcW w:w="0" w:type="auto"/>
            <w:shd w:val="clear" w:color="auto" w:fill="CCEEFF"/>
            <w:tcMar>
              <w:top w:w="30" w:type="dxa"/>
              <w:left w:w="0" w:type="dxa"/>
              <w:bottom w:w="30" w:type="dxa"/>
              <w:right w:w="20" w:type="dxa"/>
            </w:tcMar>
            <w:vAlign w:val="bottom"/>
            <w:hideMark/>
          </w:tcPr>
          <w:p w14:paraId="5F43F004" w14:textId="77777777" w:rsidR="00000000" w:rsidRDefault="00EE5306">
            <w:pPr>
              <w:spacing w:after="100"/>
              <w:jc w:val="right"/>
              <w:rPr>
                <w:rFonts w:eastAsia="Times New Roman"/>
              </w:rPr>
            </w:pPr>
          </w:p>
        </w:tc>
      </w:tr>
      <w:tr w:rsidR="00000000" w14:paraId="72399D81" w14:textId="77777777">
        <w:trPr>
          <w:divId w:val="620578275"/>
        </w:trPr>
        <w:tc>
          <w:tcPr>
            <w:tcW w:w="0" w:type="auto"/>
            <w:gridSpan w:val="3"/>
            <w:shd w:val="clear" w:color="auto" w:fill="FFFFFF"/>
            <w:tcMar>
              <w:top w:w="30" w:type="dxa"/>
              <w:left w:w="155" w:type="dxa"/>
              <w:bottom w:w="30" w:type="dxa"/>
              <w:right w:w="20" w:type="dxa"/>
            </w:tcMar>
            <w:vAlign w:val="bottom"/>
            <w:hideMark/>
          </w:tcPr>
          <w:p w14:paraId="72E7A22A" w14:textId="77777777" w:rsidR="00000000" w:rsidRDefault="00EE5306">
            <w:pPr>
              <w:spacing w:after="100"/>
              <w:rPr>
                <w:rFonts w:eastAsia="Times New Roman"/>
              </w:rPr>
            </w:pPr>
            <w:r>
              <w:rPr>
                <w:rFonts w:eastAsia="Times New Roman"/>
                <w:color w:val="000000"/>
                <w:sz w:val="20"/>
                <w:szCs w:val="20"/>
              </w:rPr>
              <w:t>Consulting fees</w:t>
            </w:r>
          </w:p>
        </w:tc>
        <w:tc>
          <w:tcPr>
            <w:tcW w:w="0" w:type="auto"/>
            <w:gridSpan w:val="3"/>
            <w:shd w:val="clear" w:color="auto" w:fill="FFFFFF"/>
            <w:tcMar>
              <w:top w:w="0" w:type="dxa"/>
              <w:left w:w="20" w:type="dxa"/>
              <w:bottom w:w="0" w:type="dxa"/>
              <w:right w:w="20" w:type="dxa"/>
            </w:tcMar>
            <w:vAlign w:val="center"/>
            <w:hideMark/>
          </w:tcPr>
          <w:p w14:paraId="3B45209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001A18" w14:textId="77777777" w:rsidR="00000000" w:rsidRDefault="00EE5306">
            <w:pPr>
              <w:spacing w:after="100"/>
              <w:jc w:val="right"/>
              <w:rPr>
                <w:rFonts w:eastAsia="Times New Roman"/>
              </w:rPr>
            </w:pPr>
            <w:r>
              <w:rPr>
                <w:rFonts w:eastAsia="Times New Roman"/>
                <w:color w:val="000000"/>
                <w:sz w:val="20"/>
                <w:szCs w:val="20"/>
              </w:rPr>
              <w:t>(16.8)</w:t>
            </w:r>
          </w:p>
        </w:tc>
        <w:tc>
          <w:tcPr>
            <w:tcW w:w="0" w:type="auto"/>
            <w:shd w:val="clear" w:color="auto" w:fill="FFFFFF"/>
            <w:tcMar>
              <w:top w:w="30" w:type="dxa"/>
              <w:left w:w="0" w:type="dxa"/>
              <w:bottom w:w="30" w:type="dxa"/>
              <w:right w:w="20" w:type="dxa"/>
            </w:tcMar>
            <w:vAlign w:val="bottom"/>
            <w:hideMark/>
          </w:tcPr>
          <w:p w14:paraId="2CF5F15F" w14:textId="77777777" w:rsidR="00000000" w:rsidRDefault="00EE5306">
            <w:pPr>
              <w:spacing w:after="100"/>
              <w:jc w:val="right"/>
              <w:rPr>
                <w:rFonts w:eastAsia="Times New Roman"/>
              </w:rPr>
            </w:pPr>
          </w:p>
        </w:tc>
      </w:tr>
      <w:tr w:rsidR="00000000" w14:paraId="42B1E4B3" w14:textId="77777777">
        <w:trPr>
          <w:divId w:val="620578275"/>
        </w:trPr>
        <w:tc>
          <w:tcPr>
            <w:tcW w:w="0" w:type="auto"/>
            <w:gridSpan w:val="3"/>
            <w:shd w:val="clear" w:color="auto" w:fill="CCEEFF"/>
            <w:tcMar>
              <w:top w:w="30" w:type="dxa"/>
              <w:left w:w="155" w:type="dxa"/>
              <w:bottom w:w="30" w:type="dxa"/>
              <w:right w:w="20" w:type="dxa"/>
            </w:tcMar>
            <w:vAlign w:val="bottom"/>
            <w:hideMark/>
          </w:tcPr>
          <w:p w14:paraId="275C4F75" w14:textId="77777777" w:rsidR="00000000" w:rsidRDefault="00EE5306">
            <w:pPr>
              <w:spacing w:after="100"/>
              <w:rPr>
                <w:rFonts w:eastAsia="Times New Roman"/>
              </w:rPr>
            </w:pPr>
            <w:r>
              <w:rPr>
                <w:rFonts w:eastAsia="Times New Roman"/>
                <w:color w:val="000000"/>
                <w:sz w:val="20"/>
                <w:szCs w:val="20"/>
              </w:rPr>
              <w:t>Marketing and advertising expenses</w:t>
            </w:r>
          </w:p>
        </w:tc>
        <w:tc>
          <w:tcPr>
            <w:tcW w:w="0" w:type="auto"/>
            <w:gridSpan w:val="3"/>
            <w:shd w:val="clear" w:color="auto" w:fill="CCEEFF"/>
            <w:tcMar>
              <w:top w:w="0" w:type="dxa"/>
              <w:left w:w="20" w:type="dxa"/>
              <w:bottom w:w="0" w:type="dxa"/>
              <w:right w:w="20" w:type="dxa"/>
            </w:tcMar>
            <w:vAlign w:val="center"/>
            <w:hideMark/>
          </w:tcPr>
          <w:p w14:paraId="1B60FD1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D94C8A" w14:textId="77777777" w:rsidR="00000000" w:rsidRDefault="00EE5306">
            <w:pPr>
              <w:spacing w:after="100"/>
              <w:jc w:val="right"/>
              <w:rPr>
                <w:rFonts w:eastAsia="Times New Roman"/>
              </w:rPr>
            </w:pPr>
            <w:r>
              <w:rPr>
                <w:rFonts w:eastAsia="Times New Roman"/>
                <w:color w:val="000000"/>
                <w:sz w:val="20"/>
                <w:szCs w:val="20"/>
              </w:rPr>
              <w:t>(13.0)</w:t>
            </w:r>
          </w:p>
        </w:tc>
        <w:tc>
          <w:tcPr>
            <w:tcW w:w="0" w:type="auto"/>
            <w:shd w:val="clear" w:color="auto" w:fill="CCEEFF"/>
            <w:tcMar>
              <w:top w:w="30" w:type="dxa"/>
              <w:left w:w="0" w:type="dxa"/>
              <w:bottom w:w="30" w:type="dxa"/>
              <w:right w:w="20" w:type="dxa"/>
            </w:tcMar>
            <w:vAlign w:val="bottom"/>
            <w:hideMark/>
          </w:tcPr>
          <w:p w14:paraId="155A4265" w14:textId="77777777" w:rsidR="00000000" w:rsidRDefault="00EE5306">
            <w:pPr>
              <w:spacing w:after="100"/>
              <w:jc w:val="right"/>
              <w:rPr>
                <w:rFonts w:eastAsia="Times New Roman"/>
              </w:rPr>
            </w:pPr>
          </w:p>
        </w:tc>
      </w:tr>
      <w:tr w:rsidR="00000000" w14:paraId="1686DD2E" w14:textId="77777777">
        <w:trPr>
          <w:divId w:val="620578275"/>
        </w:trPr>
        <w:tc>
          <w:tcPr>
            <w:tcW w:w="0" w:type="auto"/>
            <w:gridSpan w:val="3"/>
            <w:shd w:val="clear" w:color="auto" w:fill="FFFFFF"/>
            <w:tcMar>
              <w:top w:w="30" w:type="dxa"/>
              <w:left w:w="155" w:type="dxa"/>
              <w:bottom w:w="30" w:type="dxa"/>
              <w:right w:w="20" w:type="dxa"/>
            </w:tcMar>
            <w:vAlign w:val="bottom"/>
            <w:hideMark/>
          </w:tcPr>
          <w:p w14:paraId="3D9F6FDC" w14:textId="77777777" w:rsidR="00000000" w:rsidRDefault="00EE5306">
            <w:pPr>
              <w:spacing w:after="100"/>
              <w:rPr>
                <w:rFonts w:eastAsia="Times New Roman"/>
              </w:rPr>
            </w:pPr>
            <w:r>
              <w:rPr>
                <w:rFonts w:eastAsia="Times New Roman"/>
                <w:color w:val="000000"/>
                <w:sz w:val="20"/>
                <w:szCs w:val="20"/>
              </w:rPr>
              <w:t>Shipping and handling costs</w:t>
            </w:r>
          </w:p>
        </w:tc>
        <w:tc>
          <w:tcPr>
            <w:tcW w:w="0" w:type="auto"/>
            <w:gridSpan w:val="3"/>
            <w:shd w:val="clear" w:color="auto" w:fill="FFFFFF"/>
            <w:tcMar>
              <w:top w:w="0" w:type="dxa"/>
              <w:left w:w="20" w:type="dxa"/>
              <w:bottom w:w="0" w:type="dxa"/>
              <w:right w:w="20" w:type="dxa"/>
            </w:tcMar>
            <w:vAlign w:val="center"/>
            <w:hideMark/>
          </w:tcPr>
          <w:p w14:paraId="289313A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66BC00" w14:textId="77777777" w:rsidR="00000000" w:rsidRDefault="00EE5306">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14:paraId="594711E8" w14:textId="77777777" w:rsidR="00000000" w:rsidRDefault="00EE5306">
            <w:pPr>
              <w:spacing w:after="100"/>
              <w:jc w:val="right"/>
              <w:rPr>
                <w:rFonts w:eastAsia="Times New Roman"/>
              </w:rPr>
            </w:pPr>
          </w:p>
        </w:tc>
      </w:tr>
      <w:tr w:rsidR="00000000" w14:paraId="4BA7CCA8" w14:textId="77777777">
        <w:trPr>
          <w:divId w:val="620578275"/>
        </w:trPr>
        <w:tc>
          <w:tcPr>
            <w:tcW w:w="0" w:type="auto"/>
            <w:gridSpan w:val="3"/>
            <w:shd w:val="clear" w:color="auto" w:fill="CCEEFF"/>
            <w:tcMar>
              <w:top w:w="30" w:type="dxa"/>
              <w:left w:w="155" w:type="dxa"/>
              <w:bottom w:w="30" w:type="dxa"/>
              <w:right w:w="20" w:type="dxa"/>
            </w:tcMar>
            <w:vAlign w:val="bottom"/>
            <w:hideMark/>
          </w:tcPr>
          <w:p w14:paraId="4EDFF6C4" w14:textId="77777777" w:rsidR="00000000" w:rsidRDefault="00EE5306">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14:paraId="010A9ADE"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E3EC13" w14:textId="77777777" w:rsidR="00000000" w:rsidRDefault="00EE5306">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14:paraId="58E45BEF" w14:textId="77777777" w:rsidR="00000000" w:rsidRDefault="00EE5306">
            <w:pPr>
              <w:spacing w:after="100"/>
              <w:jc w:val="right"/>
              <w:rPr>
                <w:rFonts w:eastAsia="Times New Roman"/>
              </w:rPr>
            </w:pPr>
          </w:p>
        </w:tc>
      </w:tr>
      <w:tr w:rsidR="00000000" w14:paraId="4BEC02A8" w14:textId="77777777">
        <w:trPr>
          <w:divId w:val="620578275"/>
        </w:trPr>
        <w:tc>
          <w:tcPr>
            <w:tcW w:w="0" w:type="auto"/>
            <w:gridSpan w:val="3"/>
            <w:shd w:val="clear" w:color="auto" w:fill="FFFFFF"/>
            <w:tcMar>
              <w:top w:w="30" w:type="dxa"/>
              <w:left w:w="380" w:type="dxa"/>
              <w:bottom w:w="30" w:type="dxa"/>
              <w:right w:w="20" w:type="dxa"/>
            </w:tcMar>
            <w:vAlign w:val="bottom"/>
            <w:hideMark/>
          </w:tcPr>
          <w:p w14:paraId="7F632FAE" w14:textId="77777777" w:rsidR="00000000" w:rsidRDefault="00EE5306">
            <w:pPr>
              <w:spacing w:after="100"/>
              <w:rPr>
                <w:rFonts w:eastAsia="Times New Roman"/>
              </w:rPr>
            </w:pPr>
            <w:r>
              <w:rPr>
                <w:rFonts w:eastAsia="Times New Roman"/>
                <w:color w:val="000000"/>
                <w:sz w:val="20"/>
                <w:szCs w:val="20"/>
              </w:rPr>
              <w:t>Total decrease in SG&amp;A expenses</w:t>
            </w:r>
          </w:p>
        </w:tc>
        <w:tc>
          <w:tcPr>
            <w:tcW w:w="0" w:type="auto"/>
            <w:gridSpan w:val="3"/>
            <w:shd w:val="clear" w:color="auto" w:fill="FFFFFF"/>
            <w:tcMar>
              <w:top w:w="0" w:type="dxa"/>
              <w:left w:w="20" w:type="dxa"/>
              <w:bottom w:w="0" w:type="dxa"/>
              <w:right w:w="20" w:type="dxa"/>
            </w:tcMar>
            <w:vAlign w:val="center"/>
            <w:hideMark/>
          </w:tcPr>
          <w:p w14:paraId="1B292092"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D34C58"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249480" w14:textId="77777777" w:rsidR="00000000" w:rsidRDefault="00EE5306">
            <w:pPr>
              <w:spacing w:after="100"/>
              <w:jc w:val="right"/>
              <w:rPr>
                <w:rFonts w:eastAsia="Times New Roman"/>
              </w:rPr>
            </w:pPr>
            <w:r>
              <w:rPr>
                <w:rFonts w:eastAsia="Times New Roman"/>
                <w:color w:val="000000"/>
                <w:sz w:val="20"/>
                <w:szCs w:val="20"/>
              </w:rPr>
              <w:t>(599.0)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61C5C0" w14:textId="77777777" w:rsidR="00000000" w:rsidRDefault="00EE5306">
            <w:pPr>
              <w:spacing w:after="100"/>
              <w:jc w:val="right"/>
              <w:rPr>
                <w:rFonts w:eastAsia="Times New Roman"/>
              </w:rPr>
            </w:pPr>
          </w:p>
        </w:tc>
      </w:tr>
    </w:tbl>
    <w:p w14:paraId="382ED1CE" w14:textId="77777777" w:rsidR="00000000" w:rsidRDefault="00EE5306">
      <w:pPr>
        <w:ind w:firstLine="540"/>
        <w:jc w:val="both"/>
        <w:divId w:val="619147754"/>
        <w:rPr>
          <w:rFonts w:eastAsia="Times New Roman"/>
        </w:rPr>
      </w:pPr>
      <w:r>
        <w:rPr>
          <w:rFonts w:eastAsia="Times New Roman"/>
          <w:color w:val="000000"/>
          <w:sz w:val="20"/>
          <w:szCs w:val="20"/>
        </w:rPr>
        <w:t>We have been carefully evaluating our organizational and operating cost structures to better support long-term growth, with a focus on our (i) team organizational structures and ways of working; (ii) real estate footprint and related costs across our corpo</w:t>
      </w:r>
      <w:r>
        <w:rPr>
          <w:rFonts w:eastAsia="Times New Roman"/>
          <w:color w:val="000000"/>
          <w:sz w:val="20"/>
          <w:szCs w:val="20"/>
        </w:rPr>
        <w:t>rate offices, distribution centers, and direct-to-consumer retail and wholesale doors; and (iii) brand portfolio. Additionally, we plan to continue to closely manage our discretionary spending.</w:t>
      </w:r>
    </w:p>
    <w:p w14:paraId="77339F74" w14:textId="77777777" w:rsidR="00000000" w:rsidRDefault="00EE5306">
      <w:pPr>
        <w:ind w:firstLine="540"/>
        <w:jc w:val="both"/>
        <w:divId w:val="1253120664"/>
        <w:rPr>
          <w:rFonts w:eastAsia="Times New Roman"/>
        </w:rPr>
      </w:pPr>
      <w:r>
        <w:rPr>
          <w:rFonts w:eastAsia="Times New Roman"/>
          <w:i/>
          <w:iCs/>
          <w:color w:val="000000"/>
          <w:sz w:val="20"/>
          <w:szCs w:val="20"/>
        </w:rPr>
        <w:t>Impairment of Assets.</w:t>
      </w:r>
      <w:r>
        <w:rPr>
          <w:rFonts w:eastAsia="Times New Roman"/>
          <w:color w:val="000000"/>
          <w:sz w:val="20"/>
          <w:szCs w:val="20"/>
        </w:rPr>
        <w:t>   During Fiscal 2021 and Fiscal 2020, we</w:t>
      </w:r>
      <w:r>
        <w:rPr>
          <w:rFonts w:eastAsia="Times New Roman"/>
          <w:color w:val="000000"/>
          <w:sz w:val="20"/>
          <w:szCs w:val="20"/>
        </w:rPr>
        <w:t xml:space="preserve"> recorded non-cash impairment charges of $96.0 million and $31.6 million, respectively, to write-down certain long-lived assets. See Note 8 to the accompanying consolidated financial statements.</w:t>
      </w:r>
    </w:p>
    <w:p w14:paraId="12791A42" w14:textId="77777777" w:rsidR="00000000" w:rsidRDefault="00EE5306">
      <w:pPr>
        <w:ind w:firstLine="540"/>
        <w:jc w:val="both"/>
        <w:divId w:val="962885757"/>
        <w:rPr>
          <w:rFonts w:eastAsia="Times New Roman"/>
        </w:rPr>
      </w:pPr>
      <w:r>
        <w:rPr>
          <w:rFonts w:eastAsia="Times New Roman"/>
          <w:i/>
          <w:iCs/>
          <w:color w:val="000000"/>
          <w:sz w:val="20"/>
          <w:szCs w:val="20"/>
        </w:rPr>
        <w:t>Restructuring and Other Charges.</w:t>
      </w:r>
      <w:r>
        <w:rPr>
          <w:rFonts w:eastAsia="Times New Roman"/>
          <w:color w:val="000000"/>
          <w:sz w:val="20"/>
          <w:szCs w:val="20"/>
        </w:rPr>
        <w:t>   During Fiscal 2021 and Fis</w:t>
      </w:r>
      <w:r>
        <w:rPr>
          <w:rFonts w:eastAsia="Times New Roman"/>
          <w:color w:val="000000"/>
          <w:sz w:val="20"/>
          <w:szCs w:val="20"/>
        </w:rPr>
        <w:t>cal 2020, we recorded restructuring charges of $159.1 million and $37.6 million, respectively, primarily consisting of severance and benefits costs, as well as other charges of $11.4 million and $8.8 million, respectively, primarily related to rent and occ</w:t>
      </w:r>
      <w:r>
        <w:rPr>
          <w:rFonts w:eastAsia="Times New Roman"/>
          <w:color w:val="000000"/>
          <w:sz w:val="20"/>
          <w:szCs w:val="20"/>
        </w:rPr>
        <w:t>upancy costs associated with certain previously exited real estate locations for which the related lease agreements have not yet expired. Additionally, during Fiscal 2020, we recorded other charges of $20.8 million related to the charitable donation of the</w:t>
      </w:r>
      <w:r>
        <w:rPr>
          <w:rFonts w:eastAsia="Times New Roman"/>
          <w:color w:val="000000"/>
          <w:sz w:val="20"/>
          <w:szCs w:val="20"/>
        </w:rPr>
        <w:t xml:space="preserve"> net cash proceeds received from the sale of our corporate jet. See Note 9 to the accompanying consolidated financial statements.</w:t>
      </w:r>
    </w:p>
    <w:p w14:paraId="4AF105DB" w14:textId="77777777" w:rsidR="00000000" w:rsidRDefault="00EE5306">
      <w:pPr>
        <w:ind w:firstLine="540"/>
        <w:jc w:val="both"/>
        <w:divId w:val="237986393"/>
        <w:rPr>
          <w:rFonts w:eastAsia="Times New Roman"/>
        </w:rPr>
      </w:pPr>
      <w:r>
        <w:rPr>
          <w:rFonts w:eastAsia="Times New Roman"/>
          <w:i/>
          <w:iCs/>
          <w:color w:val="000000"/>
          <w:sz w:val="20"/>
          <w:szCs w:val="20"/>
        </w:rPr>
        <w:t>Operating Income (Loss).</w:t>
      </w:r>
      <w:r>
        <w:rPr>
          <w:rFonts w:eastAsia="Times New Roman"/>
          <w:color w:val="000000"/>
          <w:sz w:val="20"/>
          <w:szCs w:val="20"/>
        </w:rPr>
        <w:t>    </w:t>
      </w:r>
      <w:r>
        <w:rPr>
          <w:rFonts w:eastAsia="Times New Roman"/>
          <w:color w:val="000000"/>
          <w:sz w:val="20"/>
          <w:szCs w:val="20"/>
        </w:rPr>
        <w:t xml:space="preserve">During Fiscal 2021, we reported an operating loss of $43.6 million, as compared to operating income of $317.0 million during Fiscal 2020. The $360.6 million decline in operating income reflects net adverse impacts related to COVID-19 business disruptions, </w:t>
      </w:r>
      <w:r>
        <w:rPr>
          <w:rFonts w:eastAsia="Times New Roman"/>
          <w:color w:val="000000"/>
          <w:sz w:val="20"/>
          <w:szCs w:val="20"/>
        </w:rPr>
        <w:t xml:space="preserve">as well as net favorable foreign currency effects of $19.5 million. Our operating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4B8971F" w14:textId="77777777">
        <w:trPr>
          <w:divId w:val="1483347236"/>
          <w:jc w:val="center"/>
        </w:trPr>
        <w:tc>
          <w:tcPr>
            <w:tcW w:w="50" w:type="pct"/>
            <w:vAlign w:val="center"/>
            <w:hideMark/>
          </w:tcPr>
          <w:p w14:paraId="1B7A7F06" w14:textId="77777777" w:rsidR="00000000" w:rsidRDefault="00EE5306">
            <w:pPr>
              <w:ind w:firstLine="540"/>
              <w:jc w:val="both"/>
              <w:rPr>
                <w:rFonts w:eastAsia="Times New Roman"/>
              </w:rPr>
            </w:pPr>
          </w:p>
        </w:tc>
        <w:tc>
          <w:tcPr>
            <w:tcW w:w="1699" w:type="pct"/>
            <w:vAlign w:val="center"/>
            <w:hideMark/>
          </w:tcPr>
          <w:p w14:paraId="4567C233" w14:textId="77777777" w:rsidR="00000000" w:rsidRDefault="00EE5306">
            <w:pPr>
              <w:spacing w:after="100"/>
              <w:rPr>
                <w:rFonts w:eastAsia="Times New Roman"/>
                <w:sz w:val="20"/>
                <w:szCs w:val="20"/>
              </w:rPr>
            </w:pPr>
          </w:p>
        </w:tc>
        <w:tc>
          <w:tcPr>
            <w:tcW w:w="5" w:type="pct"/>
            <w:vAlign w:val="center"/>
            <w:hideMark/>
          </w:tcPr>
          <w:p w14:paraId="38920122" w14:textId="77777777" w:rsidR="00000000" w:rsidRDefault="00EE5306">
            <w:pPr>
              <w:spacing w:after="100"/>
              <w:rPr>
                <w:rFonts w:eastAsia="Times New Roman"/>
                <w:sz w:val="20"/>
                <w:szCs w:val="20"/>
              </w:rPr>
            </w:pPr>
          </w:p>
        </w:tc>
        <w:tc>
          <w:tcPr>
            <w:tcW w:w="50" w:type="pct"/>
            <w:vAlign w:val="center"/>
            <w:hideMark/>
          </w:tcPr>
          <w:p w14:paraId="544250B0" w14:textId="77777777" w:rsidR="00000000" w:rsidRDefault="00EE5306">
            <w:pPr>
              <w:spacing w:after="100"/>
              <w:rPr>
                <w:rFonts w:eastAsia="Times New Roman"/>
                <w:sz w:val="20"/>
                <w:szCs w:val="20"/>
              </w:rPr>
            </w:pPr>
          </w:p>
        </w:tc>
        <w:tc>
          <w:tcPr>
            <w:tcW w:w="1436" w:type="pct"/>
            <w:vAlign w:val="center"/>
            <w:hideMark/>
          </w:tcPr>
          <w:p w14:paraId="0F1E59E4" w14:textId="77777777" w:rsidR="00000000" w:rsidRDefault="00EE5306">
            <w:pPr>
              <w:spacing w:after="100"/>
              <w:rPr>
                <w:rFonts w:eastAsia="Times New Roman"/>
                <w:sz w:val="20"/>
                <w:szCs w:val="20"/>
              </w:rPr>
            </w:pPr>
          </w:p>
        </w:tc>
        <w:tc>
          <w:tcPr>
            <w:tcW w:w="5" w:type="pct"/>
            <w:vAlign w:val="center"/>
            <w:hideMark/>
          </w:tcPr>
          <w:p w14:paraId="1A6B2D2A" w14:textId="77777777" w:rsidR="00000000" w:rsidRDefault="00EE5306">
            <w:pPr>
              <w:spacing w:after="100"/>
              <w:rPr>
                <w:rFonts w:eastAsia="Times New Roman"/>
                <w:sz w:val="20"/>
                <w:szCs w:val="20"/>
              </w:rPr>
            </w:pPr>
          </w:p>
        </w:tc>
        <w:tc>
          <w:tcPr>
            <w:tcW w:w="50" w:type="pct"/>
            <w:vAlign w:val="center"/>
            <w:hideMark/>
          </w:tcPr>
          <w:p w14:paraId="1CB0539D" w14:textId="77777777" w:rsidR="00000000" w:rsidRDefault="00EE5306">
            <w:pPr>
              <w:spacing w:after="100"/>
              <w:rPr>
                <w:rFonts w:eastAsia="Times New Roman"/>
                <w:sz w:val="20"/>
                <w:szCs w:val="20"/>
              </w:rPr>
            </w:pPr>
          </w:p>
        </w:tc>
        <w:tc>
          <w:tcPr>
            <w:tcW w:w="1699" w:type="pct"/>
            <w:vAlign w:val="center"/>
            <w:hideMark/>
          </w:tcPr>
          <w:p w14:paraId="33848015" w14:textId="77777777" w:rsidR="00000000" w:rsidRDefault="00EE5306">
            <w:pPr>
              <w:spacing w:after="100"/>
              <w:rPr>
                <w:rFonts w:eastAsia="Times New Roman"/>
                <w:sz w:val="20"/>
                <w:szCs w:val="20"/>
              </w:rPr>
            </w:pPr>
          </w:p>
        </w:tc>
        <w:tc>
          <w:tcPr>
            <w:tcW w:w="5" w:type="pct"/>
            <w:vAlign w:val="center"/>
            <w:hideMark/>
          </w:tcPr>
          <w:p w14:paraId="7D327B7E" w14:textId="77777777" w:rsidR="00000000" w:rsidRDefault="00EE5306">
            <w:pPr>
              <w:spacing w:after="100"/>
              <w:rPr>
                <w:rFonts w:eastAsia="Times New Roman"/>
                <w:sz w:val="20"/>
                <w:szCs w:val="20"/>
              </w:rPr>
            </w:pPr>
          </w:p>
        </w:tc>
      </w:tr>
      <w:tr w:rsidR="00000000" w14:paraId="7C688D42" w14:textId="77777777">
        <w:trPr>
          <w:divId w:val="1483347236"/>
          <w:jc w:val="center"/>
        </w:trPr>
        <w:tc>
          <w:tcPr>
            <w:tcW w:w="0" w:type="auto"/>
            <w:gridSpan w:val="3"/>
            <w:tcMar>
              <w:top w:w="0" w:type="dxa"/>
              <w:left w:w="20" w:type="dxa"/>
              <w:bottom w:w="0" w:type="dxa"/>
              <w:right w:w="20" w:type="dxa"/>
            </w:tcMar>
            <w:vAlign w:val="center"/>
            <w:hideMark/>
          </w:tcPr>
          <w:p w14:paraId="088A4DF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CDDBE12" w14:textId="77777777" w:rsidR="00000000" w:rsidRDefault="00EE5306">
            <w:pPr>
              <w:spacing w:after="100"/>
              <w:jc w:val="center"/>
              <w:rPr>
                <w:rFonts w:eastAsia="Times New Roman"/>
              </w:rPr>
            </w:pPr>
            <w:r>
              <w:rPr>
                <w:rFonts w:eastAsia="Times New Roman"/>
                <w:color w:val="000000"/>
                <w:sz w:val="20"/>
                <w:szCs w:val="20"/>
              </w:rPr>
              <w:t>54</w:t>
            </w:r>
          </w:p>
        </w:tc>
        <w:tc>
          <w:tcPr>
            <w:tcW w:w="0" w:type="auto"/>
            <w:gridSpan w:val="3"/>
            <w:tcMar>
              <w:top w:w="0" w:type="dxa"/>
              <w:left w:w="20" w:type="dxa"/>
              <w:bottom w:w="0" w:type="dxa"/>
              <w:right w:w="20" w:type="dxa"/>
            </w:tcMar>
            <w:vAlign w:val="center"/>
            <w:hideMark/>
          </w:tcPr>
          <w:p w14:paraId="21D17B01" w14:textId="77777777" w:rsidR="00000000" w:rsidRDefault="00EE5306">
            <w:pPr>
              <w:spacing w:after="100"/>
              <w:jc w:val="center"/>
              <w:rPr>
                <w:rFonts w:eastAsia="Times New Roman"/>
              </w:rPr>
            </w:pPr>
          </w:p>
        </w:tc>
      </w:tr>
    </w:tbl>
    <w:p w14:paraId="52000A25" w14:textId="77777777" w:rsidR="00000000" w:rsidRDefault="00EE5306">
      <w:pPr>
        <w:rPr>
          <w:rFonts w:eastAsia="Times New Roman"/>
        </w:rPr>
      </w:pPr>
      <w:r>
        <w:rPr>
          <w:rFonts w:eastAsia="Times New Roman"/>
        </w:rPr>
        <w:pict w14:anchorId="20210C04">
          <v:rect id="_x0000_i1081" style="width:0;height:1.5pt" o:hralign="center" o:hrstd="t" o:hr="t" fillcolor="#a0a0a0" stroked="f"/>
        </w:pict>
      </w:r>
    </w:p>
    <w:p w14:paraId="6692204E" w14:textId="77777777" w:rsidR="00000000" w:rsidRDefault="00EE5306">
      <w:pPr>
        <w:divId w:val="1146312432"/>
        <w:rPr>
          <w:rFonts w:eastAsia="Times New Roman"/>
        </w:rPr>
      </w:pPr>
    </w:p>
    <w:p w14:paraId="0EEE3BA3" w14:textId="77777777" w:rsidR="00000000" w:rsidRDefault="00EE5306">
      <w:pPr>
        <w:jc w:val="both"/>
        <w:divId w:val="1987394973"/>
        <w:rPr>
          <w:rFonts w:eastAsia="Times New Roman"/>
        </w:rPr>
      </w:pPr>
      <w:r>
        <w:rPr>
          <w:rFonts w:eastAsia="Times New Roman"/>
          <w:color w:val="000000"/>
          <w:sz w:val="20"/>
          <w:szCs w:val="20"/>
        </w:rPr>
        <w:t>results during Fiscal 2021 and Fiscal 2020 were also negatively impacted by restructuring-related charges, impairment of assets, and certain other charges (a portion of which related to COVID-19 business disruptions) t</w:t>
      </w:r>
      <w:r>
        <w:rPr>
          <w:rFonts w:eastAsia="Times New Roman"/>
          <w:color w:val="000000"/>
          <w:sz w:val="20"/>
          <w:szCs w:val="20"/>
        </w:rPr>
        <w:t>otaling $254.4 million and $321.8 million, respectively, as previously discussed. Operating loss as a percentage of net revenues was 1.0% in Fiscal 2021, reflecting a 610 basis point decline from Fiscal 2020. The decline in operating income as a percentage</w:t>
      </w:r>
      <w:r>
        <w:rPr>
          <w:rFonts w:eastAsia="Times New Roman"/>
          <w:color w:val="000000"/>
          <w:sz w:val="20"/>
          <w:szCs w:val="20"/>
        </w:rPr>
        <w:t xml:space="preserve"> of net revenues was primarily driven by the increase in SG&amp;A expenses as a percentage of net revenues, partially offset by the increase in our gross margin and lower net restructuring-related charges, impairment of assets, and certain other charges record</w:t>
      </w:r>
      <w:r>
        <w:rPr>
          <w:rFonts w:eastAsia="Times New Roman"/>
          <w:color w:val="000000"/>
          <w:sz w:val="20"/>
          <w:szCs w:val="20"/>
        </w:rPr>
        <w:t>ed during Fiscal 2021 as compared to the prior fiscal year, all as previously discussed.</w:t>
      </w:r>
    </w:p>
    <w:p w14:paraId="647293E2" w14:textId="77777777" w:rsidR="00000000" w:rsidRDefault="00EE5306">
      <w:pPr>
        <w:ind w:firstLine="540"/>
        <w:jc w:val="both"/>
        <w:divId w:val="1132018542"/>
        <w:rPr>
          <w:rFonts w:eastAsia="Times New Roman"/>
        </w:rPr>
      </w:pPr>
      <w:r>
        <w:rPr>
          <w:rFonts w:eastAsia="Times New Roman"/>
          <w:color w:val="000000"/>
          <w:sz w:val="20"/>
          <w:szCs w:val="20"/>
        </w:rPr>
        <w:t>Operating income (loss) and margin for our segments, as well as a discussion of the changes in each reportable segment's operating margin from the prior fiscal year, a</w:t>
      </w:r>
      <w:r>
        <w:rPr>
          <w:rFonts w:eastAsia="Times New Roman"/>
          <w:color w:val="000000"/>
          <w:sz w:val="20"/>
          <w:szCs w:val="20"/>
        </w:rPr>
        <w:t>re provided below:</w:t>
      </w:r>
    </w:p>
    <w:tbl>
      <w:tblPr>
        <w:tblW w:w="4751" w:type="pct"/>
        <w:tblCellMar>
          <w:top w:w="15" w:type="dxa"/>
          <w:left w:w="15" w:type="dxa"/>
          <w:bottom w:w="15" w:type="dxa"/>
          <w:right w:w="15" w:type="dxa"/>
        </w:tblCellMar>
        <w:tblLook w:val="04A0" w:firstRow="1" w:lastRow="0" w:firstColumn="1" w:lastColumn="0" w:noHBand="0" w:noVBand="1"/>
      </w:tblPr>
      <w:tblGrid>
        <w:gridCol w:w="39"/>
        <w:gridCol w:w="2663"/>
        <w:gridCol w:w="38"/>
        <w:gridCol w:w="36"/>
        <w:gridCol w:w="36"/>
        <w:gridCol w:w="36"/>
        <w:gridCol w:w="121"/>
        <w:gridCol w:w="655"/>
        <w:gridCol w:w="37"/>
        <w:gridCol w:w="36"/>
        <w:gridCol w:w="36"/>
        <w:gridCol w:w="36"/>
        <w:gridCol w:w="83"/>
        <w:gridCol w:w="652"/>
        <w:gridCol w:w="36"/>
        <w:gridCol w:w="36"/>
        <w:gridCol w:w="36"/>
        <w:gridCol w:w="36"/>
        <w:gridCol w:w="121"/>
        <w:gridCol w:w="655"/>
        <w:gridCol w:w="37"/>
        <w:gridCol w:w="36"/>
        <w:gridCol w:w="36"/>
        <w:gridCol w:w="36"/>
        <w:gridCol w:w="83"/>
        <w:gridCol w:w="652"/>
        <w:gridCol w:w="36"/>
        <w:gridCol w:w="36"/>
        <w:gridCol w:w="36"/>
        <w:gridCol w:w="36"/>
        <w:gridCol w:w="120"/>
        <w:gridCol w:w="584"/>
        <w:gridCol w:w="36"/>
        <w:gridCol w:w="36"/>
        <w:gridCol w:w="36"/>
        <w:gridCol w:w="36"/>
        <w:gridCol w:w="55"/>
        <w:gridCol w:w="505"/>
        <w:gridCol w:w="36"/>
      </w:tblGrid>
      <w:tr w:rsidR="00000000" w14:paraId="013F6DE2" w14:textId="77777777">
        <w:trPr>
          <w:divId w:val="856848909"/>
        </w:trPr>
        <w:tc>
          <w:tcPr>
            <w:tcW w:w="50" w:type="pct"/>
            <w:vAlign w:val="center"/>
            <w:hideMark/>
          </w:tcPr>
          <w:p w14:paraId="1AA043BC" w14:textId="77777777" w:rsidR="00000000" w:rsidRDefault="00EE5306">
            <w:pPr>
              <w:ind w:firstLine="540"/>
              <w:jc w:val="both"/>
              <w:rPr>
                <w:rFonts w:eastAsia="Times New Roman"/>
              </w:rPr>
            </w:pPr>
          </w:p>
        </w:tc>
        <w:tc>
          <w:tcPr>
            <w:tcW w:w="1945" w:type="pct"/>
            <w:vAlign w:val="center"/>
            <w:hideMark/>
          </w:tcPr>
          <w:p w14:paraId="115335BA" w14:textId="77777777" w:rsidR="00000000" w:rsidRDefault="00EE5306">
            <w:pPr>
              <w:spacing w:after="100"/>
              <w:rPr>
                <w:rFonts w:eastAsia="Times New Roman"/>
                <w:sz w:val="20"/>
                <w:szCs w:val="20"/>
              </w:rPr>
            </w:pPr>
          </w:p>
        </w:tc>
        <w:tc>
          <w:tcPr>
            <w:tcW w:w="5" w:type="pct"/>
            <w:vAlign w:val="center"/>
            <w:hideMark/>
          </w:tcPr>
          <w:p w14:paraId="4040DD6A" w14:textId="77777777" w:rsidR="00000000" w:rsidRDefault="00EE5306">
            <w:pPr>
              <w:spacing w:after="100"/>
              <w:rPr>
                <w:rFonts w:eastAsia="Times New Roman"/>
                <w:sz w:val="20"/>
                <w:szCs w:val="20"/>
              </w:rPr>
            </w:pPr>
          </w:p>
        </w:tc>
        <w:tc>
          <w:tcPr>
            <w:tcW w:w="5" w:type="pct"/>
            <w:vAlign w:val="center"/>
            <w:hideMark/>
          </w:tcPr>
          <w:p w14:paraId="137AF1DE" w14:textId="77777777" w:rsidR="00000000" w:rsidRDefault="00EE5306">
            <w:pPr>
              <w:spacing w:after="100"/>
              <w:rPr>
                <w:rFonts w:eastAsia="Times New Roman"/>
                <w:sz w:val="20"/>
                <w:szCs w:val="20"/>
              </w:rPr>
            </w:pPr>
          </w:p>
        </w:tc>
        <w:tc>
          <w:tcPr>
            <w:tcW w:w="28" w:type="pct"/>
            <w:vAlign w:val="center"/>
            <w:hideMark/>
          </w:tcPr>
          <w:p w14:paraId="6E9D9AA0" w14:textId="77777777" w:rsidR="00000000" w:rsidRDefault="00EE5306">
            <w:pPr>
              <w:spacing w:after="100"/>
              <w:rPr>
                <w:rFonts w:eastAsia="Times New Roman"/>
                <w:sz w:val="20"/>
                <w:szCs w:val="20"/>
              </w:rPr>
            </w:pPr>
          </w:p>
        </w:tc>
        <w:tc>
          <w:tcPr>
            <w:tcW w:w="5" w:type="pct"/>
            <w:vAlign w:val="center"/>
            <w:hideMark/>
          </w:tcPr>
          <w:p w14:paraId="2F41E92F" w14:textId="77777777" w:rsidR="00000000" w:rsidRDefault="00EE5306">
            <w:pPr>
              <w:spacing w:after="100"/>
              <w:rPr>
                <w:rFonts w:eastAsia="Times New Roman"/>
                <w:sz w:val="20"/>
                <w:szCs w:val="20"/>
              </w:rPr>
            </w:pPr>
          </w:p>
        </w:tc>
        <w:tc>
          <w:tcPr>
            <w:tcW w:w="50" w:type="pct"/>
            <w:vAlign w:val="center"/>
            <w:hideMark/>
          </w:tcPr>
          <w:p w14:paraId="0E9B69B3" w14:textId="77777777" w:rsidR="00000000" w:rsidRDefault="00EE5306">
            <w:pPr>
              <w:spacing w:after="100"/>
              <w:rPr>
                <w:rFonts w:eastAsia="Times New Roman"/>
                <w:sz w:val="20"/>
                <w:szCs w:val="20"/>
              </w:rPr>
            </w:pPr>
          </w:p>
        </w:tc>
        <w:tc>
          <w:tcPr>
            <w:tcW w:w="414" w:type="pct"/>
            <w:vAlign w:val="center"/>
            <w:hideMark/>
          </w:tcPr>
          <w:p w14:paraId="7B329F49" w14:textId="77777777" w:rsidR="00000000" w:rsidRDefault="00EE5306">
            <w:pPr>
              <w:spacing w:after="100"/>
              <w:rPr>
                <w:rFonts w:eastAsia="Times New Roman"/>
                <w:sz w:val="20"/>
                <w:szCs w:val="20"/>
              </w:rPr>
            </w:pPr>
          </w:p>
        </w:tc>
        <w:tc>
          <w:tcPr>
            <w:tcW w:w="5" w:type="pct"/>
            <w:vAlign w:val="center"/>
            <w:hideMark/>
          </w:tcPr>
          <w:p w14:paraId="6015BA9D" w14:textId="77777777" w:rsidR="00000000" w:rsidRDefault="00EE5306">
            <w:pPr>
              <w:spacing w:after="100"/>
              <w:rPr>
                <w:rFonts w:eastAsia="Times New Roman"/>
                <w:sz w:val="20"/>
                <w:szCs w:val="20"/>
              </w:rPr>
            </w:pPr>
          </w:p>
        </w:tc>
        <w:tc>
          <w:tcPr>
            <w:tcW w:w="5" w:type="pct"/>
            <w:vAlign w:val="center"/>
            <w:hideMark/>
          </w:tcPr>
          <w:p w14:paraId="3CA5060E" w14:textId="77777777" w:rsidR="00000000" w:rsidRDefault="00EE5306">
            <w:pPr>
              <w:spacing w:after="100"/>
              <w:rPr>
                <w:rFonts w:eastAsia="Times New Roman"/>
                <w:sz w:val="20"/>
                <w:szCs w:val="20"/>
              </w:rPr>
            </w:pPr>
          </w:p>
        </w:tc>
        <w:tc>
          <w:tcPr>
            <w:tcW w:w="28" w:type="pct"/>
            <w:vAlign w:val="center"/>
            <w:hideMark/>
          </w:tcPr>
          <w:p w14:paraId="21E62BF1" w14:textId="77777777" w:rsidR="00000000" w:rsidRDefault="00EE5306">
            <w:pPr>
              <w:spacing w:after="100"/>
              <w:rPr>
                <w:rFonts w:eastAsia="Times New Roman"/>
                <w:sz w:val="20"/>
                <w:szCs w:val="20"/>
              </w:rPr>
            </w:pPr>
          </w:p>
        </w:tc>
        <w:tc>
          <w:tcPr>
            <w:tcW w:w="5" w:type="pct"/>
            <w:vAlign w:val="center"/>
            <w:hideMark/>
          </w:tcPr>
          <w:p w14:paraId="163082C3" w14:textId="77777777" w:rsidR="00000000" w:rsidRDefault="00EE5306">
            <w:pPr>
              <w:spacing w:after="100"/>
              <w:rPr>
                <w:rFonts w:eastAsia="Times New Roman"/>
                <w:sz w:val="20"/>
                <w:szCs w:val="20"/>
              </w:rPr>
            </w:pPr>
          </w:p>
        </w:tc>
        <w:tc>
          <w:tcPr>
            <w:tcW w:w="50" w:type="pct"/>
            <w:vAlign w:val="center"/>
            <w:hideMark/>
          </w:tcPr>
          <w:p w14:paraId="5E152DE2" w14:textId="77777777" w:rsidR="00000000" w:rsidRDefault="00EE5306">
            <w:pPr>
              <w:spacing w:after="100"/>
              <w:rPr>
                <w:rFonts w:eastAsia="Times New Roman"/>
                <w:sz w:val="20"/>
                <w:szCs w:val="20"/>
              </w:rPr>
            </w:pPr>
          </w:p>
        </w:tc>
        <w:tc>
          <w:tcPr>
            <w:tcW w:w="398" w:type="pct"/>
            <w:vAlign w:val="center"/>
            <w:hideMark/>
          </w:tcPr>
          <w:p w14:paraId="6D8E1609" w14:textId="77777777" w:rsidR="00000000" w:rsidRDefault="00EE5306">
            <w:pPr>
              <w:spacing w:after="100"/>
              <w:rPr>
                <w:rFonts w:eastAsia="Times New Roman"/>
                <w:sz w:val="20"/>
                <w:szCs w:val="20"/>
              </w:rPr>
            </w:pPr>
          </w:p>
        </w:tc>
        <w:tc>
          <w:tcPr>
            <w:tcW w:w="5" w:type="pct"/>
            <w:vAlign w:val="center"/>
            <w:hideMark/>
          </w:tcPr>
          <w:p w14:paraId="7EF0366D" w14:textId="77777777" w:rsidR="00000000" w:rsidRDefault="00EE5306">
            <w:pPr>
              <w:spacing w:after="100"/>
              <w:rPr>
                <w:rFonts w:eastAsia="Times New Roman"/>
                <w:sz w:val="20"/>
                <w:szCs w:val="20"/>
              </w:rPr>
            </w:pPr>
          </w:p>
        </w:tc>
        <w:tc>
          <w:tcPr>
            <w:tcW w:w="5" w:type="pct"/>
            <w:vAlign w:val="center"/>
            <w:hideMark/>
          </w:tcPr>
          <w:p w14:paraId="6064E7CF" w14:textId="77777777" w:rsidR="00000000" w:rsidRDefault="00EE5306">
            <w:pPr>
              <w:spacing w:after="100"/>
              <w:rPr>
                <w:rFonts w:eastAsia="Times New Roman"/>
                <w:sz w:val="20"/>
                <w:szCs w:val="20"/>
              </w:rPr>
            </w:pPr>
          </w:p>
        </w:tc>
        <w:tc>
          <w:tcPr>
            <w:tcW w:w="28" w:type="pct"/>
            <w:vAlign w:val="center"/>
            <w:hideMark/>
          </w:tcPr>
          <w:p w14:paraId="1A1DE5EA" w14:textId="77777777" w:rsidR="00000000" w:rsidRDefault="00EE5306">
            <w:pPr>
              <w:spacing w:after="100"/>
              <w:rPr>
                <w:rFonts w:eastAsia="Times New Roman"/>
                <w:sz w:val="20"/>
                <w:szCs w:val="20"/>
              </w:rPr>
            </w:pPr>
          </w:p>
        </w:tc>
        <w:tc>
          <w:tcPr>
            <w:tcW w:w="5" w:type="pct"/>
            <w:vAlign w:val="center"/>
            <w:hideMark/>
          </w:tcPr>
          <w:p w14:paraId="080A0333" w14:textId="77777777" w:rsidR="00000000" w:rsidRDefault="00EE5306">
            <w:pPr>
              <w:spacing w:after="100"/>
              <w:rPr>
                <w:rFonts w:eastAsia="Times New Roman"/>
                <w:sz w:val="20"/>
                <w:szCs w:val="20"/>
              </w:rPr>
            </w:pPr>
          </w:p>
        </w:tc>
        <w:tc>
          <w:tcPr>
            <w:tcW w:w="50" w:type="pct"/>
            <w:vAlign w:val="center"/>
            <w:hideMark/>
          </w:tcPr>
          <w:p w14:paraId="0329700E" w14:textId="77777777" w:rsidR="00000000" w:rsidRDefault="00EE5306">
            <w:pPr>
              <w:spacing w:after="100"/>
              <w:rPr>
                <w:rFonts w:eastAsia="Times New Roman"/>
                <w:sz w:val="20"/>
                <w:szCs w:val="20"/>
              </w:rPr>
            </w:pPr>
          </w:p>
        </w:tc>
        <w:tc>
          <w:tcPr>
            <w:tcW w:w="414" w:type="pct"/>
            <w:vAlign w:val="center"/>
            <w:hideMark/>
          </w:tcPr>
          <w:p w14:paraId="67BC8939" w14:textId="77777777" w:rsidR="00000000" w:rsidRDefault="00EE5306">
            <w:pPr>
              <w:spacing w:after="100"/>
              <w:rPr>
                <w:rFonts w:eastAsia="Times New Roman"/>
                <w:sz w:val="20"/>
                <w:szCs w:val="20"/>
              </w:rPr>
            </w:pPr>
          </w:p>
        </w:tc>
        <w:tc>
          <w:tcPr>
            <w:tcW w:w="5" w:type="pct"/>
            <w:vAlign w:val="center"/>
            <w:hideMark/>
          </w:tcPr>
          <w:p w14:paraId="46E93C21" w14:textId="77777777" w:rsidR="00000000" w:rsidRDefault="00EE5306">
            <w:pPr>
              <w:spacing w:after="100"/>
              <w:rPr>
                <w:rFonts w:eastAsia="Times New Roman"/>
                <w:sz w:val="20"/>
                <w:szCs w:val="20"/>
              </w:rPr>
            </w:pPr>
          </w:p>
        </w:tc>
        <w:tc>
          <w:tcPr>
            <w:tcW w:w="5" w:type="pct"/>
            <w:vAlign w:val="center"/>
            <w:hideMark/>
          </w:tcPr>
          <w:p w14:paraId="7CB4A875" w14:textId="77777777" w:rsidR="00000000" w:rsidRDefault="00EE5306">
            <w:pPr>
              <w:spacing w:after="100"/>
              <w:rPr>
                <w:rFonts w:eastAsia="Times New Roman"/>
                <w:sz w:val="20"/>
                <w:szCs w:val="20"/>
              </w:rPr>
            </w:pPr>
          </w:p>
        </w:tc>
        <w:tc>
          <w:tcPr>
            <w:tcW w:w="28" w:type="pct"/>
            <w:vAlign w:val="center"/>
            <w:hideMark/>
          </w:tcPr>
          <w:p w14:paraId="39AF94FA" w14:textId="77777777" w:rsidR="00000000" w:rsidRDefault="00EE5306">
            <w:pPr>
              <w:spacing w:after="100"/>
              <w:rPr>
                <w:rFonts w:eastAsia="Times New Roman"/>
                <w:sz w:val="20"/>
                <w:szCs w:val="20"/>
              </w:rPr>
            </w:pPr>
          </w:p>
        </w:tc>
        <w:tc>
          <w:tcPr>
            <w:tcW w:w="5" w:type="pct"/>
            <w:vAlign w:val="center"/>
            <w:hideMark/>
          </w:tcPr>
          <w:p w14:paraId="1FF31A0E" w14:textId="77777777" w:rsidR="00000000" w:rsidRDefault="00EE5306">
            <w:pPr>
              <w:spacing w:after="100"/>
              <w:rPr>
                <w:rFonts w:eastAsia="Times New Roman"/>
                <w:sz w:val="20"/>
                <w:szCs w:val="20"/>
              </w:rPr>
            </w:pPr>
          </w:p>
        </w:tc>
        <w:tc>
          <w:tcPr>
            <w:tcW w:w="50" w:type="pct"/>
            <w:vAlign w:val="center"/>
            <w:hideMark/>
          </w:tcPr>
          <w:p w14:paraId="4C3B5FC1" w14:textId="77777777" w:rsidR="00000000" w:rsidRDefault="00EE5306">
            <w:pPr>
              <w:spacing w:after="100"/>
              <w:rPr>
                <w:rFonts w:eastAsia="Times New Roman"/>
                <w:sz w:val="20"/>
                <w:szCs w:val="20"/>
              </w:rPr>
            </w:pPr>
          </w:p>
        </w:tc>
        <w:tc>
          <w:tcPr>
            <w:tcW w:w="398" w:type="pct"/>
            <w:vAlign w:val="center"/>
            <w:hideMark/>
          </w:tcPr>
          <w:p w14:paraId="1CD552B2" w14:textId="77777777" w:rsidR="00000000" w:rsidRDefault="00EE5306">
            <w:pPr>
              <w:spacing w:after="100"/>
              <w:rPr>
                <w:rFonts w:eastAsia="Times New Roman"/>
                <w:sz w:val="20"/>
                <w:szCs w:val="20"/>
              </w:rPr>
            </w:pPr>
          </w:p>
        </w:tc>
        <w:tc>
          <w:tcPr>
            <w:tcW w:w="5" w:type="pct"/>
            <w:vAlign w:val="center"/>
            <w:hideMark/>
          </w:tcPr>
          <w:p w14:paraId="3ED23980" w14:textId="77777777" w:rsidR="00000000" w:rsidRDefault="00EE5306">
            <w:pPr>
              <w:spacing w:after="100"/>
              <w:rPr>
                <w:rFonts w:eastAsia="Times New Roman"/>
                <w:sz w:val="20"/>
                <w:szCs w:val="20"/>
              </w:rPr>
            </w:pPr>
          </w:p>
        </w:tc>
        <w:tc>
          <w:tcPr>
            <w:tcW w:w="5" w:type="pct"/>
            <w:vAlign w:val="center"/>
            <w:hideMark/>
          </w:tcPr>
          <w:p w14:paraId="21F4BE3E" w14:textId="77777777" w:rsidR="00000000" w:rsidRDefault="00EE5306">
            <w:pPr>
              <w:spacing w:after="100"/>
              <w:rPr>
                <w:rFonts w:eastAsia="Times New Roman"/>
                <w:sz w:val="20"/>
                <w:szCs w:val="20"/>
              </w:rPr>
            </w:pPr>
          </w:p>
        </w:tc>
        <w:tc>
          <w:tcPr>
            <w:tcW w:w="28" w:type="pct"/>
            <w:vAlign w:val="center"/>
            <w:hideMark/>
          </w:tcPr>
          <w:p w14:paraId="453302BA" w14:textId="77777777" w:rsidR="00000000" w:rsidRDefault="00EE5306">
            <w:pPr>
              <w:spacing w:after="100"/>
              <w:rPr>
                <w:rFonts w:eastAsia="Times New Roman"/>
                <w:sz w:val="20"/>
                <w:szCs w:val="20"/>
              </w:rPr>
            </w:pPr>
          </w:p>
        </w:tc>
        <w:tc>
          <w:tcPr>
            <w:tcW w:w="5" w:type="pct"/>
            <w:vAlign w:val="center"/>
            <w:hideMark/>
          </w:tcPr>
          <w:p w14:paraId="50FC67DF" w14:textId="77777777" w:rsidR="00000000" w:rsidRDefault="00EE5306">
            <w:pPr>
              <w:spacing w:after="100"/>
              <w:rPr>
                <w:rFonts w:eastAsia="Times New Roman"/>
                <w:sz w:val="20"/>
                <w:szCs w:val="20"/>
              </w:rPr>
            </w:pPr>
          </w:p>
        </w:tc>
        <w:tc>
          <w:tcPr>
            <w:tcW w:w="50" w:type="pct"/>
            <w:vAlign w:val="center"/>
            <w:hideMark/>
          </w:tcPr>
          <w:p w14:paraId="7E29A8BB" w14:textId="77777777" w:rsidR="00000000" w:rsidRDefault="00EE5306">
            <w:pPr>
              <w:spacing w:after="100"/>
              <w:rPr>
                <w:rFonts w:eastAsia="Times New Roman"/>
                <w:sz w:val="20"/>
                <w:szCs w:val="20"/>
              </w:rPr>
            </w:pPr>
          </w:p>
        </w:tc>
        <w:tc>
          <w:tcPr>
            <w:tcW w:w="345" w:type="pct"/>
            <w:vAlign w:val="center"/>
            <w:hideMark/>
          </w:tcPr>
          <w:p w14:paraId="1F3AFC28" w14:textId="77777777" w:rsidR="00000000" w:rsidRDefault="00EE5306">
            <w:pPr>
              <w:spacing w:after="100"/>
              <w:rPr>
                <w:rFonts w:eastAsia="Times New Roman"/>
                <w:sz w:val="20"/>
                <w:szCs w:val="20"/>
              </w:rPr>
            </w:pPr>
          </w:p>
        </w:tc>
        <w:tc>
          <w:tcPr>
            <w:tcW w:w="5" w:type="pct"/>
            <w:vAlign w:val="center"/>
            <w:hideMark/>
          </w:tcPr>
          <w:p w14:paraId="34E84580" w14:textId="77777777" w:rsidR="00000000" w:rsidRDefault="00EE5306">
            <w:pPr>
              <w:spacing w:after="100"/>
              <w:rPr>
                <w:rFonts w:eastAsia="Times New Roman"/>
                <w:sz w:val="20"/>
                <w:szCs w:val="20"/>
              </w:rPr>
            </w:pPr>
          </w:p>
        </w:tc>
        <w:tc>
          <w:tcPr>
            <w:tcW w:w="5" w:type="pct"/>
            <w:vAlign w:val="center"/>
            <w:hideMark/>
          </w:tcPr>
          <w:p w14:paraId="4DBF1777" w14:textId="77777777" w:rsidR="00000000" w:rsidRDefault="00EE5306">
            <w:pPr>
              <w:spacing w:after="100"/>
              <w:rPr>
                <w:rFonts w:eastAsia="Times New Roman"/>
                <w:sz w:val="20"/>
                <w:szCs w:val="20"/>
              </w:rPr>
            </w:pPr>
          </w:p>
        </w:tc>
        <w:tc>
          <w:tcPr>
            <w:tcW w:w="28" w:type="pct"/>
            <w:vAlign w:val="center"/>
            <w:hideMark/>
          </w:tcPr>
          <w:p w14:paraId="36F41383" w14:textId="77777777" w:rsidR="00000000" w:rsidRDefault="00EE5306">
            <w:pPr>
              <w:spacing w:after="100"/>
              <w:rPr>
                <w:rFonts w:eastAsia="Times New Roman"/>
                <w:sz w:val="20"/>
                <w:szCs w:val="20"/>
              </w:rPr>
            </w:pPr>
          </w:p>
        </w:tc>
        <w:tc>
          <w:tcPr>
            <w:tcW w:w="5" w:type="pct"/>
            <w:vAlign w:val="center"/>
            <w:hideMark/>
          </w:tcPr>
          <w:p w14:paraId="4C9D55EA" w14:textId="77777777" w:rsidR="00000000" w:rsidRDefault="00EE5306">
            <w:pPr>
              <w:spacing w:after="100"/>
              <w:rPr>
                <w:rFonts w:eastAsia="Times New Roman"/>
                <w:sz w:val="20"/>
                <w:szCs w:val="20"/>
              </w:rPr>
            </w:pPr>
          </w:p>
        </w:tc>
        <w:tc>
          <w:tcPr>
            <w:tcW w:w="50" w:type="pct"/>
            <w:vAlign w:val="center"/>
            <w:hideMark/>
          </w:tcPr>
          <w:p w14:paraId="4AF5DD3B" w14:textId="77777777" w:rsidR="00000000" w:rsidRDefault="00EE5306">
            <w:pPr>
              <w:spacing w:after="100"/>
              <w:rPr>
                <w:rFonts w:eastAsia="Times New Roman"/>
                <w:sz w:val="20"/>
                <w:szCs w:val="20"/>
              </w:rPr>
            </w:pPr>
          </w:p>
        </w:tc>
        <w:tc>
          <w:tcPr>
            <w:tcW w:w="468" w:type="pct"/>
            <w:vAlign w:val="center"/>
            <w:hideMark/>
          </w:tcPr>
          <w:p w14:paraId="5534F780" w14:textId="77777777" w:rsidR="00000000" w:rsidRDefault="00EE5306">
            <w:pPr>
              <w:spacing w:after="100"/>
              <w:rPr>
                <w:rFonts w:eastAsia="Times New Roman"/>
                <w:sz w:val="20"/>
                <w:szCs w:val="20"/>
              </w:rPr>
            </w:pPr>
          </w:p>
        </w:tc>
        <w:tc>
          <w:tcPr>
            <w:tcW w:w="5" w:type="pct"/>
            <w:vAlign w:val="center"/>
            <w:hideMark/>
          </w:tcPr>
          <w:p w14:paraId="6C07C5E2" w14:textId="77777777" w:rsidR="00000000" w:rsidRDefault="00EE5306">
            <w:pPr>
              <w:spacing w:after="100"/>
              <w:rPr>
                <w:rFonts w:eastAsia="Times New Roman"/>
                <w:sz w:val="20"/>
                <w:szCs w:val="20"/>
              </w:rPr>
            </w:pPr>
          </w:p>
        </w:tc>
      </w:tr>
      <w:tr w:rsidR="00000000" w14:paraId="1F96C5EA" w14:textId="77777777">
        <w:trPr>
          <w:divId w:val="856848909"/>
          <w:trHeight w:val="240"/>
        </w:trPr>
        <w:tc>
          <w:tcPr>
            <w:tcW w:w="0" w:type="auto"/>
            <w:gridSpan w:val="3"/>
            <w:vMerge w:val="restart"/>
            <w:tcMar>
              <w:top w:w="30" w:type="dxa"/>
              <w:left w:w="20" w:type="dxa"/>
              <w:bottom w:w="30" w:type="dxa"/>
              <w:right w:w="20" w:type="dxa"/>
            </w:tcMar>
            <w:vAlign w:val="bottom"/>
            <w:hideMark/>
          </w:tcPr>
          <w:p w14:paraId="79673776"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7C7AB33" w14:textId="77777777" w:rsidR="00000000" w:rsidRDefault="00EE5306">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11FF6FD0"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0F713F74"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69C042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A584328"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17151A18" w14:textId="77777777" w:rsidR="00000000" w:rsidRDefault="00EE5306">
            <w:pPr>
              <w:spacing w:after="100"/>
              <w:jc w:val="center"/>
              <w:rPr>
                <w:rFonts w:eastAsia="Times New Roman"/>
              </w:rPr>
            </w:pPr>
            <w:r>
              <w:rPr>
                <w:rFonts w:eastAsia="Times New Roman"/>
                <w:color w:val="000000"/>
                <w:sz w:val="16"/>
                <w:szCs w:val="16"/>
              </w:rPr>
              <w:t> </w:t>
            </w:r>
          </w:p>
        </w:tc>
      </w:tr>
      <w:tr w:rsidR="00000000" w14:paraId="5959930D" w14:textId="77777777">
        <w:trPr>
          <w:divId w:val="856848909"/>
          <w:trHeight w:val="240"/>
        </w:trPr>
        <w:tc>
          <w:tcPr>
            <w:tcW w:w="0" w:type="auto"/>
            <w:gridSpan w:val="3"/>
            <w:vMerge/>
            <w:vAlign w:val="center"/>
            <w:hideMark/>
          </w:tcPr>
          <w:p w14:paraId="76336883"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2D3D66DF" w14:textId="77777777" w:rsidR="00000000" w:rsidRDefault="00EE530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7A04777" w14:textId="77777777" w:rsidR="00000000" w:rsidRDefault="00EE5306">
            <w:pPr>
              <w:spacing w:after="100"/>
              <w:jc w:val="center"/>
              <w:rPr>
                <w:rFonts w:eastAsia="Times New Roman"/>
              </w:rPr>
            </w:pPr>
            <w:r>
              <w:rPr>
                <w:rFonts w:eastAsia="Times New Roman"/>
                <w:b/>
                <w:bCs/>
                <w:color w:val="000000"/>
                <w:sz w:val="16"/>
                <w:szCs w:val="16"/>
              </w:rPr>
              <w:t>March 27, 2021</w:t>
            </w:r>
          </w:p>
        </w:tc>
        <w:tc>
          <w:tcPr>
            <w:tcW w:w="0" w:type="auto"/>
            <w:gridSpan w:val="3"/>
            <w:tcBorders>
              <w:top w:val="single" w:sz="8" w:space="0" w:color="000000"/>
            </w:tcBorders>
            <w:tcMar>
              <w:top w:w="0" w:type="dxa"/>
              <w:left w:w="20" w:type="dxa"/>
              <w:bottom w:w="0" w:type="dxa"/>
              <w:right w:w="20" w:type="dxa"/>
            </w:tcMar>
            <w:vAlign w:val="center"/>
            <w:hideMark/>
          </w:tcPr>
          <w:p w14:paraId="4AE25A86" w14:textId="77777777" w:rsidR="00000000" w:rsidRDefault="00EE530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8B7ACA8" w14:textId="77777777" w:rsidR="00000000" w:rsidRDefault="00EE5306">
            <w:pPr>
              <w:spacing w:after="100"/>
              <w:jc w:val="center"/>
              <w:rPr>
                <w:rFonts w:eastAsia="Times New Roman"/>
              </w:rPr>
            </w:pPr>
            <w:r>
              <w:rPr>
                <w:rFonts w:eastAsia="Times New Roman"/>
                <w:b/>
                <w:bCs/>
                <w:color w:val="000000"/>
                <w:sz w:val="16"/>
                <w:szCs w:val="16"/>
              </w:rPr>
              <w:t>March 28, 2020</w:t>
            </w:r>
          </w:p>
        </w:tc>
        <w:tc>
          <w:tcPr>
            <w:tcW w:w="0" w:type="auto"/>
            <w:gridSpan w:val="3"/>
            <w:tcMar>
              <w:top w:w="0" w:type="dxa"/>
              <w:left w:w="20" w:type="dxa"/>
              <w:bottom w:w="0" w:type="dxa"/>
              <w:right w:w="20" w:type="dxa"/>
            </w:tcMar>
            <w:vAlign w:val="center"/>
            <w:hideMark/>
          </w:tcPr>
          <w:p w14:paraId="69678B09"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4DC896"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715070B"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7CBC280E" w14:textId="77777777" w:rsidR="00000000" w:rsidRDefault="00EE5306">
            <w:pPr>
              <w:spacing w:after="100"/>
              <w:jc w:val="center"/>
              <w:rPr>
                <w:rFonts w:eastAsia="Times New Roman"/>
              </w:rPr>
            </w:pPr>
            <w:r>
              <w:rPr>
                <w:rFonts w:eastAsia="Times New Roman"/>
                <w:color w:val="000000"/>
                <w:sz w:val="16"/>
                <w:szCs w:val="16"/>
              </w:rPr>
              <w:t> </w:t>
            </w:r>
          </w:p>
        </w:tc>
      </w:tr>
      <w:tr w:rsidR="00000000" w14:paraId="229E68FF" w14:textId="77777777">
        <w:trPr>
          <w:divId w:val="856848909"/>
          <w:trHeight w:val="540"/>
        </w:trPr>
        <w:tc>
          <w:tcPr>
            <w:tcW w:w="0" w:type="auto"/>
            <w:gridSpan w:val="3"/>
            <w:vMerge/>
            <w:vAlign w:val="center"/>
            <w:hideMark/>
          </w:tcPr>
          <w:p w14:paraId="5C6B3E33"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193E1A9F"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901568"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r>
              <w:rPr>
                <w:rFonts w:eastAsia="Times New Roman"/>
                <w:b/>
                <w:bCs/>
                <w:color w:val="000000"/>
                <w:sz w:val="16"/>
                <w:szCs w:val="16"/>
              </w:rPr>
              <w:br/>
              <w:t>(Loss)</w:t>
            </w:r>
          </w:p>
        </w:tc>
        <w:tc>
          <w:tcPr>
            <w:tcW w:w="0" w:type="auto"/>
            <w:gridSpan w:val="3"/>
            <w:tcBorders>
              <w:top w:val="single" w:sz="8" w:space="0" w:color="000000"/>
            </w:tcBorders>
            <w:tcMar>
              <w:top w:w="0" w:type="dxa"/>
              <w:left w:w="20" w:type="dxa"/>
              <w:bottom w:w="0" w:type="dxa"/>
              <w:right w:w="20" w:type="dxa"/>
            </w:tcMar>
            <w:vAlign w:val="center"/>
            <w:hideMark/>
          </w:tcPr>
          <w:p w14:paraId="78923A34"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CFCDCF"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14:paraId="6B174DD8"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125AE4"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r>
              <w:rPr>
                <w:rFonts w:eastAsia="Times New Roman"/>
                <w:b/>
                <w:bCs/>
                <w:color w:val="000000"/>
                <w:sz w:val="16"/>
                <w:szCs w:val="16"/>
              </w:rPr>
              <w:br/>
              <w:t>(Loss)</w:t>
            </w:r>
          </w:p>
        </w:tc>
        <w:tc>
          <w:tcPr>
            <w:tcW w:w="0" w:type="auto"/>
            <w:gridSpan w:val="3"/>
            <w:tcBorders>
              <w:top w:val="single" w:sz="8" w:space="0" w:color="000000"/>
            </w:tcBorders>
            <w:tcMar>
              <w:top w:w="0" w:type="dxa"/>
              <w:left w:w="20" w:type="dxa"/>
              <w:bottom w:w="0" w:type="dxa"/>
              <w:right w:w="20" w:type="dxa"/>
            </w:tcMar>
            <w:vAlign w:val="center"/>
            <w:hideMark/>
          </w:tcPr>
          <w:p w14:paraId="7335CDBE"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22E808"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14:paraId="402C7E68"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FA2D3B" w14:textId="77777777" w:rsidR="00000000" w:rsidRDefault="00EE5306">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14:paraId="69A5F4EA"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B1B5F6" w14:textId="77777777" w:rsidR="00000000" w:rsidRDefault="00EE5306">
            <w:pPr>
              <w:spacing w:after="100"/>
              <w:jc w:val="center"/>
              <w:rPr>
                <w:rFonts w:eastAsia="Times New Roman"/>
              </w:rPr>
            </w:pPr>
            <w:r>
              <w:rPr>
                <w:rFonts w:eastAsia="Times New Roman"/>
                <w:b/>
                <w:bCs/>
                <w:color w:val="000000"/>
                <w:sz w:val="16"/>
                <w:szCs w:val="16"/>
              </w:rPr>
              <w:t>Margin</w:t>
            </w:r>
            <w:r>
              <w:rPr>
                <w:rFonts w:eastAsia="Times New Roman"/>
                <w:b/>
                <w:bCs/>
                <w:color w:val="000000"/>
                <w:sz w:val="16"/>
                <w:szCs w:val="16"/>
              </w:rPr>
              <w:br/>
              <w:t>Change</w:t>
            </w:r>
          </w:p>
        </w:tc>
      </w:tr>
      <w:tr w:rsidR="00000000" w14:paraId="6E8C0C25" w14:textId="77777777">
        <w:trPr>
          <w:divId w:val="856848909"/>
          <w:trHeight w:val="240"/>
        </w:trPr>
        <w:tc>
          <w:tcPr>
            <w:tcW w:w="0" w:type="auto"/>
            <w:gridSpan w:val="3"/>
            <w:vMerge/>
            <w:vAlign w:val="center"/>
            <w:hideMark/>
          </w:tcPr>
          <w:p w14:paraId="322ED52E"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49B517AF"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5A6379"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7DA6FD0F"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471C11" w14:textId="77777777" w:rsidR="00000000" w:rsidRDefault="00EE5306">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50C7624"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1D253C"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3B2A46B0"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E6AA3F" w14:textId="77777777" w:rsidR="00000000" w:rsidRDefault="00EE5306">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F1E2AB3"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58D983"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729D512D"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401C58" w14:textId="77777777" w:rsidR="00000000" w:rsidRDefault="00EE5306">
            <w:pPr>
              <w:spacing w:after="100"/>
              <w:jc w:val="center"/>
              <w:rPr>
                <w:rFonts w:eastAsia="Times New Roman"/>
              </w:rPr>
            </w:pPr>
            <w:r>
              <w:rPr>
                <w:rFonts w:eastAsia="Times New Roman"/>
                <w:color w:val="000000"/>
                <w:sz w:val="16"/>
                <w:szCs w:val="16"/>
              </w:rPr>
              <w:t> </w:t>
            </w:r>
          </w:p>
        </w:tc>
      </w:tr>
      <w:tr w:rsidR="00000000" w14:paraId="0CD892DC" w14:textId="77777777">
        <w:trPr>
          <w:divId w:val="856848909"/>
        </w:trPr>
        <w:tc>
          <w:tcPr>
            <w:tcW w:w="0" w:type="auto"/>
            <w:gridSpan w:val="3"/>
            <w:shd w:val="clear" w:color="auto" w:fill="CCEEFF"/>
            <w:tcMar>
              <w:top w:w="30" w:type="dxa"/>
              <w:left w:w="20" w:type="dxa"/>
              <w:bottom w:w="30" w:type="dxa"/>
              <w:right w:w="20" w:type="dxa"/>
            </w:tcMar>
            <w:vAlign w:val="bottom"/>
            <w:hideMark/>
          </w:tcPr>
          <w:p w14:paraId="0DBADFC8" w14:textId="77777777" w:rsidR="00000000" w:rsidRDefault="00EE5306">
            <w:pPr>
              <w:spacing w:after="100"/>
              <w:rPr>
                <w:rFonts w:eastAsia="Times New Roman"/>
              </w:rPr>
            </w:pPr>
            <w:r>
              <w:rPr>
                <w:rFonts w:eastAsia="Times New Roman"/>
                <w:b/>
                <w:bCs/>
                <w:color w:val="000000"/>
                <w:sz w:val="20"/>
                <w:szCs w:val="20"/>
              </w:rPr>
              <w:t>Segment:</w:t>
            </w:r>
          </w:p>
        </w:tc>
        <w:tc>
          <w:tcPr>
            <w:tcW w:w="0" w:type="auto"/>
            <w:gridSpan w:val="3"/>
            <w:shd w:val="clear" w:color="auto" w:fill="CCEEFF"/>
            <w:tcMar>
              <w:top w:w="0" w:type="dxa"/>
              <w:left w:w="20" w:type="dxa"/>
              <w:bottom w:w="0" w:type="dxa"/>
              <w:right w:w="20" w:type="dxa"/>
            </w:tcMar>
            <w:vAlign w:val="center"/>
            <w:hideMark/>
          </w:tcPr>
          <w:p w14:paraId="5527A457"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88FA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0B985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DF1A2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FAB23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92D6D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48FC8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0C9BA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BB98D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E2C3F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8501D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A3B160" w14:textId="77777777" w:rsidR="00000000" w:rsidRDefault="00EE5306">
            <w:pPr>
              <w:spacing w:after="100"/>
              <w:rPr>
                <w:rFonts w:eastAsia="Times New Roman"/>
                <w:sz w:val="20"/>
                <w:szCs w:val="20"/>
              </w:rPr>
            </w:pPr>
          </w:p>
        </w:tc>
      </w:tr>
      <w:tr w:rsidR="00000000" w14:paraId="144F2981" w14:textId="77777777">
        <w:trPr>
          <w:divId w:val="856848909"/>
        </w:trPr>
        <w:tc>
          <w:tcPr>
            <w:tcW w:w="0" w:type="auto"/>
            <w:gridSpan w:val="3"/>
            <w:shd w:val="clear" w:color="auto" w:fill="FFFFFF"/>
            <w:tcMar>
              <w:top w:w="30" w:type="dxa"/>
              <w:left w:w="155" w:type="dxa"/>
              <w:bottom w:w="30" w:type="dxa"/>
              <w:right w:w="20" w:type="dxa"/>
            </w:tcMar>
            <w:vAlign w:val="bottom"/>
            <w:hideMark/>
          </w:tcPr>
          <w:p w14:paraId="6B86B372"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14:paraId="299F1F17"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87886C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D85153" w14:textId="77777777" w:rsidR="00000000" w:rsidRDefault="00EE5306">
            <w:pPr>
              <w:spacing w:after="100"/>
              <w:jc w:val="right"/>
              <w:rPr>
                <w:rFonts w:eastAsia="Times New Roman"/>
              </w:rPr>
            </w:pPr>
            <w:r>
              <w:rPr>
                <w:rFonts w:eastAsia="Times New Roman"/>
                <w:color w:val="000000"/>
                <w:sz w:val="20"/>
                <w:szCs w:val="20"/>
              </w:rPr>
              <w:t>334.0 </w:t>
            </w:r>
          </w:p>
        </w:tc>
        <w:tc>
          <w:tcPr>
            <w:tcW w:w="0" w:type="auto"/>
            <w:shd w:val="clear" w:color="auto" w:fill="FFFFFF"/>
            <w:tcMar>
              <w:top w:w="30" w:type="dxa"/>
              <w:left w:w="0" w:type="dxa"/>
              <w:bottom w:w="30" w:type="dxa"/>
              <w:right w:w="20" w:type="dxa"/>
            </w:tcMar>
            <w:vAlign w:val="bottom"/>
            <w:hideMark/>
          </w:tcPr>
          <w:p w14:paraId="5FB4916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A00DE"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5401B31" w14:textId="77777777" w:rsidR="00000000" w:rsidRDefault="00EE5306">
            <w:pPr>
              <w:spacing w:after="100"/>
              <w:jc w:val="center"/>
              <w:rPr>
                <w:rFonts w:eastAsia="Times New Roman"/>
              </w:rPr>
            </w:pPr>
            <w:r>
              <w:rPr>
                <w:rFonts w:eastAsia="Times New Roman"/>
                <w:color w:val="000000"/>
                <w:sz w:val="20"/>
                <w:szCs w:val="20"/>
              </w:rPr>
              <w:t>16.8%</w:t>
            </w:r>
          </w:p>
        </w:tc>
        <w:tc>
          <w:tcPr>
            <w:tcW w:w="0" w:type="auto"/>
            <w:gridSpan w:val="3"/>
            <w:shd w:val="clear" w:color="auto" w:fill="FFFFFF"/>
            <w:tcMar>
              <w:top w:w="0" w:type="dxa"/>
              <w:left w:w="20" w:type="dxa"/>
              <w:bottom w:w="0" w:type="dxa"/>
              <w:right w:w="20" w:type="dxa"/>
            </w:tcMar>
            <w:vAlign w:val="center"/>
            <w:hideMark/>
          </w:tcPr>
          <w:p w14:paraId="275FF8C6" w14:textId="77777777" w:rsidR="00000000" w:rsidRDefault="00EE5306">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27D792D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28B31F" w14:textId="77777777" w:rsidR="00000000" w:rsidRDefault="00EE5306">
            <w:pPr>
              <w:spacing w:after="100"/>
              <w:jc w:val="right"/>
              <w:rPr>
                <w:rFonts w:eastAsia="Times New Roman"/>
              </w:rPr>
            </w:pPr>
            <w:r>
              <w:rPr>
                <w:rFonts w:eastAsia="Times New Roman"/>
                <w:color w:val="000000"/>
                <w:sz w:val="20"/>
                <w:szCs w:val="20"/>
              </w:rPr>
              <w:t>456.0 </w:t>
            </w:r>
          </w:p>
        </w:tc>
        <w:tc>
          <w:tcPr>
            <w:tcW w:w="0" w:type="auto"/>
            <w:shd w:val="clear" w:color="auto" w:fill="FFFFFF"/>
            <w:tcMar>
              <w:top w:w="30" w:type="dxa"/>
              <w:left w:w="0" w:type="dxa"/>
              <w:bottom w:w="30" w:type="dxa"/>
              <w:right w:w="20" w:type="dxa"/>
            </w:tcMar>
            <w:vAlign w:val="bottom"/>
            <w:hideMark/>
          </w:tcPr>
          <w:p w14:paraId="786C798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E7AD7"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33B8BCF" w14:textId="77777777" w:rsidR="00000000" w:rsidRDefault="00EE5306">
            <w:pPr>
              <w:spacing w:after="100"/>
              <w:jc w:val="center"/>
              <w:rPr>
                <w:rFonts w:eastAsia="Times New Roman"/>
              </w:rPr>
            </w:pPr>
            <w:r>
              <w:rPr>
                <w:rFonts w:eastAsia="Times New Roman"/>
                <w:color w:val="000000"/>
                <w:sz w:val="20"/>
                <w:szCs w:val="20"/>
              </w:rPr>
              <w:t>14.5%</w:t>
            </w:r>
          </w:p>
        </w:tc>
        <w:tc>
          <w:tcPr>
            <w:tcW w:w="0" w:type="auto"/>
            <w:gridSpan w:val="3"/>
            <w:shd w:val="clear" w:color="auto" w:fill="FFFFFF"/>
            <w:tcMar>
              <w:top w:w="0" w:type="dxa"/>
              <w:left w:w="20" w:type="dxa"/>
              <w:bottom w:w="0" w:type="dxa"/>
              <w:right w:w="20" w:type="dxa"/>
            </w:tcMar>
            <w:vAlign w:val="center"/>
            <w:hideMark/>
          </w:tcPr>
          <w:p w14:paraId="0E6F47DD" w14:textId="77777777" w:rsidR="00000000" w:rsidRDefault="00EE5306">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5E249D9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BE5517" w14:textId="77777777" w:rsidR="00000000" w:rsidRDefault="00EE5306">
            <w:pPr>
              <w:spacing w:after="100"/>
              <w:jc w:val="right"/>
              <w:rPr>
                <w:rFonts w:eastAsia="Times New Roman"/>
              </w:rPr>
            </w:pPr>
            <w:r>
              <w:rPr>
                <w:rFonts w:eastAsia="Times New Roman"/>
                <w:color w:val="000000"/>
                <w:sz w:val="20"/>
                <w:szCs w:val="20"/>
              </w:rPr>
              <w:t>(122.0)</w:t>
            </w:r>
          </w:p>
        </w:tc>
        <w:tc>
          <w:tcPr>
            <w:tcW w:w="0" w:type="auto"/>
            <w:shd w:val="clear" w:color="auto" w:fill="FFFFFF"/>
            <w:tcMar>
              <w:top w:w="30" w:type="dxa"/>
              <w:left w:w="0" w:type="dxa"/>
              <w:bottom w:w="30" w:type="dxa"/>
              <w:right w:w="20" w:type="dxa"/>
            </w:tcMar>
            <w:vAlign w:val="bottom"/>
            <w:hideMark/>
          </w:tcPr>
          <w:p w14:paraId="49D325C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5D15A4"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213FFF5" w14:textId="77777777" w:rsidR="00000000" w:rsidRDefault="00EE5306">
            <w:pPr>
              <w:spacing w:after="100"/>
              <w:jc w:val="center"/>
              <w:rPr>
                <w:rFonts w:eastAsia="Times New Roman"/>
              </w:rPr>
            </w:pPr>
            <w:r>
              <w:rPr>
                <w:rFonts w:eastAsia="Times New Roman"/>
                <w:color w:val="000000"/>
                <w:sz w:val="20"/>
                <w:szCs w:val="20"/>
              </w:rPr>
              <w:t>230 bps</w:t>
            </w:r>
          </w:p>
        </w:tc>
      </w:tr>
      <w:tr w:rsidR="00000000" w14:paraId="6FA6047F" w14:textId="77777777">
        <w:trPr>
          <w:divId w:val="856848909"/>
        </w:trPr>
        <w:tc>
          <w:tcPr>
            <w:tcW w:w="0" w:type="auto"/>
            <w:gridSpan w:val="3"/>
            <w:shd w:val="clear" w:color="auto" w:fill="CCEEFF"/>
            <w:tcMar>
              <w:top w:w="30" w:type="dxa"/>
              <w:left w:w="155" w:type="dxa"/>
              <w:bottom w:w="30" w:type="dxa"/>
              <w:right w:w="20" w:type="dxa"/>
            </w:tcMar>
            <w:vAlign w:val="bottom"/>
            <w:hideMark/>
          </w:tcPr>
          <w:p w14:paraId="3BF808FD"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14:paraId="357DA48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1EC2D7" w14:textId="77777777" w:rsidR="00000000" w:rsidRDefault="00EE5306">
            <w:pPr>
              <w:spacing w:after="100"/>
              <w:jc w:val="right"/>
              <w:rPr>
                <w:rFonts w:eastAsia="Times New Roman"/>
              </w:rPr>
            </w:pPr>
            <w:r>
              <w:rPr>
                <w:rFonts w:eastAsia="Times New Roman"/>
                <w:color w:val="000000"/>
                <w:sz w:val="20"/>
                <w:szCs w:val="20"/>
              </w:rPr>
              <w:t>189.3 </w:t>
            </w:r>
          </w:p>
        </w:tc>
        <w:tc>
          <w:tcPr>
            <w:tcW w:w="0" w:type="auto"/>
            <w:shd w:val="clear" w:color="auto" w:fill="CCEEFF"/>
            <w:tcMar>
              <w:top w:w="30" w:type="dxa"/>
              <w:left w:w="0" w:type="dxa"/>
              <w:bottom w:w="30" w:type="dxa"/>
              <w:right w:w="20" w:type="dxa"/>
            </w:tcMar>
            <w:vAlign w:val="bottom"/>
            <w:hideMark/>
          </w:tcPr>
          <w:p w14:paraId="2725711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182E2"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7B70306" w14:textId="77777777" w:rsidR="00000000" w:rsidRDefault="00EE5306">
            <w:pPr>
              <w:spacing w:after="100"/>
              <w:jc w:val="center"/>
              <w:rPr>
                <w:rFonts w:eastAsia="Times New Roman"/>
              </w:rPr>
            </w:pPr>
            <w:r>
              <w:rPr>
                <w:rFonts w:eastAsia="Times New Roman"/>
                <w:color w:val="000000"/>
                <w:sz w:val="20"/>
                <w:szCs w:val="20"/>
              </w:rPr>
              <w:t>16.2%</w:t>
            </w:r>
          </w:p>
        </w:tc>
        <w:tc>
          <w:tcPr>
            <w:tcW w:w="0" w:type="auto"/>
            <w:gridSpan w:val="3"/>
            <w:shd w:val="clear" w:color="auto" w:fill="CCEEFF"/>
            <w:tcMar>
              <w:top w:w="0" w:type="dxa"/>
              <w:left w:w="20" w:type="dxa"/>
              <w:bottom w:w="0" w:type="dxa"/>
              <w:right w:w="20" w:type="dxa"/>
            </w:tcMar>
            <w:vAlign w:val="center"/>
            <w:hideMark/>
          </w:tcPr>
          <w:p w14:paraId="02FBDEBE"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9CBF2C" w14:textId="77777777" w:rsidR="00000000" w:rsidRDefault="00EE5306">
            <w:pPr>
              <w:spacing w:after="100"/>
              <w:jc w:val="right"/>
              <w:rPr>
                <w:rFonts w:eastAsia="Times New Roman"/>
              </w:rPr>
            </w:pPr>
            <w:r>
              <w:rPr>
                <w:rFonts w:eastAsia="Times New Roman"/>
                <w:color w:val="000000"/>
                <w:sz w:val="20"/>
                <w:szCs w:val="20"/>
              </w:rPr>
              <w:t>336.3 </w:t>
            </w:r>
          </w:p>
        </w:tc>
        <w:tc>
          <w:tcPr>
            <w:tcW w:w="0" w:type="auto"/>
            <w:shd w:val="clear" w:color="auto" w:fill="CCEEFF"/>
            <w:tcMar>
              <w:top w:w="30" w:type="dxa"/>
              <w:left w:w="0" w:type="dxa"/>
              <w:bottom w:w="30" w:type="dxa"/>
              <w:right w:w="20" w:type="dxa"/>
            </w:tcMar>
            <w:vAlign w:val="bottom"/>
            <w:hideMark/>
          </w:tcPr>
          <w:p w14:paraId="7F5EAB8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7B295"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CBAFC3B" w14:textId="77777777" w:rsidR="00000000" w:rsidRDefault="00EE5306">
            <w:pPr>
              <w:spacing w:after="100"/>
              <w:jc w:val="center"/>
              <w:rPr>
                <w:rFonts w:eastAsia="Times New Roman"/>
              </w:rPr>
            </w:pPr>
            <w:r>
              <w:rPr>
                <w:rFonts w:eastAsia="Times New Roman"/>
                <w:color w:val="000000"/>
                <w:sz w:val="20"/>
                <w:szCs w:val="20"/>
              </w:rPr>
              <w:t>20.6%</w:t>
            </w:r>
          </w:p>
        </w:tc>
        <w:tc>
          <w:tcPr>
            <w:tcW w:w="0" w:type="auto"/>
            <w:gridSpan w:val="3"/>
            <w:shd w:val="clear" w:color="auto" w:fill="CCEEFF"/>
            <w:tcMar>
              <w:top w:w="0" w:type="dxa"/>
              <w:left w:w="20" w:type="dxa"/>
              <w:bottom w:w="0" w:type="dxa"/>
              <w:right w:w="20" w:type="dxa"/>
            </w:tcMar>
            <w:vAlign w:val="center"/>
            <w:hideMark/>
          </w:tcPr>
          <w:p w14:paraId="5C6B583F"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25499F" w14:textId="77777777" w:rsidR="00000000" w:rsidRDefault="00EE5306">
            <w:pPr>
              <w:spacing w:after="100"/>
              <w:jc w:val="right"/>
              <w:rPr>
                <w:rFonts w:eastAsia="Times New Roman"/>
              </w:rPr>
            </w:pPr>
            <w:r>
              <w:rPr>
                <w:rFonts w:eastAsia="Times New Roman"/>
                <w:color w:val="000000"/>
                <w:sz w:val="20"/>
                <w:szCs w:val="20"/>
              </w:rPr>
              <w:t>(147.0)</w:t>
            </w:r>
          </w:p>
        </w:tc>
        <w:tc>
          <w:tcPr>
            <w:tcW w:w="0" w:type="auto"/>
            <w:shd w:val="clear" w:color="auto" w:fill="CCEEFF"/>
            <w:tcMar>
              <w:top w:w="30" w:type="dxa"/>
              <w:left w:w="0" w:type="dxa"/>
              <w:bottom w:w="30" w:type="dxa"/>
              <w:right w:w="20" w:type="dxa"/>
            </w:tcMar>
            <w:vAlign w:val="bottom"/>
            <w:hideMark/>
          </w:tcPr>
          <w:p w14:paraId="3A861F5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D50DB"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AC3ABE3" w14:textId="77777777" w:rsidR="00000000" w:rsidRDefault="00EE5306">
            <w:pPr>
              <w:spacing w:after="100"/>
              <w:jc w:val="center"/>
              <w:rPr>
                <w:rFonts w:eastAsia="Times New Roman"/>
              </w:rPr>
            </w:pPr>
            <w:r>
              <w:rPr>
                <w:rFonts w:eastAsia="Times New Roman"/>
                <w:color w:val="000000"/>
                <w:sz w:val="20"/>
                <w:szCs w:val="20"/>
              </w:rPr>
              <w:t>(440 bps)</w:t>
            </w:r>
          </w:p>
        </w:tc>
      </w:tr>
      <w:tr w:rsidR="00000000" w14:paraId="0736B70E" w14:textId="77777777">
        <w:trPr>
          <w:divId w:val="856848909"/>
        </w:trPr>
        <w:tc>
          <w:tcPr>
            <w:tcW w:w="0" w:type="auto"/>
            <w:gridSpan w:val="3"/>
            <w:shd w:val="clear" w:color="auto" w:fill="FFFFFF"/>
            <w:tcMar>
              <w:top w:w="30" w:type="dxa"/>
              <w:left w:w="155" w:type="dxa"/>
              <w:bottom w:w="30" w:type="dxa"/>
              <w:right w:w="20" w:type="dxa"/>
            </w:tcMar>
            <w:vAlign w:val="bottom"/>
            <w:hideMark/>
          </w:tcPr>
          <w:p w14:paraId="4F075E98"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14:paraId="68C4BAC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3DF154" w14:textId="77777777" w:rsidR="00000000" w:rsidRDefault="00EE5306">
            <w:pPr>
              <w:spacing w:after="100"/>
              <w:jc w:val="right"/>
              <w:rPr>
                <w:rFonts w:eastAsia="Times New Roman"/>
              </w:rPr>
            </w:pPr>
            <w:r>
              <w:rPr>
                <w:rFonts w:eastAsia="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14:paraId="0960149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0275A4"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767E26D" w14:textId="77777777" w:rsidR="00000000" w:rsidRDefault="00EE5306">
            <w:pPr>
              <w:spacing w:after="100"/>
              <w:jc w:val="center"/>
              <w:rPr>
                <w:rFonts w:eastAsia="Times New Roman"/>
              </w:rPr>
            </w:pPr>
            <w:r>
              <w:rPr>
                <w:rFonts w:eastAsia="Times New Roman"/>
                <w:color w:val="000000"/>
                <w:sz w:val="20"/>
                <w:szCs w:val="20"/>
              </w:rPr>
              <w:t>14.4%</w:t>
            </w:r>
          </w:p>
        </w:tc>
        <w:tc>
          <w:tcPr>
            <w:tcW w:w="0" w:type="auto"/>
            <w:gridSpan w:val="3"/>
            <w:shd w:val="clear" w:color="auto" w:fill="FFFFFF"/>
            <w:tcMar>
              <w:top w:w="0" w:type="dxa"/>
              <w:left w:w="20" w:type="dxa"/>
              <w:bottom w:w="0" w:type="dxa"/>
              <w:right w:w="20" w:type="dxa"/>
            </w:tcMar>
            <w:vAlign w:val="center"/>
            <w:hideMark/>
          </w:tcPr>
          <w:p w14:paraId="1766653D" w14:textId="77777777" w:rsidR="00000000" w:rsidRDefault="00EE530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468F61" w14:textId="77777777" w:rsidR="00000000" w:rsidRDefault="00EE5306">
            <w:pPr>
              <w:spacing w:after="100"/>
              <w:jc w:val="right"/>
              <w:rPr>
                <w:rFonts w:eastAsia="Times New Roman"/>
              </w:rPr>
            </w:pPr>
            <w:r>
              <w:rPr>
                <w:rFonts w:eastAsia="Times New Roman"/>
                <w:color w:val="000000"/>
                <w:sz w:val="20"/>
                <w:szCs w:val="20"/>
              </w:rPr>
              <w:t>124.8 </w:t>
            </w:r>
          </w:p>
        </w:tc>
        <w:tc>
          <w:tcPr>
            <w:tcW w:w="0" w:type="auto"/>
            <w:shd w:val="clear" w:color="auto" w:fill="FFFFFF"/>
            <w:tcMar>
              <w:top w:w="30" w:type="dxa"/>
              <w:left w:w="0" w:type="dxa"/>
              <w:bottom w:w="30" w:type="dxa"/>
              <w:right w:w="20" w:type="dxa"/>
            </w:tcMar>
            <w:vAlign w:val="bottom"/>
            <w:hideMark/>
          </w:tcPr>
          <w:p w14:paraId="03F75B4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46604"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37A7108" w14:textId="77777777" w:rsidR="00000000" w:rsidRDefault="00EE5306">
            <w:pPr>
              <w:spacing w:after="100"/>
              <w:jc w:val="center"/>
              <w:rPr>
                <w:rFonts w:eastAsia="Times New Roman"/>
              </w:rPr>
            </w:pPr>
            <w:r>
              <w:rPr>
                <w:rFonts w:eastAsia="Times New Roman"/>
                <w:color w:val="000000"/>
                <w:sz w:val="20"/>
                <w:szCs w:val="20"/>
              </w:rPr>
              <w:t>12.3%</w:t>
            </w:r>
          </w:p>
        </w:tc>
        <w:tc>
          <w:tcPr>
            <w:tcW w:w="0" w:type="auto"/>
            <w:gridSpan w:val="3"/>
            <w:shd w:val="clear" w:color="auto" w:fill="FFFFFF"/>
            <w:tcMar>
              <w:top w:w="0" w:type="dxa"/>
              <w:left w:w="20" w:type="dxa"/>
              <w:bottom w:w="0" w:type="dxa"/>
              <w:right w:w="20" w:type="dxa"/>
            </w:tcMar>
            <w:vAlign w:val="center"/>
            <w:hideMark/>
          </w:tcPr>
          <w:p w14:paraId="6B4F27FB" w14:textId="77777777" w:rsidR="00000000" w:rsidRDefault="00EE530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BDAD7C" w14:textId="77777777" w:rsidR="00000000" w:rsidRDefault="00EE5306">
            <w:pPr>
              <w:spacing w:after="100"/>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14:paraId="45B55E1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67ADB"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A0404BD" w14:textId="77777777" w:rsidR="00000000" w:rsidRDefault="00EE5306">
            <w:pPr>
              <w:spacing w:after="100"/>
              <w:jc w:val="center"/>
              <w:rPr>
                <w:rFonts w:eastAsia="Times New Roman"/>
              </w:rPr>
            </w:pPr>
            <w:r>
              <w:rPr>
                <w:rFonts w:eastAsia="Times New Roman"/>
                <w:color w:val="000000"/>
                <w:sz w:val="20"/>
                <w:szCs w:val="20"/>
              </w:rPr>
              <w:t>210 bps</w:t>
            </w:r>
          </w:p>
        </w:tc>
      </w:tr>
      <w:tr w:rsidR="00000000" w14:paraId="1B48D484" w14:textId="77777777">
        <w:trPr>
          <w:divId w:val="856848909"/>
        </w:trPr>
        <w:tc>
          <w:tcPr>
            <w:tcW w:w="0" w:type="auto"/>
            <w:gridSpan w:val="3"/>
            <w:shd w:val="clear" w:color="auto" w:fill="CCEEFF"/>
            <w:tcMar>
              <w:top w:w="30" w:type="dxa"/>
              <w:left w:w="155" w:type="dxa"/>
              <w:bottom w:w="30" w:type="dxa"/>
              <w:right w:w="20" w:type="dxa"/>
            </w:tcMar>
            <w:vAlign w:val="bottom"/>
            <w:hideMark/>
          </w:tcPr>
          <w:p w14:paraId="5919593E"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14:paraId="3C81927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DCAB22" w14:textId="77777777" w:rsidR="00000000" w:rsidRDefault="00EE5306">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14:paraId="199E114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93657"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C76A33C" w14:textId="77777777" w:rsidR="00000000" w:rsidRDefault="00EE5306">
            <w:pPr>
              <w:spacing w:after="100"/>
              <w:jc w:val="center"/>
              <w:rPr>
                <w:rFonts w:eastAsia="Times New Roman"/>
              </w:rPr>
            </w:pPr>
            <w:r>
              <w:rPr>
                <w:rFonts w:eastAsia="Times New Roman"/>
                <w:color w:val="000000"/>
                <w:sz w:val="20"/>
                <w:szCs w:val="20"/>
              </w:rPr>
              <w:t>15.1%</w:t>
            </w:r>
          </w:p>
        </w:tc>
        <w:tc>
          <w:tcPr>
            <w:tcW w:w="0" w:type="auto"/>
            <w:gridSpan w:val="3"/>
            <w:shd w:val="clear" w:color="auto" w:fill="CCEEFF"/>
            <w:tcMar>
              <w:top w:w="0" w:type="dxa"/>
              <w:left w:w="20" w:type="dxa"/>
              <w:bottom w:w="0" w:type="dxa"/>
              <w:right w:w="20" w:type="dxa"/>
            </w:tcMar>
            <w:vAlign w:val="center"/>
            <w:hideMark/>
          </w:tcPr>
          <w:p w14:paraId="4E6129C2"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8BE613" w14:textId="77777777" w:rsidR="00000000" w:rsidRDefault="00EE5306">
            <w:pPr>
              <w:spacing w:after="100"/>
              <w:jc w:val="right"/>
              <w:rPr>
                <w:rFonts w:eastAsia="Times New Roman"/>
              </w:rPr>
            </w:pPr>
            <w:r>
              <w:rPr>
                <w:rFonts w:eastAsia="Times New Roman"/>
                <w:color w:val="000000"/>
                <w:sz w:val="20"/>
                <w:szCs w:val="20"/>
              </w:rPr>
              <w:t>85.2 </w:t>
            </w:r>
          </w:p>
        </w:tc>
        <w:tc>
          <w:tcPr>
            <w:tcW w:w="0" w:type="auto"/>
            <w:shd w:val="clear" w:color="auto" w:fill="CCEEFF"/>
            <w:tcMar>
              <w:top w:w="30" w:type="dxa"/>
              <w:left w:w="0" w:type="dxa"/>
              <w:bottom w:w="30" w:type="dxa"/>
              <w:right w:w="20" w:type="dxa"/>
            </w:tcMar>
            <w:vAlign w:val="bottom"/>
            <w:hideMark/>
          </w:tcPr>
          <w:p w14:paraId="12061E4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44631"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7C56DD9" w14:textId="77777777" w:rsidR="00000000" w:rsidRDefault="00EE5306">
            <w:pPr>
              <w:spacing w:after="100"/>
              <w:jc w:val="center"/>
              <w:rPr>
                <w:rFonts w:eastAsia="Times New Roman"/>
              </w:rPr>
            </w:pPr>
            <w:r>
              <w:rPr>
                <w:rFonts w:eastAsia="Times New Roman"/>
                <w:color w:val="000000"/>
                <w:sz w:val="20"/>
                <w:szCs w:val="20"/>
              </w:rPr>
              <w:t>23.0%</w:t>
            </w:r>
          </w:p>
        </w:tc>
        <w:tc>
          <w:tcPr>
            <w:tcW w:w="0" w:type="auto"/>
            <w:gridSpan w:val="3"/>
            <w:shd w:val="clear" w:color="auto" w:fill="CCEEFF"/>
            <w:tcMar>
              <w:top w:w="0" w:type="dxa"/>
              <w:left w:w="20" w:type="dxa"/>
              <w:bottom w:w="0" w:type="dxa"/>
              <w:right w:w="20" w:type="dxa"/>
            </w:tcMar>
            <w:vAlign w:val="center"/>
            <w:hideMark/>
          </w:tcPr>
          <w:p w14:paraId="6C140E2F"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711C55" w14:textId="77777777" w:rsidR="00000000" w:rsidRDefault="00EE5306">
            <w:pPr>
              <w:spacing w:after="100"/>
              <w:jc w:val="right"/>
              <w:rPr>
                <w:rFonts w:eastAsia="Times New Roman"/>
              </w:rPr>
            </w:pPr>
            <w:r>
              <w:rPr>
                <w:rFonts w:eastAsia="Times New Roman"/>
                <w:color w:val="000000"/>
                <w:sz w:val="20"/>
                <w:szCs w:val="20"/>
              </w:rPr>
              <w:t>(52.8)</w:t>
            </w:r>
          </w:p>
        </w:tc>
        <w:tc>
          <w:tcPr>
            <w:tcW w:w="0" w:type="auto"/>
            <w:shd w:val="clear" w:color="auto" w:fill="CCEEFF"/>
            <w:tcMar>
              <w:top w:w="30" w:type="dxa"/>
              <w:left w:w="0" w:type="dxa"/>
              <w:bottom w:w="30" w:type="dxa"/>
              <w:right w:w="20" w:type="dxa"/>
            </w:tcMar>
            <w:vAlign w:val="bottom"/>
            <w:hideMark/>
          </w:tcPr>
          <w:p w14:paraId="0658BB1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DABB6"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881167F" w14:textId="77777777" w:rsidR="00000000" w:rsidRDefault="00EE5306">
            <w:pPr>
              <w:spacing w:after="100"/>
              <w:jc w:val="center"/>
              <w:rPr>
                <w:rFonts w:eastAsia="Times New Roman"/>
              </w:rPr>
            </w:pPr>
            <w:r>
              <w:rPr>
                <w:rFonts w:eastAsia="Times New Roman"/>
                <w:color w:val="000000"/>
                <w:sz w:val="20"/>
                <w:szCs w:val="20"/>
              </w:rPr>
              <w:t>(790 bps)</w:t>
            </w:r>
          </w:p>
        </w:tc>
      </w:tr>
      <w:tr w:rsidR="00000000" w14:paraId="5C5A4AA4" w14:textId="77777777">
        <w:trPr>
          <w:divId w:val="856848909"/>
        </w:trPr>
        <w:tc>
          <w:tcPr>
            <w:tcW w:w="0" w:type="auto"/>
            <w:gridSpan w:val="3"/>
            <w:shd w:val="clear" w:color="auto" w:fill="FFFFFF"/>
            <w:tcMar>
              <w:top w:w="0" w:type="dxa"/>
              <w:left w:w="20" w:type="dxa"/>
              <w:bottom w:w="0" w:type="dxa"/>
              <w:right w:w="20" w:type="dxa"/>
            </w:tcMar>
            <w:vAlign w:val="center"/>
            <w:hideMark/>
          </w:tcPr>
          <w:p w14:paraId="540D7F47" w14:textId="77777777" w:rsidR="00000000" w:rsidRDefault="00EE5306">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8B0E5"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06FC76" w14:textId="77777777" w:rsidR="00000000" w:rsidRDefault="00EE5306">
            <w:pPr>
              <w:spacing w:after="100"/>
              <w:jc w:val="right"/>
              <w:rPr>
                <w:rFonts w:eastAsia="Times New Roman"/>
              </w:rPr>
            </w:pPr>
            <w:r>
              <w:rPr>
                <w:rFonts w:eastAsia="Times New Roman"/>
                <w:color w:val="000000"/>
                <w:sz w:val="20"/>
                <w:szCs w:val="20"/>
              </w:rPr>
              <w:t>703.9 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10085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CEAC4"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67300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AA59AE"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3F3996" w14:textId="77777777" w:rsidR="00000000" w:rsidRDefault="00EE5306">
            <w:pPr>
              <w:spacing w:after="100"/>
              <w:jc w:val="right"/>
              <w:rPr>
                <w:rFonts w:eastAsia="Times New Roman"/>
              </w:rPr>
            </w:pPr>
            <w:r>
              <w:rPr>
                <w:rFonts w:eastAsia="Times New Roman"/>
                <w:color w:val="000000"/>
                <w:sz w:val="20"/>
                <w:szCs w:val="20"/>
              </w:rPr>
              <w:t>1,002.3 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90ED0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E1446F"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0B46F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AD65B2"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22FE7B" w14:textId="77777777" w:rsidR="00000000" w:rsidRDefault="00EE5306">
            <w:pPr>
              <w:spacing w:after="100"/>
              <w:jc w:val="right"/>
              <w:rPr>
                <w:rFonts w:eastAsia="Times New Roman"/>
              </w:rPr>
            </w:pPr>
            <w:r>
              <w:rPr>
                <w:rFonts w:eastAsia="Times New Roman"/>
                <w:color w:val="000000"/>
                <w:sz w:val="20"/>
                <w:szCs w:val="20"/>
              </w:rPr>
              <w:t>(298.4)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89A3F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3AE5E"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25271C" w14:textId="77777777" w:rsidR="00000000" w:rsidRDefault="00EE5306">
            <w:pPr>
              <w:spacing w:after="100"/>
              <w:rPr>
                <w:rFonts w:eastAsia="Times New Roman"/>
                <w:sz w:val="20"/>
                <w:szCs w:val="20"/>
              </w:rPr>
            </w:pPr>
          </w:p>
        </w:tc>
      </w:tr>
      <w:tr w:rsidR="00000000" w14:paraId="18E7B4AB" w14:textId="77777777">
        <w:trPr>
          <w:divId w:val="856848909"/>
        </w:trPr>
        <w:tc>
          <w:tcPr>
            <w:tcW w:w="0" w:type="auto"/>
            <w:gridSpan w:val="3"/>
            <w:shd w:val="clear" w:color="auto" w:fill="CCEEFF"/>
            <w:tcMar>
              <w:top w:w="30" w:type="dxa"/>
              <w:left w:w="155" w:type="dxa"/>
              <w:bottom w:w="30" w:type="dxa"/>
              <w:right w:w="20" w:type="dxa"/>
            </w:tcMar>
            <w:vAlign w:val="bottom"/>
            <w:hideMark/>
          </w:tcPr>
          <w:p w14:paraId="0EEE5DF5" w14:textId="77777777" w:rsidR="00000000" w:rsidRDefault="00EE5306">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CCEEFF"/>
            <w:tcMar>
              <w:top w:w="0" w:type="dxa"/>
              <w:left w:w="20" w:type="dxa"/>
              <w:bottom w:w="0" w:type="dxa"/>
              <w:right w:w="20" w:type="dxa"/>
            </w:tcMar>
            <w:vAlign w:val="center"/>
            <w:hideMark/>
          </w:tcPr>
          <w:p w14:paraId="69973474"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C425AC" w14:textId="77777777" w:rsidR="00000000" w:rsidRDefault="00EE5306">
            <w:pPr>
              <w:spacing w:after="100"/>
              <w:jc w:val="right"/>
              <w:rPr>
                <w:rFonts w:eastAsia="Times New Roman"/>
              </w:rPr>
            </w:pPr>
            <w:r>
              <w:rPr>
                <w:rFonts w:eastAsia="Times New Roman"/>
                <w:color w:val="000000"/>
                <w:sz w:val="20"/>
                <w:szCs w:val="20"/>
              </w:rPr>
              <w:t>(577.0)</w:t>
            </w:r>
          </w:p>
        </w:tc>
        <w:tc>
          <w:tcPr>
            <w:tcW w:w="0" w:type="auto"/>
            <w:shd w:val="clear" w:color="auto" w:fill="CCEEFF"/>
            <w:tcMar>
              <w:top w:w="30" w:type="dxa"/>
              <w:left w:w="0" w:type="dxa"/>
              <w:bottom w:w="30" w:type="dxa"/>
              <w:right w:w="20" w:type="dxa"/>
            </w:tcMar>
            <w:vAlign w:val="bottom"/>
            <w:hideMark/>
          </w:tcPr>
          <w:p w14:paraId="47E6280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A67A3"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86C2E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F057AA"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5FC144" w14:textId="77777777" w:rsidR="00000000" w:rsidRDefault="00EE5306">
            <w:pPr>
              <w:spacing w:after="100"/>
              <w:jc w:val="right"/>
              <w:rPr>
                <w:rFonts w:eastAsia="Times New Roman"/>
              </w:rPr>
            </w:pPr>
            <w:r>
              <w:rPr>
                <w:rFonts w:eastAsia="Times New Roman"/>
                <w:color w:val="000000"/>
                <w:sz w:val="20"/>
                <w:szCs w:val="20"/>
              </w:rPr>
              <w:t>(618.1)</w:t>
            </w:r>
          </w:p>
        </w:tc>
        <w:tc>
          <w:tcPr>
            <w:tcW w:w="0" w:type="auto"/>
            <w:shd w:val="clear" w:color="auto" w:fill="CCEEFF"/>
            <w:tcMar>
              <w:top w:w="30" w:type="dxa"/>
              <w:left w:w="0" w:type="dxa"/>
              <w:bottom w:w="30" w:type="dxa"/>
              <w:right w:w="20" w:type="dxa"/>
            </w:tcMar>
            <w:vAlign w:val="bottom"/>
            <w:hideMark/>
          </w:tcPr>
          <w:p w14:paraId="6C86237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C9826"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35E1E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28AE71"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B8F620" w14:textId="77777777" w:rsidR="00000000" w:rsidRDefault="00EE5306">
            <w:pPr>
              <w:spacing w:after="100"/>
              <w:jc w:val="right"/>
              <w:rPr>
                <w:rFonts w:eastAsia="Times New Roman"/>
              </w:rPr>
            </w:pPr>
            <w:r>
              <w:rPr>
                <w:rFonts w:eastAsia="Times New Roman"/>
                <w:color w:val="000000"/>
                <w:sz w:val="20"/>
                <w:szCs w:val="20"/>
              </w:rPr>
              <w:t>41.1 </w:t>
            </w:r>
          </w:p>
        </w:tc>
        <w:tc>
          <w:tcPr>
            <w:tcW w:w="0" w:type="auto"/>
            <w:shd w:val="clear" w:color="auto" w:fill="CCEEFF"/>
            <w:tcMar>
              <w:top w:w="30" w:type="dxa"/>
              <w:left w:w="0" w:type="dxa"/>
              <w:bottom w:w="30" w:type="dxa"/>
              <w:right w:w="20" w:type="dxa"/>
            </w:tcMar>
            <w:vAlign w:val="bottom"/>
            <w:hideMark/>
          </w:tcPr>
          <w:p w14:paraId="2EC6F1A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09CAF"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F7AE54" w14:textId="77777777" w:rsidR="00000000" w:rsidRDefault="00EE5306">
            <w:pPr>
              <w:spacing w:after="100"/>
              <w:rPr>
                <w:rFonts w:eastAsia="Times New Roman"/>
                <w:sz w:val="20"/>
                <w:szCs w:val="20"/>
              </w:rPr>
            </w:pPr>
          </w:p>
        </w:tc>
      </w:tr>
      <w:tr w:rsidR="00000000" w14:paraId="6173ECB4" w14:textId="77777777">
        <w:trPr>
          <w:divId w:val="856848909"/>
        </w:trPr>
        <w:tc>
          <w:tcPr>
            <w:tcW w:w="0" w:type="auto"/>
            <w:gridSpan w:val="3"/>
            <w:shd w:val="clear" w:color="auto" w:fill="FFFFFF"/>
            <w:tcMar>
              <w:top w:w="30" w:type="dxa"/>
              <w:left w:w="20" w:type="dxa"/>
              <w:bottom w:w="30" w:type="dxa"/>
              <w:right w:w="20" w:type="dxa"/>
            </w:tcMar>
            <w:vAlign w:val="bottom"/>
            <w:hideMark/>
          </w:tcPr>
          <w:p w14:paraId="0C0ACA08" w14:textId="77777777" w:rsidR="00000000" w:rsidRDefault="00EE5306">
            <w:pPr>
              <w:spacing w:after="100"/>
              <w:ind w:hanging="180"/>
              <w:divId w:val="1961372206"/>
              <w:rPr>
                <w:rFonts w:eastAsia="Times New Roman"/>
              </w:rPr>
            </w:pPr>
            <w:r>
              <w:rPr>
                <w:rFonts w:eastAsia="Times New Roman"/>
                <w:color w:val="000000"/>
                <w:sz w:val="20"/>
                <w:szCs w:val="20"/>
              </w:rPr>
              <w:t>Unallocated restructuring and other charges</w:t>
            </w:r>
          </w:p>
        </w:tc>
        <w:tc>
          <w:tcPr>
            <w:tcW w:w="0" w:type="auto"/>
            <w:gridSpan w:val="3"/>
            <w:shd w:val="clear" w:color="auto" w:fill="FFFFFF"/>
            <w:tcMar>
              <w:top w:w="0" w:type="dxa"/>
              <w:left w:w="20" w:type="dxa"/>
              <w:bottom w:w="0" w:type="dxa"/>
              <w:right w:w="20" w:type="dxa"/>
            </w:tcMar>
            <w:vAlign w:val="center"/>
            <w:hideMark/>
          </w:tcPr>
          <w:p w14:paraId="14F55A71"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9B6A1C" w14:textId="77777777" w:rsidR="00000000" w:rsidRDefault="00EE5306">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14:paraId="1C426B7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1B662"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5E94A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78EC2F"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099F0B" w14:textId="77777777" w:rsidR="00000000" w:rsidRDefault="00EE5306">
            <w:pPr>
              <w:spacing w:after="100"/>
              <w:jc w:val="right"/>
              <w:rPr>
                <w:rFonts w:eastAsia="Times New Roman"/>
              </w:rPr>
            </w:pPr>
            <w:r>
              <w:rPr>
                <w:rFonts w:eastAsia="Times New Roman"/>
                <w:color w:val="000000"/>
                <w:sz w:val="20"/>
                <w:szCs w:val="20"/>
              </w:rPr>
              <w:t>(67.2)</w:t>
            </w:r>
          </w:p>
        </w:tc>
        <w:tc>
          <w:tcPr>
            <w:tcW w:w="0" w:type="auto"/>
            <w:shd w:val="clear" w:color="auto" w:fill="FFFFFF"/>
            <w:tcMar>
              <w:top w:w="30" w:type="dxa"/>
              <w:left w:w="0" w:type="dxa"/>
              <w:bottom w:w="30" w:type="dxa"/>
              <w:right w:w="20" w:type="dxa"/>
            </w:tcMar>
            <w:vAlign w:val="bottom"/>
            <w:hideMark/>
          </w:tcPr>
          <w:p w14:paraId="502725E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64F56"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7E5B1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79CB83"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813CFA" w14:textId="77777777" w:rsidR="00000000" w:rsidRDefault="00EE5306">
            <w:pPr>
              <w:spacing w:after="100"/>
              <w:jc w:val="right"/>
              <w:rPr>
                <w:rFonts w:eastAsia="Times New Roman"/>
              </w:rPr>
            </w:pPr>
            <w:r>
              <w:rPr>
                <w:rFonts w:eastAsia="Times New Roman"/>
                <w:color w:val="000000"/>
                <w:sz w:val="20"/>
                <w:szCs w:val="20"/>
              </w:rPr>
              <w:t>(103.3)</w:t>
            </w:r>
          </w:p>
        </w:tc>
        <w:tc>
          <w:tcPr>
            <w:tcW w:w="0" w:type="auto"/>
            <w:shd w:val="clear" w:color="auto" w:fill="FFFFFF"/>
            <w:tcMar>
              <w:top w:w="30" w:type="dxa"/>
              <w:left w:w="0" w:type="dxa"/>
              <w:bottom w:w="30" w:type="dxa"/>
              <w:right w:w="20" w:type="dxa"/>
            </w:tcMar>
            <w:vAlign w:val="bottom"/>
            <w:hideMark/>
          </w:tcPr>
          <w:p w14:paraId="000D1B3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AB387"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25F6A6" w14:textId="77777777" w:rsidR="00000000" w:rsidRDefault="00EE5306">
            <w:pPr>
              <w:spacing w:after="100"/>
              <w:rPr>
                <w:rFonts w:eastAsia="Times New Roman"/>
                <w:sz w:val="20"/>
                <w:szCs w:val="20"/>
              </w:rPr>
            </w:pPr>
          </w:p>
        </w:tc>
      </w:tr>
      <w:tr w:rsidR="00000000" w14:paraId="547562E3" w14:textId="77777777">
        <w:trPr>
          <w:divId w:val="856848909"/>
        </w:trPr>
        <w:tc>
          <w:tcPr>
            <w:tcW w:w="0" w:type="auto"/>
            <w:gridSpan w:val="3"/>
            <w:shd w:val="clear" w:color="auto" w:fill="CCEEFF"/>
            <w:tcMar>
              <w:top w:w="30" w:type="dxa"/>
              <w:left w:w="380" w:type="dxa"/>
              <w:bottom w:w="30" w:type="dxa"/>
              <w:right w:w="20" w:type="dxa"/>
            </w:tcMar>
            <w:vAlign w:val="bottom"/>
            <w:hideMark/>
          </w:tcPr>
          <w:p w14:paraId="374C9817" w14:textId="77777777" w:rsidR="00000000" w:rsidRDefault="00EE5306">
            <w:pPr>
              <w:spacing w:after="100"/>
              <w:rPr>
                <w:rFonts w:eastAsia="Times New Roman"/>
              </w:rPr>
            </w:pPr>
            <w:r>
              <w:rPr>
                <w:rFonts w:eastAsia="Times New Roman"/>
                <w:color w:val="000000"/>
                <w:sz w:val="20"/>
                <w:szCs w:val="20"/>
              </w:rPr>
              <w:t>Total operating income (loss)</w:t>
            </w:r>
          </w:p>
        </w:tc>
        <w:tc>
          <w:tcPr>
            <w:tcW w:w="0" w:type="auto"/>
            <w:gridSpan w:val="3"/>
            <w:shd w:val="clear" w:color="auto" w:fill="CCEEFF"/>
            <w:tcMar>
              <w:top w:w="0" w:type="dxa"/>
              <w:left w:w="20" w:type="dxa"/>
              <w:bottom w:w="0" w:type="dxa"/>
              <w:right w:w="20" w:type="dxa"/>
            </w:tcMar>
            <w:vAlign w:val="center"/>
            <w:hideMark/>
          </w:tcPr>
          <w:p w14:paraId="107384CC"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BA42CD"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A19143" w14:textId="77777777" w:rsidR="00000000" w:rsidRDefault="00EE5306">
            <w:pPr>
              <w:spacing w:after="100"/>
              <w:jc w:val="right"/>
              <w:rPr>
                <w:rFonts w:eastAsia="Times New Roman"/>
              </w:rPr>
            </w:pPr>
            <w:r>
              <w:rPr>
                <w:rFonts w:eastAsia="Times New Roman"/>
                <w:color w:val="000000"/>
                <w:sz w:val="20"/>
                <w:szCs w:val="20"/>
              </w:rPr>
              <w:t>(43.6)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4E623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A1479"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C90268C" w14:textId="77777777" w:rsidR="00000000" w:rsidRDefault="00EE5306">
            <w:pPr>
              <w:spacing w:after="100"/>
              <w:jc w:val="center"/>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14:paraId="0123925E" w14:textId="77777777" w:rsidR="00000000" w:rsidRDefault="00EE5306">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B2DAE4"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844642" w14:textId="77777777" w:rsidR="00000000" w:rsidRDefault="00EE5306">
            <w:pPr>
              <w:spacing w:after="100"/>
              <w:jc w:val="right"/>
              <w:rPr>
                <w:rFonts w:eastAsia="Times New Roman"/>
              </w:rPr>
            </w:pPr>
            <w:r>
              <w:rPr>
                <w:rFonts w:eastAsia="Times New Roman"/>
                <w:color w:val="000000"/>
                <w:sz w:val="20"/>
                <w:szCs w:val="20"/>
              </w:rPr>
              <w:t>317.0 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88005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28D9B"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07F5863" w14:textId="77777777" w:rsidR="00000000" w:rsidRDefault="00EE5306">
            <w:pPr>
              <w:spacing w:after="100"/>
              <w:jc w:val="center"/>
              <w:rPr>
                <w:rFonts w:eastAsia="Times New Roman"/>
              </w:rPr>
            </w:pPr>
            <w:r>
              <w:rPr>
                <w:rFonts w:eastAsia="Times New Roman"/>
                <w:color w:val="000000"/>
                <w:sz w:val="20"/>
                <w:szCs w:val="20"/>
              </w:rPr>
              <w:t>5.1%</w:t>
            </w:r>
          </w:p>
        </w:tc>
        <w:tc>
          <w:tcPr>
            <w:tcW w:w="0" w:type="auto"/>
            <w:gridSpan w:val="3"/>
            <w:shd w:val="clear" w:color="auto" w:fill="CCEEFF"/>
            <w:tcMar>
              <w:top w:w="0" w:type="dxa"/>
              <w:left w:w="20" w:type="dxa"/>
              <w:bottom w:w="0" w:type="dxa"/>
              <w:right w:w="20" w:type="dxa"/>
            </w:tcMar>
            <w:vAlign w:val="center"/>
            <w:hideMark/>
          </w:tcPr>
          <w:p w14:paraId="106EA915" w14:textId="77777777" w:rsidR="00000000" w:rsidRDefault="00EE5306">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59395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F86BC1" w14:textId="77777777" w:rsidR="00000000" w:rsidRDefault="00EE5306">
            <w:pPr>
              <w:spacing w:after="100"/>
              <w:jc w:val="right"/>
              <w:rPr>
                <w:rFonts w:eastAsia="Times New Roman"/>
              </w:rPr>
            </w:pPr>
            <w:r>
              <w:rPr>
                <w:rFonts w:eastAsia="Times New Roman"/>
                <w:color w:val="000000"/>
                <w:sz w:val="20"/>
                <w:szCs w:val="20"/>
              </w:rPr>
              <w:t>(360.6)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4AC61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D8B9D"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401CF2B" w14:textId="77777777" w:rsidR="00000000" w:rsidRDefault="00EE5306">
            <w:pPr>
              <w:spacing w:after="100"/>
              <w:jc w:val="center"/>
              <w:rPr>
                <w:rFonts w:eastAsia="Times New Roman"/>
              </w:rPr>
            </w:pPr>
            <w:r>
              <w:rPr>
                <w:rFonts w:eastAsia="Times New Roman"/>
                <w:color w:val="000000"/>
                <w:sz w:val="20"/>
                <w:szCs w:val="20"/>
              </w:rPr>
              <w:t>(610 bps)</w:t>
            </w:r>
          </w:p>
        </w:tc>
      </w:tr>
    </w:tbl>
    <w:p w14:paraId="365F7622" w14:textId="77777777" w:rsidR="00000000" w:rsidRDefault="00EE5306">
      <w:pPr>
        <w:ind w:firstLine="540"/>
        <w:jc w:val="both"/>
        <w:divId w:val="1761833603"/>
        <w:rPr>
          <w:rFonts w:eastAsia="Times New Roman"/>
        </w:rPr>
      </w:pPr>
      <w:r>
        <w:rPr>
          <w:rFonts w:eastAsia="Times New Roman"/>
          <w:i/>
          <w:iCs/>
          <w:color w:val="000000"/>
          <w:sz w:val="20"/>
          <w:szCs w:val="20"/>
        </w:rPr>
        <w:t>North America operating margin</w:t>
      </w:r>
      <w:r>
        <w:rPr>
          <w:rFonts w:eastAsia="Times New Roman"/>
          <w:color w:val="000000"/>
          <w:sz w:val="20"/>
          <w:szCs w:val="20"/>
        </w:rPr>
        <w:t xml:space="preserve"> improved by 230 basis points, primarily due to approximately 400 basis points attributable to net lower non-routine inventory charges a</w:t>
      </w:r>
      <w:r>
        <w:rPr>
          <w:rFonts w:eastAsia="Times New Roman"/>
          <w:color w:val="000000"/>
          <w:sz w:val="20"/>
          <w:szCs w:val="20"/>
        </w:rPr>
        <w:t>nd COVID-19-related bad debt expense recorded during Fiscal 2021 as compared to the prior fiscal year, partially offset by higher impairment of assets recorded during the current fiscal year. Partially offsetting this net favorable improvement in operating</w:t>
      </w:r>
      <w:r>
        <w:rPr>
          <w:rFonts w:eastAsia="Times New Roman"/>
          <w:color w:val="000000"/>
          <w:sz w:val="20"/>
          <w:szCs w:val="20"/>
        </w:rPr>
        <w:t xml:space="preserve"> margin were the unfavorable impacts of approximately 90 basis points and 60 basis points attributable to our wholesale and retail businesses, respectively, both largely driven by an increase in SG&amp;A expenses as a percentage of net revenues, partially offs</w:t>
      </w:r>
      <w:r>
        <w:rPr>
          <w:rFonts w:eastAsia="Times New Roman"/>
          <w:color w:val="000000"/>
          <w:sz w:val="20"/>
          <w:szCs w:val="20"/>
        </w:rPr>
        <w:t>et by an increase in our gross margin. Our North America operating margin also reflected the unfavorable impact of approximately 20 basis points attributable to other factors, including unfavorable channel mix.</w:t>
      </w:r>
    </w:p>
    <w:p w14:paraId="0743BDC3" w14:textId="77777777" w:rsidR="00000000" w:rsidRDefault="00EE5306">
      <w:pPr>
        <w:ind w:firstLine="540"/>
        <w:jc w:val="both"/>
        <w:divId w:val="749814892"/>
        <w:rPr>
          <w:rFonts w:eastAsia="Times New Roman"/>
        </w:rPr>
      </w:pPr>
      <w:r>
        <w:rPr>
          <w:rFonts w:eastAsia="Times New Roman"/>
          <w:i/>
          <w:iCs/>
          <w:color w:val="000000"/>
          <w:sz w:val="20"/>
          <w:szCs w:val="20"/>
        </w:rPr>
        <w:t>Europe operating margin</w:t>
      </w:r>
      <w:r>
        <w:rPr>
          <w:rFonts w:eastAsia="Times New Roman"/>
          <w:color w:val="000000"/>
          <w:sz w:val="20"/>
          <w:szCs w:val="20"/>
        </w:rPr>
        <w:t xml:space="preserve"> declined by 440 basis</w:t>
      </w:r>
      <w:r>
        <w:rPr>
          <w:rFonts w:eastAsia="Times New Roman"/>
          <w:color w:val="000000"/>
          <w:sz w:val="20"/>
          <w:szCs w:val="20"/>
        </w:rPr>
        <w:t xml:space="preserve"> points, primarily due to the unfavorable impact of approximately 790 basis points related to our retail business largely driven by an increase in SG&amp;A expenses as a percentage of net revenues, partially offset by an increase in our gross margin. This decl</w:t>
      </w:r>
      <w:r>
        <w:rPr>
          <w:rFonts w:eastAsia="Times New Roman"/>
          <w:color w:val="000000"/>
          <w:sz w:val="20"/>
          <w:szCs w:val="20"/>
        </w:rPr>
        <w:t>ine in operating income was partially offset by approximately 180 basis points attributable to favorable channel mix and 160 basis points attributable to net lower non-routine inventory charges and COVID-19-related bad debt expense recorded during Fiscal 2</w:t>
      </w:r>
      <w:r>
        <w:rPr>
          <w:rFonts w:eastAsia="Times New Roman"/>
          <w:color w:val="000000"/>
          <w:sz w:val="20"/>
          <w:szCs w:val="20"/>
        </w:rPr>
        <w:t>021 as compared to the prior fiscal year, partially offset by higher impairment of assets recorded during the current fiscal year. The remaining change in operating margin was attributable to other factors, including slight improvement in our wholesale bus</w:t>
      </w:r>
      <w:r>
        <w:rPr>
          <w:rFonts w:eastAsia="Times New Roman"/>
          <w:color w:val="000000"/>
          <w:sz w:val="20"/>
          <w:szCs w:val="20"/>
        </w:rPr>
        <w:t>iness.</w:t>
      </w:r>
    </w:p>
    <w:p w14:paraId="4CD39949" w14:textId="77777777" w:rsidR="00000000" w:rsidRDefault="00EE5306">
      <w:pPr>
        <w:ind w:firstLine="540"/>
        <w:jc w:val="both"/>
        <w:divId w:val="237594848"/>
        <w:rPr>
          <w:rFonts w:eastAsia="Times New Roman"/>
        </w:rPr>
      </w:pPr>
      <w:r>
        <w:rPr>
          <w:rFonts w:eastAsia="Times New Roman"/>
          <w:i/>
          <w:iCs/>
          <w:color w:val="000000"/>
          <w:sz w:val="20"/>
          <w:szCs w:val="20"/>
        </w:rPr>
        <w:t>Asia operating margin</w:t>
      </w:r>
      <w:r>
        <w:rPr>
          <w:rFonts w:eastAsia="Times New Roman"/>
          <w:color w:val="000000"/>
          <w:sz w:val="20"/>
          <w:szCs w:val="20"/>
        </w:rPr>
        <w:t xml:space="preserve"> improved by 210 basis points, primarily due to approximately 190 basis points attributable to net lower non-routine inventory charges, COVID-19-related bad debt expense, and impairment of assets recorded during Fiscal 2021 as c</w:t>
      </w:r>
      <w:r>
        <w:rPr>
          <w:rFonts w:eastAsia="Times New Roman"/>
          <w:color w:val="000000"/>
          <w:sz w:val="20"/>
          <w:szCs w:val="20"/>
        </w:rPr>
        <w:t>ompared to the prior fiscal year, as well as favorable foreign currency effects of approximately 60 basis points. The increase in operating margin also reflected the favorable impact of approximately 20 basis points related to our retail business. These in</w:t>
      </w:r>
      <w:r>
        <w:rPr>
          <w:rFonts w:eastAsia="Times New Roman"/>
          <w:color w:val="000000"/>
          <w:sz w:val="20"/>
          <w:szCs w:val="20"/>
        </w:rPr>
        <w:t>creases in operating margin were partially offset by the unfavorable impact of approximately 30 basis points related to our wholesale business largely driven by an increase in SG&amp;A expenses as a percentage of net revenues. The remaining change in operating</w:t>
      </w:r>
      <w:r>
        <w:rPr>
          <w:rFonts w:eastAsia="Times New Roman"/>
          <w:color w:val="000000"/>
          <w:sz w:val="20"/>
          <w:szCs w:val="20"/>
        </w:rPr>
        <w:t xml:space="preserve"> margin was attributable to other factors, including unfavorable channel mix.</w:t>
      </w:r>
    </w:p>
    <w:p w14:paraId="6CAC6F3E" w14:textId="77777777" w:rsidR="00000000" w:rsidRDefault="00EE5306">
      <w:pPr>
        <w:ind w:firstLine="540"/>
        <w:jc w:val="both"/>
        <w:divId w:val="1915430963"/>
        <w:rPr>
          <w:rFonts w:eastAsia="Times New Roman"/>
        </w:rPr>
      </w:pPr>
      <w:r>
        <w:rPr>
          <w:rFonts w:eastAsia="Times New Roman"/>
          <w:i/>
          <w:iCs/>
          <w:color w:val="000000"/>
          <w:sz w:val="20"/>
          <w:szCs w:val="20"/>
        </w:rPr>
        <w:t>Unallocated corporate expenses</w:t>
      </w:r>
      <w:r>
        <w:rPr>
          <w:rFonts w:eastAsia="Times New Roman"/>
          <w:color w:val="000000"/>
          <w:sz w:val="20"/>
          <w:szCs w:val="20"/>
        </w:rPr>
        <w:t xml:space="preserve"> decreased by $41.1 million to $577.0 million in Fiscal 2021. The decline in unallocated corporate expenses was due to lower compensation-related ex</w:t>
      </w:r>
      <w:r>
        <w:rPr>
          <w:rFonts w:eastAsia="Times New Roman"/>
          <w:color w:val="000000"/>
          <w:sz w:val="20"/>
          <w:szCs w:val="20"/>
        </w:rPr>
        <w:t>penses of $87.3 million and lower rent and occupancy costs of $24.3 million, partially offset by lower intercompany sourcing commission income of $33.9 million (which is offset at the segment level and eliminates in consolidation), higher impairment of ass</w:t>
      </w:r>
      <w:r>
        <w:rPr>
          <w:rFonts w:eastAsia="Times New Roman"/>
          <w:color w:val="000000"/>
          <w:sz w:val="20"/>
          <w:szCs w:val="20"/>
        </w:rPr>
        <w:t>et charges of $33.2 million, and higher other expenses of $3.4 million.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7BA3C79" w14:textId="77777777">
        <w:trPr>
          <w:divId w:val="627468683"/>
          <w:jc w:val="center"/>
        </w:trPr>
        <w:tc>
          <w:tcPr>
            <w:tcW w:w="50" w:type="pct"/>
            <w:vAlign w:val="center"/>
            <w:hideMark/>
          </w:tcPr>
          <w:p w14:paraId="2E3482AE" w14:textId="77777777" w:rsidR="00000000" w:rsidRDefault="00EE5306">
            <w:pPr>
              <w:ind w:firstLine="540"/>
              <w:jc w:val="both"/>
              <w:rPr>
                <w:rFonts w:eastAsia="Times New Roman"/>
              </w:rPr>
            </w:pPr>
          </w:p>
        </w:tc>
        <w:tc>
          <w:tcPr>
            <w:tcW w:w="1699" w:type="pct"/>
            <w:vAlign w:val="center"/>
            <w:hideMark/>
          </w:tcPr>
          <w:p w14:paraId="2F860914" w14:textId="77777777" w:rsidR="00000000" w:rsidRDefault="00EE5306">
            <w:pPr>
              <w:spacing w:after="100"/>
              <w:rPr>
                <w:rFonts w:eastAsia="Times New Roman"/>
                <w:sz w:val="20"/>
                <w:szCs w:val="20"/>
              </w:rPr>
            </w:pPr>
          </w:p>
        </w:tc>
        <w:tc>
          <w:tcPr>
            <w:tcW w:w="5" w:type="pct"/>
            <w:vAlign w:val="center"/>
            <w:hideMark/>
          </w:tcPr>
          <w:p w14:paraId="44172320" w14:textId="77777777" w:rsidR="00000000" w:rsidRDefault="00EE5306">
            <w:pPr>
              <w:spacing w:after="100"/>
              <w:rPr>
                <w:rFonts w:eastAsia="Times New Roman"/>
                <w:sz w:val="20"/>
                <w:szCs w:val="20"/>
              </w:rPr>
            </w:pPr>
          </w:p>
        </w:tc>
        <w:tc>
          <w:tcPr>
            <w:tcW w:w="50" w:type="pct"/>
            <w:vAlign w:val="center"/>
            <w:hideMark/>
          </w:tcPr>
          <w:p w14:paraId="46AB5AD1" w14:textId="77777777" w:rsidR="00000000" w:rsidRDefault="00EE5306">
            <w:pPr>
              <w:spacing w:after="100"/>
              <w:rPr>
                <w:rFonts w:eastAsia="Times New Roman"/>
                <w:sz w:val="20"/>
                <w:szCs w:val="20"/>
              </w:rPr>
            </w:pPr>
          </w:p>
        </w:tc>
        <w:tc>
          <w:tcPr>
            <w:tcW w:w="1436" w:type="pct"/>
            <w:vAlign w:val="center"/>
            <w:hideMark/>
          </w:tcPr>
          <w:p w14:paraId="36C7D5C0" w14:textId="77777777" w:rsidR="00000000" w:rsidRDefault="00EE5306">
            <w:pPr>
              <w:spacing w:after="100"/>
              <w:rPr>
                <w:rFonts w:eastAsia="Times New Roman"/>
                <w:sz w:val="20"/>
                <w:szCs w:val="20"/>
              </w:rPr>
            </w:pPr>
          </w:p>
        </w:tc>
        <w:tc>
          <w:tcPr>
            <w:tcW w:w="5" w:type="pct"/>
            <w:vAlign w:val="center"/>
            <w:hideMark/>
          </w:tcPr>
          <w:p w14:paraId="2B5FE7B7" w14:textId="77777777" w:rsidR="00000000" w:rsidRDefault="00EE5306">
            <w:pPr>
              <w:spacing w:after="100"/>
              <w:rPr>
                <w:rFonts w:eastAsia="Times New Roman"/>
                <w:sz w:val="20"/>
                <w:szCs w:val="20"/>
              </w:rPr>
            </w:pPr>
          </w:p>
        </w:tc>
        <w:tc>
          <w:tcPr>
            <w:tcW w:w="50" w:type="pct"/>
            <w:vAlign w:val="center"/>
            <w:hideMark/>
          </w:tcPr>
          <w:p w14:paraId="19491D77" w14:textId="77777777" w:rsidR="00000000" w:rsidRDefault="00EE5306">
            <w:pPr>
              <w:spacing w:after="100"/>
              <w:rPr>
                <w:rFonts w:eastAsia="Times New Roman"/>
                <w:sz w:val="20"/>
                <w:szCs w:val="20"/>
              </w:rPr>
            </w:pPr>
          </w:p>
        </w:tc>
        <w:tc>
          <w:tcPr>
            <w:tcW w:w="1699" w:type="pct"/>
            <w:vAlign w:val="center"/>
            <w:hideMark/>
          </w:tcPr>
          <w:p w14:paraId="24FC2ABC" w14:textId="77777777" w:rsidR="00000000" w:rsidRDefault="00EE5306">
            <w:pPr>
              <w:spacing w:after="100"/>
              <w:rPr>
                <w:rFonts w:eastAsia="Times New Roman"/>
                <w:sz w:val="20"/>
                <w:szCs w:val="20"/>
              </w:rPr>
            </w:pPr>
          </w:p>
        </w:tc>
        <w:tc>
          <w:tcPr>
            <w:tcW w:w="5" w:type="pct"/>
            <w:vAlign w:val="center"/>
            <w:hideMark/>
          </w:tcPr>
          <w:p w14:paraId="7900333A" w14:textId="77777777" w:rsidR="00000000" w:rsidRDefault="00EE5306">
            <w:pPr>
              <w:spacing w:after="100"/>
              <w:rPr>
                <w:rFonts w:eastAsia="Times New Roman"/>
                <w:sz w:val="20"/>
                <w:szCs w:val="20"/>
              </w:rPr>
            </w:pPr>
          </w:p>
        </w:tc>
      </w:tr>
      <w:tr w:rsidR="00000000" w14:paraId="1E3BD6CA" w14:textId="77777777">
        <w:trPr>
          <w:divId w:val="627468683"/>
          <w:jc w:val="center"/>
        </w:trPr>
        <w:tc>
          <w:tcPr>
            <w:tcW w:w="0" w:type="auto"/>
            <w:gridSpan w:val="3"/>
            <w:tcMar>
              <w:top w:w="0" w:type="dxa"/>
              <w:left w:w="20" w:type="dxa"/>
              <w:bottom w:w="0" w:type="dxa"/>
              <w:right w:w="20" w:type="dxa"/>
            </w:tcMar>
            <w:vAlign w:val="center"/>
            <w:hideMark/>
          </w:tcPr>
          <w:p w14:paraId="5EAE9FE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C3A7395" w14:textId="77777777" w:rsidR="00000000" w:rsidRDefault="00EE5306">
            <w:pPr>
              <w:spacing w:after="100"/>
              <w:jc w:val="center"/>
              <w:rPr>
                <w:rFonts w:eastAsia="Times New Roman"/>
              </w:rPr>
            </w:pPr>
            <w:r>
              <w:rPr>
                <w:rFonts w:eastAsia="Times New Roman"/>
                <w:color w:val="000000"/>
                <w:sz w:val="20"/>
                <w:szCs w:val="20"/>
              </w:rPr>
              <w:t>55</w:t>
            </w:r>
          </w:p>
        </w:tc>
        <w:tc>
          <w:tcPr>
            <w:tcW w:w="0" w:type="auto"/>
            <w:gridSpan w:val="3"/>
            <w:tcMar>
              <w:top w:w="0" w:type="dxa"/>
              <w:left w:w="20" w:type="dxa"/>
              <w:bottom w:w="0" w:type="dxa"/>
              <w:right w:w="20" w:type="dxa"/>
            </w:tcMar>
            <w:vAlign w:val="center"/>
            <w:hideMark/>
          </w:tcPr>
          <w:p w14:paraId="1970FA37" w14:textId="77777777" w:rsidR="00000000" w:rsidRDefault="00EE5306">
            <w:pPr>
              <w:spacing w:after="100"/>
              <w:jc w:val="center"/>
              <w:rPr>
                <w:rFonts w:eastAsia="Times New Roman"/>
              </w:rPr>
            </w:pPr>
          </w:p>
        </w:tc>
      </w:tr>
    </w:tbl>
    <w:p w14:paraId="78ABCFCE" w14:textId="77777777" w:rsidR="00000000" w:rsidRDefault="00EE5306">
      <w:pPr>
        <w:rPr>
          <w:rFonts w:eastAsia="Times New Roman"/>
        </w:rPr>
      </w:pPr>
      <w:r>
        <w:rPr>
          <w:rFonts w:eastAsia="Times New Roman"/>
        </w:rPr>
        <w:pict w14:anchorId="2ED6AB54">
          <v:rect id="_x0000_i1082" style="width:0;height:1.5pt" o:hralign="center" o:hrstd="t" o:hr="t" fillcolor="#a0a0a0" stroked="f"/>
        </w:pict>
      </w:r>
    </w:p>
    <w:p w14:paraId="72501C87" w14:textId="77777777" w:rsidR="00000000" w:rsidRDefault="00EE5306">
      <w:pPr>
        <w:divId w:val="706487310"/>
        <w:rPr>
          <w:rFonts w:eastAsia="Times New Roman"/>
        </w:rPr>
      </w:pPr>
    </w:p>
    <w:p w14:paraId="06634947" w14:textId="77777777" w:rsidR="00000000" w:rsidRDefault="00EE5306">
      <w:pPr>
        <w:ind w:firstLine="540"/>
        <w:jc w:val="both"/>
        <w:divId w:val="973758436"/>
        <w:rPr>
          <w:rFonts w:eastAsia="Times New Roman"/>
        </w:rPr>
      </w:pPr>
      <w:r>
        <w:rPr>
          <w:rFonts w:eastAsia="Times New Roman"/>
          <w:i/>
          <w:iCs/>
          <w:color w:val="000000"/>
          <w:sz w:val="20"/>
          <w:szCs w:val="20"/>
        </w:rPr>
        <w:t>Unallocated restructuring and other charges</w:t>
      </w:r>
      <w:r>
        <w:rPr>
          <w:rFonts w:eastAsia="Times New Roman"/>
          <w:color w:val="000000"/>
          <w:sz w:val="20"/>
          <w:szCs w:val="20"/>
        </w:rPr>
        <w:t xml:space="preserve"> </w:t>
      </w:r>
      <w:r>
        <w:rPr>
          <w:rFonts w:eastAsia="Times New Roman"/>
          <w:color w:val="000000"/>
          <w:sz w:val="20"/>
          <w:szCs w:val="20"/>
        </w:rPr>
        <w:t>increased by $103.3 million to $170.5 million in Fiscal 2021, as previously discussed above and in Note 9 to the accompanying consolidated financial statements.</w:t>
      </w:r>
    </w:p>
    <w:p w14:paraId="29FEE15E" w14:textId="77777777" w:rsidR="00000000" w:rsidRDefault="00EE5306">
      <w:pPr>
        <w:ind w:firstLine="540"/>
        <w:jc w:val="both"/>
        <w:divId w:val="1459184701"/>
        <w:rPr>
          <w:rFonts w:eastAsia="Times New Roman"/>
        </w:rPr>
      </w:pPr>
      <w:r>
        <w:rPr>
          <w:rFonts w:eastAsia="Times New Roman"/>
          <w:i/>
          <w:iCs/>
          <w:color w:val="000000"/>
          <w:sz w:val="20"/>
          <w:szCs w:val="20"/>
        </w:rPr>
        <w:t>Non-operating Income (Expense), Net.</w:t>
      </w:r>
      <w:r>
        <w:rPr>
          <w:rFonts w:eastAsia="Times New Roman"/>
          <w:color w:val="000000"/>
          <w:sz w:val="20"/>
          <w:szCs w:val="20"/>
        </w:rPr>
        <w:t>    Non-operating income (expense), net is comprised of int</w:t>
      </w:r>
      <w:r>
        <w:rPr>
          <w:rFonts w:eastAsia="Times New Roman"/>
          <w:color w:val="000000"/>
          <w:sz w:val="20"/>
          <w:szCs w:val="20"/>
        </w:rPr>
        <w:t>erest expense, interest income, and other income (expense), net, which includes foreign currency gains (losses), equity in income (losses) from our equity-method investees, and other non-operating expenses. During Fiscal 2021, we reported non-operating exp</w:t>
      </w:r>
      <w:r>
        <w:rPr>
          <w:rFonts w:eastAsia="Times New Roman"/>
          <w:color w:val="000000"/>
          <w:sz w:val="20"/>
          <w:szCs w:val="20"/>
        </w:rPr>
        <w:t>ense, net, of $31.2 million, as compared to non-operating income, net, of $9.4 million in Fiscal 2020. The $40.6 million decline in non-operating income was driven by:</w:t>
      </w:r>
    </w:p>
    <w:p w14:paraId="32188BF2" w14:textId="77777777" w:rsidR="00000000" w:rsidRDefault="00EE5306">
      <w:pPr>
        <w:ind w:hanging="360"/>
        <w:jc w:val="both"/>
        <w:divId w:val="534275569"/>
        <w:rPr>
          <w:rFonts w:eastAsia="Times New Roman"/>
        </w:rPr>
      </w:pPr>
      <w:r>
        <w:rPr>
          <w:rFonts w:eastAsia="Times New Roman"/>
          <w:i/>
          <w:iCs/>
          <w:color w:val="000000"/>
          <w:sz w:val="20"/>
          <w:szCs w:val="20"/>
        </w:rPr>
        <w:t>•</w:t>
      </w:r>
      <w:r>
        <w:rPr>
          <w:rFonts w:eastAsia="Times New Roman"/>
          <w:color w:val="000000"/>
          <w:sz w:val="20"/>
          <w:szCs w:val="20"/>
        </w:rPr>
        <w:t>a $30.9 million increase in interest expense, primarily driven by the net increase in o</w:t>
      </w:r>
      <w:r>
        <w:rPr>
          <w:rFonts w:eastAsia="Times New Roman"/>
          <w:color w:val="000000"/>
          <w:sz w:val="20"/>
          <w:szCs w:val="20"/>
        </w:rPr>
        <w:t>ur borrowings during Fiscal 2021 (see "</w:t>
      </w:r>
      <w:r>
        <w:rPr>
          <w:rFonts w:eastAsia="Times New Roman"/>
          <w:i/>
          <w:iCs/>
          <w:color w:val="000000"/>
          <w:sz w:val="20"/>
          <w:szCs w:val="20"/>
        </w:rPr>
        <w:t>Financial Condition and Liquidity — Cash Flows</w:t>
      </w:r>
      <w:r>
        <w:rPr>
          <w:rFonts w:eastAsia="Times New Roman"/>
          <w:color w:val="000000"/>
          <w:sz w:val="20"/>
          <w:szCs w:val="20"/>
        </w:rPr>
        <w:t>"); and</w:t>
      </w:r>
    </w:p>
    <w:p w14:paraId="72BD909D" w14:textId="77777777" w:rsidR="00000000" w:rsidRDefault="00EE5306">
      <w:pPr>
        <w:ind w:hanging="360"/>
        <w:jc w:val="both"/>
        <w:divId w:val="2016420584"/>
        <w:rPr>
          <w:rFonts w:eastAsia="Times New Roman"/>
        </w:rPr>
      </w:pPr>
      <w:r>
        <w:rPr>
          <w:rFonts w:eastAsia="Times New Roman"/>
          <w:color w:val="000000"/>
          <w:sz w:val="20"/>
          <w:szCs w:val="20"/>
        </w:rPr>
        <w:t>•</w:t>
      </w:r>
      <w:r>
        <w:rPr>
          <w:rFonts w:eastAsia="Times New Roman"/>
          <w:color w:val="000000"/>
          <w:sz w:val="20"/>
          <w:szCs w:val="20"/>
        </w:rPr>
        <w:t>a $24.7 million decline in interest income, primarily driven by the decrease in our investment portfolio and lower interest rates in financial markets.</w:t>
      </w:r>
    </w:p>
    <w:p w14:paraId="6D61BEBC" w14:textId="77777777" w:rsidR="00000000" w:rsidRDefault="00EE5306">
      <w:pPr>
        <w:ind w:firstLine="540"/>
        <w:jc w:val="both"/>
        <w:divId w:val="1082878075"/>
        <w:rPr>
          <w:rFonts w:eastAsia="Times New Roman"/>
        </w:rPr>
      </w:pPr>
      <w:r>
        <w:rPr>
          <w:rFonts w:eastAsia="Times New Roman"/>
          <w:color w:val="000000"/>
          <w:sz w:val="20"/>
          <w:szCs w:val="20"/>
        </w:rPr>
        <w:t>These unfavorable variances were partially offset by a $15.0 million favorable change in other income (e</w:t>
      </w:r>
      <w:r>
        <w:rPr>
          <w:rFonts w:eastAsia="Times New Roman"/>
          <w:color w:val="000000"/>
          <w:sz w:val="20"/>
          <w:szCs w:val="20"/>
        </w:rPr>
        <w:t>xpense), net, primarily driven by the absence of a $7.1 million impairment of an equity method investment recorded during Fiscal 2020, as well as higher net foreign currency gains during Fiscal 2021 as compared to the prior fiscal year.</w:t>
      </w:r>
    </w:p>
    <w:p w14:paraId="59DF1B1F" w14:textId="77777777" w:rsidR="00000000" w:rsidRDefault="00EE5306">
      <w:pPr>
        <w:ind w:firstLine="540"/>
        <w:jc w:val="both"/>
        <w:divId w:val="1283729626"/>
        <w:rPr>
          <w:rFonts w:eastAsia="Times New Roman"/>
        </w:rPr>
      </w:pPr>
      <w:r>
        <w:rPr>
          <w:rFonts w:eastAsia="Times New Roman"/>
          <w:i/>
          <w:iCs/>
          <w:color w:val="000000"/>
          <w:sz w:val="20"/>
          <w:szCs w:val="20"/>
        </w:rPr>
        <w:t xml:space="preserve">Income Tax Benefit </w:t>
      </w:r>
      <w:r>
        <w:rPr>
          <w:rFonts w:eastAsia="Times New Roman"/>
          <w:i/>
          <w:iCs/>
          <w:color w:val="000000"/>
          <w:sz w:val="20"/>
          <w:szCs w:val="20"/>
        </w:rPr>
        <w:t>(Provision).</w:t>
      </w:r>
      <w:r>
        <w:rPr>
          <w:rFonts w:eastAsia="Times New Roman"/>
          <w:color w:val="000000"/>
          <w:sz w:val="20"/>
          <w:szCs w:val="20"/>
        </w:rPr>
        <w:t>    The income tax benefit (provision) represents federal, foreign, state and local income taxes. Our effective tax rate will change from period to period based on various factors including, but not limited to, the geographic mix of earnings, t</w:t>
      </w:r>
      <w:r>
        <w:rPr>
          <w:rFonts w:eastAsia="Times New Roman"/>
          <w:color w:val="000000"/>
          <w:sz w:val="20"/>
          <w:szCs w:val="20"/>
        </w:rPr>
        <w:t>he timing and amount of foreign dividends, enacted tax legislation, state and local taxes, tax audit findings and settlements, and the interaction of various global tax strategies.</w:t>
      </w:r>
    </w:p>
    <w:p w14:paraId="5F205298" w14:textId="77777777" w:rsidR="00000000" w:rsidRDefault="00EE5306">
      <w:pPr>
        <w:ind w:firstLine="540"/>
        <w:jc w:val="both"/>
        <w:divId w:val="932906695"/>
        <w:rPr>
          <w:rFonts w:eastAsia="Times New Roman"/>
        </w:rPr>
      </w:pPr>
      <w:r>
        <w:rPr>
          <w:rFonts w:eastAsia="Times New Roman"/>
          <w:color w:val="000000"/>
          <w:sz w:val="20"/>
          <w:szCs w:val="20"/>
        </w:rPr>
        <w:t>We reported an income tax provision and effective tax rate of $46.3 million</w:t>
      </w:r>
      <w:r>
        <w:rPr>
          <w:rFonts w:eastAsia="Times New Roman"/>
          <w:color w:val="000000"/>
          <w:sz w:val="20"/>
          <w:szCs w:val="20"/>
        </w:rPr>
        <w:t xml:space="preserve"> and (61.9%), respectively, in Fiscal 2021, as compared to an income tax benefit and effective tax rate of $57.9 million and (17.7%), respectively, in Fiscal 2020. The $104.2 million increase in our income tax provision was driven by the absence of a one-t</w:t>
      </w:r>
      <w:r>
        <w:rPr>
          <w:rFonts w:eastAsia="Times New Roman"/>
          <w:color w:val="000000"/>
          <w:sz w:val="20"/>
          <w:szCs w:val="20"/>
        </w:rPr>
        <w:t>ime benefit of $122.9 million recorded in connection with Swiss tax reform during the prior fiscal year, which reduced our prior fiscal year effective tax rate by 3,760 basis points. Our income tax provision in Fiscal 2021 also reflected incremental tax ex</w:t>
      </w:r>
      <w:r>
        <w:rPr>
          <w:rFonts w:eastAsia="Times New Roman"/>
          <w:color w:val="000000"/>
          <w:sz w:val="20"/>
          <w:szCs w:val="20"/>
        </w:rPr>
        <w:t xml:space="preserve">pense of $33.7 million primarily related to a valuation allowance provided against domestic losses attributable to significant COVID-19 business disruptions and $13.8 million related to international tax legislation enacted in connection with the European </w:t>
      </w:r>
      <w:r>
        <w:rPr>
          <w:rFonts w:eastAsia="Times New Roman"/>
          <w:color w:val="000000"/>
          <w:sz w:val="20"/>
          <w:szCs w:val="20"/>
        </w:rPr>
        <w:t>Union's anti-tax avoidance directive, partially offset by an income tax benefit of $0.9 million primarily due to a net operating loss carryback under the CARES Act. Collectively, this $46.6 million of net incremental tax expense unfavorably impacted our cu</w:t>
      </w:r>
      <w:r>
        <w:rPr>
          <w:rFonts w:eastAsia="Times New Roman"/>
          <w:color w:val="000000"/>
          <w:sz w:val="20"/>
          <w:szCs w:val="20"/>
        </w:rPr>
        <w:t>rrent fiscal period effective tax rate by 6,230 basis points. The remaining 1,950 basis point decline was attributable to tax impacts on stock-based compensation, as well as the absence of favorable settlements of certain international income tax audits th</w:t>
      </w:r>
      <w:r>
        <w:rPr>
          <w:rFonts w:eastAsia="Times New Roman"/>
          <w:color w:val="000000"/>
          <w:sz w:val="20"/>
          <w:szCs w:val="20"/>
        </w:rPr>
        <w:t>at impacted the prior fiscal year. See Note 10 to the accompanying consolidated financial statements.</w:t>
      </w:r>
    </w:p>
    <w:p w14:paraId="760D855B" w14:textId="77777777" w:rsidR="00000000" w:rsidRDefault="00EE5306">
      <w:pPr>
        <w:ind w:firstLine="540"/>
        <w:jc w:val="both"/>
        <w:divId w:val="158470249"/>
        <w:rPr>
          <w:rFonts w:eastAsia="Times New Roman"/>
        </w:rPr>
      </w:pPr>
      <w:r>
        <w:rPr>
          <w:rFonts w:eastAsia="Times New Roman"/>
          <w:i/>
          <w:iCs/>
          <w:color w:val="000000"/>
          <w:sz w:val="20"/>
          <w:szCs w:val="20"/>
        </w:rPr>
        <w:t>Net Income (Loss).</w:t>
      </w:r>
      <w:r>
        <w:rPr>
          <w:rFonts w:eastAsia="Times New Roman"/>
          <w:color w:val="000000"/>
          <w:sz w:val="20"/>
          <w:szCs w:val="20"/>
        </w:rPr>
        <w:t>    We reported a net loss of $121.1 million in Fiscal 2021, as compared to net income of $384.3 million in Fiscal 2020. The $505.4 mill</w:t>
      </w:r>
      <w:r>
        <w:rPr>
          <w:rFonts w:eastAsia="Times New Roman"/>
          <w:color w:val="000000"/>
          <w:sz w:val="20"/>
          <w:szCs w:val="20"/>
        </w:rPr>
        <w:t>ion decline in net income was primarily due to the decline in our operating income, the increase in our income tax provision, and higher non-operating expense, net, all as previously discussed. Our operating results during Fiscal 2021 and Fiscal 2020 inclu</w:t>
      </w:r>
      <w:r>
        <w:rPr>
          <w:rFonts w:eastAsia="Times New Roman"/>
          <w:color w:val="000000"/>
          <w:sz w:val="20"/>
          <w:szCs w:val="20"/>
        </w:rPr>
        <w:t>ded net restructuring-related charges, impairment of assets, and certain other charges totaling $254.4 million and $321.8 million, respectively, which had an after-tax effect of reducing net income by $201.5 million and $244.8 million, respectively. Net in</w:t>
      </w:r>
      <w:r>
        <w:rPr>
          <w:rFonts w:eastAsia="Times New Roman"/>
          <w:color w:val="000000"/>
          <w:sz w:val="20"/>
          <w:szCs w:val="20"/>
        </w:rPr>
        <w:t xml:space="preserve">come (loss) during Fiscal 2021 and Fiscal 2020 also reflected $46.6 million of incremental net tax expense and an income tax benefit of $122.9 million, respectively, recorded in connection with one-time income tax events, as previously discussed. </w:t>
      </w:r>
    </w:p>
    <w:p w14:paraId="7FC1E2B9" w14:textId="77777777" w:rsidR="00000000" w:rsidRDefault="00EE5306">
      <w:pPr>
        <w:ind w:firstLine="540"/>
        <w:jc w:val="both"/>
        <w:divId w:val="117728928"/>
        <w:rPr>
          <w:rFonts w:eastAsia="Times New Roman"/>
        </w:rPr>
      </w:pPr>
      <w:r>
        <w:rPr>
          <w:rFonts w:eastAsia="Times New Roman"/>
          <w:i/>
          <w:iCs/>
          <w:color w:val="000000"/>
          <w:sz w:val="20"/>
          <w:szCs w:val="20"/>
        </w:rPr>
        <w:t>Net Inco</w:t>
      </w:r>
      <w:r>
        <w:rPr>
          <w:rFonts w:eastAsia="Times New Roman"/>
          <w:i/>
          <w:iCs/>
          <w:color w:val="000000"/>
          <w:sz w:val="20"/>
          <w:szCs w:val="20"/>
        </w:rPr>
        <w:t>me (Loss) per Diluted Share.</w:t>
      </w:r>
      <w:r>
        <w:rPr>
          <w:rFonts w:eastAsia="Times New Roman"/>
          <w:color w:val="000000"/>
          <w:sz w:val="20"/>
          <w:szCs w:val="20"/>
        </w:rPr>
        <w:t>    We reported a net loss per diluted share of $1.65 in Fiscal 2021, as compared to net income per diluted share of $4.98 in Fiscal 2020. The $6.63 per share decline was due to the lower level of net income, as previously discu</w:t>
      </w:r>
      <w:r>
        <w:rPr>
          <w:rFonts w:eastAsia="Times New Roman"/>
          <w:color w:val="000000"/>
          <w:sz w:val="20"/>
          <w:szCs w:val="20"/>
        </w:rPr>
        <w:t>ssed. Net income (loss) per diluted share in Fiscal 2021 and Fiscal 2020 were negatively impacted by $2.71 per share and $3.17 per share, respectively, as a result of net restructuring-related charges, impairment of assets, and certain other charges, as pr</w:t>
      </w:r>
      <w:r>
        <w:rPr>
          <w:rFonts w:eastAsia="Times New Roman"/>
          <w:color w:val="000000"/>
          <w:sz w:val="20"/>
          <w:szCs w:val="20"/>
        </w:rPr>
        <w:t>eviously discussed. Net income (loss) per diluted share in Fiscal 2021 and Fiscal 2020 were also negatively impacted by $0.64 per share due to incremental net tax expense and favorably impacted by $1.59 per share due to an income tax benefit, respectively,</w:t>
      </w:r>
      <w:r>
        <w:rPr>
          <w:rFonts w:eastAsia="Times New Roman"/>
          <w:color w:val="000000"/>
          <w:sz w:val="20"/>
          <w:szCs w:val="20"/>
        </w:rPr>
        <w:t xml:space="preserve"> recorded in connection with one-time tax events, as previously discussed.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569BA6F" w14:textId="77777777">
        <w:trPr>
          <w:divId w:val="1660688714"/>
          <w:jc w:val="center"/>
        </w:trPr>
        <w:tc>
          <w:tcPr>
            <w:tcW w:w="50" w:type="pct"/>
            <w:vAlign w:val="center"/>
            <w:hideMark/>
          </w:tcPr>
          <w:p w14:paraId="4C23DE59" w14:textId="77777777" w:rsidR="00000000" w:rsidRDefault="00EE5306">
            <w:pPr>
              <w:ind w:firstLine="540"/>
              <w:jc w:val="both"/>
              <w:rPr>
                <w:rFonts w:eastAsia="Times New Roman"/>
              </w:rPr>
            </w:pPr>
          </w:p>
        </w:tc>
        <w:tc>
          <w:tcPr>
            <w:tcW w:w="1699" w:type="pct"/>
            <w:vAlign w:val="center"/>
            <w:hideMark/>
          </w:tcPr>
          <w:p w14:paraId="1715E203" w14:textId="77777777" w:rsidR="00000000" w:rsidRDefault="00EE5306">
            <w:pPr>
              <w:spacing w:after="100"/>
              <w:rPr>
                <w:rFonts w:eastAsia="Times New Roman"/>
                <w:sz w:val="20"/>
                <w:szCs w:val="20"/>
              </w:rPr>
            </w:pPr>
          </w:p>
        </w:tc>
        <w:tc>
          <w:tcPr>
            <w:tcW w:w="5" w:type="pct"/>
            <w:vAlign w:val="center"/>
            <w:hideMark/>
          </w:tcPr>
          <w:p w14:paraId="3D8C5339" w14:textId="77777777" w:rsidR="00000000" w:rsidRDefault="00EE5306">
            <w:pPr>
              <w:spacing w:after="100"/>
              <w:rPr>
                <w:rFonts w:eastAsia="Times New Roman"/>
                <w:sz w:val="20"/>
                <w:szCs w:val="20"/>
              </w:rPr>
            </w:pPr>
          </w:p>
        </w:tc>
        <w:tc>
          <w:tcPr>
            <w:tcW w:w="50" w:type="pct"/>
            <w:vAlign w:val="center"/>
            <w:hideMark/>
          </w:tcPr>
          <w:p w14:paraId="4B618C25" w14:textId="77777777" w:rsidR="00000000" w:rsidRDefault="00EE5306">
            <w:pPr>
              <w:spacing w:after="100"/>
              <w:rPr>
                <w:rFonts w:eastAsia="Times New Roman"/>
                <w:sz w:val="20"/>
                <w:szCs w:val="20"/>
              </w:rPr>
            </w:pPr>
          </w:p>
        </w:tc>
        <w:tc>
          <w:tcPr>
            <w:tcW w:w="1436" w:type="pct"/>
            <w:vAlign w:val="center"/>
            <w:hideMark/>
          </w:tcPr>
          <w:p w14:paraId="784A4A7E" w14:textId="77777777" w:rsidR="00000000" w:rsidRDefault="00EE5306">
            <w:pPr>
              <w:spacing w:after="100"/>
              <w:rPr>
                <w:rFonts w:eastAsia="Times New Roman"/>
                <w:sz w:val="20"/>
                <w:szCs w:val="20"/>
              </w:rPr>
            </w:pPr>
          </w:p>
        </w:tc>
        <w:tc>
          <w:tcPr>
            <w:tcW w:w="5" w:type="pct"/>
            <w:vAlign w:val="center"/>
            <w:hideMark/>
          </w:tcPr>
          <w:p w14:paraId="5518C8EC" w14:textId="77777777" w:rsidR="00000000" w:rsidRDefault="00EE5306">
            <w:pPr>
              <w:spacing w:after="100"/>
              <w:rPr>
                <w:rFonts w:eastAsia="Times New Roman"/>
                <w:sz w:val="20"/>
                <w:szCs w:val="20"/>
              </w:rPr>
            </w:pPr>
          </w:p>
        </w:tc>
        <w:tc>
          <w:tcPr>
            <w:tcW w:w="50" w:type="pct"/>
            <w:vAlign w:val="center"/>
            <w:hideMark/>
          </w:tcPr>
          <w:p w14:paraId="32E0D708" w14:textId="77777777" w:rsidR="00000000" w:rsidRDefault="00EE5306">
            <w:pPr>
              <w:spacing w:after="100"/>
              <w:rPr>
                <w:rFonts w:eastAsia="Times New Roman"/>
                <w:sz w:val="20"/>
                <w:szCs w:val="20"/>
              </w:rPr>
            </w:pPr>
          </w:p>
        </w:tc>
        <w:tc>
          <w:tcPr>
            <w:tcW w:w="1699" w:type="pct"/>
            <w:vAlign w:val="center"/>
            <w:hideMark/>
          </w:tcPr>
          <w:p w14:paraId="76A62AD0" w14:textId="77777777" w:rsidR="00000000" w:rsidRDefault="00EE5306">
            <w:pPr>
              <w:spacing w:after="100"/>
              <w:rPr>
                <w:rFonts w:eastAsia="Times New Roman"/>
                <w:sz w:val="20"/>
                <w:szCs w:val="20"/>
              </w:rPr>
            </w:pPr>
          </w:p>
        </w:tc>
        <w:tc>
          <w:tcPr>
            <w:tcW w:w="5" w:type="pct"/>
            <w:vAlign w:val="center"/>
            <w:hideMark/>
          </w:tcPr>
          <w:p w14:paraId="5FC576C1" w14:textId="77777777" w:rsidR="00000000" w:rsidRDefault="00EE5306">
            <w:pPr>
              <w:spacing w:after="100"/>
              <w:rPr>
                <w:rFonts w:eastAsia="Times New Roman"/>
                <w:sz w:val="20"/>
                <w:szCs w:val="20"/>
              </w:rPr>
            </w:pPr>
          </w:p>
        </w:tc>
      </w:tr>
      <w:tr w:rsidR="00000000" w14:paraId="5986B799" w14:textId="77777777">
        <w:trPr>
          <w:divId w:val="1660688714"/>
          <w:jc w:val="center"/>
        </w:trPr>
        <w:tc>
          <w:tcPr>
            <w:tcW w:w="0" w:type="auto"/>
            <w:gridSpan w:val="3"/>
            <w:tcMar>
              <w:top w:w="0" w:type="dxa"/>
              <w:left w:w="20" w:type="dxa"/>
              <w:bottom w:w="0" w:type="dxa"/>
              <w:right w:w="20" w:type="dxa"/>
            </w:tcMar>
            <w:vAlign w:val="center"/>
            <w:hideMark/>
          </w:tcPr>
          <w:p w14:paraId="3421F28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56182A7" w14:textId="77777777" w:rsidR="00000000" w:rsidRDefault="00EE5306">
            <w:pPr>
              <w:spacing w:after="100"/>
              <w:jc w:val="center"/>
              <w:rPr>
                <w:rFonts w:eastAsia="Times New Roman"/>
              </w:rPr>
            </w:pPr>
            <w:r>
              <w:rPr>
                <w:rFonts w:eastAsia="Times New Roman"/>
                <w:color w:val="000000"/>
                <w:sz w:val="20"/>
                <w:szCs w:val="20"/>
              </w:rPr>
              <w:t>56</w:t>
            </w:r>
          </w:p>
        </w:tc>
        <w:tc>
          <w:tcPr>
            <w:tcW w:w="0" w:type="auto"/>
            <w:gridSpan w:val="3"/>
            <w:tcMar>
              <w:top w:w="0" w:type="dxa"/>
              <w:left w:w="20" w:type="dxa"/>
              <w:bottom w:w="0" w:type="dxa"/>
              <w:right w:w="20" w:type="dxa"/>
            </w:tcMar>
            <w:vAlign w:val="center"/>
            <w:hideMark/>
          </w:tcPr>
          <w:p w14:paraId="58DE0C32" w14:textId="77777777" w:rsidR="00000000" w:rsidRDefault="00EE5306">
            <w:pPr>
              <w:spacing w:after="100"/>
              <w:jc w:val="center"/>
              <w:rPr>
                <w:rFonts w:eastAsia="Times New Roman"/>
              </w:rPr>
            </w:pPr>
          </w:p>
        </w:tc>
      </w:tr>
    </w:tbl>
    <w:p w14:paraId="203E55D4" w14:textId="77777777" w:rsidR="00000000" w:rsidRDefault="00EE5306">
      <w:pPr>
        <w:rPr>
          <w:rFonts w:eastAsia="Times New Roman"/>
        </w:rPr>
      </w:pPr>
      <w:r>
        <w:rPr>
          <w:rFonts w:eastAsia="Times New Roman"/>
        </w:rPr>
        <w:pict w14:anchorId="7C777FFE">
          <v:rect id="_x0000_i1083" style="width:0;height:1.5pt" o:hralign="center" o:hrstd="t" o:hr="t" fillcolor="#a0a0a0" stroked="f"/>
        </w:pict>
      </w:r>
    </w:p>
    <w:p w14:paraId="126F796A" w14:textId="77777777" w:rsidR="00000000" w:rsidRDefault="00EE5306">
      <w:pPr>
        <w:divId w:val="625965853"/>
        <w:rPr>
          <w:rFonts w:eastAsia="Times New Roman"/>
        </w:rPr>
      </w:pPr>
    </w:p>
    <w:p w14:paraId="5991915A" w14:textId="77777777" w:rsidR="00000000" w:rsidRDefault="00EE5306">
      <w:pPr>
        <w:ind w:firstLine="360"/>
        <w:jc w:val="both"/>
        <w:divId w:val="1272978466"/>
        <w:rPr>
          <w:rFonts w:eastAsia="Times New Roman"/>
        </w:rPr>
      </w:pPr>
      <w:r>
        <w:rPr>
          <w:rFonts w:eastAsia="Times New Roman"/>
          <w:b/>
          <w:bCs/>
          <w:i/>
          <w:iCs/>
          <w:color w:val="000000"/>
          <w:sz w:val="20"/>
          <w:szCs w:val="20"/>
        </w:rPr>
        <w:t>Fiscal 2020 Compared to Fiscal 2019</w:t>
      </w:r>
    </w:p>
    <w:p w14:paraId="40820C3A" w14:textId="77777777" w:rsidR="00000000" w:rsidRDefault="00EE5306">
      <w:pPr>
        <w:ind w:firstLine="540"/>
        <w:jc w:val="both"/>
        <w:divId w:val="1704288112"/>
        <w:rPr>
          <w:rFonts w:eastAsia="Times New Roman"/>
        </w:rPr>
      </w:pPr>
      <w:r>
        <w:rPr>
          <w:rFonts w:eastAsia="Times New Roman"/>
          <w:color w:val="000000"/>
          <w:sz w:val="20"/>
          <w:szCs w:val="20"/>
        </w:rPr>
        <w:t>The following table summarizes our results of operations and expresses the percentage relationship to net revenues of certain financial statement captions. All percentages shown in t</w:t>
      </w:r>
      <w:r>
        <w:rPr>
          <w:rFonts w:eastAsia="Times New Roman"/>
          <w:color w:val="000000"/>
          <w:sz w:val="20"/>
          <w:szCs w:val="20"/>
        </w:rPr>
        <w:t>he below table and the discussion that follows have been calculated using unrounded numbers.</w:t>
      </w:r>
    </w:p>
    <w:tbl>
      <w:tblPr>
        <w:tblW w:w="4714" w:type="pct"/>
        <w:tblCellMar>
          <w:top w:w="15" w:type="dxa"/>
          <w:left w:w="15" w:type="dxa"/>
          <w:bottom w:w="15" w:type="dxa"/>
          <w:right w:w="15" w:type="dxa"/>
        </w:tblCellMar>
        <w:tblLook w:val="04A0" w:firstRow="1" w:lastRow="0" w:firstColumn="1" w:lastColumn="0" w:noHBand="0" w:noVBand="1"/>
      </w:tblPr>
      <w:tblGrid>
        <w:gridCol w:w="39"/>
        <w:gridCol w:w="3462"/>
        <w:gridCol w:w="38"/>
        <w:gridCol w:w="36"/>
        <w:gridCol w:w="36"/>
        <w:gridCol w:w="36"/>
        <w:gridCol w:w="120"/>
        <w:gridCol w:w="697"/>
        <w:gridCol w:w="254"/>
        <w:gridCol w:w="36"/>
        <w:gridCol w:w="36"/>
        <w:gridCol w:w="36"/>
        <w:gridCol w:w="120"/>
        <w:gridCol w:w="697"/>
        <w:gridCol w:w="187"/>
        <w:gridCol w:w="36"/>
        <w:gridCol w:w="36"/>
        <w:gridCol w:w="36"/>
        <w:gridCol w:w="120"/>
        <w:gridCol w:w="697"/>
        <w:gridCol w:w="36"/>
        <w:gridCol w:w="36"/>
        <w:gridCol w:w="36"/>
        <w:gridCol w:w="36"/>
        <w:gridCol w:w="46"/>
        <w:gridCol w:w="632"/>
        <w:gridCol w:w="254"/>
      </w:tblGrid>
      <w:tr w:rsidR="00000000" w14:paraId="4C0A666A" w14:textId="77777777">
        <w:trPr>
          <w:divId w:val="1082024438"/>
        </w:trPr>
        <w:tc>
          <w:tcPr>
            <w:tcW w:w="50" w:type="pct"/>
            <w:vAlign w:val="center"/>
            <w:hideMark/>
          </w:tcPr>
          <w:p w14:paraId="581BE170" w14:textId="77777777" w:rsidR="00000000" w:rsidRDefault="00EE5306">
            <w:pPr>
              <w:ind w:firstLine="540"/>
              <w:jc w:val="both"/>
              <w:rPr>
                <w:rFonts w:eastAsia="Times New Roman"/>
              </w:rPr>
            </w:pPr>
          </w:p>
        </w:tc>
        <w:tc>
          <w:tcPr>
            <w:tcW w:w="2309" w:type="pct"/>
            <w:vAlign w:val="center"/>
            <w:hideMark/>
          </w:tcPr>
          <w:p w14:paraId="40A473C2" w14:textId="77777777" w:rsidR="00000000" w:rsidRDefault="00EE5306">
            <w:pPr>
              <w:spacing w:after="100"/>
              <w:rPr>
                <w:rFonts w:eastAsia="Times New Roman"/>
                <w:sz w:val="20"/>
                <w:szCs w:val="20"/>
              </w:rPr>
            </w:pPr>
          </w:p>
        </w:tc>
        <w:tc>
          <w:tcPr>
            <w:tcW w:w="5" w:type="pct"/>
            <w:vAlign w:val="center"/>
            <w:hideMark/>
          </w:tcPr>
          <w:p w14:paraId="7FF9ACCB" w14:textId="77777777" w:rsidR="00000000" w:rsidRDefault="00EE5306">
            <w:pPr>
              <w:spacing w:after="100"/>
              <w:rPr>
                <w:rFonts w:eastAsia="Times New Roman"/>
                <w:sz w:val="20"/>
                <w:szCs w:val="20"/>
              </w:rPr>
            </w:pPr>
          </w:p>
        </w:tc>
        <w:tc>
          <w:tcPr>
            <w:tcW w:w="5" w:type="pct"/>
            <w:vAlign w:val="center"/>
            <w:hideMark/>
          </w:tcPr>
          <w:p w14:paraId="2866E75A" w14:textId="77777777" w:rsidR="00000000" w:rsidRDefault="00EE5306">
            <w:pPr>
              <w:spacing w:after="100"/>
              <w:rPr>
                <w:rFonts w:eastAsia="Times New Roman"/>
                <w:sz w:val="20"/>
                <w:szCs w:val="20"/>
              </w:rPr>
            </w:pPr>
          </w:p>
        </w:tc>
        <w:tc>
          <w:tcPr>
            <w:tcW w:w="28" w:type="pct"/>
            <w:vAlign w:val="center"/>
            <w:hideMark/>
          </w:tcPr>
          <w:p w14:paraId="0EC62810" w14:textId="77777777" w:rsidR="00000000" w:rsidRDefault="00EE5306">
            <w:pPr>
              <w:spacing w:after="100"/>
              <w:rPr>
                <w:rFonts w:eastAsia="Times New Roman"/>
                <w:sz w:val="20"/>
                <w:szCs w:val="20"/>
              </w:rPr>
            </w:pPr>
          </w:p>
        </w:tc>
        <w:tc>
          <w:tcPr>
            <w:tcW w:w="5" w:type="pct"/>
            <w:vAlign w:val="center"/>
            <w:hideMark/>
          </w:tcPr>
          <w:p w14:paraId="62FBA269" w14:textId="77777777" w:rsidR="00000000" w:rsidRDefault="00EE5306">
            <w:pPr>
              <w:spacing w:after="100"/>
              <w:rPr>
                <w:rFonts w:eastAsia="Times New Roman"/>
                <w:sz w:val="20"/>
                <w:szCs w:val="20"/>
              </w:rPr>
            </w:pPr>
          </w:p>
        </w:tc>
        <w:tc>
          <w:tcPr>
            <w:tcW w:w="50" w:type="pct"/>
            <w:vAlign w:val="center"/>
            <w:hideMark/>
          </w:tcPr>
          <w:p w14:paraId="6A92839D" w14:textId="77777777" w:rsidR="00000000" w:rsidRDefault="00EE5306">
            <w:pPr>
              <w:spacing w:after="100"/>
              <w:rPr>
                <w:rFonts w:eastAsia="Times New Roman"/>
                <w:sz w:val="20"/>
                <w:szCs w:val="20"/>
              </w:rPr>
            </w:pPr>
          </w:p>
        </w:tc>
        <w:tc>
          <w:tcPr>
            <w:tcW w:w="565" w:type="pct"/>
            <w:vAlign w:val="center"/>
            <w:hideMark/>
          </w:tcPr>
          <w:p w14:paraId="11D00657" w14:textId="77777777" w:rsidR="00000000" w:rsidRDefault="00EE5306">
            <w:pPr>
              <w:spacing w:after="100"/>
              <w:rPr>
                <w:rFonts w:eastAsia="Times New Roman"/>
                <w:sz w:val="20"/>
                <w:szCs w:val="20"/>
              </w:rPr>
            </w:pPr>
          </w:p>
        </w:tc>
        <w:tc>
          <w:tcPr>
            <w:tcW w:w="5" w:type="pct"/>
            <w:vAlign w:val="center"/>
            <w:hideMark/>
          </w:tcPr>
          <w:p w14:paraId="748FE516" w14:textId="77777777" w:rsidR="00000000" w:rsidRDefault="00EE5306">
            <w:pPr>
              <w:spacing w:after="100"/>
              <w:rPr>
                <w:rFonts w:eastAsia="Times New Roman"/>
                <w:sz w:val="20"/>
                <w:szCs w:val="20"/>
              </w:rPr>
            </w:pPr>
          </w:p>
        </w:tc>
        <w:tc>
          <w:tcPr>
            <w:tcW w:w="5" w:type="pct"/>
            <w:vAlign w:val="center"/>
            <w:hideMark/>
          </w:tcPr>
          <w:p w14:paraId="4F5460A5" w14:textId="77777777" w:rsidR="00000000" w:rsidRDefault="00EE5306">
            <w:pPr>
              <w:spacing w:after="100"/>
              <w:rPr>
                <w:rFonts w:eastAsia="Times New Roman"/>
                <w:sz w:val="20"/>
                <w:szCs w:val="20"/>
              </w:rPr>
            </w:pPr>
          </w:p>
        </w:tc>
        <w:tc>
          <w:tcPr>
            <w:tcW w:w="28" w:type="pct"/>
            <w:vAlign w:val="center"/>
            <w:hideMark/>
          </w:tcPr>
          <w:p w14:paraId="730C8A42" w14:textId="77777777" w:rsidR="00000000" w:rsidRDefault="00EE5306">
            <w:pPr>
              <w:spacing w:after="100"/>
              <w:rPr>
                <w:rFonts w:eastAsia="Times New Roman"/>
                <w:sz w:val="20"/>
                <w:szCs w:val="20"/>
              </w:rPr>
            </w:pPr>
          </w:p>
        </w:tc>
        <w:tc>
          <w:tcPr>
            <w:tcW w:w="5" w:type="pct"/>
            <w:vAlign w:val="center"/>
            <w:hideMark/>
          </w:tcPr>
          <w:p w14:paraId="4320EA88" w14:textId="77777777" w:rsidR="00000000" w:rsidRDefault="00EE5306">
            <w:pPr>
              <w:spacing w:after="100"/>
              <w:rPr>
                <w:rFonts w:eastAsia="Times New Roman"/>
                <w:sz w:val="20"/>
                <w:szCs w:val="20"/>
              </w:rPr>
            </w:pPr>
          </w:p>
        </w:tc>
        <w:tc>
          <w:tcPr>
            <w:tcW w:w="50" w:type="pct"/>
            <w:vAlign w:val="center"/>
            <w:hideMark/>
          </w:tcPr>
          <w:p w14:paraId="60D23441" w14:textId="77777777" w:rsidR="00000000" w:rsidRDefault="00EE5306">
            <w:pPr>
              <w:spacing w:after="100"/>
              <w:rPr>
                <w:rFonts w:eastAsia="Times New Roman"/>
                <w:sz w:val="20"/>
                <w:szCs w:val="20"/>
              </w:rPr>
            </w:pPr>
          </w:p>
        </w:tc>
        <w:tc>
          <w:tcPr>
            <w:tcW w:w="565" w:type="pct"/>
            <w:vAlign w:val="center"/>
            <w:hideMark/>
          </w:tcPr>
          <w:p w14:paraId="7B2B7B13" w14:textId="77777777" w:rsidR="00000000" w:rsidRDefault="00EE5306">
            <w:pPr>
              <w:spacing w:after="100"/>
              <w:rPr>
                <w:rFonts w:eastAsia="Times New Roman"/>
                <w:sz w:val="20"/>
                <w:szCs w:val="20"/>
              </w:rPr>
            </w:pPr>
          </w:p>
        </w:tc>
        <w:tc>
          <w:tcPr>
            <w:tcW w:w="5" w:type="pct"/>
            <w:vAlign w:val="center"/>
            <w:hideMark/>
          </w:tcPr>
          <w:p w14:paraId="4E1D8375" w14:textId="77777777" w:rsidR="00000000" w:rsidRDefault="00EE5306">
            <w:pPr>
              <w:spacing w:after="100"/>
              <w:rPr>
                <w:rFonts w:eastAsia="Times New Roman"/>
                <w:sz w:val="20"/>
                <w:szCs w:val="20"/>
              </w:rPr>
            </w:pPr>
          </w:p>
        </w:tc>
        <w:tc>
          <w:tcPr>
            <w:tcW w:w="5" w:type="pct"/>
            <w:vAlign w:val="center"/>
            <w:hideMark/>
          </w:tcPr>
          <w:p w14:paraId="5D490D92" w14:textId="77777777" w:rsidR="00000000" w:rsidRDefault="00EE5306">
            <w:pPr>
              <w:spacing w:after="100"/>
              <w:rPr>
                <w:rFonts w:eastAsia="Times New Roman"/>
                <w:sz w:val="20"/>
                <w:szCs w:val="20"/>
              </w:rPr>
            </w:pPr>
          </w:p>
        </w:tc>
        <w:tc>
          <w:tcPr>
            <w:tcW w:w="28" w:type="pct"/>
            <w:vAlign w:val="center"/>
            <w:hideMark/>
          </w:tcPr>
          <w:p w14:paraId="569A93B9" w14:textId="77777777" w:rsidR="00000000" w:rsidRDefault="00EE5306">
            <w:pPr>
              <w:spacing w:after="100"/>
              <w:rPr>
                <w:rFonts w:eastAsia="Times New Roman"/>
                <w:sz w:val="20"/>
                <w:szCs w:val="20"/>
              </w:rPr>
            </w:pPr>
          </w:p>
        </w:tc>
        <w:tc>
          <w:tcPr>
            <w:tcW w:w="5" w:type="pct"/>
            <w:vAlign w:val="center"/>
            <w:hideMark/>
          </w:tcPr>
          <w:p w14:paraId="0321F973" w14:textId="77777777" w:rsidR="00000000" w:rsidRDefault="00EE5306">
            <w:pPr>
              <w:spacing w:after="100"/>
              <w:rPr>
                <w:rFonts w:eastAsia="Times New Roman"/>
                <w:sz w:val="20"/>
                <w:szCs w:val="20"/>
              </w:rPr>
            </w:pPr>
          </w:p>
        </w:tc>
        <w:tc>
          <w:tcPr>
            <w:tcW w:w="50" w:type="pct"/>
            <w:vAlign w:val="center"/>
            <w:hideMark/>
          </w:tcPr>
          <w:p w14:paraId="496B7111" w14:textId="77777777" w:rsidR="00000000" w:rsidRDefault="00EE5306">
            <w:pPr>
              <w:spacing w:after="100"/>
              <w:rPr>
                <w:rFonts w:eastAsia="Times New Roman"/>
                <w:sz w:val="20"/>
                <w:szCs w:val="20"/>
              </w:rPr>
            </w:pPr>
          </w:p>
        </w:tc>
        <w:tc>
          <w:tcPr>
            <w:tcW w:w="565" w:type="pct"/>
            <w:vAlign w:val="center"/>
            <w:hideMark/>
          </w:tcPr>
          <w:p w14:paraId="39DD6D2C" w14:textId="77777777" w:rsidR="00000000" w:rsidRDefault="00EE5306">
            <w:pPr>
              <w:spacing w:after="100"/>
              <w:rPr>
                <w:rFonts w:eastAsia="Times New Roman"/>
                <w:sz w:val="20"/>
                <w:szCs w:val="20"/>
              </w:rPr>
            </w:pPr>
          </w:p>
        </w:tc>
        <w:tc>
          <w:tcPr>
            <w:tcW w:w="5" w:type="pct"/>
            <w:vAlign w:val="center"/>
            <w:hideMark/>
          </w:tcPr>
          <w:p w14:paraId="7EB21336" w14:textId="77777777" w:rsidR="00000000" w:rsidRDefault="00EE5306">
            <w:pPr>
              <w:spacing w:after="100"/>
              <w:rPr>
                <w:rFonts w:eastAsia="Times New Roman"/>
                <w:sz w:val="20"/>
                <w:szCs w:val="20"/>
              </w:rPr>
            </w:pPr>
          </w:p>
        </w:tc>
        <w:tc>
          <w:tcPr>
            <w:tcW w:w="5" w:type="pct"/>
            <w:vAlign w:val="center"/>
            <w:hideMark/>
          </w:tcPr>
          <w:p w14:paraId="109803D8" w14:textId="77777777" w:rsidR="00000000" w:rsidRDefault="00EE5306">
            <w:pPr>
              <w:spacing w:after="100"/>
              <w:rPr>
                <w:rFonts w:eastAsia="Times New Roman"/>
                <w:sz w:val="20"/>
                <w:szCs w:val="20"/>
              </w:rPr>
            </w:pPr>
          </w:p>
        </w:tc>
        <w:tc>
          <w:tcPr>
            <w:tcW w:w="28" w:type="pct"/>
            <w:vAlign w:val="center"/>
            <w:hideMark/>
          </w:tcPr>
          <w:p w14:paraId="32D82772" w14:textId="77777777" w:rsidR="00000000" w:rsidRDefault="00EE5306">
            <w:pPr>
              <w:spacing w:after="100"/>
              <w:rPr>
                <w:rFonts w:eastAsia="Times New Roman"/>
                <w:sz w:val="20"/>
                <w:szCs w:val="20"/>
              </w:rPr>
            </w:pPr>
          </w:p>
        </w:tc>
        <w:tc>
          <w:tcPr>
            <w:tcW w:w="5" w:type="pct"/>
            <w:vAlign w:val="center"/>
            <w:hideMark/>
          </w:tcPr>
          <w:p w14:paraId="296E202D" w14:textId="77777777" w:rsidR="00000000" w:rsidRDefault="00EE5306">
            <w:pPr>
              <w:spacing w:after="100"/>
              <w:rPr>
                <w:rFonts w:eastAsia="Times New Roman"/>
                <w:sz w:val="20"/>
                <w:szCs w:val="20"/>
              </w:rPr>
            </w:pPr>
          </w:p>
        </w:tc>
        <w:tc>
          <w:tcPr>
            <w:tcW w:w="50" w:type="pct"/>
            <w:vAlign w:val="center"/>
            <w:hideMark/>
          </w:tcPr>
          <w:p w14:paraId="00D51713" w14:textId="77777777" w:rsidR="00000000" w:rsidRDefault="00EE5306">
            <w:pPr>
              <w:spacing w:after="100"/>
              <w:rPr>
                <w:rFonts w:eastAsia="Times New Roman"/>
                <w:sz w:val="20"/>
                <w:szCs w:val="20"/>
              </w:rPr>
            </w:pPr>
          </w:p>
        </w:tc>
        <w:tc>
          <w:tcPr>
            <w:tcW w:w="565" w:type="pct"/>
            <w:vAlign w:val="center"/>
            <w:hideMark/>
          </w:tcPr>
          <w:p w14:paraId="09E2D446" w14:textId="77777777" w:rsidR="00000000" w:rsidRDefault="00EE5306">
            <w:pPr>
              <w:spacing w:after="100"/>
              <w:rPr>
                <w:rFonts w:eastAsia="Times New Roman"/>
                <w:sz w:val="20"/>
                <w:szCs w:val="20"/>
              </w:rPr>
            </w:pPr>
          </w:p>
        </w:tc>
        <w:tc>
          <w:tcPr>
            <w:tcW w:w="5" w:type="pct"/>
            <w:vAlign w:val="center"/>
            <w:hideMark/>
          </w:tcPr>
          <w:p w14:paraId="5DF646E3" w14:textId="77777777" w:rsidR="00000000" w:rsidRDefault="00EE5306">
            <w:pPr>
              <w:spacing w:after="100"/>
              <w:rPr>
                <w:rFonts w:eastAsia="Times New Roman"/>
                <w:sz w:val="20"/>
                <w:szCs w:val="20"/>
              </w:rPr>
            </w:pPr>
          </w:p>
        </w:tc>
      </w:tr>
      <w:tr w:rsidR="00000000" w14:paraId="323FDFC4" w14:textId="77777777">
        <w:trPr>
          <w:divId w:val="1082024438"/>
        </w:trPr>
        <w:tc>
          <w:tcPr>
            <w:tcW w:w="0" w:type="auto"/>
            <w:gridSpan w:val="3"/>
            <w:tcMar>
              <w:top w:w="0" w:type="dxa"/>
              <w:left w:w="20" w:type="dxa"/>
              <w:bottom w:w="0" w:type="dxa"/>
              <w:right w:w="20" w:type="dxa"/>
            </w:tcMar>
            <w:vAlign w:val="center"/>
            <w:hideMark/>
          </w:tcPr>
          <w:p w14:paraId="4607E0E6"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4BC314"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087A2D7"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1E7F0460"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9D78A81"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E9301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E77353" w14:textId="77777777" w:rsidR="00000000" w:rsidRDefault="00EE5306">
            <w:pPr>
              <w:spacing w:after="100"/>
              <w:rPr>
                <w:rFonts w:eastAsia="Times New Roman"/>
                <w:sz w:val="20"/>
                <w:szCs w:val="20"/>
              </w:rPr>
            </w:pPr>
          </w:p>
        </w:tc>
      </w:tr>
      <w:tr w:rsidR="00000000" w14:paraId="455A59DF" w14:textId="77777777">
        <w:trPr>
          <w:divId w:val="1082024438"/>
        </w:trPr>
        <w:tc>
          <w:tcPr>
            <w:tcW w:w="0" w:type="auto"/>
            <w:gridSpan w:val="3"/>
            <w:tcMar>
              <w:top w:w="0" w:type="dxa"/>
              <w:left w:w="20" w:type="dxa"/>
              <w:bottom w:w="0" w:type="dxa"/>
              <w:right w:w="20" w:type="dxa"/>
            </w:tcMar>
            <w:vAlign w:val="center"/>
            <w:hideMark/>
          </w:tcPr>
          <w:p w14:paraId="577826E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79A824"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1342B58"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96FA6A2"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5882A0"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7D97EB92"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83529C3" w14:textId="77777777" w:rsidR="00000000" w:rsidRDefault="00EE5306">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14:paraId="3A900312"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D28C3A" w14:textId="77777777" w:rsidR="00000000" w:rsidRDefault="00EE5306">
            <w:pPr>
              <w:spacing w:after="100"/>
              <w:jc w:val="center"/>
              <w:rPr>
                <w:rFonts w:eastAsia="Times New Roman"/>
              </w:rPr>
            </w:pPr>
            <w:r>
              <w:rPr>
                <w:rFonts w:eastAsia="Times New Roman"/>
                <w:b/>
                <w:bCs/>
                <w:color w:val="000000"/>
                <w:sz w:val="16"/>
                <w:szCs w:val="16"/>
              </w:rPr>
              <w:t>% / bps</w:t>
            </w:r>
            <w:r>
              <w:rPr>
                <w:rFonts w:eastAsia="Times New Roman"/>
                <w:b/>
                <w:bCs/>
                <w:color w:val="000000"/>
                <w:sz w:val="16"/>
                <w:szCs w:val="16"/>
              </w:rPr>
              <w:br/>
              <w:t>Change</w:t>
            </w:r>
          </w:p>
        </w:tc>
      </w:tr>
      <w:tr w:rsidR="00000000" w14:paraId="6036CA1F" w14:textId="77777777">
        <w:trPr>
          <w:divId w:val="1082024438"/>
        </w:trPr>
        <w:tc>
          <w:tcPr>
            <w:tcW w:w="0" w:type="auto"/>
            <w:gridSpan w:val="3"/>
            <w:tcMar>
              <w:top w:w="0" w:type="dxa"/>
              <w:left w:w="20" w:type="dxa"/>
              <w:bottom w:w="0" w:type="dxa"/>
              <w:right w:w="20" w:type="dxa"/>
            </w:tcMar>
            <w:vAlign w:val="center"/>
            <w:hideMark/>
          </w:tcPr>
          <w:p w14:paraId="3636A0D2"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8C465D6" w14:textId="77777777" w:rsidR="00000000" w:rsidRDefault="00EE530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5183C2DE" w14:textId="77777777" w:rsidR="00000000" w:rsidRDefault="00EE5306">
            <w:pPr>
              <w:spacing w:after="100"/>
              <w:jc w:val="center"/>
              <w:rPr>
                <w:rFonts w:eastAsia="Times New Roman"/>
              </w:rPr>
            </w:pPr>
            <w:r>
              <w:rPr>
                <w:rFonts w:eastAsia="Times New Roman"/>
                <w:b/>
                <w:bCs/>
                <w:color w:val="000000"/>
                <w:sz w:val="16"/>
                <w:szCs w:val="16"/>
              </w:rPr>
              <w:t>(millions, except per share data)</w:t>
            </w:r>
          </w:p>
        </w:tc>
        <w:tc>
          <w:tcPr>
            <w:tcW w:w="0" w:type="auto"/>
            <w:gridSpan w:val="3"/>
            <w:tcMar>
              <w:top w:w="0" w:type="dxa"/>
              <w:left w:w="20" w:type="dxa"/>
              <w:bottom w:w="0" w:type="dxa"/>
              <w:right w:w="20" w:type="dxa"/>
            </w:tcMar>
            <w:vAlign w:val="center"/>
            <w:hideMark/>
          </w:tcPr>
          <w:p w14:paraId="46D7AFB7"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B7CDCFD" w14:textId="77777777" w:rsidR="00000000" w:rsidRDefault="00EE5306">
            <w:pPr>
              <w:spacing w:after="100"/>
              <w:rPr>
                <w:rFonts w:eastAsia="Times New Roman"/>
                <w:sz w:val="20"/>
                <w:szCs w:val="20"/>
              </w:rPr>
            </w:pPr>
          </w:p>
        </w:tc>
      </w:tr>
      <w:tr w:rsidR="00000000" w14:paraId="7B5CAA1E" w14:textId="77777777">
        <w:trPr>
          <w:divId w:val="1082024438"/>
        </w:trPr>
        <w:tc>
          <w:tcPr>
            <w:tcW w:w="0" w:type="auto"/>
            <w:gridSpan w:val="3"/>
            <w:shd w:val="clear" w:color="auto" w:fill="CCEEFF"/>
            <w:tcMar>
              <w:top w:w="30" w:type="dxa"/>
              <w:left w:w="20" w:type="dxa"/>
              <w:bottom w:w="30" w:type="dxa"/>
              <w:right w:w="20" w:type="dxa"/>
            </w:tcMar>
            <w:vAlign w:val="bottom"/>
            <w:hideMark/>
          </w:tcPr>
          <w:p w14:paraId="30F4FCE6" w14:textId="77777777" w:rsidR="00000000" w:rsidRDefault="00EE5306">
            <w:pPr>
              <w:spacing w:after="100"/>
              <w:divId w:val="2120830536"/>
              <w:rPr>
                <w:rFonts w:eastAsia="Times New Roman"/>
              </w:rPr>
            </w:pPr>
            <w:r>
              <w:rPr>
                <w:rFonts w:eastAsia="Times New Roman"/>
                <w:b/>
                <w:bCs/>
                <w:color w:val="000000"/>
                <w:sz w:val="20"/>
                <w:szCs w:val="20"/>
              </w:rPr>
              <w:t>Net revenues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4196E423"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4BAF1B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D82C56" w14:textId="77777777" w:rsidR="00000000" w:rsidRDefault="00EE5306">
            <w:pPr>
              <w:spacing w:after="100"/>
              <w:jc w:val="right"/>
              <w:rPr>
                <w:rFonts w:eastAsia="Times New Roman"/>
              </w:rPr>
            </w:pPr>
            <w:r>
              <w:rPr>
                <w:rFonts w:eastAsia="Times New Roman"/>
                <w:color w:val="000000"/>
                <w:sz w:val="20"/>
                <w:szCs w:val="20"/>
              </w:rPr>
              <w:t>6,159.8 </w:t>
            </w:r>
          </w:p>
        </w:tc>
        <w:tc>
          <w:tcPr>
            <w:tcW w:w="0" w:type="auto"/>
            <w:shd w:val="clear" w:color="auto" w:fill="CCEEFF"/>
            <w:tcMar>
              <w:top w:w="30" w:type="dxa"/>
              <w:left w:w="0" w:type="dxa"/>
              <w:bottom w:w="30" w:type="dxa"/>
              <w:right w:w="20" w:type="dxa"/>
            </w:tcMar>
            <w:vAlign w:val="bottom"/>
            <w:hideMark/>
          </w:tcPr>
          <w:p w14:paraId="5A29A8D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E685E"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369D1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354502" w14:textId="77777777" w:rsidR="00000000" w:rsidRDefault="00EE5306">
            <w:pPr>
              <w:spacing w:after="100"/>
              <w:jc w:val="right"/>
              <w:rPr>
                <w:rFonts w:eastAsia="Times New Roman"/>
              </w:rPr>
            </w:pPr>
            <w:r>
              <w:rPr>
                <w:rFonts w:eastAsia="Times New Roman"/>
                <w:color w:val="000000"/>
                <w:sz w:val="20"/>
                <w:szCs w:val="20"/>
              </w:rPr>
              <w:t>6,313.0 </w:t>
            </w:r>
          </w:p>
        </w:tc>
        <w:tc>
          <w:tcPr>
            <w:tcW w:w="0" w:type="auto"/>
            <w:shd w:val="clear" w:color="auto" w:fill="CCEEFF"/>
            <w:tcMar>
              <w:top w:w="30" w:type="dxa"/>
              <w:left w:w="0" w:type="dxa"/>
              <w:bottom w:w="30" w:type="dxa"/>
              <w:right w:w="20" w:type="dxa"/>
            </w:tcMar>
            <w:vAlign w:val="bottom"/>
            <w:hideMark/>
          </w:tcPr>
          <w:p w14:paraId="0CA54CD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1E2B2"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E2938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42FCE8" w14:textId="77777777" w:rsidR="00000000" w:rsidRDefault="00EE5306">
            <w:pPr>
              <w:spacing w:after="100"/>
              <w:jc w:val="right"/>
              <w:rPr>
                <w:rFonts w:eastAsia="Times New Roman"/>
              </w:rPr>
            </w:pPr>
            <w:r>
              <w:rPr>
                <w:rFonts w:eastAsia="Times New Roman"/>
                <w:color w:val="000000"/>
                <w:sz w:val="20"/>
                <w:szCs w:val="20"/>
              </w:rPr>
              <w:t>(153.2)</w:t>
            </w:r>
          </w:p>
        </w:tc>
        <w:tc>
          <w:tcPr>
            <w:tcW w:w="0" w:type="auto"/>
            <w:shd w:val="clear" w:color="auto" w:fill="CCEEFF"/>
            <w:tcMar>
              <w:top w:w="30" w:type="dxa"/>
              <w:left w:w="0" w:type="dxa"/>
              <w:bottom w:w="30" w:type="dxa"/>
              <w:right w:w="20" w:type="dxa"/>
            </w:tcMar>
            <w:vAlign w:val="bottom"/>
            <w:hideMark/>
          </w:tcPr>
          <w:p w14:paraId="1CED401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FF30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BB42D" w14:textId="77777777" w:rsidR="00000000" w:rsidRDefault="00EE5306">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219C119E" w14:textId="77777777" w:rsidR="00000000" w:rsidRDefault="00EE5306">
            <w:pPr>
              <w:spacing w:after="100"/>
              <w:rPr>
                <w:rFonts w:eastAsia="Times New Roman"/>
              </w:rPr>
            </w:pPr>
            <w:r>
              <w:rPr>
                <w:rFonts w:eastAsia="Times New Roman"/>
                <w:color w:val="000000"/>
                <w:sz w:val="20"/>
                <w:szCs w:val="20"/>
              </w:rPr>
              <w:t>%)</w:t>
            </w:r>
          </w:p>
        </w:tc>
      </w:tr>
      <w:tr w:rsidR="00000000" w14:paraId="059E4562" w14:textId="77777777">
        <w:trPr>
          <w:divId w:val="1082024438"/>
        </w:trPr>
        <w:tc>
          <w:tcPr>
            <w:tcW w:w="0" w:type="auto"/>
            <w:gridSpan w:val="3"/>
            <w:shd w:val="clear" w:color="auto" w:fill="FFFFFF"/>
            <w:tcMar>
              <w:top w:w="30" w:type="dxa"/>
              <w:left w:w="20" w:type="dxa"/>
              <w:bottom w:w="30" w:type="dxa"/>
              <w:right w:w="20" w:type="dxa"/>
            </w:tcMar>
            <w:vAlign w:val="bottom"/>
            <w:hideMark/>
          </w:tcPr>
          <w:p w14:paraId="2CF74B4B" w14:textId="77777777" w:rsidR="00000000" w:rsidRDefault="00EE5306">
            <w:pPr>
              <w:spacing w:after="100"/>
              <w:rPr>
                <w:rFonts w:eastAsia="Times New Roman"/>
              </w:rPr>
            </w:pPr>
            <w:r>
              <w:rPr>
                <w:rFonts w:eastAsia="Times New Roman"/>
                <w:color w:val="000000"/>
                <w:sz w:val="20"/>
                <w:szCs w:val="20"/>
              </w:rPr>
              <w:t>Cost of goods sold</w:t>
            </w:r>
          </w:p>
        </w:tc>
        <w:tc>
          <w:tcPr>
            <w:tcW w:w="0" w:type="auto"/>
            <w:gridSpan w:val="3"/>
            <w:shd w:val="clear" w:color="auto" w:fill="FFFFFF"/>
            <w:tcMar>
              <w:top w:w="0" w:type="dxa"/>
              <w:left w:w="20" w:type="dxa"/>
              <w:bottom w:w="0" w:type="dxa"/>
              <w:right w:w="20" w:type="dxa"/>
            </w:tcMar>
            <w:vAlign w:val="center"/>
            <w:hideMark/>
          </w:tcPr>
          <w:p w14:paraId="2610429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D7FD4A" w14:textId="77777777" w:rsidR="00000000" w:rsidRDefault="00EE5306">
            <w:pPr>
              <w:spacing w:after="100"/>
              <w:jc w:val="right"/>
              <w:rPr>
                <w:rFonts w:eastAsia="Times New Roman"/>
              </w:rPr>
            </w:pPr>
            <w:r>
              <w:rPr>
                <w:rFonts w:eastAsia="Times New Roman"/>
                <w:color w:val="000000"/>
                <w:sz w:val="20"/>
                <w:szCs w:val="20"/>
              </w:rPr>
              <w:t>(2,506.5)</w:t>
            </w:r>
          </w:p>
        </w:tc>
        <w:tc>
          <w:tcPr>
            <w:tcW w:w="0" w:type="auto"/>
            <w:shd w:val="clear" w:color="auto" w:fill="FFFFFF"/>
            <w:tcMar>
              <w:top w:w="30" w:type="dxa"/>
              <w:left w:w="0" w:type="dxa"/>
              <w:bottom w:w="30" w:type="dxa"/>
              <w:right w:w="20" w:type="dxa"/>
            </w:tcMar>
            <w:vAlign w:val="bottom"/>
            <w:hideMark/>
          </w:tcPr>
          <w:p w14:paraId="711CD69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0A54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2B4B8" w14:textId="77777777" w:rsidR="00000000" w:rsidRDefault="00EE5306">
            <w:pPr>
              <w:spacing w:after="100"/>
              <w:jc w:val="right"/>
              <w:rPr>
                <w:rFonts w:eastAsia="Times New Roman"/>
              </w:rPr>
            </w:pPr>
            <w:r>
              <w:rPr>
                <w:rFonts w:eastAsia="Times New Roman"/>
                <w:color w:val="000000"/>
                <w:sz w:val="20"/>
                <w:szCs w:val="20"/>
              </w:rPr>
              <w:t>(2,427.0)</w:t>
            </w:r>
          </w:p>
        </w:tc>
        <w:tc>
          <w:tcPr>
            <w:tcW w:w="0" w:type="auto"/>
            <w:shd w:val="clear" w:color="auto" w:fill="FFFFFF"/>
            <w:tcMar>
              <w:top w:w="30" w:type="dxa"/>
              <w:left w:w="0" w:type="dxa"/>
              <w:bottom w:w="30" w:type="dxa"/>
              <w:right w:w="20" w:type="dxa"/>
            </w:tcMar>
            <w:vAlign w:val="bottom"/>
            <w:hideMark/>
          </w:tcPr>
          <w:p w14:paraId="2ACBDBC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B081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32D118" w14:textId="77777777" w:rsidR="00000000" w:rsidRDefault="00EE5306">
            <w:pPr>
              <w:spacing w:after="100"/>
              <w:jc w:val="right"/>
              <w:rPr>
                <w:rFonts w:eastAsia="Times New Roman"/>
              </w:rPr>
            </w:pPr>
            <w:r>
              <w:rPr>
                <w:rFonts w:eastAsia="Times New Roman"/>
                <w:color w:val="000000"/>
                <w:sz w:val="20"/>
                <w:szCs w:val="20"/>
              </w:rPr>
              <w:t>(79.5)</w:t>
            </w:r>
          </w:p>
        </w:tc>
        <w:tc>
          <w:tcPr>
            <w:tcW w:w="0" w:type="auto"/>
            <w:shd w:val="clear" w:color="auto" w:fill="FFFFFF"/>
            <w:tcMar>
              <w:top w:w="30" w:type="dxa"/>
              <w:left w:w="0" w:type="dxa"/>
              <w:bottom w:w="30" w:type="dxa"/>
              <w:right w:w="20" w:type="dxa"/>
            </w:tcMar>
            <w:vAlign w:val="bottom"/>
            <w:hideMark/>
          </w:tcPr>
          <w:p w14:paraId="038C650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C992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5D592B" w14:textId="77777777" w:rsidR="00000000" w:rsidRDefault="00EE5306">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7A32B031" w14:textId="77777777" w:rsidR="00000000" w:rsidRDefault="00EE5306">
            <w:pPr>
              <w:spacing w:after="100"/>
              <w:rPr>
                <w:rFonts w:eastAsia="Times New Roman"/>
              </w:rPr>
            </w:pPr>
            <w:r>
              <w:rPr>
                <w:rFonts w:eastAsia="Times New Roman"/>
                <w:color w:val="000000"/>
                <w:sz w:val="20"/>
                <w:szCs w:val="20"/>
              </w:rPr>
              <w:t>%</w:t>
            </w:r>
          </w:p>
        </w:tc>
      </w:tr>
      <w:tr w:rsidR="00000000" w14:paraId="75C6AAE6" w14:textId="77777777">
        <w:trPr>
          <w:divId w:val="1082024438"/>
        </w:trPr>
        <w:tc>
          <w:tcPr>
            <w:tcW w:w="0" w:type="auto"/>
            <w:gridSpan w:val="3"/>
            <w:shd w:val="clear" w:color="auto" w:fill="CCEEFF"/>
            <w:tcMar>
              <w:top w:w="30" w:type="dxa"/>
              <w:left w:w="20" w:type="dxa"/>
              <w:bottom w:w="30" w:type="dxa"/>
              <w:right w:w="20" w:type="dxa"/>
            </w:tcMar>
            <w:vAlign w:val="bottom"/>
            <w:hideMark/>
          </w:tcPr>
          <w:p w14:paraId="23D88490" w14:textId="77777777" w:rsidR="00000000" w:rsidRDefault="00EE5306">
            <w:pPr>
              <w:spacing w:after="100"/>
              <w:divId w:val="991909388"/>
              <w:rPr>
                <w:rFonts w:eastAsia="Times New Roman"/>
              </w:rPr>
            </w:pPr>
            <w:r>
              <w:rPr>
                <w:rFonts w:eastAsia="Times New Roman"/>
                <w:b/>
                <w:bCs/>
                <w:color w:val="000000"/>
                <w:sz w:val="20"/>
                <w:szCs w:val="20"/>
              </w:rPr>
              <w:t>Gross profit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4462587C"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E97487" w14:textId="77777777" w:rsidR="00000000" w:rsidRDefault="00EE5306">
            <w:pPr>
              <w:spacing w:after="100"/>
              <w:jc w:val="right"/>
              <w:rPr>
                <w:rFonts w:eastAsia="Times New Roman"/>
              </w:rPr>
            </w:pPr>
            <w:r>
              <w:rPr>
                <w:rFonts w:eastAsia="Times New Roman"/>
                <w:color w:val="000000"/>
                <w:sz w:val="20"/>
                <w:szCs w:val="20"/>
              </w:rPr>
              <w:t>3,653.3 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280C9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83435"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779AF0" w14:textId="77777777" w:rsidR="00000000" w:rsidRDefault="00EE5306">
            <w:pPr>
              <w:spacing w:after="100"/>
              <w:jc w:val="right"/>
              <w:rPr>
                <w:rFonts w:eastAsia="Times New Roman"/>
              </w:rPr>
            </w:pPr>
            <w:r>
              <w:rPr>
                <w:rFonts w:eastAsia="Times New Roman"/>
                <w:color w:val="000000"/>
                <w:sz w:val="20"/>
                <w:szCs w:val="20"/>
              </w:rPr>
              <w:t>3,886.0 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7FC02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C7A21"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E62086" w14:textId="77777777" w:rsidR="00000000" w:rsidRDefault="00EE5306">
            <w:pPr>
              <w:spacing w:after="100"/>
              <w:jc w:val="right"/>
              <w:rPr>
                <w:rFonts w:eastAsia="Times New Roman"/>
              </w:rPr>
            </w:pPr>
            <w:r>
              <w:rPr>
                <w:rFonts w:eastAsia="Times New Roman"/>
                <w:color w:val="000000"/>
                <w:sz w:val="20"/>
                <w:szCs w:val="20"/>
              </w:rPr>
              <w:t>(232.7)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7A9B0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9A606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70B80B" w14:textId="77777777" w:rsidR="00000000" w:rsidRDefault="00EE5306">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14:paraId="06513E10" w14:textId="77777777" w:rsidR="00000000" w:rsidRDefault="00EE5306">
            <w:pPr>
              <w:spacing w:after="100"/>
              <w:rPr>
                <w:rFonts w:eastAsia="Times New Roman"/>
              </w:rPr>
            </w:pPr>
            <w:r>
              <w:rPr>
                <w:rFonts w:eastAsia="Times New Roman"/>
                <w:color w:val="000000"/>
                <w:sz w:val="20"/>
                <w:szCs w:val="20"/>
              </w:rPr>
              <w:t>%)</w:t>
            </w:r>
          </w:p>
        </w:tc>
      </w:tr>
      <w:tr w:rsidR="00000000" w14:paraId="58B987E3" w14:textId="77777777">
        <w:trPr>
          <w:divId w:val="1082024438"/>
        </w:trPr>
        <w:tc>
          <w:tcPr>
            <w:tcW w:w="0" w:type="auto"/>
            <w:gridSpan w:val="3"/>
            <w:shd w:val="clear" w:color="auto" w:fill="FFFFFF"/>
            <w:tcMar>
              <w:top w:w="30" w:type="dxa"/>
              <w:left w:w="245" w:type="dxa"/>
              <w:bottom w:w="30" w:type="dxa"/>
              <w:right w:w="20" w:type="dxa"/>
            </w:tcMar>
            <w:vAlign w:val="bottom"/>
            <w:hideMark/>
          </w:tcPr>
          <w:p w14:paraId="61973782" w14:textId="77777777" w:rsidR="00000000" w:rsidRDefault="00EE5306">
            <w:pPr>
              <w:spacing w:after="100"/>
              <w:rPr>
                <w:rFonts w:eastAsia="Times New Roman"/>
              </w:rPr>
            </w:pPr>
            <w:r>
              <w:rPr>
                <w:rFonts w:eastAsia="Times New Roman"/>
                <w:i/>
                <w:iCs/>
                <w:color w:val="000000"/>
                <w:sz w:val="20"/>
                <w:szCs w:val="20"/>
              </w:rPr>
              <w:t>Gross profit as % of net revenues</w:t>
            </w:r>
          </w:p>
        </w:tc>
        <w:tc>
          <w:tcPr>
            <w:tcW w:w="0" w:type="auto"/>
            <w:gridSpan w:val="3"/>
            <w:shd w:val="clear" w:color="auto" w:fill="FFFFFF"/>
            <w:tcMar>
              <w:top w:w="0" w:type="dxa"/>
              <w:left w:w="20" w:type="dxa"/>
              <w:bottom w:w="0" w:type="dxa"/>
              <w:right w:w="20" w:type="dxa"/>
            </w:tcMar>
            <w:vAlign w:val="center"/>
            <w:hideMark/>
          </w:tcPr>
          <w:p w14:paraId="01395D1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B59759" w14:textId="77777777" w:rsidR="00000000" w:rsidRDefault="00EE5306">
            <w:pPr>
              <w:spacing w:after="100"/>
              <w:jc w:val="right"/>
              <w:rPr>
                <w:rFonts w:eastAsia="Times New Roman"/>
              </w:rPr>
            </w:pPr>
            <w:r>
              <w:rPr>
                <w:rFonts w:eastAsia="Times New Roman"/>
                <w:i/>
                <w:iCs/>
                <w:color w:val="000000"/>
                <w:sz w:val="20"/>
                <w:szCs w:val="20"/>
              </w:rPr>
              <w:t>59.3 </w:t>
            </w:r>
          </w:p>
        </w:tc>
        <w:tc>
          <w:tcPr>
            <w:tcW w:w="0" w:type="auto"/>
            <w:shd w:val="clear" w:color="auto" w:fill="FFFFFF"/>
            <w:tcMar>
              <w:top w:w="30" w:type="dxa"/>
              <w:left w:w="0" w:type="dxa"/>
              <w:bottom w:w="30" w:type="dxa"/>
              <w:right w:w="20" w:type="dxa"/>
            </w:tcMar>
            <w:vAlign w:val="bottom"/>
            <w:hideMark/>
          </w:tcPr>
          <w:p w14:paraId="217BF033"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ABAA2B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0121EE" w14:textId="77777777" w:rsidR="00000000" w:rsidRDefault="00EE5306">
            <w:pPr>
              <w:spacing w:after="100"/>
              <w:jc w:val="right"/>
              <w:rPr>
                <w:rFonts w:eastAsia="Times New Roman"/>
              </w:rPr>
            </w:pPr>
            <w:r>
              <w:rPr>
                <w:rFonts w:eastAsia="Times New Roman"/>
                <w:i/>
                <w:iCs/>
                <w:color w:val="000000"/>
                <w:sz w:val="20"/>
                <w:szCs w:val="20"/>
              </w:rPr>
              <w:t>61.6 </w:t>
            </w:r>
          </w:p>
        </w:tc>
        <w:tc>
          <w:tcPr>
            <w:tcW w:w="0" w:type="auto"/>
            <w:shd w:val="clear" w:color="auto" w:fill="FFFFFF"/>
            <w:tcMar>
              <w:top w:w="30" w:type="dxa"/>
              <w:left w:w="0" w:type="dxa"/>
              <w:bottom w:w="30" w:type="dxa"/>
              <w:right w:w="20" w:type="dxa"/>
            </w:tcMar>
            <w:vAlign w:val="bottom"/>
            <w:hideMark/>
          </w:tcPr>
          <w:p w14:paraId="277F88AF"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2AB5BDE"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F039A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DF9122" w14:textId="77777777" w:rsidR="00000000" w:rsidRDefault="00EE53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FCF8F4D" w14:textId="77777777" w:rsidR="00000000" w:rsidRDefault="00EE5306">
            <w:pPr>
              <w:spacing w:after="100"/>
              <w:jc w:val="right"/>
              <w:rPr>
                <w:rFonts w:eastAsia="Times New Roman"/>
              </w:rPr>
            </w:pPr>
            <w:r>
              <w:rPr>
                <w:rFonts w:eastAsia="Times New Roman"/>
                <w:i/>
                <w:iCs/>
                <w:color w:val="000000"/>
                <w:sz w:val="20"/>
                <w:szCs w:val="20"/>
              </w:rPr>
              <w:t>(230 bps)</w:t>
            </w:r>
          </w:p>
        </w:tc>
      </w:tr>
      <w:tr w:rsidR="00000000" w14:paraId="570483F5" w14:textId="77777777">
        <w:trPr>
          <w:divId w:val="1082024438"/>
        </w:trPr>
        <w:tc>
          <w:tcPr>
            <w:tcW w:w="0" w:type="auto"/>
            <w:gridSpan w:val="3"/>
            <w:shd w:val="clear" w:color="auto" w:fill="CCEEFF"/>
            <w:tcMar>
              <w:top w:w="30" w:type="dxa"/>
              <w:left w:w="20" w:type="dxa"/>
              <w:bottom w:w="30" w:type="dxa"/>
              <w:right w:w="20" w:type="dxa"/>
            </w:tcMar>
            <w:vAlign w:val="bottom"/>
            <w:hideMark/>
          </w:tcPr>
          <w:p w14:paraId="609F06AD" w14:textId="77777777" w:rsidR="00000000" w:rsidRDefault="00EE5306">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4FCFF45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DC7641" w14:textId="77777777" w:rsidR="00000000" w:rsidRDefault="00EE5306">
            <w:pPr>
              <w:spacing w:after="100"/>
              <w:jc w:val="right"/>
              <w:rPr>
                <w:rFonts w:eastAsia="Times New Roman"/>
              </w:rPr>
            </w:pPr>
            <w:r>
              <w:rPr>
                <w:rFonts w:eastAsia="Times New Roman"/>
                <w:color w:val="000000"/>
                <w:sz w:val="20"/>
                <w:szCs w:val="20"/>
              </w:rPr>
              <w:t>(3,237.5)</w:t>
            </w:r>
          </w:p>
        </w:tc>
        <w:tc>
          <w:tcPr>
            <w:tcW w:w="0" w:type="auto"/>
            <w:shd w:val="clear" w:color="auto" w:fill="CCEEFF"/>
            <w:tcMar>
              <w:top w:w="30" w:type="dxa"/>
              <w:left w:w="0" w:type="dxa"/>
              <w:bottom w:w="30" w:type="dxa"/>
              <w:right w:w="20" w:type="dxa"/>
            </w:tcMar>
            <w:vAlign w:val="bottom"/>
            <w:hideMark/>
          </w:tcPr>
          <w:p w14:paraId="5FB1899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8F20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69AD8A" w14:textId="77777777" w:rsidR="00000000" w:rsidRDefault="00EE5306">
            <w:pPr>
              <w:spacing w:after="100"/>
              <w:jc w:val="right"/>
              <w:rPr>
                <w:rFonts w:eastAsia="Times New Roman"/>
              </w:rPr>
            </w:pPr>
            <w:r>
              <w:rPr>
                <w:rFonts w:eastAsia="Times New Roman"/>
                <w:color w:val="000000"/>
                <w:sz w:val="20"/>
                <w:szCs w:val="20"/>
              </w:rPr>
              <w:t>(3,168.3)</w:t>
            </w:r>
          </w:p>
        </w:tc>
        <w:tc>
          <w:tcPr>
            <w:tcW w:w="0" w:type="auto"/>
            <w:shd w:val="clear" w:color="auto" w:fill="CCEEFF"/>
            <w:tcMar>
              <w:top w:w="30" w:type="dxa"/>
              <w:left w:w="0" w:type="dxa"/>
              <w:bottom w:w="30" w:type="dxa"/>
              <w:right w:w="20" w:type="dxa"/>
            </w:tcMar>
            <w:vAlign w:val="bottom"/>
            <w:hideMark/>
          </w:tcPr>
          <w:p w14:paraId="0E336D6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92CA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332F3B" w14:textId="77777777" w:rsidR="00000000" w:rsidRDefault="00EE5306">
            <w:pPr>
              <w:spacing w:after="100"/>
              <w:jc w:val="right"/>
              <w:rPr>
                <w:rFonts w:eastAsia="Times New Roman"/>
              </w:rPr>
            </w:pPr>
            <w:r>
              <w:rPr>
                <w:rFonts w:eastAsia="Times New Roman"/>
                <w:color w:val="000000"/>
                <w:sz w:val="20"/>
                <w:szCs w:val="20"/>
              </w:rPr>
              <w:t>(69.2)</w:t>
            </w:r>
          </w:p>
        </w:tc>
        <w:tc>
          <w:tcPr>
            <w:tcW w:w="0" w:type="auto"/>
            <w:shd w:val="clear" w:color="auto" w:fill="CCEEFF"/>
            <w:tcMar>
              <w:top w:w="30" w:type="dxa"/>
              <w:left w:w="0" w:type="dxa"/>
              <w:bottom w:w="30" w:type="dxa"/>
              <w:right w:w="20" w:type="dxa"/>
            </w:tcMar>
            <w:vAlign w:val="bottom"/>
            <w:hideMark/>
          </w:tcPr>
          <w:p w14:paraId="7DA7AA1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36503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0FA11" w14:textId="77777777" w:rsidR="00000000" w:rsidRDefault="00EE5306">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6A764A12" w14:textId="77777777" w:rsidR="00000000" w:rsidRDefault="00EE5306">
            <w:pPr>
              <w:spacing w:after="100"/>
              <w:rPr>
                <w:rFonts w:eastAsia="Times New Roman"/>
              </w:rPr>
            </w:pPr>
            <w:r>
              <w:rPr>
                <w:rFonts w:eastAsia="Times New Roman"/>
                <w:color w:val="000000"/>
                <w:sz w:val="20"/>
                <w:szCs w:val="20"/>
              </w:rPr>
              <w:t>%</w:t>
            </w:r>
          </w:p>
        </w:tc>
      </w:tr>
      <w:tr w:rsidR="00000000" w14:paraId="68B8910F" w14:textId="77777777">
        <w:trPr>
          <w:divId w:val="1082024438"/>
        </w:trPr>
        <w:tc>
          <w:tcPr>
            <w:tcW w:w="0" w:type="auto"/>
            <w:gridSpan w:val="3"/>
            <w:shd w:val="clear" w:color="auto" w:fill="FFFFFF"/>
            <w:tcMar>
              <w:top w:w="30" w:type="dxa"/>
              <w:left w:w="245" w:type="dxa"/>
              <w:bottom w:w="30" w:type="dxa"/>
              <w:right w:w="20" w:type="dxa"/>
            </w:tcMar>
            <w:vAlign w:val="bottom"/>
            <w:hideMark/>
          </w:tcPr>
          <w:p w14:paraId="63472BAA" w14:textId="77777777" w:rsidR="00000000" w:rsidRDefault="00EE5306">
            <w:pPr>
              <w:spacing w:after="100"/>
              <w:rPr>
                <w:rFonts w:eastAsia="Times New Roman"/>
              </w:rPr>
            </w:pPr>
            <w:r>
              <w:rPr>
                <w:rFonts w:eastAsia="Times New Roman"/>
                <w:i/>
                <w:iCs/>
                <w:color w:val="000000"/>
                <w:sz w:val="20"/>
                <w:szCs w:val="20"/>
              </w:rPr>
              <w:t>SG&amp;</w:t>
            </w:r>
            <w:r>
              <w:rPr>
                <w:rFonts w:eastAsia="Times New Roman"/>
                <w:i/>
                <w:iCs/>
                <w:color w:val="000000"/>
                <w:sz w:val="20"/>
                <w:szCs w:val="20"/>
              </w:rPr>
              <w:t>A expenses as % of net revenues</w:t>
            </w:r>
          </w:p>
        </w:tc>
        <w:tc>
          <w:tcPr>
            <w:tcW w:w="0" w:type="auto"/>
            <w:gridSpan w:val="3"/>
            <w:shd w:val="clear" w:color="auto" w:fill="FFFFFF"/>
            <w:tcMar>
              <w:top w:w="0" w:type="dxa"/>
              <w:left w:w="20" w:type="dxa"/>
              <w:bottom w:w="0" w:type="dxa"/>
              <w:right w:w="20" w:type="dxa"/>
            </w:tcMar>
            <w:vAlign w:val="center"/>
            <w:hideMark/>
          </w:tcPr>
          <w:p w14:paraId="3C62F48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4C65E4" w14:textId="77777777" w:rsidR="00000000" w:rsidRDefault="00EE5306">
            <w:pPr>
              <w:spacing w:after="100"/>
              <w:jc w:val="right"/>
              <w:rPr>
                <w:rFonts w:eastAsia="Times New Roman"/>
              </w:rPr>
            </w:pPr>
            <w:r>
              <w:rPr>
                <w:rFonts w:eastAsia="Times New Roman"/>
                <w:i/>
                <w:iCs/>
                <w:color w:val="000000"/>
                <w:sz w:val="20"/>
                <w:szCs w:val="20"/>
              </w:rPr>
              <w:t>52.6 </w:t>
            </w:r>
          </w:p>
        </w:tc>
        <w:tc>
          <w:tcPr>
            <w:tcW w:w="0" w:type="auto"/>
            <w:shd w:val="clear" w:color="auto" w:fill="FFFFFF"/>
            <w:tcMar>
              <w:top w:w="30" w:type="dxa"/>
              <w:left w:w="0" w:type="dxa"/>
              <w:bottom w:w="30" w:type="dxa"/>
              <w:right w:w="20" w:type="dxa"/>
            </w:tcMar>
            <w:vAlign w:val="bottom"/>
            <w:hideMark/>
          </w:tcPr>
          <w:p w14:paraId="7CEDBD28"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77EA5D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ADCC5A" w14:textId="77777777" w:rsidR="00000000" w:rsidRDefault="00EE5306">
            <w:pPr>
              <w:spacing w:after="100"/>
              <w:jc w:val="right"/>
              <w:rPr>
                <w:rFonts w:eastAsia="Times New Roman"/>
              </w:rPr>
            </w:pPr>
            <w:r>
              <w:rPr>
                <w:rFonts w:eastAsia="Times New Roman"/>
                <w:i/>
                <w:iCs/>
                <w:color w:val="000000"/>
                <w:sz w:val="20"/>
                <w:szCs w:val="20"/>
              </w:rPr>
              <w:t>50.2 </w:t>
            </w:r>
          </w:p>
        </w:tc>
        <w:tc>
          <w:tcPr>
            <w:tcW w:w="0" w:type="auto"/>
            <w:shd w:val="clear" w:color="auto" w:fill="FFFFFF"/>
            <w:tcMar>
              <w:top w:w="30" w:type="dxa"/>
              <w:left w:w="0" w:type="dxa"/>
              <w:bottom w:w="30" w:type="dxa"/>
              <w:right w:w="20" w:type="dxa"/>
            </w:tcMar>
            <w:vAlign w:val="bottom"/>
            <w:hideMark/>
          </w:tcPr>
          <w:p w14:paraId="068573F6"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BE60FC"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9B7B5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D87421" w14:textId="77777777" w:rsidR="00000000" w:rsidRDefault="00EE53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FEBEB8F" w14:textId="77777777" w:rsidR="00000000" w:rsidRDefault="00EE5306">
            <w:pPr>
              <w:spacing w:after="100"/>
              <w:jc w:val="right"/>
              <w:rPr>
                <w:rFonts w:eastAsia="Times New Roman"/>
              </w:rPr>
            </w:pPr>
            <w:r>
              <w:rPr>
                <w:rFonts w:eastAsia="Times New Roman"/>
                <w:i/>
                <w:iCs/>
                <w:color w:val="000000"/>
                <w:sz w:val="20"/>
                <w:szCs w:val="20"/>
              </w:rPr>
              <w:t>240 bps</w:t>
            </w:r>
          </w:p>
        </w:tc>
      </w:tr>
      <w:tr w:rsidR="00000000" w14:paraId="35B4BB48" w14:textId="77777777">
        <w:trPr>
          <w:divId w:val="1082024438"/>
        </w:trPr>
        <w:tc>
          <w:tcPr>
            <w:tcW w:w="0" w:type="auto"/>
            <w:gridSpan w:val="3"/>
            <w:shd w:val="clear" w:color="auto" w:fill="CCEEFF"/>
            <w:tcMar>
              <w:top w:w="30" w:type="dxa"/>
              <w:left w:w="20" w:type="dxa"/>
              <w:bottom w:w="30" w:type="dxa"/>
              <w:right w:w="20" w:type="dxa"/>
            </w:tcMar>
            <w:vAlign w:val="bottom"/>
            <w:hideMark/>
          </w:tcPr>
          <w:p w14:paraId="0BA1CA90" w14:textId="77777777" w:rsidR="00000000" w:rsidRDefault="00EE5306">
            <w:pPr>
              <w:spacing w:after="100"/>
              <w:rPr>
                <w:rFonts w:eastAsia="Times New Roman"/>
              </w:rPr>
            </w:pPr>
            <w:r>
              <w:rPr>
                <w:rFonts w:eastAsia="Times New Roman"/>
                <w:color w:val="000000"/>
                <w:sz w:val="20"/>
                <w:szCs w:val="20"/>
              </w:rPr>
              <w:t>Impairment of assets</w:t>
            </w:r>
          </w:p>
        </w:tc>
        <w:tc>
          <w:tcPr>
            <w:tcW w:w="0" w:type="auto"/>
            <w:gridSpan w:val="3"/>
            <w:shd w:val="clear" w:color="auto" w:fill="CCEEFF"/>
            <w:tcMar>
              <w:top w:w="0" w:type="dxa"/>
              <w:left w:w="20" w:type="dxa"/>
              <w:bottom w:w="0" w:type="dxa"/>
              <w:right w:w="20" w:type="dxa"/>
            </w:tcMar>
            <w:vAlign w:val="center"/>
            <w:hideMark/>
          </w:tcPr>
          <w:p w14:paraId="58E4AF2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2172BE" w14:textId="77777777" w:rsidR="00000000" w:rsidRDefault="00EE5306">
            <w:pPr>
              <w:spacing w:after="100"/>
              <w:jc w:val="right"/>
              <w:rPr>
                <w:rFonts w:eastAsia="Times New Roman"/>
              </w:rPr>
            </w:pPr>
            <w:r>
              <w:rPr>
                <w:rFonts w:eastAsia="Times New Roman"/>
                <w:color w:val="000000"/>
                <w:sz w:val="20"/>
                <w:szCs w:val="20"/>
              </w:rPr>
              <w:t>(31.6)</w:t>
            </w:r>
          </w:p>
        </w:tc>
        <w:tc>
          <w:tcPr>
            <w:tcW w:w="0" w:type="auto"/>
            <w:shd w:val="clear" w:color="auto" w:fill="CCEEFF"/>
            <w:tcMar>
              <w:top w:w="30" w:type="dxa"/>
              <w:left w:w="0" w:type="dxa"/>
              <w:bottom w:w="30" w:type="dxa"/>
              <w:right w:w="20" w:type="dxa"/>
            </w:tcMar>
            <w:vAlign w:val="bottom"/>
            <w:hideMark/>
          </w:tcPr>
          <w:p w14:paraId="163BC69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EEB2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CFC52F" w14:textId="77777777" w:rsidR="00000000" w:rsidRDefault="00EE5306">
            <w:pPr>
              <w:spacing w:after="100"/>
              <w:jc w:val="right"/>
              <w:rPr>
                <w:rFonts w:eastAsia="Times New Roman"/>
              </w:rPr>
            </w:pPr>
            <w:r>
              <w:rPr>
                <w:rFonts w:eastAsia="Times New Roman"/>
                <w:color w:val="000000"/>
                <w:sz w:val="20"/>
                <w:szCs w:val="20"/>
              </w:rPr>
              <w:t>(25.8)</w:t>
            </w:r>
          </w:p>
        </w:tc>
        <w:tc>
          <w:tcPr>
            <w:tcW w:w="0" w:type="auto"/>
            <w:shd w:val="clear" w:color="auto" w:fill="CCEEFF"/>
            <w:tcMar>
              <w:top w:w="30" w:type="dxa"/>
              <w:left w:w="0" w:type="dxa"/>
              <w:bottom w:w="30" w:type="dxa"/>
              <w:right w:w="20" w:type="dxa"/>
            </w:tcMar>
            <w:vAlign w:val="bottom"/>
            <w:hideMark/>
          </w:tcPr>
          <w:p w14:paraId="23CC4E4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3C81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801371" w14:textId="77777777" w:rsidR="00000000" w:rsidRDefault="00EE5306">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14:paraId="1C769DE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4AE8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F8B522" w14:textId="77777777" w:rsidR="00000000" w:rsidRDefault="00EE5306">
            <w:pPr>
              <w:spacing w:after="100"/>
              <w:jc w:val="right"/>
              <w:rPr>
                <w:rFonts w:eastAsia="Times New Roman"/>
              </w:rPr>
            </w:pPr>
            <w:r>
              <w:rPr>
                <w:rFonts w:eastAsia="Times New Roman"/>
                <w:color w:val="000000"/>
                <w:sz w:val="20"/>
                <w:szCs w:val="20"/>
              </w:rPr>
              <w:t>22.8 </w:t>
            </w:r>
          </w:p>
        </w:tc>
        <w:tc>
          <w:tcPr>
            <w:tcW w:w="0" w:type="auto"/>
            <w:shd w:val="clear" w:color="auto" w:fill="CCEEFF"/>
            <w:tcMar>
              <w:top w:w="30" w:type="dxa"/>
              <w:left w:w="0" w:type="dxa"/>
              <w:bottom w:w="30" w:type="dxa"/>
              <w:right w:w="20" w:type="dxa"/>
            </w:tcMar>
            <w:vAlign w:val="bottom"/>
            <w:hideMark/>
          </w:tcPr>
          <w:p w14:paraId="2F499A64" w14:textId="77777777" w:rsidR="00000000" w:rsidRDefault="00EE5306">
            <w:pPr>
              <w:spacing w:after="100"/>
              <w:rPr>
                <w:rFonts w:eastAsia="Times New Roman"/>
              </w:rPr>
            </w:pPr>
            <w:r>
              <w:rPr>
                <w:rFonts w:eastAsia="Times New Roman"/>
                <w:color w:val="000000"/>
                <w:sz w:val="20"/>
                <w:szCs w:val="20"/>
              </w:rPr>
              <w:t>%</w:t>
            </w:r>
          </w:p>
        </w:tc>
      </w:tr>
      <w:tr w:rsidR="00000000" w14:paraId="02A6AD0D" w14:textId="77777777">
        <w:trPr>
          <w:divId w:val="1082024438"/>
        </w:trPr>
        <w:tc>
          <w:tcPr>
            <w:tcW w:w="0" w:type="auto"/>
            <w:gridSpan w:val="3"/>
            <w:shd w:val="clear" w:color="auto" w:fill="FFFFFF"/>
            <w:tcMar>
              <w:top w:w="30" w:type="dxa"/>
              <w:left w:w="20" w:type="dxa"/>
              <w:bottom w:w="30" w:type="dxa"/>
              <w:right w:w="20" w:type="dxa"/>
            </w:tcMar>
            <w:vAlign w:val="bottom"/>
            <w:hideMark/>
          </w:tcPr>
          <w:p w14:paraId="71818189" w14:textId="77777777" w:rsidR="00000000" w:rsidRDefault="00EE5306">
            <w:pPr>
              <w:spacing w:after="100"/>
              <w:rPr>
                <w:rFonts w:eastAsia="Times New Roman"/>
              </w:rPr>
            </w:pPr>
            <w:r>
              <w:rPr>
                <w:rFonts w:eastAsia="Times New Roman"/>
                <w:color w:val="000000"/>
                <w:sz w:val="20"/>
                <w:szCs w:val="20"/>
              </w:rPr>
              <w:t>Restructuring and other charges</w:t>
            </w:r>
          </w:p>
        </w:tc>
        <w:tc>
          <w:tcPr>
            <w:tcW w:w="0" w:type="auto"/>
            <w:gridSpan w:val="3"/>
            <w:shd w:val="clear" w:color="auto" w:fill="FFFFFF"/>
            <w:tcMar>
              <w:top w:w="0" w:type="dxa"/>
              <w:left w:w="20" w:type="dxa"/>
              <w:bottom w:w="0" w:type="dxa"/>
              <w:right w:w="20" w:type="dxa"/>
            </w:tcMar>
            <w:vAlign w:val="center"/>
            <w:hideMark/>
          </w:tcPr>
          <w:p w14:paraId="1053507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41D9A3" w14:textId="77777777" w:rsidR="00000000" w:rsidRDefault="00EE5306">
            <w:pPr>
              <w:spacing w:after="100"/>
              <w:jc w:val="right"/>
              <w:rPr>
                <w:rFonts w:eastAsia="Times New Roman"/>
              </w:rPr>
            </w:pPr>
            <w:r>
              <w:rPr>
                <w:rFonts w:eastAsia="Times New Roman"/>
                <w:color w:val="000000"/>
                <w:sz w:val="20"/>
                <w:szCs w:val="20"/>
              </w:rPr>
              <w:t>(67.2)</w:t>
            </w:r>
          </w:p>
        </w:tc>
        <w:tc>
          <w:tcPr>
            <w:tcW w:w="0" w:type="auto"/>
            <w:shd w:val="clear" w:color="auto" w:fill="FFFFFF"/>
            <w:tcMar>
              <w:top w:w="30" w:type="dxa"/>
              <w:left w:w="0" w:type="dxa"/>
              <w:bottom w:w="30" w:type="dxa"/>
              <w:right w:w="20" w:type="dxa"/>
            </w:tcMar>
            <w:vAlign w:val="bottom"/>
            <w:hideMark/>
          </w:tcPr>
          <w:p w14:paraId="6447333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44EC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FBA14" w14:textId="77777777" w:rsidR="00000000" w:rsidRDefault="00EE5306">
            <w:pPr>
              <w:spacing w:after="100"/>
              <w:jc w:val="right"/>
              <w:rPr>
                <w:rFonts w:eastAsia="Times New Roman"/>
              </w:rPr>
            </w:pPr>
            <w:r>
              <w:rPr>
                <w:rFonts w:eastAsia="Times New Roman"/>
                <w:color w:val="000000"/>
                <w:sz w:val="20"/>
                <w:szCs w:val="20"/>
              </w:rPr>
              <w:t>(130.1)</w:t>
            </w:r>
          </w:p>
        </w:tc>
        <w:tc>
          <w:tcPr>
            <w:tcW w:w="0" w:type="auto"/>
            <w:shd w:val="clear" w:color="auto" w:fill="FFFFFF"/>
            <w:tcMar>
              <w:top w:w="30" w:type="dxa"/>
              <w:left w:w="0" w:type="dxa"/>
              <w:bottom w:w="30" w:type="dxa"/>
              <w:right w:w="20" w:type="dxa"/>
            </w:tcMar>
            <w:vAlign w:val="bottom"/>
            <w:hideMark/>
          </w:tcPr>
          <w:p w14:paraId="1C22868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FCD2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BDF80E" w14:textId="77777777" w:rsidR="00000000" w:rsidRDefault="00EE5306">
            <w:pPr>
              <w:spacing w:after="100"/>
              <w:jc w:val="right"/>
              <w:rPr>
                <w:rFonts w:eastAsia="Times New Roman"/>
              </w:rPr>
            </w:pPr>
            <w:r>
              <w:rPr>
                <w:rFonts w:eastAsia="Times New Roman"/>
                <w:color w:val="000000"/>
                <w:sz w:val="20"/>
                <w:szCs w:val="20"/>
              </w:rPr>
              <w:t>62.9 </w:t>
            </w:r>
          </w:p>
        </w:tc>
        <w:tc>
          <w:tcPr>
            <w:tcW w:w="0" w:type="auto"/>
            <w:shd w:val="clear" w:color="auto" w:fill="FFFFFF"/>
            <w:tcMar>
              <w:top w:w="30" w:type="dxa"/>
              <w:left w:w="0" w:type="dxa"/>
              <w:bottom w:w="30" w:type="dxa"/>
              <w:right w:w="20" w:type="dxa"/>
            </w:tcMar>
            <w:vAlign w:val="bottom"/>
            <w:hideMark/>
          </w:tcPr>
          <w:p w14:paraId="08E2156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C65B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B7E285" w14:textId="77777777" w:rsidR="00000000" w:rsidRDefault="00EE5306">
            <w:pPr>
              <w:spacing w:after="100"/>
              <w:jc w:val="right"/>
              <w:rPr>
                <w:rFonts w:eastAsia="Times New Roman"/>
              </w:rPr>
            </w:pPr>
            <w:r>
              <w:rPr>
                <w:rFonts w:eastAsia="Times New Roman"/>
                <w:color w:val="000000"/>
                <w:sz w:val="20"/>
                <w:szCs w:val="20"/>
              </w:rPr>
              <w:t>(48.4 </w:t>
            </w:r>
          </w:p>
        </w:tc>
        <w:tc>
          <w:tcPr>
            <w:tcW w:w="0" w:type="auto"/>
            <w:shd w:val="clear" w:color="auto" w:fill="FFFFFF"/>
            <w:tcMar>
              <w:top w:w="30" w:type="dxa"/>
              <w:left w:w="0" w:type="dxa"/>
              <w:bottom w:w="30" w:type="dxa"/>
              <w:right w:w="20" w:type="dxa"/>
            </w:tcMar>
            <w:vAlign w:val="bottom"/>
            <w:hideMark/>
          </w:tcPr>
          <w:p w14:paraId="7479E081" w14:textId="77777777" w:rsidR="00000000" w:rsidRDefault="00EE5306">
            <w:pPr>
              <w:spacing w:after="100"/>
              <w:rPr>
                <w:rFonts w:eastAsia="Times New Roman"/>
              </w:rPr>
            </w:pPr>
            <w:r>
              <w:rPr>
                <w:rFonts w:eastAsia="Times New Roman"/>
                <w:color w:val="000000"/>
                <w:sz w:val="20"/>
                <w:szCs w:val="20"/>
              </w:rPr>
              <w:t>%)</w:t>
            </w:r>
          </w:p>
        </w:tc>
      </w:tr>
      <w:tr w:rsidR="00000000" w14:paraId="7E37E5B0" w14:textId="77777777">
        <w:trPr>
          <w:divId w:val="1082024438"/>
        </w:trPr>
        <w:tc>
          <w:tcPr>
            <w:tcW w:w="0" w:type="auto"/>
            <w:gridSpan w:val="3"/>
            <w:shd w:val="clear" w:color="auto" w:fill="CCEEFF"/>
            <w:tcMar>
              <w:top w:w="30" w:type="dxa"/>
              <w:left w:w="20" w:type="dxa"/>
              <w:bottom w:w="30" w:type="dxa"/>
              <w:right w:w="20" w:type="dxa"/>
            </w:tcMar>
            <w:vAlign w:val="bottom"/>
            <w:hideMark/>
          </w:tcPr>
          <w:p w14:paraId="4F498CAF" w14:textId="77777777" w:rsidR="00000000" w:rsidRDefault="00EE5306">
            <w:pPr>
              <w:spacing w:after="100"/>
              <w:divId w:val="1008602159"/>
              <w:rPr>
                <w:rFonts w:eastAsia="Times New Roman"/>
              </w:rPr>
            </w:pPr>
            <w:r>
              <w:rPr>
                <w:rFonts w:eastAsia="Times New Roman"/>
                <w:b/>
                <w:bCs/>
                <w:color w:val="000000"/>
                <w:sz w:val="20"/>
                <w:szCs w:val="20"/>
              </w:rPr>
              <w:t>Operating income</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53A701EC"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019E3D" w14:textId="77777777" w:rsidR="00000000" w:rsidRDefault="00EE5306">
            <w:pPr>
              <w:spacing w:after="100"/>
              <w:jc w:val="right"/>
              <w:rPr>
                <w:rFonts w:eastAsia="Times New Roman"/>
              </w:rPr>
            </w:pPr>
            <w:r>
              <w:rPr>
                <w:rFonts w:eastAsia="Times New Roman"/>
                <w:color w:val="000000"/>
                <w:sz w:val="20"/>
                <w:szCs w:val="20"/>
              </w:rPr>
              <w:t>317.0 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206C6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B1731"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E564A2" w14:textId="77777777" w:rsidR="00000000" w:rsidRDefault="00EE5306">
            <w:pPr>
              <w:spacing w:after="100"/>
              <w:jc w:val="right"/>
              <w:rPr>
                <w:rFonts w:eastAsia="Times New Roman"/>
              </w:rPr>
            </w:pPr>
            <w:r>
              <w:rPr>
                <w:rFonts w:eastAsia="Times New Roman"/>
                <w:color w:val="000000"/>
                <w:sz w:val="20"/>
                <w:szCs w:val="20"/>
              </w:rPr>
              <w:t>561.8 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52464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02C07"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85E587" w14:textId="77777777" w:rsidR="00000000" w:rsidRDefault="00EE5306">
            <w:pPr>
              <w:spacing w:after="100"/>
              <w:jc w:val="right"/>
              <w:rPr>
                <w:rFonts w:eastAsia="Times New Roman"/>
              </w:rPr>
            </w:pPr>
            <w:r>
              <w:rPr>
                <w:rFonts w:eastAsia="Times New Roman"/>
                <w:color w:val="000000"/>
                <w:sz w:val="20"/>
                <w:szCs w:val="20"/>
              </w:rPr>
              <w:t>(244.8)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C355D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C1053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F2601B" w14:textId="77777777" w:rsidR="00000000" w:rsidRDefault="00EE5306">
            <w:pPr>
              <w:spacing w:after="100"/>
              <w:jc w:val="right"/>
              <w:rPr>
                <w:rFonts w:eastAsia="Times New Roman"/>
              </w:rPr>
            </w:pPr>
            <w:r>
              <w:rPr>
                <w:rFonts w:eastAsia="Times New Roman"/>
                <w:color w:val="000000"/>
                <w:sz w:val="20"/>
                <w:szCs w:val="20"/>
              </w:rPr>
              <w:t>(43.6 </w:t>
            </w:r>
          </w:p>
        </w:tc>
        <w:tc>
          <w:tcPr>
            <w:tcW w:w="0" w:type="auto"/>
            <w:shd w:val="clear" w:color="auto" w:fill="CCEEFF"/>
            <w:tcMar>
              <w:top w:w="30" w:type="dxa"/>
              <w:left w:w="0" w:type="dxa"/>
              <w:bottom w:w="30" w:type="dxa"/>
              <w:right w:w="20" w:type="dxa"/>
            </w:tcMar>
            <w:vAlign w:val="bottom"/>
            <w:hideMark/>
          </w:tcPr>
          <w:p w14:paraId="4E5DC413" w14:textId="77777777" w:rsidR="00000000" w:rsidRDefault="00EE5306">
            <w:pPr>
              <w:spacing w:after="100"/>
              <w:rPr>
                <w:rFonts w:eastAsia="Times New Roman"/>
              </w:rPr>
            </w:pPr>
            <w:r>
              <w:rPr>
                <w:rFonts w:eastAsia="Times New Roman"/>
                <w:color w:val="000000"/>
                <w:sz w:val="20"/>
                <w:szCs w:val="20"/>
              </w:rPr>
              <w:t>%)</w:t>
            </w:r>
          </w:p>
        </w:tc>
      </w:tr>
      <w:tr w:rsidR="00000000" w14:paraId="785BDCF2" w14:textId="77777777">
        <w:trPr>
          <w:divId w:val="1082024438"/>
        </w:trPr>
        <w:tc>
          <w:tcPr>
            <w:tcW w:w="0" w:type="auto"/>
            <w:gridSpan w:val="3"/>
            <w:shd w:val="clear" w:color="auto" w:fill="FFFFFF"/>
            <w:tcMar>
              <w:top w:w="30" w:type="dxa"/>
              <w:left w:w="245" w:type="dxa"/>
              <w:bottom w:w="30" w:type="dxa"/>
              <w:right w:w="20" w:type="dxa"/>
            </w:tcMar>
            <w:vAlign w:val="bottom"/>
            <w:hideMark/>
          </w:tcPr>
          <w:p w14:paraId="41739A82" w14:textId="77777777" w:rsidR="00000000" w:rsidRDefault="00EE5306">
            <w:pPr>
              <w:spacing w:after="100"/>
              <w:rPr>
                <w:rFonts w:eastAsia="Times New Roman"/>
              </w:rPr>
            </w:pPr>
            <w:r>
              <w:rPr>
                <w:rFonts w:eastAsia="Times New Roman"/>
                <w:i/>
                <w:iCs/>
                <w:color w:val="000000"/>
                <w:sz w:val="20"/>
                <w:szCs w:val="20"/>
              </w:rPr>
              <w:t>Operating income as % of net revenues</w:t>
            </w:r>
          </w:p>
        </w:tc>
        <w:tc>
          <w:tcPr>
            <w:tcW w:w="0" w:type="auto"/>
            <w:gridSpan w:val="3"/>
            <w:shd w:val="clear" w:color="auto" w:fill="FFFFFF"/>
            <w:tcMar>
              <w:top w:w="0" w:type="dxa"/>
              <w:left w:w="20" w:type="dxa"/>
              <w:bottom w:w="0" w:type="dxa"/>
              <w:right w:w="20" w:type="dxa"/>
            </w:tcMar>
            <w:vAlign w:val="center"/>
            <w:hideMark/>
          </w:tcPr>
          <w:p w14:paraId="0AFB339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F6CA78" w14:textId="77777777" w:rsidR="00000000" w:rsidRDefault="00EE5306">
            <w:pPr>
              <w:spacing w:after="100"/>
              <w:jc w:val="right"/>
              <w:rPr>
                <w:rFonts w:eastAsia="Times New Roman"/>
              </w:rPr>
            </w:pPr>
            <w:r>
              <w:rPr>
                <w:rFonts w:eastAsia="Times New Roman"/>
                <w:i/>
                <w:iCs/>
                <w:color w:val="000000"/>
                <w:sz w:val="20"/>
                <w:szCs w:val="20"/>
              </w:rPr>
              <w:t>5.1 </w:t>
            </w:r>
          </w:p>
        </w:tc>
        <w:tc>
          <w:tcPr>
            <w:tcW w:w="0" w:type="auto"/>
            <w:shd w:val="clear" w:color="auto" w:fill="FFFFFF"/>
            <w:tcMar>
              <w:top w:w="30" w:type="dxa"/>
              <w:left w:w="0" w:type="dxa"/>
              <w:bottom w:w="30" w:type="dxa"/>
              <w:right w:w="20" w:type="dxa"/>
            </w:tcMar>
            <w:vAlign w:val="bottom"/>
            <w:hideMark/>
          </w:tcPr>
          <w:p w14:paraId="53C25AA6"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21C723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566EA2" w14:textId="77777777" w:rsidR="00000000" w:rsidRDefault="00EE5306">
            <w:pPr>
              <w:spacing w:after="100"/>
              <w:jc w:val="right"/>
              <w:rPr>
                <w:rFonts w:eastAsia="Times New Roman"/>
              </w:rPr>
            </w:pPr>
            <w:r>
              <w:rPr>
                <w:rFonts w:eastAsia="Times New Roman"/>
                <w:i/>
                <w:iCs/>
                <w:color w:val="000000"/>
                <w:sz w:val="20"/>
                <w:szCs w:val="20"/>
              </w:rPr>
              <w:t>8.9 </w:t>
            </w:r>
          </w:p>
        </w:tc>
        <w:tc>
          <w:tcPr>
            <w:tcW w:w="0" w:type="auto"/>
            <w:shd w:val="clear" w:color="auto" w:fill="FFFFFF"/>
            <w:tcMar>
              <w:top w:w="30" w:type="dxa"/>
              <w:left w:w="0" w:type="dxa"/>
              <w:bottom w:w="30" w:type="dxa"/>
              <w:right w:w="20" w:type="dxa"/>
            </w:tcMar>
            <w:vAlign w:val="bottom"/>
            <w:hideMark/>
          </w:tcPr>
          <w:p w14:paraId="26DF4812"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EDCA0E5"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5608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253E76" w14:textId="77777777" w:rsidR="00000000" w:rsidRDefault="00EE53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BDA14C6" w14:textId="77777777" w:rsidR="00000000" w:rsidRDefault="00EE5306">
            <w:pPr>
              <w:spacing w:after="100"/>
              <w:jc w:val="right"/>
              <w:rPr>
                <w:rFonts w:eastAsia="Times New Roman"/>
              </w:rPr>
            </w:pPr>
            <w:r>
              <w:rPr>
                <w:rFonts w:eastAsia="Times New Roman"/>
                <w:i/>
                <w:iCs/>
                <w:color w:val="000000"/>
                <w:sz w:val="20"/>
                <w:szCs w:val="20"/>
              </w:rPr>
              <w:t>(380 bps)</w:t>
            </w:r>
          </w:p>
        </w:tc>
      </w:tr>
      <w:tr w:rsidR="00000000" w14:paraId="3B319952" w14:textId="77777777">
        <w:trPr>
          <w:divId w:val="1082024438"/>
        </w:trPr>
        <w:tc>
          <w:tcPr>
            <w:tcW w:w="0" w:type="auto"/>
            <w:gridSpan w:val="3"/>
            <w:shd w:val="clear" w:color="auto" w:fill="CCEEFF"/>
            <w:tcMar>
              <w:top w:w="30" w:type="dxa"/>
              <w:left w:w="20" w:type="dxa"/>
              <w:bottom w:w="30" w:type="dxa"/>
              <w:right w:w="20" w:type="dxa"/>
            </w:tcMar>
            <w:vAlign w:val="bottom"/>
            <w:hideMark/>
          </w:tcPr>
          <w:p w14:paraId="77383B34" w14:textId="77777777" w:rsidR="00000000" w:rsidRDefault="00EE5306">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14:paraId="43442D8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929232" w14:textId="77777777" w:rsidR="00000000" w:rsidRDefault="00EE5306">
            <w:pPr>
              <w:spacing w:after="100"/>
              <w:jc w:val="right"/>
              <w:rPr>
                <w:rFonts w:eastAsia="Times New Roman"/>
              </w:rPr>
            </w:pPr>
            <w:r>
              <w:rPr>
                <w:rFonts w:eastAsia="Times New Roman"/>
                <w:color w:val="000000"/>
                <w:sz w:val="20"/>
                <w:szCs w:val="20"/>
              </w:rPr>
              <w:t>(17.6)</w:t>
            </w:r>
          </w:p>
        </w:tc>
        <w:tc>
          <w:tcPr>
            <w:tcW w:w="0" w:type="auto"/>
            <w:shd w:val="clear" w:color="auto" w:fill="CCEEFF"/>
            <w:tcMar>
              <w:top w:w="30" w:type="dxa"/>
              <w:left w:w="0" w:type="dxa"/>
              <w:bottom w:w="30" w:type="dxa"/>
              <w:right w:w="20" w:type="dxa"/>
            </w:tcMar>
            <w:vAlign w:val="bottom"/>
            <w:hideMark/>
          </w:tcPr>
          <w:p w14:paraId="76FF43F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EE5E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265E94" w14:textId="77777777" w:rsidR="00000000" w:rsidRDefault="00EE5306">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14:paraId="56072C2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6C76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8DEEA7" w14:textId="77777777" w:rsidR="00000000" w:rsidRDefault="00EE5306">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3C0943E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FAAF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CEDE10" w14:textId="77777777" w:rsidR="00000000" w:rsidRDefault="00EE5306">
            <w:pPr>
              <w:spacing w:after="100"/>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bottom"/>
            <w:hideMark/>
          </w:tcPr>
          <w:p w14:paraId="0129C9DB" w14:textId="77777777" w:rsidR="00000000" w:rsidRDefault="00EE5306">
            <w:pPr>
              <w:spacing w:after="100"/>
              <w:rPr>
                <w:rFonts w:eastAsia="Times New Roman"/>
              </w:rPr>
            </w:pPr>
            <w:r>
              <w:rPr>
                <w:rFonts w:eastAsia="Times New Roman"/>
                <w:color w:val="000000"/>
                <w:sz w:val="20"/>
                <w:szCs w:val="20"/>
              </w:rPr>
              <w:t>%)</w:t>
            </w:r>
          </w:p>
        </w:tc>
      </w:tr>
      <w:tr w:rsidR="00000000" w14:paraId="20B1D127" w14:textId="77777777">
        <w:trPr>
          <w:divId w:val="1082024438"/>
        </w:trPr>
        <w:tc>
          <w:tcPr>
            <w:tcW w:w="0" w:type="auto"/>
            <w:gridSpan w:val="3"/>
            <w:shd w:val="clear" w:color="auto" w:fill="FFFFFF"/>
            <w:tcMar>
              <w:top w:w="30" w:type="dxa"/>
              <w:left w:w="20" w:type="dxa"/>
              <w:bottom w:w="30" w:type="dxa"/>
              <w:right w:w="20" w:type="dxa"/>
            </w:tcMar>
            <w:vAlign w:val="bottom"/>
            <w:hideMark/>
          </w:tcPr>
          <w:p w14:paraId="78D3B28F" w14:textId="77777777" w:rsidR="00000000" w:rsidRDefault="00EE5306">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14:paraId="6C76001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EEAB82" w14:textId="77777777" w:rsidR="00000000" w:rsidRDefault="00EE5306">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14:paraId="3036476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E4EE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06B464" w14:textId="77777777" w:rsidR="00000000" w:rsidRDefault="00EE5306">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14:paraId="1A430F1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67FA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7C2082" w14:textId="77777777" w:rsidR="00000000" w:rsidRDefault="00EE5306">
            <w:pPr>
              <w:spacing w:after="100"/>
              <w:jc w:val="right"/>
              <w:rPr>
                <w:rFonts w:eastAsia="Times New Roman"/>
              </w:rPr>
            </w:pPr>
            <w:r>
              <w:rPr>
                <w:rFonts w:eastAsia="Times New Roman"/>
                <w:color w:val="000000"/>
                <w:sz w:val="20"/>
                <w:szCs w:val="20"/>
              </w:rPr>
              <w:t>(6.4)</w:t>
            </w:r>
          </w:p>
        </w:tc>
        <w:tc>
          <w:tcPr>
            <w:tcW w:w="0" w:type="auto"/>
            <w:shd w:val="clear" w:color="auto" w:fill="FFFFFF"/>
            <w:tcMar>
              <w:top w:w="30" w:type="dxa"/>
              <w:left w:w="0" w:type="dxa"/>
              <w:bottom w:w="30" w:type="dxa"/>
              <w:right w:w="20" w:type="dxa"/>
            </w:tcMar>
            <w:vAlign w:val="bottom"/>
            <w:hideMark/>
          </w:tcPr>
          <w:p w14:paraId="6BF7D1D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A5BA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A1B9C" w14:textId="77777777" w:rsidR="00000000" w:rsidRDefault="00EE5306">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14:paraId="64620DA1" w14:textId="77777777" w:rsidR="00000000" w:rsidRDefault="00EE5306">
            <w:pPr>
              <w:spacing w:after="100"/>
              <w:rPr>
                <w:rFonts w:eastAsia="Times New Roman"/>
              </w:rPr>
            </w:pPr>
            <w:r>
              <w:rPr>
                <w:rFonts w:eastAsia="Times New Roman"/>
                <w:color w:val="000000"/>
                <w:sz w:val="20"/>
                <w:szCs w:val="20"/>
              </w:rPr>
              <w:t>%)</w:t>
            </w:r>
          </w:p>
        </w:tc>
      </w:tr>
      <w:tr w:rsidR="00000000" w14:paraId="522D5C46" w14:textId="77777777">
        <w:trPr>
          <w:divId w:val="1082024438"/>
        </w:trPr>
        <w:tc>
          <w:tcPr>
            <w:tcW w:w="0" w:type="auto"/>
            <w:gridSpan w:val="3"/>
            <w:shd w:val="clear" w:color="auto" w:fill="CCEEFF"/>
            <w:tcMar>
              <w:top w:w="30" w:type="dxa"/>
              <w:left w:w="20" w:type="dxa"/>
              <w:bottom w:w="30" w:type="dxa"/>
              <w:right w:w="20" w:type="dxa"/>
            </w:tcMar>
            <w:vAlign w:val="bottom"/>
            <w:hideMark/>
          </w:tcPr>
          <w:p w14:paraId="60B17BB7" w14:textId="77777777" w:rsidR="00000000" w:rsidRDefault="00EE5306">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14:paraId="13E3FE5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A00CF1" w14:textId="77777777" w:rsidR="00000000" w:rsidRDefault="00EE5306">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14:paraId="131D572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4AE8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888EC" w14:textId="77777777" w:rsidR="00000000" w:rsidRDefault="00EE5306">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14:paraId="2F39A6B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CAFC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B0A9E7" w14:textId="77777777" w:rsidR="00000000" w:rsidRDefault="00EE5306">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14:paraId="6A72F4B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3A6C3"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DC17836" w14:textId="77777777" w:rsidR="00000000" w:rsidRDefault="00EE5306">
            <w:pPr>
              <w:spacing w:after="100"/>
              <w:jc w:val="right"/>
              <w:rPr>
                <w:rFonts w:eastAsia="Times New Roman"/>
              </w:rPr>
            </w:pPr>
            <w:r>
              <w:rPr>
                <w:rFonts w:eastAsia="Times New Roman"/>
                <w:color w:val="000000"/>
                <w:sz w:val="20"/>
                <w:szCs w:val="20"/>
              </w:rPr>
              <w:t>NM</w:t>
            </w:r>
          </w:p>
        </w:tc>
      </w:tr>
      <w:tr w:rsidR="00000000" w14:paraId="50363CAF" w14:textId="77777777">
        <w:trPr>
          <w:divId w:val="1082024438"/>
        </w:trPr>
        <w:tc>
          <w:tcPr>
            <w:tcW w:w="0" w:type="auto"/>
            <w:gridSpan w:val="3"/>
            <w:shd w:val="clear" w:color="auto" w:fill="FFFFFF"/>
            <w:tcMar>
              <w:top w:w="30" w:type="dxa"/>
              <w:left w:w="20" w:type="dxa"/>
              <w:bottom w:w="30" w:type="dxa"/>
              <w:right w:w="20" w:type="dxa"/>
            </w:tcMar>
            <w:vAlign w:val="bottom"/>
            <w:hideMark/>
          </w:tcPr>
          <w:p w14:paraId="3139CD29" w14:textId="77777777" w:rsidR="00000000" w:rsidRDefault="00EE5306">
            <w:pPr>
              <w:spacing w:after="100"/>
              <w:divId w:val="1656641679"/>
              <w:rPr>
                <w:rFonts w:eastAsia="Times New Roman"/>
              </w:rPr>
            </w:pPr>
            <w:r>
              <w:rPr>
                <w:rFonts w:eastAsia="Times New Roman"/>
                <w:b/>
                <w:bCs/>
                <w:color w:val="000000"/>
                <w:sz w:val="20"/>
                <w:szCs w:val="20"/>
              </w:rPr>
              <w:t>Income before income taxes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11806EAC"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22689F" w14:textId="77777777" w:rsidR="00000000" w:rsidRDefault="00EE5306">
            <w:pPr>
              <w:spacing w:after="100"/>
              <w:jc w:val="right"/>
              <w:rPr>
                <w:rFonts w:eastAsia="Times New Roman"/>
              </w:rPr>
            </w:pPr>
            <w:r>
              <w:rPr>
                <w:rFonts w:eastAsia="Times New Roman"/>
                <w:color w:val="000000"/>
                <w:sz w:val="20"/>
                <w:szCs w:val="20"/>
              </w:rPr>
              <w:t>326.4 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144EB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C89BC"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DCE788" w14:textId="77777777" w:rsidR="00000000" w:rsidRDefault="00EE5306">
            <w:pPr>
              <w:spacing w:after="100"/>
              <w:jc w:val="right"/>
              <w:rPr>
                <w:rFonts w:eastAsia="Times New Roman"/>
              </w:rPr>
            </w:pPr>
            <w:r>
              <w:rPr>
                <w:rFonts w:eastAsia="Times New Roman"/>
                <w:color w:val="000000"/>
                <w:sz w:val="20"/>
                <w:szCs w:val="20"/>
              </w:rPr>
              <w:t>582.5 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AB3E8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A66BC"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93FBC9" w14:textId="77777777" w:rsidR="00000000" w:rsidRDefault="00EE5306">
            <w:pPr>
              <w:spacing w:after="100"/>
              <w:jc w:val="right"/>
              <w:rPr>
                <w:rFonts w:eastAsia="Times New Roman"/>
              </w:rPr>
            </w:pPr>
            <w:r>
              <w:rPr>
                <w:rFonts w:eastAsia="Times New Roman"/>
                <w:color w:val="000000"/>
                <w:sz w:val="20"/>
                <w:szCs w:val="20"/>
              </w:rPr>
              <w:t>(256.1)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2F1E6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AEC4E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C42663" w14:textId="77777777" w:rsidR="00000000" w:rsidRDefault="00EE5306">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bottom"/>
            <w:hideMark/>
          </w:tcPr>
          <w:p w14:paraId="0B01696D" w14:textId="77777777" w:rsidR="00000000" w:rsidRDefault="00EE5306">
            <w:pPr>
              <w:spacing w:after="100"/>
              <w:rPr>
                <w:rFonts w:eastAsia="Times New Roman"/>
              </w:rPr>
            </w:pPr>
            <w:r>
              <w:rPr>
                <w:rFonts w:eastAsia="Times New Roman"/>
                <w:color w:val="000000"/>
                <w:sz w:val="20"/>
                <w:szCs w:val="20"/>
              </w:rPr>
              <w:t>%)</w:t>
            </w:r>
          </w:p>
        </w:tc>
      </w:tr>
      <w:tr w:rsidR="00000000" w14:paraId="4C60C575" w14:textId="77777777">
        <w:trPr>
          <w:divId w:val="1082024438"/>
        </w:trPr>
        <w:tc>
          <w:tcPr>
            <w:tcW w:w="0" w:type="auto"/>
            <w:gridSpan w:val="3"/>
            <w:shd w:val="clear" w:color="auto" w:fill="CCEEFF"/>
            <w:tcMar>
              <w:top w:w="30" w:type="dxa"/>
              <w:left w:w="20" w:type="dxa"/>
              <w:bottom w:w="30" w:type="dxa"/>
              <w:right w:w="20" w:type="dxa"/>
            </w:tcMar>
            <w:vAlign w:val="bottom"/>
            <w:hideMark/>
          </w:tcPr>
          <w:p w14:paraId="4BC2E75B" w14:textId="77777777" w:rsidR="00000000" w:rsidRDefault="00EE5306">
            <w:pPr>
              <w:spacing w:after="100"/>
              <w:rPr>
                <w:rFonts w:eastAsia="Times New Roman"/>
              </w:rPr>
            </w:pPr>
            <w:r>
              <w:rPr>
                <w:rFonts w:eastAsia="Times New Roman"/>
                <w:color w:val="000000"/>
                <w:sz w:val="20"/>
                <w:szCs w:val="20"/>
              </w:rPr>
              <w:t>Income tax benefit (provision)</w:t>
            </w:r>
          </w:p>
        </w:tc>
        <w:tc>
          <w:tcPr>
            <w:tcW w:w="0" w:type="auto"/>
            <w:gridSpan w:val="3"/>
            <w:shd w:val="clear" w:color="auto" w:fill="CCEEFF"/>
            <w:tcMar>
              <w:top w:w="0" w:type="dxa"/>
              <w:left w:w="20" w:type="dxa"/>
              <w:bottom w:w="0" w:type="dxa"/>
              <w:right w:w="20" w:type="dxa"/>
            </w:tcMar>
            <w:vAlign w:val="center"/>
            <w:hideMark/>
          </w:tcPr>
          <w:p w14:paraId="0F326979"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051183" w14:textId="77777777" w:rsidR="00000000" w:rsidRDefault="00EE5306">
            <w:pPr>
              <w:spacing w:after="100"/>
              <w:jc w:val="right"/>
              <w:rPr>
                <w:rFonts w:eastAsia="Times New Roman"/>
              </w:rPr>
            </w:pPr>
            <w:r>
              <w:rPr>
                <w:rFonts w:eastAsia="Times New Roman"/>
                <w:color w:val="000000"/>
                <w:sz w:val="20"/>
                <w:szCs w:val="20"/>
              </w:rPr>
              <w:t>57.9 </w:t>
            </w:r>
          </w:p>
        </w:tc>
        <w:tc>
          <w:tcPr>
            <w:tcW w:w="0" w:type="auto"/>
            <w:shd w:val="clear" w:color="auto" w:fill="CCEEFF"/>
            <w:tcMar>
              <w:top w:w="30" w:type="dxa"/>
              <w:left w:w="0" w:type="dxa"/>
              <w:bottom w:w="30" w:type="dxa"/>
              <w:right w:w="20" w:type="dxa"/>
            </w:tcMar>
            <w:vAlign w:val="bottom"/>
            <w:hideMark/>
          </w:tcPr>
          <w:p w14:paraId="097D9E2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9875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3A5638" w14:textId="77777777" w:rsidR="00000000" w:rsidRDefault="00EE5306">
            <w:pPr>
              <w:spacing w:after="100"/>
              <w:jc w:val="right"/>
              <w:rPr>
                <w:rFonts w:eastAsia="Times New Roman"/>
              </w:rPr>
            </w:pPr>
            <w:r>
              <w:rPr>
                <w:rFonts w:eastAsia="Times New Roman"/>
                <w:color w:val="000000"/>
                <w:sz w:val="20"/>
                <w:szCs w:val="20"/>
              </w:rPr>
              <w:t>(151.6)</w:t>
            </w:r>
          </w:p>
        </w:tc>
        <w:tc>
          <w:tcPr>
            <w:tcW w:w="0" w:type="auto"/>
            <w:shd w:val="clear" w:color="auto" w:fill="CCEEFF"/>
            <w:tcMar>
              <w:top w:w="30" w:type="dxa"/>
              <w:left w:w="0" w:type="dxa"/>
              <w:bottom w:w="30" w:type="dxa"/>
              <w:right w:w="20" w:type="dxa"/>
            </w:tcMar>
            <w:vAlign w:val="bottom"/>
            <w:hideMark/>
          </w:tcPr>
          <w:p w14:paraId="680A89F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BD0F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6BDCA9" w14:textId="77777777" w:rsidR="00000000" w:rsidRDefault="00EE5306">
            <w:pPr>
              <w:spacing w:after="100"/>
              <w:jc w:val="right"/>
              <w:rPr>
                <w:rFonts w:eastAsia="Times New Roman"/>
              </w:rPr>
            </w:pPr>
            <w:r>
              <w:rPr>
                <w:rFonts w:eastAsia="Times New Roman"/>
                <w:color w:val="000000"/>
                <w:sz w:val="20"/>
                <w:szCs w:val="20"/>
              </w:rPr>
              <w:t>209.5 </w:t>
            </w:r>
          </w:p>
        </w:tc>
        <w:tc>
          <w:tcPr>
            <w:tcW w:w="0" w:type="auto"/>
            <w:shd w:val="clear" w:color="auto" w:fill="CCEEFF"/>
            <w:tcMar>
              <w:top w:w="30" w:type="dxa"/>
              <w:left w:w="0" w:type="dxa"/>
              <w:bottom w:w="30" w:type="dxa"/>
              <w:right w:w="20" w:type="dxa"/>
            </w:tcMar>
            <w:vAlign w:val="bottom"/>
            <w:hideMark/>
          </w:tcPr>
          <w:p w14:paraId="7CFD05E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845D7"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0FBF131" w14:textId="77777777" w:rsidR="00000000" w:rsidRDefault="00EE5306">
            <w:pPr>
              <w:spacing w:after="100"/>
              <w:jc w:val="right"/>
              <w:rPr>
                <w:rFonts w:eastAsia="Times New Roman"/>
              </w:rPr>
            </w:pPr>
            <w:r>
              <w:rPr>
                <w:rFonts w:eastAsia="Times New Roman"/>
                <w:color w:val="000000"/>
                <w:sz w:val="20"/>
                <w:szCs w:val="20"/>
              </w:rPr>
              <w:t>NM</w:t>
            </w:r>
          </w:p>
        </w:tc>
      </w:tr>
      <w:tr w:rsidR="00000000" w14:paraId="18CCFC78" w14:textId="77777777">
        <w:trPr>
          <w:divId w:val="1082024438"/>
        </w:trPr>
        <w:tc>
          <w:tcPr>
            <w:tcW w:w="0" w:type="auto"/>
            <w:gridSpan w:val="3"/>
            <w:shd w:val="clear" w:color="auto" w:fill="FFFFFF"/>
            <w:tcMar>
              <w:top w:w="30" w:type="dxa"/>
              <w:left w:w="20" w:type="dxa"/>
              <w:bottom w:w="30" w:type="dxa"/>
              <w:right w:w="20" w:type="dxa"/>
            </w:tcMar>
            <w:vAlign w:val="bottom"/>
            <w:hideMark/>
          </w:tcPr>
          <w:p w14:paraId="3783FF7B" w14:textId="77777777" w:rsidR="00000000" w:rsidRDefault="00EE5306">
            <w:pPr>
              <w:spacing w:after="100"/>
              <w:divId w:val="401487075"/>
              <w:rPr>
                <w:rFonts w:eastAsia="Times New Roman"/>
              </w:rPr>
            </w:pPr>
            <w:r>
              <w:rPr>
                <w:rFonts w:eastAsia="Times New Roman"/>
                <w:i/>
                <w:iCs/>
                <w:color w:val="000000"/>
                <w:sz w:val="20"/>
                <w:szCs w:val="20"/>
              </w:rPr>
              <w:t>Effective tax rat</w:t>
            </w:r>
            <w:r>
              <w:rPr>
                <w:rFonts w:eastAsia="Times New Roman"/>
                <w:i/>
                <w:iCs/>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DECF3B0"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4D9741" w14:textId="77777777" w:rsidR="00000000" w:rsidRDefault="00EE5306">
            <w:pPr>
              <w:spacing w:after="100"/>
              <w:jc w:val="right"/>
              <w:rPr>
                <w:rFonts w:eastAsia="Times New Roman"/>
              </w:rPr>
            </w:pPr>
            <w:r>
              <w:rPr>
                <w:rFonts w:eastAsia="Times New Roman"/>
                <w:i/>
                <w:iCs/>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B07D2B"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2BEAB52"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BF3451" w14:textId="77777777" w:rsidR="00000000" w:rsidRDefault="00EE5306">
            <w:pPr>
              <w:spacing w:after="100"/>
              <w:jc w:val="right"/>
              <w:rPr>
                <w:rFonts w:eastAsia="Times New Roman"/>
              </w:rPr>
            </w:pPr>
            <w:r>
              <w:rPr>
                <w:rFonts w:eastAsia="Times New Roman"/>
                <w:i/>
                <w:iCs/>
                <w:color w:val="000000"/>
                <w:sz w:val="20"/>
                <w:szCs w:val="20"/>
              </w:rPr>
              <w:t>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46E4DD" w14:textId="77777777" w:rsidR="00000000" w:rsidRDefault="00EE5306">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3C6B92A" w14:textId="77777777" w:rsidR="00000000" w:rsidRDefault="00EE530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BA7A0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E7CBA9" w14:textId="77777777" w:rsidR="00000000" w:rsidRDefault="00EE53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47CF4EE" w14:textId="77777777" w:rsidR="00000000" w:rsidRDefault="00EE5306">
            <w:pPr>
              <w:spacing w:after="100"/>
              <w:jc w:val="right"/>
              <w:rPr>
                <w:rFonts w:eastAsia="Times New Roman"/>
              </w:rPr>
            </w:pPr>
            <w:r>
              <w:rPr>
                <w:rFonts w:eastAsia="Times New Roman"/>
                <w:color w:val="000000"/>
                <w:sz w:val="20"/>
                <w:szCs w:val="20"/>
              </w:rPr>
              <w:t>(4,370 bps)</w:t>
            </w:r>
          </w:p>
        </w:tc>
      </w:tr>
      <w:tr w:rsidR="00000000" w14:paraId="7BE6CCF1" w14:textId="77777777">
        <w:trPr>
          <w:divId w:val="1082024438"/>
        </w:trPr>
        <w:tc>
          <w:tcPr>
            <w:tcW w:w="0" w:type="auto"/>
            <w:gridSpan w:val="3"/>
            <w:shd w:val="clear" w:color="auto" w:fill="CCEEFF"/>
            <w:tcMar>
              <w:top w:w="30" w:type="dxa"/>
              <w:left w:w="20" w:type="dxa"/>
              <w:bottom w:w="30" w:type="dxa"/>
              <w:right w:w="20" w:type="dxa"/>
            </w:tcMar>
            <w:vAlign w:val="bottom"/>
            <w:hideMark/>
          </w:tcPr>
          <w:p w14:paraId="0AFE4F4E" w14:textId="77777777" w:rsidR="00000000" w:rsidRDefault="00EE5306">
            <w:pPr>
              <w:spacing w:after="100"/>
              <w:divId w:val="125702677"/>
              <w:rPr>
                <w:rFonts w:eastAsia="Times New Roman"/>
              </w:rPr>
            </w:pPr>
            <w:r>
              <w:rPr>
                <w:rFonts w:eastAsia="Times New Roman"/>
                <w:b/>
                <w:bCs/>
                <w:color w:val="000000"/>
                <w:sz w:val="20"/>
                <w:szCs w:val="20"/>
              </w:rPr>
              <w:t>Net income</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5935104B"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3BEE67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9D09B3" w14:textId="77777777" w:rsidR="00000000" w:rsidRDefault="00EE5306">
            <w:pPr>
              <w:spacing w:after="100"/>
              <w:jc w:val="right"/>
              <w:rPr>
                <w:rFonts w:eastAsia="Times New Roman"/>
              </w:rPr>
            </w:pPr>
            <w:r>
              <w:rPr>
                <w:rFonts w:eastAsia="Times New Roman"/>
                <w:color w:val="000000"/>
                <w:sz w:val="20"/>
                <w:szCs w:val="20"/>
              </w:rPr>
              <w:t>384.3 </w:t>
            </w:r>
          </w:p>
        </w:tc>
        <w:tc>
          <w:tcPr>
            <w:tcW w:w="0" w:type="auto"/>
            <w:shd w:val="clear" w:color="auto" w:fill="CCEEFF"/>
            <w:tcMar>
              <w:top w:w="30" w:type="dxa"/>
              <w:left w:w="0" w:type="dxa"/>
              <w:bottom w:w="30" w:type="dxa"/>
              <w:right w:w="20" w:type="dxa"/>
            </w:tcMar>
            <w:vAlign w:val="bottom"/>
            <w:hideMark/>
          </w:tcPr>
          <w:p w14:paraId="7C89EC0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06D68"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E216B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8DF51F" w14:textId="77777777" w:rsidR="00000000" w:rsidRDefault="00EE5306">
            <w:pPr>
              <w:spacing w:after="100"/>
              <w:jc w:val="right"/>
              <w:rPr>
                <w:rFonts w:eastAsia="Times New Roman"/>
              </w:rPr>
            </w:pPr>
            <w:r>
              <w:rPr>
                <w:rFonts w:eastAsia="Times New Roman"/>
                <w:color w:val="000000"/>
                <w:sz w:val="20"/>
                <w:szCs w:val="20"/>
              </w:rPr>
              <w:t>430.9 </w:t>
            </w:r>
          </w:p>
        </w:tc>
        <w:tc>
          <w:tcPr>
            <w:tcW w:w="0" w:type="auto"/>
            <w:shd w:val="clear" w:color="auto" w:fill="CCEEFF"/>
            <w:tcMar>
              <w:top w:w="30" w:type="dxa"/>
              <w:left w:w="0" w:type="dxa"/>
              <w:bottom w:w="30" w:type="dxa"/>
              <w:right w:w="20" w:type="dxa"/>
            </w:tcMar>
            <w:vAlign w:val="bottom"/>
            <w:hideMark/>
          </w:tcPr>
          <w:p w14:paraId="4301782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B84D4"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D37AE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1DD69D" w14:textId="77777777" w:rsidR="00000000" w:rsidRDefault="00EE5306">
            <w:pPr>
              <w:spacing w:after="100"/>
              <w:jc w:val="right"/>
              <w:rPr>
                <w:rFonts w:eastAsia="Times New Roman"/>
              </w:rPr>
            </w:pPr>
            <w:r>
              <w:rPr>
                <w:rFonts w:eastAsia="Times New Roman"/>
                <w:color w:val="000000"/>
                <w:sz w:val="20"/>
                <w:szCs w:val="20"/>
              </w:rPr>
              <w:t>(46.6)</w:t>
            </w:r>
          </w:p>
        </w:tc>
        <w:tc>
          <w:tcPr>
            <w:tcW w:w="0" w:type="auto"/>
            <w:shd w:val="clear" w:color="auto" w:fill="CCEEFF"/>
            <w:tcMar>
              <w:top w:w="30" w:type="dxa"/>
              <w:left w:w="0" w:type="dxa"/>
              <w:bottom w:w="30" w:type="dxa"/>
              <w:right w:w="20" w:type="dxa"/>
            </w:tcMar>
            <w:vAlign w:val="bottom"/>
            <w:hideMark/>
          </w:tcPr>
          <w:p w14:paraId="30BF2CF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2CB0B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84EE32" w14:textId="77777777" w:rsidR="00000000" w:rsidRDefault="00EE5306">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14:paraId="78B2BC18" w14:textId="77777777" w:rsidR="00000000" w:rsidRDefault="00EE5306">
            <w:pPr>
              <w:spacing w:after="100"/>
              <w:rPr>
                <w:rFonts w:eastAsia="Times New Roman"/>
              </w:rPr>
            </w:pPr>
            <w:r>
              <w:rPr>
                <w:rFonts w:eastAsia="Times New Roman"/>
                <w:color w:val="000000"/>
                <w:sz w:val="20"/>
                <w:szCs w:val="20"/>
              </w:rPr>
              <w:t>%)</w:t>
            </w:r>
          </w:p>
        </w:tc>
      </w:tr>
      <w:tr w:rsidR="00000000" w14:paraId="35CF83D0" w14:textId="77777777">
        <w:trPr>
          <w:divId w:val="1082024438"/>
        </w:trPr>
        <w:tc>
          <w:tcPr>
            <w:tcW w:w="0" w:type="auto"/>
            <w:gridSpan w:val="3"/>
            <w:shd w:val="clear" w:color="auto" w:fill="FFFFFF"/>
            <w:tcMar>
              <w:top w:w="30" w:type="dxa"/>
              <w:left w:w="20" w:type="dxa"/>
              <w:bottom w:w="30" w:type="dxa"/>
              <w:right w:w="20" w:type="dxa"/>
            </w:tcMar>
            <w:vAlign w:val="bottom"/>
            <w:hideMark/>
          </w:tcPr>
          <w:p w14:paraId="60512CDD" w14:textId="77777777" w:rsidR="00000000" w:rsidRDefault="00EE5306">
            <w:pPr>
              <w:spacing w:after="100"/>
              <w:rPr>
                <w:rFonts w:eastAsia="Times New Roman"/>
              </w:rPr>
            </w:pPr>
            <w:r>
              <w:rPr>
                <w:rFonts w:eastAsia="Times New Roman"/>
                <w:b/>
                <w:bCs/>
                <w:color w:val="000000"/>
                <w:sz w:val="20"/>
                <w:szCs w:val="20"/>
              </w:rPr>
              <w:t>Net income per common share:</w:t>
            </w:r>
          </w:p>
        </w:tc>
        <w:tc>
          <w:tcPr>
            <w:tcW w:w="0" w:type="auto"/>
            <w:gridSpan w:val="3"/>
            <w:shd w:val="clear" w:color="auto" w:fill="FFFFFF"/>
            <w:tcMar>
              <w:top w:w="0" w:type="dxa"/>
              <w:left w:w="20" w:type="dxa"/>
              <w:bottom w:w="0" w:type="dxa"/>
              <w:right w:w="20" w:type="dxa"/>
            </w:tcMar>
            <w:vAlign w:val="center"/>
            <w:hideMark/>
          </w:tcPr>
          <w:p w14:paraId="2533091B" w14:textId="77777777" w:rsidR="00000000" w:rsidRDefault="00EE530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F11D1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F5AB63"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0BCB90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120C24"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68A46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790A9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993693" w14:textId="77777777" w:rsidR="00000000" w:rsidRDefault="00EE5306">
            <w:pPr>
              <w:spacing w:after="100"/>
              <w:rPr>
                <w:rFonts w:eastAsia="Times New Roman"/>
                <w:sz w:val="20"/>
                <w:szCs w:val="20"/>
              </w:rPr>
            </w:pPr>
          </w:p>
        </w:tc>
      </w:tr>
      <w:tr w:rsidR="00000000" w14:paraId="5FE97F56" w14:textId="77777777">
        <w:trPr>
          <w:divId w:val="1082024438"/>
        </w:trPr>
        <w:tc>
          <w:tcPr>
            <w:tcW w:w="0" w:type="auto"/>
            <w:gridSpan w:val="3"/>
            <w:shd w:val="clear" w:color="auto" w:fill="CCEEFF"/>
            <w:tcMar>
              <w:top w:w="30" w:type="dxa"/>
              <w:left w:w="20" w:type="dxa"/>
              <w:bottom w:w="30" w:type="dxa"/>
              <w:right w:w="20" w:type="dxa"/>
            </w:tcMar>
            <w:vAlign w:val="bottom"/>
            <w:hideMark/>
          </w:tcPr>
          <w:p w14:paraId="7500974E" w14:textId="77777777" w:rsidR="00000000" w:rsidRDefault="00EE5306">
            <w:pPr>
              <w:spacing w:after="100"/>
              <w:divId w:val="1148742008"/>
              <w:rPr>
                <w:rFonts w:eastAsia="Times New Roman"/>
              </w:rPr>
            </w:pPr>
            <w:r>
              <w:rPr>
                <w:rFonts w:eastAsia="Times New Roman"/>
                <w:b/>
                <w:bCs/>
                <w:color w:val="000000"/>
                <w:sz w:val="20"/>
                <w:szCs w:val="20"/>
              </w:rPr>
              <w:t>Basic</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32B975E3"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FEC445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063390" w14:textId="77777777" w:rsidR="00000000" w:rsidRDefault="00EE5306">
            <w:pPr>
              <w:spacing w:after="100"/>
              <w:jc w:val="right"/>
              <w:rPr>
                <w:rFonts w:eastAsia="Times New Roman"/>
              </w:rPr>
            </w:pPr>
            <w:r>
              <w:rPr>
                <w:rFonts w:eastAsia="Times New Roman"/>
                <w:color w:val="000000"/>
                <w:sz w:val="20"/>
                <w:szCs w:val="20"/>
              </w:rPr>
              <w:t>5.07 </w:t>
            </w:r>
          </w:p>
        </w:tc>
        <w:tc>
          <w:tcPr>
            <w:tcW w:w="0" w:type="auto"/>
            <w:shd w:val="clear" w:color="auto" w:fill="CCEEFF"/>
            <w:tcMar>
              <w:top w:w="30" w:type="dxa"/>
              <w:left w:w="0" w:type="dxa"/>
              <w:bottom w:w="30" w:type="dxa"/>
              <w:right w:w="20" w:type="dxa"/>
            </w:tcMar>
            <w:vAlign w:val="bottom"/>
            <w:hideMark/>
          </w:tcPr>
          <w:p w14:paraId="66F50E7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93F33"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3A826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4A9CBC9" w14:textId="77777777" w:rsidR="00000000" w:rsidRDefault="00EE5306">
            <w:pPr>
              <w:spacing w:after="100"/>
              <w:jc w:val="right"/>
              <w:rPr>
                <w:rFonts w:eastAsia="Times New Roman"/>
              </w:rPr>
            </w:pPr>
            <w:r>
              <w:rPr>
                <w:rFonts w:eastAsia="Times New Roman"/>
                <w:color w:val="000000"/>
                <w:sz w:val="20"/>
                <w:szCs w:val="20"/>
              </w:rPr>
              <w:t>5.35 </w:t>
            </w:r>
          </w:p>
        </w:tc>
        <w:tc>
          <w:tcPr>
            <w:tcW w:w="0" w:type="auto"/>
            <w:shd w:val="clear" w:color="auto" w:fill="CCEEFF"/>
            <w:tcMar>
              <w:top w:w="30" w:type="dxa"/>
              <w:left w:w="0" w:type="dxa"/>
              <w:bottom w:w="30" w:type="dxa"/>
              <w:right w:w="20" w:type="dxa"/>
            </w:tcMar>
            <w:vAlign w:val="bottom"/>
            <w:hideMark/>
          </w:tcPr>
          <w:p w14:paraId="60FBCF7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2BBDB"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FDA02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F662C5" w14:textId="77777777" w:rsidR="00000000" w:rsidRDefault="00EE5306">
            <w:pPr>
              <w:spacing w:after="100"/>
              <w:jc w:val="right"/>
              <w:rPr>
                <w:rFonts w:eastAsia="Times New Roman"/>
              </w:rPr>
            </w:pPr>
            <w:r>
              <w:rPr>
                <w:rFonts w:eastAsia="Times New Roman"/>
                <w:color w:val="000000"/>
                <w:sz w:val="20"/>
                <w:szCs w:val="20"/>
              </w:rPr>
              <w:t>(0.28)</w:t>
            </w:r>
          </w:p>
        </w:tc>
        <w:tc>
          <w:tcPr>
            <w:tcW w:w="0" w:type="auto"/>
            <w:shd w:val="clear" w:color="auto" w:fill="CCEEFF"/>
            <w:tcMar>
              <w:top w:w="30" w:type="dxa"/>
              <w:left w:w="0" w:type="dxa"/>
              <w:bottom w:w="30" w:type="dxa"/>
              <w:right w:w="20" w:type="dxa"/>
            </w:tcMar>
            <w:vAlign w:val="bottom"/>
            <w:hideMark/>
          </w:tcPr>
          <w:p w14:paraId="4637EE9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9EF1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E59746" w14:textId="77777777" w:rsidR="00000000" w:rsidRDefault="00EE5306">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14:paraId="05E93D83" w14:textId="77777777" w:rsidR="00000000" w:rsidRDefault="00EE5306">
            <w:pPr>
              <w:spacing w:after="100"/>
              <w:rPr>
                <w:rFonts w:eastAsia="Times New Roman"/>
              </w:rPr>
            </w:pPr>
            <w:r>
              <w:rPr>
                <w:rFonts w:eastAsia="Times New Roman"/>
                <w:color w:val="000000"/>
                <w:sz w:val="20"/>
                <w:szCs w:val="20"/>
              </w:rPr>
              <w:t>%)</w:t>
            </w:r>
          </w:p>
        </w:tc>
      </w:tr>
      <w:tr w:rsidR="00000000" w14:paraId="05BF235A" w14:textId="77777777">
        <w:trPr>
          <w:divId w:val="1082024438"/>
        </w:trPr>
        <w:tc>
          <w:tcPr>
            <w:tcW w:w="0" w:type="auto"/>
            <w:gridSpan w:val="3"/>
            <w:shd w:val="clear" w:color="auto" w:fill="FFFFFF"/>
            <w:tcMar>
              <w:top w:w="30" w:type="dxa"/>
              <w:left w:w="20" w:type="dxa"/>
              <w:bottom w:w="30" w:type="dxa"/>
              <w:right w:w="20" w:type="dxa"/>
            </w:tcMar>
            <w:vAlign w:val="bottom"/>
            <w:hideMark/>
          </w:tcPr>
          <w:p w14:paraId="1BC701A7" w14:textId="77777777" w:rsidR="00000000" w:rsidRDefault="00EE5306">
            <w:pPr>
              <w:spacing w:after="100"/>
              <w:divId w:val="1038355933"/>
              <w:rPr>
                <w:rFonts w:eastAsia="Times New Roman"/>
              </w:rPr>
            </w:pPr>
            <w:r>
              <w:rPr>
                <w:rFonts w:eastAsia="Times New Roman"/>
                <w:b/>
                <w:bCs/>
                <w:color w:val="000000"/>
                <w:sz w:val="20"/>
                <w:szCs w:val="20"/>
              </w:rPr>
              <w:t>Diluted</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3C971D5D" w14:textId="77777777" w:rsidR="00000000" w:rsidRDefault="00EE5306">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0C4E4D62"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32FB5EDA" w14:textId="77777777" w:rsidR="00000000" w:rsidRDefault="00EE5306">
            <w:pPr>
              <w:spacing w:after="100"/>
              <w:jc w:val="right"/>
              <w:rPr>
                <w:rFonts w:eastAsia="Times New Roman"/>
              </w:rPr>
            </w:pPr>
            <w:r>
              <w:rPr>
                <w:rFonts w:eastAsia="Times New Roman"/>
                <w:color w:val="000000"/>
                <w:sz w:val="20"/>
                <w:szCs w:val="20"/>
              </w:rPr>
              <w:t>4.98 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7072982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3EA87" w14:textId="77777777" w:rsidR="00000000" w:rsidRDefault="00EE530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03893FA6"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435B677F" w14:textId="77777777" w:rsidR="00000000" w:rsidRDefault="00EE5306">
            <w:pPr>
              <w:spacing w:after="100"/>
              <w:jc w:val="right"/>
              <w:rPr>
                <w:rFonts w:eastAsia="Times New Roman"/>
              </w:rPr>
            </w:pPr>
            <w:r>
              <w:rPr>
                <w:rFonts w:eastAsia="Times New Roman"/>
                <w:color w:val="000000"/>
                <w:sz w:val="20"/>
                <w:szCs w:val="20"/>
              </w:rPr>
              <w:t>5.27 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49E42B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21635" w14:textId="77777777" w:rsidR="00000000" w:rsidRDefault="00EE530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1CAE424"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1F9F20B5" w14:textId="77777777" w:rsidR="00000000" w:rsidRDefault="00EE5306">
            <w:pPr>
              <w:spacing w:after="100"/>
              <w:jc w:val="right"/>
              <w:rPr>
                <w:rFonts w:eastAsia="Times New Roman"/>
              </w:rPr>
            </w:pPr>
            <w:r>
              <w:rPr>
                <w:rFonts w:eastAsia="Times New Roman"/>
                <w:color w:val="000000"/>
                <w:sz w:val="20"/>
                <w:szCs w:val="20"/>
              </w:rPr>
              <w:t>(0.29)</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6B67B3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A3024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9AD780" w14:textId="77777777" w:rsidR="00000000" w:rsidRDefault="00EE5306">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104A1974" w14:textId="77777777" w:rsidR="00000000" w:rsidRDefault="00EE5306">
            <w:pPr>
              <w:spacing w:after="100"/>
              <w:rPr>
                <w:rFonts w:eastAsia="Times New Roman"/>
              </w:rPr>
            </w:pPr>
            <w:r>
              <w:rPr>
                <w:rFonts w:eastAsia="Times New Roman"/>
                <w:color w:val="000000"/>
                <w:sz w:val="20"/>
                <w:szCs w:val="20"/>
              </w:rPr>
              <w:t>%)</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2B5A10E6" w14:textId="77777777">
        <w:tc>
          <w:tcPr>
            <w:tcW w:w="50" w:type="pct"/>
            <w:vAlign w:val="center"/>
            <w:hideMark/>
          </w:tcPr>
          <w:p w14:paraId="10BBED9E" w14:textId="77777777" w:rsidR="00000000" w:rsidRDefault="00EE5306">
            <w:pPr>
              <w:rPr>
                <w:rFonts w:eastAsia="Times New Roman"/>
              </w:rPr>
            </w:pPr>
          </w:p>
        </w:tc>
        <w:tc>
          <w:tcPr>
            <w:tcW w:w="4945" w:type="pct"/>
            <w:vAlign w:val="center"/>
            <w:hideMark/>
          </w:tcPr>
          <w:p w14:paraId="1497898A" w14:textId="77777777" w:rsidR="00000000" w:rsidRDefault="00EE5306">
            <w:pPr>
              <w:spacing w:after="100"/>
              <w:rPr>
                <w:rFonts w:eastAsia="Times New Roman"/>
                <w:sz w:val="20"/>
                <w:szCs w:val="20"/>
              </w:rPr>
            </w:pPr>
          </w:p>
        </w:tc>
        <w:tc>
          <w:tcPr>
            <w:tcW w:w="5" w:type="pct"/>
            <w:vAlign w:val="center"/>
            <w:hideMark/>
          </w:tcPr>
          <w:p w14:paraId="14841D05" w14:textId="77777777" w:rsidR="00000000" w:rsidRDefault="00EE5306">
            <w:pPr>
              <w:spacing w:after="100"/>
              <w:rPr>
                <w:rFonts w:eastAsia="Times New Roman"/>
                <w:sz w:val="20"/>
                <w:szCs w:val="20"/>
              </w:rPr>
            </w:pPr>
          </w:p>
        </w:tc>
      </w:tr>
      <w:tr w:rsidR="00000000" w14:paraId="7757C2B1"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3947175B" w14:textId="77777777" w:rsidR="00000000" w:rsidRDefault="00EE5306">
            <w:pPr>
              <w:spacing w:after="100"/>
              <w:rPr>
                <w:rFonts w:eastAsia="Times New Roman"/>
                <w:sz w:val="20"/>
                <w:szCs w:val="20"/>
              </w:rPr>
            </w:pPr>
          </w:p>
        </w:tc>
      </w:tr>
    </w:tbl>
    <w:p w14:paraId="7CD4E8D3" w14:textId="77777777" w:rsidR="00000000" w:rsidRDefault="00EE5306">
      <w:pPr>
        <w:ind w:hanging="540"/>
        <w:jc w:val="both"/>
        <w:divId w:val="218057392"/>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Effective tax rate is calculated by dividing the income tax benefit (provision) by income before income taxes.</w:t>
      </w:r>
    </w:p>
    <w:p w14:paraId="0EF4CF7B" w14:textId="77777777" w:rsidR="00000000" w:rsidRDefault="00EE5306">
      <w:pPr>
        <w:ind w:hanging="540"/>
        <w:jc w:val="both"/>
        <w:divId w:val="1685785899"/>
        <w:rPr>
          <w:rFonts w:eastAsia="Times New Roman"/>
        </w:rPr>
      </w:pPr>
      <w:r>
        <w:rPr>
          <w:rFonts w:eastAsia="Times New Roman"/>
          <w:color w:val="000000"/>
          <w:sz w:val="20"/>
          <w:szCs w:val="20"/>
        </w:rPr>
        <w:t>NM Not meaningful.</w:t>
      </w:r>
    </w:p>
    <w:p w14:paraId="60C859A7" w14:textId="77777777" w:rsidR="00000000" w:rsidRDefault="00EE5306">
      <w:pPr>
        <w:ind w:firstLine="540"/>
        <w:jc w:val="both"/>
        <w:divId w:val="779446464"/>
        <w:rPr>
          <w:rFonts w:eastAsia="Times New Roman"/>
        </w:rPr>
      </w:pPr>
      <w:r>
        <w:rPr>
          <w:rFonts w:eastAsia="Times New Roman"/>
          <w:i/>
          <w:iCs/>
          <w:color w:val="000000"/>
          <w:sz w:val="20"/>
          <w:szCs w:val="20"/>
        </w:rPr>
        <w:t>Net Revenues.</w:t>
      </w:r>
      <w:r>
        <w:rPr>
          <w:rFonts w:eastAsia="Times New Roman"/>
          <w:color w:val="000000"/>
          <w:sz w:val="20"/>
          <w:szCs w:val="20"/>
        </w:rPr>
        <w:t>    </w:t>
      </w:r>
      <w:r>
        <w:rPr>
          <w:rFonts w:eastAsia="Times New Roman"/>
          <w:color w:val="000000"/>
          <w:sz w:val="20"/>
          <w:szCs w:val="20"/>
        </w:rPr>
        <w:t>Net revenues decreased by $153.2 million, or 2.4%, to $6.160 billion in Fiscal 2020 as compared to Fiscal 2019, including net unfavorable foreign currency effects of $77.1 million. On a constant currency basis, net revenues decreased by $76.1 million, or 1</w:t>
      </w:r>
      <w:r>
        <w:rPr>
          <w:rFonts w:eastAsia="Times New Roman"/>
          <w:color w:val="000000"/>
          <w:sz w:val="20"/>
          <w:szCs w:val="20"/>
        </w:rPr>
        <w:t xml:space="preserve">.2%, reflecting adverse impacts related to COVID-19 and Hong Kong protest business disruptions. </w:t>
      </w:r>
    </w:p>
    <w:p w14:paraId="01244FD0" w14:textId="77777777" w:rsidR="00000000" w:rsidRDefault="00EE5306">
      <w:pPr>
        <w:ind w:firstLine="540"/>
        <w:jc w:val="both"/>
        <w:divId w:val="1099175971"/>
        <w:rPr>
          <w:rFonts w:eastAsia="Times New Roman"/>
        </w:rPr>
      </w:pPr>
      <w:r>
        <w:rPr>
          <w:rFonts w:eastAsia="Times New Roman"/>
          <w:color w:val="000000"/>
          <w:sz w:val="20"/>
          <w:szCs w:val="20"/>
        </w:rPr>
        <w:t xml:space="preserve">The following table summarizes the percentage change in our Fiscal 2020 consolidated comparable store sales as compared to the prior fiscal year, inclusive of </w:t>
      </w:r>
      <w:r>
        <w:rPr>
          <w:rFonts w:eastAsia="Times New Roman"/>
          <w:color w:val="000000"/>
          <w:sz w:val="20"/>
          <w:szCs w:val="20"/>
        </w:rPr>
        <w:t>adverse impacts related to COVID-19 and Hong Kong protest business disruptions:</w:t>
      </w:r>
    </w:p>
    <w:tbl>
      <w:tblPr>
        <w:tblW w:w="4736" w:type="pct"/>
        <w:tblCellMar>
          <w:top w:w="15" w:type="dxa"/>
          <w:left w:w="15" w:type="dxa"/>
          <w:bottom w:w="15" w:type="dxa"/>
          <w:right w:w="15" w:type="dxa"/>
        </w:tblCellMar>
        <w:tblLook w:val="04A0" w:firstRow="1" w:lastRow="0" w:firstColumn="1" w:lastColumn="0" w:noHBand="0" w:noVBand="1"/>
      </w:tblPr>
      <w:tblGrid>
        <w:gridCol w:w="37"/>
        <w:gridCol w:w="6416"/>
        <w:gridCol w:w="36"/>
        <w:gridCol w:w="36"/>
        <w:gridCol w:w="36"/>
        <w:gridCol w:w="36"/>
        <w:gridCol w:w="37"/>
        <w:gridCol w:w="979"/>
        <w:gridCol w:w="254"/>
      </w:tblGrid>
      <w:tr w:rsidR="00000000" w14:paraId="023D058D" w14:textId="77777777">
        <w:trPr>
          <w:divId w:val="1733504515"/>
        </w:trPr>
        <w:tc>
          <w:tcPr>
            <w:tcW w:w="50" w:type="pct"/>
            <w:vAlign w:val="center"/>
            <w:hideMark/>
          </w:tcPr>
          <w:p w14:paraId="69168081" w14:textId="77777777" w:rsidR="00000000" w:rsidRDefault="00EE5306">
            <w:pPr>
              <w:ind w:firstLine="540"/>
              <w:jc w:val="both"/>
              <w:rPr>
                <w:rFonts w:eastAsia="Times New Roman"/>
              </w:rPr>
            </w:pPr>
          </w:p>
        </w:tc>
        <w:tc>
          <w:tcPr>
            <w:tcW w:w="4134" w:type="pct"/>
            <w:vAlign w:val="center"/>
            <w:hideMark/>
          </w:tcPr>
          <w:p w14:paraId="1F4CB992" w14:textId="77777777" w:rsidR="00000000" w:rsidRDefault="00EE5306">
            <w:pPr>
              <w:spacing w:after="100"/>
              <w:rPr>
                <w:rFonts w:eastAsia="Times New Roman"/>
                <w:sz w:val="20"/>
                <w:szCs w:val="20"/>
              </w:rPr>
            </w:pPr>
          </w:p>
        </w:tc>
        <w:tc>
          <w:tcPr>
            <w:tcW w:w="5" w:type="pct"/>
            <w:vAlign w:val="center"/>
            <w:hideMark/>
          </w:tcPr>
          <w:p w14:paraId="5D77D9C6" w14:textId="77777777" w:rsidR="00000000" w:rsidRDefault="00EE5306">
            <w:pPr>
              <w:spacing w:after="100"/>
              <w:rPr>
                <w:rFonts w:eastAsia="Times New Roman"/>
                <w:sz w:val="20"/>
                <w:szCs w:val="20"/>
              </w:rPr>
            </w:pPr>
          </w:p>
        </w:tc>
        <w:tc>
          <w:tcPr>
            <w:tcW w:w="5" w:type="pct"/>
            <w:vAlign w:val="center"/>
            <w:hideMark/>
          </w:tcPr>
          <w:p w14:paraId="59EA628F" w14:textId="77777777" w:rsidR="00000000" w:rsidRDefault="00EE5306">
            <w:pPr>
              <w:spacing w:after="100"/>
              <w:rPr>
                <w:rFonts w:eastAsia="Times New Roman"/>
                <w:sz w:val="20"/>
                <w:szCs w:val="20"/>
              </w:rPr>
            </w:pPr>
          </w:p>
        </w:tc>
        <w:tc>
          <w:tcPr>
            <w:tcW w:w="28" w:type="pct"/>
            <w:vAlign w:val="center"/>
            <w:hideMark/>
          </w:tcPr>
          <w:p w14:paraId="0FD3FBCB" w14:textId="77777777" w:rsidR="00000000" w:rsidRDefault="00EE5306">
            <w:pPr>
              <w:spacing w:after="100"/>
              <w:rPr>
                <w:rFonts w:eastAsia="Times New Roman"/>
                <w:sz w:val="20"/>
                <w:szCs w:val="20"/>
              </w:rPr>
            </w:pPr>
          </w:p>
        </w:tc>
        <w:tc>
          <w:tcPr>
            <w:tcW w:w="5" w:type="pct"/>
            <w:vAlign w:val="center"/>
            <w:hideMark/>
          </w:tcPr>
          <w:p w14:paraId="526F472E" w14:textId="77777777" w:rsidR="00000000" w:rsidRDefault="00EE5306">
            <w:pPr>
              <w:spacing w:after="100"/>
              <w:rPr>
                <w:rFonts w:eastAsia="Times New Roman"/>
                <w:sz w:val="20"/>
                <w:szCs w:val="20"/>
              </w:rPr>
            </w:pPr>
          </w:p>
        </w:tc>
        <w:tc>
          <w:tcPr>
            <w:tcW w:w="50" w:type="pct"/>
            <w:vAlign w:val="center"/>
            <w:hideMark/>
          </w:tcPr>
          <w:p w14:paraId="120A7E8A" w14:textId="77777777" w:rsidR="00000000" w:rsidRDefault="00EE5306">
            <w:pPr>
              <w:spacing w:after="100"/>
              <w:rPr>
                <w:rFonts w:eastAsia="Times New Roman"/>
                <w:sz w:val="20"/>
                <w:szCs w:val="20"/>
              </w:rPr>
            </w:pPr>
          </w:p>
        </w:tc>
        <w:tc>
          <w:tcPr>
            <w:tcW w:w="716" w:type="pct"/>
            <w:vAlign w:val="center"/>
            <w:hideMark/>
          </w:tcPr>
          <w:p w14:paraId="37A52AE8" w14:textId="77777777" w:rsidR="00000000" w:rsidRDefault="00EE5306">
            <w:pPr>
              <w:spacing w:after="100"/>
              <w:rPr>
                <w:rFonts w:eastAsia="Times New Roman"/>
                <w:sz w:val="20"/>
                <w:szCs w:val="20"/>
              </w:rPr>
            </w:pPr>
          </w:p>
        </w:tc>
        <w:tc>
          <w:tcPr>
            <w:tcW w:w="5" w:type="pct"/>
            <w:vAlign w:val="center"/>
            <w:hideMark/>
          </w:tcPr>
          <w:p w14:paraId="566BD7A7" w14:textId="77777777" w:rsidR="00000000" w:rsidRDefault="00EE5306">
            <w:pPr>
              <w:spacing w:after="100"/>
              <w:rPr>
                <w:rFonts w:eastAsia="Times New Roman"/>
                <w:sz w:val="20"/>
                <w:szCs w:val="20"/>
              </w:rPr>
            </w:pPr>
          </w:p>
        </w:tc>
      </w:tr>
      <w:tr w:rsidR="00000000" w14:paraId="5A322592" w14:textId="77777777">
        <w:trPr>
          <w:divId w:val="1733504515"/>
        </w:trPr>
        <w:tc>
          <w:tcPr>
            <w:tcW w:w="0" w:type="auto"/>
            <w:gridSpan w:val="3"/>
            <w:tcMar>
              <w:top w:w="30" w:type="dxa"/>
              <w:left w:w="20" w:type="dxa"/>
              <w:bottom w:w="30" w:type="dxa"/>
              <w:right w:w="20" w:type="dxa"/>
            </w:tcMar>
            <w:vAlign w:val="bottom"/>
            <w:hideMark/>
          </w:tcPr>
          <w:p w14:paraId="7A0AAA9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63E6D4D"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23F3C751" w14:textId="77777777" w:rsidR="00000000" w:rsidRDefault="00EE5306">
            <w:pPr>
              <w:spacing w:after="100"/>
              <w:jc w:val="center"/>
              <w:rPr>
                <w:rFonts w:eastAsia="Times New Roman"/>
              </w:rPr>
            </w:pPr>
            <w:r>
              <w:rPr>
                <w:rFonts w:eastAsia="Times New Roman"/>
                <w:b/>
                <w:bCs/>
                <w:color w:val="000000"/>
                <w:sz w:val="16"/>
                <w:szCs w:val="16"/>
              </w:rPr>
              <w:t>% Change</w:t>
            </w:r>
          </w:p>
        </w:tc>
      </w:tr>
      <w:tr w:rsidR="00000000" w14:paraId="3C3FCA47" w14:textId="77777777">
        <w:trPr>
          <w:divId w:val="1733504515"/>
        </w:trPr>
        <w:tc>
          <w:tcPr>
            <w:tcW w:w="0" w:type="auto"/>
            <w:gridSpan w:val="3"/>
            <w:shd w:val="clear" w:color="auto" w:fill="CCEEFF"/>
            <w:tcMar>
              <w:top w:w="30" w:type="dxa"/>
              <w:left w:w="20" w:type="dxa"/>
              <w:bottom w:w="30" w:type="dxa"/>
              <w:right w:w="20" w:type="dxa"/>
            </w:tcMar>
            <w:vAlign w:val="bottom"/>
            <w:hideMark/>
          </w:tcPr>
          <w:p w14:paraId="50D84641" w14:textId="77777777" w:rsidR="00000000" w:rsidRDefault="00EE5306">
            <w:pPr>
              <w:spacing w:after="100"/>
              <w:rPr>
                <w:rFonts w:eastAsia="Times New Roman"/>
              </w:rPr>
            </w:pPr>
            <w:r>
              <w:rPr>
                <w:rFonts w:eastAsia="Times New Roman"/>
                <w:color w:val="000000"/>
                <w:sz w:val="20"/>
                <w:szCs w:val="20"/>
              </w:rPr>
              <w:t>Digital commerce comparable store sales</w:t>
            </w:r>
          </w:p>
        </w:tc>
        <w:tc>
          <w:tcPr>
            <w:tcW w:w="0" w:type="auto"/>
            <w:gridSpan w:val="3"/>
            <w:shd w:val="clear" w:color="auto" w:fill="CCEEFF"/>
            <w:tcMar>
              <w:top w:w="0" w:type="dxa"/>
              <w:left w:w="20" w:type="dxa"/>
              <w:bottom w:w="0" w:type="dxa"/>
              <w:right w:w="20" w:type="dxa"/>
            </w:tcMar>
            <w:vAlign w:val="center"/>
            <w:hideMark/>
          </w:tcPr>
          <w:p w14:paraId="140BFAE4"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A4B70D" w14:textId="77777777" w:rsidR="00000000" w:rsidRDefault="00EE5306">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0F265F" w14:textId="77777777" w:rsidR="00000000" w:rsidRDefault="00EE5306">
            <w:pPr>
              <w:spacing w:after="100"/>
              <w:rPr>
                <w:rFonts w:eastAsia="Times New Roman"/>
              </w:rPr>
            </w:pPr>
            <w:r>
              <w:rPr>
                <w:rFonts w:eastAsia="Times New Roman"/>
                <w:color w:val="000000"/>
                <w:sz w:val="20"/>
                <w:szCs w:val="20"/>
              </w:rPr>
              <w:t>%</w:t>
            </w:r>
          </w:p>
        </w:tc>
      </w:tr>
      <w:tr w:rsidR="00000000" w14:paraId="22A3EAC7" w14:textId="77777777">
        <w:trPr>
          <w:divId w:val="1733504515"/>
        </w:trPr>
        <w:tc>
          <w:tcPr>
            <w:tcW w:w="0" w:type="auto"/>
            <w:gridSpan w:val="3"/>
            <w:shd w:val="clear" w:color="auto" w:fill="FFFFFF"/>
            <w:tcMar>
              <w:top w:w="30" w:type="dxa"/>
              <w:left w:w="20" w:type="dxa"/>
              <w:bottom w:w="30" w:type="dxa"/>
              <w:right w:w="20" w:type="dxa"/>
            </w:tcMar>
            <w:vAlign w:val="bottom"/>
            <w:hideMark/>
          </w:tcPr>
          <w:p w14:paraId="763FCF5F" w14:textId="77777777" w:rsidR="00000000" w:rsidRDefault="00EE5306">
            <w:pPr>
              <w:spacing w:after="100"/>
              <w:rPr>
                <w:rFonts w:eastAsia="Times New Roman"/>
              </w:rPr>
            </w:pPr>
            <w:r>
              <w:rPr>
                <w:rFonts w:eastAsia="Times New Roman"/>
                <w:color w:val="000000"/>
                <w:sz w:val="20"/>
                <w:szCs w:val="20"/>
              </w:rPr>
              <w:t>Comparable store sales excluding digital commerce</w:t>
            </w:r>
          </w:p>
        </w:tc>
        <w:tc>
          <w:tcPr>
            <w:tcW w:w="0" w:type="auto"/>
            <w:gridSpan w:val="3"/>
            <w:shd w:val="clear" w:color="auto" w:fill="FFFFFF"/>
            <w:tcMar>
              <w:top w:w="0" w:type="dxa"/>
              <w:left w:w="20" w:type="dxa"/>
              <w:bottom w:w="0" w:type="dxa"/>
              <w:right w:w="20" w:type="dxa"/>
            </w:tcMar>
            <w:vAlign w:val="center"/>
            <w:hideMark/>
          </w:tcPr>
          <w:p w14:paraId="0903579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43FADE" w14:textId="77777777" w:rsidR="00000000" w:rsidRDefault="00EE5306">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2AFC0DA3" w14:textId="77777777" w:rsidR="00000000" w:rsidRDefault="00EE5306">
            <w:pPr>
              <w:spacing w:after="100"/>
              <w:rPr>
                <w:rFonts w:eastAsia="Times New Roman"/>
              </w:rPr>
            </w:pPr>
            <w:r>
              <w:rPr>
                <w:rFonts w:eastAsia="Times New Roman"/>
                <w:color w:val="000000"/>
                <w:sz w:val="20"/>
                <w:szCs w:val="20"/>
              </w:rPr>
              <w:t>%)</w:t>
            </w:r>
          </w:p>
        </w:tc>
      </w:tr>
      <w:tr w:rsidR="00000000" w14:paraId="254C108A" w14:textId="77777777">
        <w:trPr>
          <w:divId w:val="1733504515"/>
        </w:trPr>
        <w:tc>
          <w:tcPr>
            <w:tcW w:w="0" w:type="auto"/>
            <w:gridSpan w:val="3"/>
            <w:shd w:val="clear" w:color="auto" w:fill="CCEEFF"/>
            <w:tcMar>
              <w:top w:w="30" w:type="dxa"/>
              <w:left w:w="20" w:type="dxa"/>
              <w:bottom w:w="30" w:type="dxa"/>
              <w:right w:w="20" w:type="dxa"/>
            </w:tcMar>
            <w:vAlign w:val="bottom"/>
            <w:hideMark/>
          </w:tcPr>
          <w:p w14:paraId="05728F7D" w14:textId="77777777" w:rsidR="00000000" w:rsidRDefault="00EE5306">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14:paraId="16F774E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4D324A" w14:textId="77777777" w:rsidR="00000000" w:rsidRDefault="00EE5306">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628F0F55" w14:textId="77777777" w:rsidR="00000000" w:rsidRDefault="00EE5306">
            <w:pPr>
              <w:spacing w:after="100"/>
              <w:rPr>
                <w:rFonts w:eastAsia="Times New Roman"/>
              </w:rPr>
            </w:pPr>
            <w:r>
              <w:rPr>
                <w:rFonts w:eastAsia="Times New Roman"/>
                <w:color w:val="000000"/>
                <w:sz w:val="20"/>
                <w:szCs w:val="20"/>
              </w:rPr>
              <w:t>%)</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128D92DE" w14:textId="77777777">
        <w:trPr>
          <w:jc w:val="center"/>
        </w:trPr>
        <w:tc>
          <w:tcPr>
            <w:tcW w:w="50" w:type="pct"/>
            <w:vAlign w:val="center"/>
            <w:hideMark/>
          </w:tcPr>
          <w:p w14:paraId="72233DBF" w14:textId="77777777" w:rsidR="00000000" w:rsidRDefault="00EE5306">
            <w:pPr>
              <w:rPr>
                <w:rFonts w:eastAsia="Times New Roman"/>
              </w:rPr>
            </w:pPr>
          </w:p>
        </w:tc>
        <w:tc>
          <w:tcPr>
            <w:tcW w:w="1699" w:type="pct"/>
            <w:vAlign w:val="center"/>
            <w:hideMark/>
          </w:tcPr>
          <w:p w14:paraId="4D04AA64" w14:textId="77777777" w:rsidR="00000000" w:rsidRDefault="00EE5306">
            <w:pPr>
              <w:spacing w:after="100"/>
              <w:rPr>
                <w:rFonts w:eastAsia="Times New Roman"/>
                <w:sz w:val="20"/>
                <w:szCs w:val="20"/>
              </w:rPr>
            </w:pPr>
          </w:p>
        </w:tc>
        <w:tc>
          <w:tcPr>
            <w:tcW w:w="5" w:type="pct"/>
            <w:vAlign w:val="center"/>
            <w:hideMark/>
          </w:tcPr>
          <w:p w14:paraId="4709AEA5" w14:textId="77777777" w:rsidR="00000000" w:rsidRDefault="00EE5306">
            <w:pPr>
              <w:spacing w:after="100"/>
              <w:rPr>
                <w:rFonts w:eastAsia="Times New Roman"/>
                <w:sz w:val="20"/>
                <w:szCs w:val="20"/>
              </w:rPr>
            </w:pPr>
          </w:p>
        </w:tc>
        <w:tc>
          <w:tcPr>
            <w:tcW w:w="50" w:type="pct"/>
            <w:vAlign w:val="center"/>
            <w:hideMark/>
          </w:tcPr>
          <w:p w14:paraId="597DD47E" w14:textId="77777777" w:rsidR="00000000" w:rsidRDefault="00EE5306">
            <w:pPr>
              <w:spacing w:after="100"/>
              <w:rPr>
                <w:rFonts w:eastAsia="Times New Roman"/>
                <w:sz w:val="20"/>
                <w:szCs w:val="20"/>
              </w:rPr>
            </w:pPr>
          </w:p>
        </w:tc>
        <w:tc>
          <w:tcPr>
            <w:tcW w:w="1436" w:type="pct"/>
            <w:vAlign w:val="center"/>
            <w:hideMark/>
          </w:tcPr>
          <w:p w14:paraId="4B4DDCD6" w14:textId="77777777" w:rsidR="00000000" w:rsidRDefault="00EE5306">
            <w:pPr>
              <w:spacing w:after="100"/>
              <w:rPr>
                <w:rFonts w:eastAsia="Times New Roman"/>
                <w:sz w:val="20"/>
                <w:szCs w:val="20"/>
              </w:rPr>
            </w:pPr>
          </w:p>
        </w:tc>
        <w:tc>
          <w:tcPr>
            <w:tcW w:w="5" w:type="pct"/>
            <w:vAlign w:val="center"/>
            <w:hideMark/>
          </w:tcPr>
          <w:p w14:paraId="051DC946" w14:textId="77777777" w:rsidR="00000000" w:rsidRDefault="00EE5306">
            <w:pPr>
              <w:spacing w:after="100"/>
              <w:rPr>
                <w:rFonts w:eastAsia="Times New Roman"/>
                <w:sz w:val="20"/>
                <w:szCs w:val="20"/>
              </w:rPr>
            </w:pPr>
          </w:p>
        </w:tc>
        <w:tc>
          <w:tcPr>
            <w:tcW w:w="50" w:type="pct"/>
            <w:vAlign w:val="center"/>
            <w:hideMark/>
          </w:tcPr>
          <w:p w14:paraId="62BF3980" w14:textId="77777777" w:rsidR="00000000" w:rsidRDefault="00EE5306">
            <w:pPr>
              <w:spacing w:after="100"/>
              <w:rPr>
                <w:rFonts w:eastAsia="Times New Roman"/>
                <w:sz w:val="20"/>
                <w:szCs w:val="20"/>
              </w:rPr>
            </w:pPr>
          </w:p>
        </w:tc>
        <w:tc>
          <w:tcPr>
            <w:tcW w:w="1699" w:type="pct"/>
            <w:vAlign w:val="center"/>
            <w:hideMark/>
          </w:tcPr>
          <w:p w14:paraId="5D0DD0BE" w14:textId="77777777" w:rsidR="00000000" w:rsidRDefault="00EE5306">
            <w:pPr>
              <w:spacing w:after="100"/>
              <w:rPr>
                <w:rFonts w:eastAsia="Times New Roman"/>
                <w:sz w:val="20"/>
                <w:szCs w:val="20"/>
              </w:rPr>
            </w:pPr>
          </w:p>
        </w:tc>
        <w:tc>
          <w:tcPr>
            <w:tcW w:w="5" w:type="pct"/>
            <w:vAlign w:val="center"/>
            <w:hideMark/>
          </w:tcPr>
          <w:p w14:paraId="760E02C7" w14:textId="77777777" w:rsidR="00000000" w:rsidRDefault="00EE5306">
            <w:pPr>
              <w:spacing w:after="100"/>
              <w:rPr>
                <w:rFonts w:eastAsia="Times New Roman"/>
                <w:sz w:val="20"/>
                <w:szCs w:val="20"/>
              </w:rPr>
            </w:pPr>
          </w:p>
        </w:tc>
      </w:tr>
      <w:tr w:rsidR="00000000" w14:paraId="24329DC0" w14:textId="77777777">
        <w:trPr>
          <w:jc w:val="center"/>
        </w:trPr>
        <w:tc>
          <w:tcPr>
            <w:tcW w:w="0" w:type="auto"/>
            <w:gridSpan w:val="3"/>
            <w:tcMar>
              <w:top w:w="0" w:type="dxa"/>
              <w:left w:w="20" w:type="dxa"/>
              <w:bottom w:w="0" w:type="dxa"/>
              <w:right w:w="20" w:type="dxa"/>
            </w:tcMar>
            <w:vAlign w:val="center"/>
            <w:hideMark/>
          </w:tcPr>
          <w:p w14:paraId="5C480AD1"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2D3C84B" w14:textId="77777777" w:rsidR="00000000" w:rsidRDefault="00EE5306">
            <w:pPr>
              <w:spacing w:after="100"/>
              <w:jc w:val="center"/>
              <w:rPr>
                <w:rFonts w:eastAsia="Times New Roman"/>
              </w:rPr>
            </w:pPr>
            <w:r>
              <w:rPr>
                <w:rFonts w:eastAsia="Times New Roman"/>
                <w:color w:val="000000"/>
                <w:sz w:val="20"/>
                <w:szCs w:val="20"/>
              </w:rPr>
              <w:t>57</w:t>
            </w:r>
          </w:p>
        </w:tc>
        <w:tc>
          <w:tcPr>
            <w:tcW w:w="0" w:type="auto"/>
            <w:gridSpan w:val="3"/>
            <w:tcMar>
              <w:top w:w="0" w:type="dxa"/>
              <w:left w:w="20" w:type="dxa"/>
              <w:bottom w:w="0" w:type="dxa"/>
              <w:right w:w="20" w:type="dxa"/>
            </w:tcMar>
            <w:vAlign w:val="center"/>
            <w:hideMark/>
          </w:tcPr>
          <w:p w14:paraId="21B7D351" w14:textId="77777777" w:rsidR="00000000" w:rsidRDefault="00EE5306">
            <w:pPr>
              <w:spacing w:after="100"/>
              <w:jc w:val="center"/>
              <w:rPr>
                <w:rFonts w:eastAsia="Times New Roman"/>
              </w:rPr>
            </w:pPr>
          </w:p>
        </w:tc>
      </w:tr>
    </w:tbl>
    <w:p w14:paraId="44DA81A0" w14:textId="77777777" w:rsidR="00000000" w:rsidRDefault="00EE5306">
      <w:pPr>
        <w:rPr>
          <w:rFonts w:eastAsia="Times New Roman"/>
        </w:rPr>
      </w:pPr>
      <w:r>
        <w:rPr>
          <w:rFonts w:eastAsia="Times New Roman"/>
        </w:rPr>
        <w:pict w14:anchorId="0F76223F">
          <v:rect id="_x0000_i1084" style="width:0;height:1.5pt" o:hralign="center" o:hrstd="t" o:hr="t" fillcolor="#a0a0a0" stroked="f"/>
        </w:pict>
      </w:r>
    </w:p>
    <w:p w14:paraId="0DABBDC8" w14:textId="77777777" w:rsidR="00000000" w:rsidRDefault="00EE5306">
      <w:pPr>
        <w:divId w:val="671296044"/>
        <w:rPr>
          <w:rFonts w:eastAsia="Times New Roman"/>
        </w:rPr>
      </w:pPr>
    </w:p>
    <w:p w14:paraId="109C4F4A" w14:textId="77777777" w:rsidR="00000000" w:rsidRDefault="00EE5306">
      <w:pPr>
        <w:ind w:firstLine="540"/>
        <w:jc w:val="both"/>
        <w:divId w:val="1024862366"/>
        <w:rPr>
          <w:rFonts w:eastAsia="Times New Roman"/>
        </w:rPr>
      </w:pPr>
      <w:r>
        <w:rPr>
          <w:rFonts w:eastAsia="Times New Roman"/>
          <w:color w:val="000000"/>
          <w:sz w:val="20"/>
          <w:szCs w:val="20"/>
        </w:rPr>
        <w:t>Our global average store count increased by 43 stores and concession shops during Fiscal 2020 compared with the prior fiscal year, largely driven by new openings in Asia and Europe. The following table details our reta</w:t>
      </w:r>
      <w:r>
        <w:rPr>
          <w:rFonts w:eastAsia="Times New Roman"/>
          <w:color w:val="000000"/>
          <w:sz w:val="20"/>
          <w:szCs w:val="20"/>
        </w:rPr>
        <w:t>il store presence by segment as of the periods presented:</w:t>
      </w:r>
    </w:p>
    <w:tbl>
      <w:tblPr>
        <w:tblW w:w="4729" w:type="pct"/>
        <w:tblCellMar>
          <w:top w:w="15" w:type="dxa"/>
          <w:left w:w="15" w:type="dxa"/>
          <w:bottom w:w="15" w:type="dxa"/>
          <w:right w:w="15" w:type="dxa"/>
        </w:tblCellMar>
        <w:tblLook w:val="04A0" w:firstRow="1" w:lastRow="0" w:firstColumn="1" w:lastColumn="0" w:noHBand="0" w:noVBand="1"/>
      </w:tblPr>
      <w:tblGrid>
        <w:gridCol w:w="54"/>
        <w:gridCol w:w="5173"/>
        <w:gridCol w:w="37"/>
        <w:gridCol w:w="36"/>
        <w:gridCol w:w="36"/>
        <w:gridCol w:w="36"/>
        <w:gridCol w:w="38"/>
        <w:gridCol w:w="1090"/>
        <w:gridCol w:w="36"/>
        <w:gridCol w:w="36"/>
        <w:gridCol w:w="55"/>
        <w:gridCol w:w="36"/>
        <w:gridCol w:w="54"/>
        <w:gridCol w:w="1103"/>
        <w:gridCol w:w="36"/>
      </w:tblGrid>
      <w:tr w:rsidR="00000000" w14:paraId="587D91CE" w14:textId="77777777">
        <w:trPr>
          <w:divId w:val="1362898981"/>
        </w:trPr>
        <w:tc>
          <w:tcPr>
            <w:tcW w:w="50" w:type="pct"/>
            <w:vAlign w:val="center"/>
            <w:hideMark/>
          </w:tcPr>
          <w:p w14:paraId="579A951C" w14:textId="77777777" w:rsidR="00000000" w:rsidRDefault="00EE5306">
            <w:pPr>
              <w:ind w:firstLine="540"/>
              <w:jc w:val="both"/>
              <w:rPr>
                <w:rFonts w:eastAsia="Times New Roman"/>
              </w:rPr>
            </w:pPr>
          </w:p>
        </w:tc>
        <w:tc>
          <w:tcPr>
            <w:tcW w:w="3306" w:type="pct"/>
            <w:vAlign w:val="center"/>
            <w:hideMark/>
          </w:tcPr>
          <w:p w14:paraId="60573B19" w14:textId="77777777" w:rsidR="00000000" w:rsidRDefault="00EE5306">
            <w:pPr>
              <w:spacing w:after="100"/>
              <w:rPr>
                <w:rFonts w:eastAsia="Times New Roman"/>
                <w:sz w:val="20"/>
                <w:szCs w:val="20"/>
              </w:rPr>
            </w:pPr>
          </w:p>
        </w:tc>
        <w:tc>
          <w:tcPr>
            <w:tcW w:w="5" w:type="pct"/>
            <w:vAlign w:val="center"/>
            <w:hideMark/>
          </w:tcPr>
          <w:p w14:paraId="0D830574" w14:textId="77777777" w:rsidR="00000000" w:rsidRDefault="00EE5306">
            <w:pPr>
              <w:spacing w:after="100"/>
              <w:rPr>
                <w:rFonts w:eastAsia="Times New Roman"/>
                <w:sz w:val="20"/>
                <w:szCs w:val="20"/>
              </w:rPr>
            </w:pPr>
          </w:p>
        </w:tc>
        <w:tc>
          <w:tcPr>
            <w:tcW w:w="5" w:type="pct"/>
            <w:vAlign w:val="center"/>
            <w:hideMark/>
          </w:tcPr>
          <w:p w14:paraId="7674DEAC" w14:textId="77777777" w:rsidR="00000000" w:rsidRDefault="00EE5306">
            <w:pPr>
              <w:spacing w:after="100"/>
              <w:rPr>
                <w:rFonts w:eastAsia="Times New Roman"/>
                <w:sz w:val="20"/>
                <w:szCs w:val="20"/>
              </w:rPr>
            </w:pPr>
          </w:p>
        </w:tc>
        <w:tc>
          <w:tcPr>
            <w:tcW w:w="28" w:type="pct"/>
            <w:vAlign w:val="center"/>
            <w:hideMark/>
          </w:tcPr>
          <w:p w14:paraId="7C8F5AC7" w14:textId="77777777" w:rsidR="00000000" w:rsidRDefault="00EE5306">
            <w:pPr>
              <w:spacing w:after="100"/>
              <w:rPr>
                <w:rFonts w:eastAsia="Times New Roman"/>
                <w:sz w:val="20"/>
                <w:szCs w:val="20"/>
              </w:rPr>
            </w:pPr>
          </w:p>
        </w:tc>
        <w:tc>
          <w:tcPr>
            <w:tcW w:w="5" w:type="pct"/>
            <w:vAlign w:val="center"/>
            <w:hideMark/>
          </w:tcPr>
          <w:p w14:paraId="229A6C85" w14:textId="77777777" w:rsidR="00000000" w:rsidRDefault="00EE5306">
            <w:pPr>
              <w:spacing w:after="100"/>
              <w:rPr>
                <w:rFonts w:eastAsia="Times New Roman"/>
                <w:sz w:val="20"/>
                <w:szCs w:val="20"/>
              </w:rPr>
            </w:pPr>
          </w:p>
        </w:tc>
        <w:tc>
          <w:tcPr>
            <w:tcW w:w="50" w:type="pct"/>
            <w:vAlign w:val="center"/>
            <w:hideMark/>
          </w:tcPr>
          <w:p w14:paraId="1941F745" w14:textId="77777777" w:rsidR="00000000" w:rsidRDefault="00EE5306">
            <w:pPr>
              <w:spacing w:after="100"/>
              <w:rPr>
                <w:rFonts w:eastAsia="Times New Roman"/>
                <w:sz w:val="20"/>
                <w:szCs w:val="20"/>
              </w:rPr>
            </w:pPr>
          </w:p>
        </w:tc>
        <w:tc>
          <w:tcPr>
            <w:tcW w:w="710" w:type="pct"/>
            <w:vAlign w:val="center"/>
            <w:hideMark/>
          </w:tcPr>
          <w:p w14:paraId="12B7DA73" w14:textId="77777777" w:rsidR="00000000" w:rsidRDefault="00EE5306">
            <w:pPr>
              <w:spacing w:after="100"/>
              <w:rPr>
                <w:rFonts w:eastAsia="Times New Roman"/>
                <w:sz w:val="20"/>
                <w:szCs w:val="20"/>
              </w:rPr>
            </w:pPr>
          </w:p>
        </w:tc>
        <w:tc>
          <w:tcPr>
            <w:tcW w:w="5" w:type="pct"/>
            <w:vAlign w:val="center"/>
            <w:hideMark/>
          </w:tcPr>
          <w:p w14:paraId="32443316" w14:textId="77777777" w:rsidR="00000000" w:rsidRDefault="00EE5306">
            <w:pPr>
              <w:spacing w:after="100"/>
              <w:rPr>
                <w:rFonts w:eastAsia="Times New Roman"/>
                <w:sz w:val="20"/>
                <w:szCs w:val="20"/>
              </w:rPr>
            </w:pPr>
          </w:p>
        </w:tc>
        <w:tc>
          <w:tcPr>
            <w:tcW w:w="5" w:type="pct"/>
            <w:vAlign w:val="center"/>
            <w:hideMark/>
          </w:tcPr>
          <w:p w14:paraId="7D68AD81" w14:textId="77777777" w:rsidR="00000000" w:rsidRDefault="00EE5306">
            <w:pPr>
              <w:spacing w:after="100"/>
              <w:rPr>
                <w:rFonts w:eastAsia="Times New Roman"/>
                <w:sz w:val="20"/>
                <w:szCs w:val="20"/>
              </w:rPr>
            </w:pPr>
          </w:p>
        </w:tc>
        <w:tc>
          <w:tcPr>
            <w:tcW w:w="51" w:type="pct"/>
            <w:vAlign w:val="center"/>
            <w:hideMark/>
          </w:tcPr>
          <w:p w14:paraId="33D517E3" w14:textId="77777777" w:rsidR="00000000" w:rsidRDefault="00EE5306">
            <w:pPr>
              <w:spacing w:after="100"/>
              <w:rPr>
                <w:rFonts w:eastAsia="Times New Roman"/>
                <w:sz w:val="20"/>
                <w:szCs w:val="20"/>
              </w:rPr>
            </w:pPr>
          </w:p>
        </w:tc>
        <w:tc>
          <w:tcPr>
            <w:tcW w:w="5" w:type="pct"/>
            <w:vAlign w:val="center"/>
            <w:hideMark/>
          </w:tcPr>
          <w:p w14:paraId="11023A35" w14:textId="77777777" w:rsidR="00000000" w:rsidRDefault="00EE5306">
            <w:pPr>
              <w:spacing w:after="100"/>
              <w:rPr>
                <w:rFonts w:eastAsia="Times New Roman"/>
                <w:sz w:val="20"/>
                <w:szCs w:val="20"/>
              </w:rPr>
            </w:pPr>
          </w:p>
        </w:tc>
        <w:tc>
          <w:tcPr>
            <w:tcW w:w="50" w:type="pct"/>
            <w:vAlign w:val="center"/>
            <w:hideMark/>
          </w:tcPr>
          <w:p w14:paraId="1D7FB575" w14:textId="77777777" w:rsidR="00000000" w:rsidRDefault="00EE5306">
            <w:pPr>
              <w:spacing w:after="100"/>
              <w:rPr>
                <w:rFonts w:eastAsia="Times New Roman"/>
                <w:sz w:val="20"/>
                <w:szCs w:val="20"/>
              </w:rPr>
            </w:pPr>
          </w:p>
        </w:tc>
        <w:tc>
          <w:tcPr>
            <w:tcW w:w="717" w:type="pct"/>
            <w:vAlign w:val="center"/>
            <w:hideMark/>
          </w:tcPr>
          <w:p w14:paraId="476117CE" w14:textId="77777777" w:rsidR="00000000" w:rsidRDefault="00EE5306">
            <w:pPr>
              <w:spacing w:after="100"/>
              <w:rPr>
                <w:rFonts w:eastAsia="Times New Roman"/>
                <w:sz w:val="20"/>
                <w:szCs w:val="20"/>
              </w:rPr>
            </w:pPr>
          </w:p>
        </w:tc>
        <w:tc>
          <w:tcPr>
            <w:tcW w:w="5" w:type="pct"/>
            <w:vAlign w:val="center"/>
            <w:hideMark/>
          </w:tcPr>
          <w:p w14:paraId="72DB0C8E" w14:textId="77777777" w:rsidR="00000000" w:rsidRDefault="00EE5306">
            <w:pPr>
              <w:spacing w:after="100"/>
              <w:rPr>
                <w:rFonts w:eastAsia="Times New Roman"/>
                <w:sz w:val="20"/>
                <w:szCs w:val="20"/>
              </w:rPr>
            </w:pPr>
          </w:p>
        </w:tc>
      </w:tr>
      <w:tr w:rsidR="00000000" w14:paraId="5A1044CF" w14:textId="77777777">
        <w:trPr>
          <w:divId w:val="1362898981"/>
        </w:trPr>
        <w:tc>
          <w:tcPr>
            <w:tcW w:w="0" w:type="auto"/>
            <w:gridSpan w:val="3"/>
            <w:tcMar>
              <w:top w:w="0" w:type="dxa"/>
              <w:left w:w="20" w:type="dxa"/>
              <w:bottom w:w="0" w:type="dxa"/>
              <w:right w:w="20" w:type="dxa"/>
            </w:tcMar>
            <w:vAlign w:val="center"/>
            <w:hideMark/>
          </w:tcPr>
          <w:p w14:paraId="644F6D2A"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1BE29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6D077C7"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068FB442"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2030CD6"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4242BA1F" w14:textId="77777777">
        <w:trPr>
          <w:divId w:val="1362898981"/>
        </w:trPr>
        <w:tc>
          <w:tcPr>
            <w:tcW w:w="0" w:type="auto"/>
            <w:gridSpan w:val="3"/>
            <w:shd w:val="clear" w:color="auto" w:fill="CCEEFF"/>
            <w:tcMar>
              <w:top w:w="30" w:type="dxa"/>
              <w:left w:w="20" w:type="dxa"/>
              <w:bottom w:w="30" w:type="dxa"/>
              <w:right w:w="20" w:type="dxa"/>
            </w:tcMar>
            <w:vAlign w:val="bottom"/>
            <w:hideMark/>
          </w:tcPr>
          <w:p w14:paraId="3D2C9596" w14:textId="77777777" w:rsidR="00000000" w:rsidRDefault="00EE5306">
            <w:pPr>
              <w:spacing w:after="100"/>
              <w:rPr>
                <w:rFonts w:eastAsia="Times New Roman"/>
              </w:rPr>
            </w:pPr>
            <w:r>
              <w:rPr>
                <w:rFonts w:eastAsia="Times New Roman"/>
                <w:b/>
                <w:bCs/>
                <w:color w:val="000000"/>
                <w:sz w:val="20"/>
                <w:szCs w:val="20"/>
              </w:rPr>
              <w:t>Freestanding Stores:</w:t>
            </w:r>
          </w:p>
        </w:tc>
        <w:tc>
          <w:tcPr>
            <w:tcW w:w="0" w:type="auto"/>
            <w:gridSpan w:val="3"/>
            <w:shd w:val="clear" w:color="auto" w:fill="CCEEFF"/>
            <w:tcMar>
              <w:top w:w="0" w:type="dxa"/>
              <w:left w:w="20" w:type="dxa"/>
              <w:bottom w:w="0" w:type="dxa"/>
              <w:right w:w="20" w:type="dxa"/>
            </w:tcMar>
            <w:vAlign w:val="center"/>
            <w:hideMark/>
          </w:tcPr>
          <w:p w14:paraId="727373E8"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32720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4C91C3"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80DA47" w14:textId="77777777" w:rsidR="00000000" w:rsidRDefault="00EE5306">
            <w:pPr>
              <w:spacing w:after="100"/>
              <w:rPr>
                <w:rFonts w:eastAsia="Times New Roman"/>
                <w:sz w:val="20"/>
                <w:szCs w:val="20"/>
              </w:rPr>
            </w:pPr>
          </w:p>
        </w:tc>
      </w:tr>
      <w:tr w:rsidR="00000000" w14:paraId="5E4B9500" w14:textId="77777777">
        <w:trPr>
          <w:divId w:val="1362898981"/>
        </w:trPr>
        <w:tc>
          <w:tcPr>
            <w:tcW w:w="0" w:type="auto"/>
            <w:gridSpan w:val="3"/>
            <w:shd w:val="clear" w:color="auto" w:fill="FFFFFF"/>
            <w:tcMar>
              <w:top w:w="30" w:type="dxa"/>
              <w:left w:w="155" w:type="dxa"/>
              <w:bottom w:w="30" w:type="dxa"/>
              <w:right w:w="20" w:type="dxa"/>
            </w:tcMar>
            <w:vAlign w:val="bottom"/>
            <w:hideMark/>
          </w:tcPr>
          <w:p w14:paraId="14EB196C"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14:paraId="1A3AF5C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F31626" w14:textId="77777777" w:rsidR="00000000" w:rsidRDefault="00EE5306">
            <w:pPr>
              <w:spacing w:after="100"/>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14:paraId="22A5A79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1C1CE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CE4B0" w14:textId="77777777" w:rsidR="00000000" w:rsidRDefault="00EE5306">
            <w:pPr>
              <w:spacing w:after="100"/>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14:paraId="2D2E24EE" w14:textId="77777777" w:rsidR="00000000" w:rsidRDefault="00EE5306">
            <w:pPr>
              <w:spacing w:after="100"/>
              <w:jc w:val="right"/>
              <w:rPr>
                <w:rFonts w:eastAsia="Times New Roman"/>
              </w:rPr>
            </w:pPr>
          </w:p>
        </w:tc>
      </w:tr>
      <w:tr w:rsidR="00000000" w14:paraId="19E405C0" w14:textId="77777777">
        <w:trPr>
          <w:divId w:val="1362898981"/>
        </w:trPr>
        <w:tc>
          <w:tcPr>
            <w:tcW w:w="0" w:type="auto"/>
            <w:gridSpan w:val="3"/>
            <w:shd w:val="clear" w:color="auto" w:fill="CCEEFF"/>
            <w:tcMar>
              <w:top w:w="30" w:type="dxa"/>
              <w:left w:w="155" w:type="dxa"/>
              <w:bottom w:w="30" w:type="dxa"/>
              <w:right w:w="20" w:type="dxa"/>
            </w:tcMar>
            <w:vAlign w:val="bottom"/>
            <w:hideMark/>
          </w:tcPr>
          <w:p w14:paraId="14A01956"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14:paraId="5CF8C724"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FC942F" w14:textId="77777777" w:rsidR="00000000" w:rsidRDefault="00EE5306">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4ACD9C5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F3006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6370F9" w14:textId="77777777" w:rsidR="00000000" w:rsidRDefault="00EE5306">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14:paraId="7EF1B61A" w14:textId="77777777" w:rsidR="00000000" w:rsidRDefault="00EE5306">
            <w:pPr>
              <w:spacing w:after="100"/>
              <w:jc w:val="right"/>
              <w:rPr>
                <w:rFonts w:eastAsia="Times New Roman"/>
              </w:rPr>
            </w:pPr>
          </w:p>
        </w:tc>
      </w:tr>
      <w:tr w:rsidR="00000000" w14:paraId="6D73EF15" w14:textId="77777777">
        <w:trPr>
          <w:divId w:val="1362898981"/>
        </w:trPr>
        <w:tc>
          <w:tcPr>
            <w:tcW w:w="0" w:type="auto"/>
            <w:gridSpan w:val="3"/>
            <w:shd w:val="clear" w:color="auto" w:fill="FFFFFF"/>
            <w:tcMar>
              <w:top w:w="30" w:type="dxa"/>
              <w:left w:w="155" w:type="dxa"/>
              <w:bottom w:w="30" w:type="dxa"/>
              <w:right w:w="20" w:type="dxa"/>
            </w:tcMar>
            <w:vAlign w:val="bottom"/>
            <w:hideMark/>
          </w:tcPr>
          <w:p w14:paraId="5BBD456E"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14:paraId="071D6D0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EC2D6A" w14:textId="77777777" w:rsidR="00000000" w:rsidRDefault="00EE5306">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14:paraId="1596F1C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5666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F78AB0" w14:textId="77777777" w:rsidR="00000000" w:rsidRDefault="00EE5306">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14:paraId="70905E06" w14:textId="77777777" w:rsidR="00000000" w:rsidRDefault="00EE5306">
            <w:pPr>
              <w:spacing w:after="100"/>
              <w:jc w:val="right"/>
              <w:rPr>
                <w:rFonts w:eastAsia="Times New Roman"/>
              </w:rPr>
            </w:pPr>
          </w:p>
        </w:tc>
      </w:tr>
      <w:tr w:rsidR="00000000" w14:paraId="1FBD0343" w14:textId="77777777">
        <w:trPr>
          <w:divId w:val="1362898981"/>
        </w:trPr>
        <w:tc>
          <w:tcPr>
            <w:tcW w:w="0" w:type="auto"/>
            <w:gridSpan w:val="3"/>
            <w:shd w:val="clear" w:color="auto" w:fill="CCEEFF"/>
            <w:tcMar>
              <w:top w:w="30" w:type="dxa"/>
              <w:left w:w="155" w:type="dxa"/>
              <w:bottom w:w="30" w:type="dxa"/>
              <w:right w:w="20" w:type="dxa"/>
            </w:tcMar>
            <w:vAlign w:val="bottom"/>
            <w:hideMark/>
          </w:tcPr>
          <w:p w14:paraId="13A7EFD8"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14:paraId="2CA8E4A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586A1A" w14:textId="77777777" w:rsidR="00000000" w:rsidRDefault="00EE5306">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14:paraId="68EB515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B838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1138CB" w14:textId="77777777" w:rsidR="00000000" w:rsidRDefault="00EE5306">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2ABC956B" w14:textId="77777777" w:rsidR="00000000" w:rsidRDefault="00EE5306">
            <w:pPr>
              <w:spacing w:after="100"/>
              <w:jc w:val="right"/>
              <w:rPr>
                <w:rFonts w:eastAsia="Times New Roman"/>
              </w:rPr>
            </w:pPr>
          </w:p>
        </w:tc>
      </w:tr>
      <w:tr w:rsidR="00000000" w14:paraId="21244740" w14:textId="77777777">
        <w:trPr>
          <w:divId w:val="1362898981"/>
        </w:trPr>
        <w:tc>
          <w:tcPr>
            <w:tcW w:w="0" w:type="auto"/>
            <w:gridSpan w:val="3"/>
            <w:shd w:val="clear" w:color="auto" w:fill="FFFFFF"/>
            <w:tcMar>
              <w:top w:w="30" w:type="dxa"/>
              <w:left w:w="245" w:type="dxa"/>
              <w:bottom w:w="30" w:type="dxa"/>
              <w:right w:w="20" w:type="dxa"/>
            </w:tcMar>
            <w:vAlign w:val="bottom"/>
            <w:hideMark/>
          </w:tcPr>
          <w:p w14:paraId="3132EF91" w14:textId="77777777" w:rsidR="00000000" w:rsidRDefault="00EE5306">
            <w:pPr>
              <w:spacing w:after="100"/>
              <w:rPr>
                <w:rFonts w:eastAsia="Times New Roman"/>
              </w:rPr>
            </w:pPr>
            <w:r>
              <w:rPr>
                <w:rFonts w:eastAsia="Times New Roman"/>
                <w:color w:val="000000"/>
                <w:sz w:val="20"/>
                <w:szCs w:val="20"/>
              </w:rPr>
              <w:t>Total freestanding stores</w:t>
            </w:r>
          </w:p>
        </w:tc>
        <w:tc>
          <w:tcPr>
            <w:tcW w:w="0" w:type="auto"/>
            <w:gridSpan w:val="3"/>
            <w:shd w:val="clear" w:color="auto" w:fill="FFFFFF"/>
            <w:tcMar>
              <w:top w:w="0" w:type="dxa"/>
              <w:left w:w="20" w:type="dxa"/>
              <w:bottom w:w="0" w:type="dxa"/>
              <w:right w:w="20" w:type="dxa"/>
            </w:tcMar>
            <w:vAlign w:val="center"/>
            <w:hideMark/>
          </w:tcPr>
          <w:p w14:paraId="0A1D596F"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FC9CF1" w14:textId="77777777" w:rsidR="00000000" w:rsidRDefault="00EE5306">
            <w:pPr>
              <w:spacing w:after="100"/>
              <w:jc w:val="right"/>
              <w:rPr>
                <w:rFonts w:eastAsia="Times New Roman"/>
              </w:rPr>
            </w:pPr>
            <w:r>
              <w:rPr>
                <w:rFonts w:eastAsia="Times New Roman"/>
                <w:color w:val="000000"/>
                <w:sz w:val="20"/>
                <w:szCs w:val="20"/>
              </w:rPr>
              <w:t>530 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1D841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07B10"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5DC417" w14:textId="77777777" w:rsidR="00000000" w:rsidRDefault="00EE5306">
            <w:pPr>
              <w:spacing w:after="100"/>
              <w:jc w:val="right"/>
              <w:rPr>
                <w:rFonts w:eastAsia="Times New Roman"/>
              </w:rPr>
            </w:pPr>
            <w:r>
              <w:rPr>
                <w:rFonts w:eastAsia="Times New Roman"/>
                <w:color w:val="000000"/>
                <w:sz w:val="20"/>
                <w:szCs w:val="20"/>
              </w:rPr>
              <w:t>501 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3897CD" w14:textId="77777777" w:rsidR="00000000" w:rsidRDefault="00EE5306">
            <w:pPr>
              <w:spacing w:after="100"/>
              <w:jc w:val="right"/>
              <w:rPr>
                <w:rFonts w:eastAsia="Times New Roman"/>
              </w:rPr>
            </w:pPr>
          </w:p>
        </w:tc>
      </w:tr>
      <w:tr w:rsidR="00000000" w14:paraId="4E956698" w14:textId="77777777">
        <w:trPr>
          <w:divId w:val="1362898981"/>
          <w:trHeight w:val="180"/>
        </w:trPr>
        <w:tc>
          <w:tcPr>
            <w:tcW w:w="0" w:type="auto"/>
            <w:gridSpan w:val="3"/>
            <w:shd w:val="clear" w:color="auto" w:fill="CCEEFF"/>
            <w:tcMar>
              <w:top w:w="0" w:type="dxa"/>
              <w:left w:w="20" w:type="dxa"/>
              <w:bottom w:w="0" w:type="dxa"/>
              <w:right w:w="20" w:type="dxa"/>
            </w:tcMar>
            <w:vAlign w:val="center"/>
            <w:hideMark/>
          </w:tcPr>
          <w:p w14:paraId="07CE2970"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18503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CAB72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E15D9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CF2398" w14:textId="77777777" w:rsidR="00000000" w:rsidRDefault="00EE5306">
            <w:pPr>
              <w:spacing w:after="100"/>
              <w:rPr>
                <w:rFonts w:eastAsia="Times New Roman"/>
                <w:sz w:val="20"/>
                <w:szCs w:val="20"/>
              </w:rPr>
            </w:pPr>
          </w:p>
        </w:tc>
      </w:tr>
      <w:tr w:rsidR="00000000" w14:paraId="7C1BABF3" w14:textId="77777777">
        <w:trPr>
          <w:divId w:val="1362898981"/>
        </w:trPr>
        <w:tc>
          <w:tcPr>
            <w:tcW w:w="0" w:type="auto"/>
            <w:gridSpan w:val="3"/>
            <w:shd w:val="clear" w:color="auto" w:fill="FFFFFF"/>
            <w:tcMar>
              <w:top w:w="30" w:type="dxa"/>
              <w:left w:w="20" w:type="dxa"/>
              <w:bottom w:w="30" w:type="dxa"/>
              <w:right w:w="20" w:type="dxa"/>
            </w:tcMar>
            <w:vAlign w:val="bottom"/>
            <w:hideMark/>
          </w:tcPr>
          <w:p w14:paraId="548DC709" w14:textId="77777777" w:rsidR="00000000" w:rsidRDefault="00EE5306">
            <w:pPr>
              <w:spacing w:after="100"/>
              <w:rPr>
                <w:rFonts w:eastAsia="Times New Roman"/>
              </w:rPr>
            </w:pPr>
            <w:r>
              <w:rPr>
                <w:rFonts w:eastAsia="Times New Roman"/>
                <w:b/>
                <w:bCs/>
                <w:color w:val="000000"/>
                <w:sz w:val="20"/>
                <w:szCs w:val="20"/>
              </w:rPr>
              <w:t>Concession Shops:</w:t>
            </w:r>
          </w:p>
        </w:tc>
        <w:tc>
          <w:tcPr>
            <w:tcW w:w="0" w:type="auto"/>
            <w:gridSpan w:val="3"/>
            <w:shd w:val="clear" w:color="auto" w:fill="FFFFFF"/>
            <w:tcMar>
              <w:top w:w="0" w:type="dxa"/>
              <w:left w:w="20" w:type="dxa"/>
              <w:bottom w:w="0" w:type="dxa"/>
              <w:right w:w="20" w:type="dxa"/>
            </w:tcMar>
            <w:vAlign w:val="center"/>
            <w:hideMark/>
          </w:tcPr>
          <w:p w14:paraId="5E197ABC"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66FA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769FC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DC7906" w14:textId="77777777" w:rsidR="00000000" w:rsidRDefault="00EE5306">
            <w:pPr>
              <w:spacing w:after="100"/>
              <w:rPr>
                <w:rFonts w:eastAsia="Times New Roman"/>
                <w:sz w:val="20"/>
                <w:szCs w:val="20"/>
              </w:rPr>
            </w:pPr>
          </w:p>
        </w:tc>
      </w:tr>
      <w:tr w:rsidR="00000000" w14:paraId="5F44DE5B" w14:textId="77777777">
        <w:trPr>
          <w:divId w:val="1362898981"/>
        </w:trPr>
        <w:tc>
          <w:tcPr>
            <w:tcW w:w="0" w:type="auto"/>
            <w:gridSpan w:val="3"/>
            <w:shd w:val="clear" w:color="auto" w:fill="CCEEFF"/>
            <w:tcMar>
              <w:top w:w="30" w:type="dxa"/>
              <w:left w:w="155" w:type="dxa"/>
              <w:bottom w:w="30" w:type="dxa"/>
              <w:right w:w="20" w:type="dxa"/>
            </w:tcMar>
            <w:vAlign w:val="bottom"/>
            <w:hideMark/>
          </w:tcPr>
          <w:p w14:paraId="4CA08223"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14:paraId="44AD521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33A409" w14:textId="77777777" w:rsidR="00000000" w:rsidRDefault="00EE5306">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0028B90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EE72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06CA6B" w14:textId="77777777" w:rsidR="00000000" w:rsidRDefault="00EE5306">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290276A" w14:textId="77777777" w:rsidR="00000000" w:rsidRDefault="00EE5306">
            <w:pPr>
              <w:spacing w:after="100"/>
              <w:jc w:val="right"/>
              <w:rPr>
                <w:rFonts w:eastAsia="Times New Roman"/>
              </w:rPr>
            </w:pPr>
          </w:p>
        </w:tc>
      </w:tr>
      <w:tr w:rsidR="00000000" w14:paraId="7BA83052" w14:textId="77777777">
        <w:trPr>
          <w:divId w:val="1362898981"/>
        </w:trPr>
        <w:tc>
          <w:tcPr>
            <w:tcW w:w="0" w:type="auto"/>
            <w:gridSpan w:val="3"/>
            <w:shd w:val="clear" w:color="auto" w:fill="FFFFFF"/>
            <w:tcMar>
              <w:top w:w="30" w:type="dxa"/>
              <w:left w:w="155" w:type="dxa"/>
              <w:bottom w:w="30" w:type="dxa"/>
              <w:right w:w="20" w:type="dxa"/>
            </w:tcMar>
            <w:vAlign w:val="bottom"/>
            <w:hideMark/>
          </w:tcPr>
          <w:p w14:paraId="70132285"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14:paraId="292043E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D8B015" w14:textId="77777777" w:rsidR="00000000" w:rsidRDefault="00EE5306">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74E7E8F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08B8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552DAE" w14:textId="77777777" w:rsidR="00000000" w:rsidRDefault="00EE5306">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32C64740" w14:textId="77777777" w:rsidR="00000000" w:rsidRDefault="00EE5306">
            <w:pPr>
              <w:spacing w:after="100"/>
              <w:jc w:val="right"/>
              <w:rPr>
                <w:rFonts w:eastAsia="Times New Roman"/>
              </w:rPr>
            </w:pPr>
          </w:p>
        </w:tc>
      </w:tr>
      <w:tr w:rsidR="00000000" w14:paraId="250D0BB1" w14:textId="77777777">
        <w:trPr>
          <w:divId w:val="1362898981"/>
        </w:trPr>
        <w:tc>
          <w:tcPr>
            <w:tcW w:w="0" w:type="auto"/>
            <w:gridSpan w:val="3"/>
            <w:shd w:val="clear" w:color="auto" w:fill="CCEEFF"/>
            <w:tcMar>
              <w:top w:w="30" w:type="dxa"/>
              <w:left w:w="155" w:type="dxa"/>
              <w:bottom w:w="30" w:type="dxa"/>
              <w:right w:w="20" w:type="dxa"/>
            </w:tcMar>
            <w:vAlign w:val="bottom"/>
            <w:hideMark/>
          </w:tcPr>
          <w:p w14:paraId="7E52C454"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14:paraId="4842C52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931029" w14:textId="77777777" w:rsidR="00000000" w:rsidRDefault="00EE5306">
            <w:pPr>
              <w:spacing w:after="100"/>
              <w:jc w:val="right"/>
              <w:rPr>
                <w:rFonts w:eastAsia="Times New Roman"/>
              </w:rPr>
            </w:pPr>
            <w:r>
              <w:rPr>
                <w:rFonts w:eastAsia="Times New Roman"/>
                <w:color w:val="000000"/>
                <w:sz w:val="20"/>
                <w:szCs w:val="20"/>
              </w:rPr>
              <w:t>619 </w:t>
            </w:r>
          </w:p>
        </w:tc>
        <w:tc>
          <w:tcPr>
            <w:tcW w:w="0" w:type="auto"/>
            <w:shd w:val="clear" w:color="auto" w:fill="CCEEFF"/>
            <w:tcMar>
              <w:top w:w="30" w:type="dxa"/>
              <w:left w:w="0" w:type="dxa"/>
              <w:bottom w:w="30" w:type="dxa"/>
              <w:right w:w="20" w:type="dxa"/>
            </w:tcMar>
            <w:vAlign w:val="bottom"/>
            <w:hideMark/>
          </w:tcPr>
          <w:p w14:paraId="58DFD34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BA2C1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9E5D1" w14:textId="77777777" w:rsidR="00000000" w:rsidRDefault="00EE5306">
            <w:pPr>
              <w:spacing w:after="100"/>
              <w:jc w:val="right"/>
              <w:rPr>
                <w:rFonts w:eastAsia="Times New Roman"/>
              </w:rPr>
            </w:pPr>
            <w:r>
              <w:rPr>
                <w:rFonts w:eastAsia="Times New Roman"/>
                <w:color w:val="000000"/>
                <w:sz w:val="20"/>
                <w:szCs w:val="20"/>
              </w:rPr>
              <w:t>622 </w:t>
            </w:r>
          </w:p>
        </w:tc>
        <w:tc>
          <w:tcPr>
            <w:tcW w:w="0" w:type="auto"/>
            <w:shd w:val="clear" w:color="auto" w:fill="CCEEFF"/>
            <w:tcMar>
              <w:top w:w="30" w:type="dxa"/>
              <w:left w:w="0" w:type="dxa"/>
              <w:bottom w:w="30" w:type="dxa"/>
              <w:right w:w="20" w:type="dxa"/>
            </w:tcMar>
            <w:vAlign w:val="bottom"/>
            <w:hideMark/>
          </w:tcPr>
          <w:p w14:paraId="6A3241A3" w14:textId="77777777" w:rsidR="00000000" w:rsidRDefault="00EE5306">
            <w:pPr>
              <w:spacing w:after="100"/>
              <w:jc w:val="right"/>
              <w:rPr>
                <w:rFonts w:eastAsia="Times New Roman"/>
              </w:rPr>
            </w:pPr>
          </w:p>
        </w:tc>
      </w:tr>
      <w:tr w:rsidR="00000000" w14:paraId="648793BC" w14:textId="77777777">
        <w:trPr>
          <w:divId w:val="1362898981"/>
        </w:trPr>
        <w:tc>
          <w:tcPr>
            <w:tcW w:w="0" w:type="auto"/>
            <w:gridSpan w:val="3"/>
            <w:shd w:val="clear" w:color="auto" w:fill="FFFFFF"/>
            <w:tcMar>
              <w:top w:w="30" w:type="dxa"/>
              <w:left w:w="155" w:type="dxa"/>
              <w:bottom w:w="30" w:type="dxa"/>
              <w:right w:w="20" w:type="dxa"/>
            </w:tcMar>
            <w:vAlign w:val="bottom"/>
            <w:hideMark/>
          </w:tcPr>
          <w:p w14:paraId="00865A59"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FFFFFF"/>
            <w:tcMar>
              <w:top w:w="0" w:type="dxa"/>
              <w:left w:w="20" w:type="dxa"/>
              <w:bottom w:w="0" w:type="dxa"/>
              <w:right w:w="20" w:type="dxa"/>
            </w:tcMar>
            <w:vAlign w:val="center"/>
            <w:hideMark/>
          </w:tcPr>
          <w:p w14:paraId="3D44C20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D45B24" w14:textId="77777777" w:rsidR="00000000" w:rsidRDefault="00EE5306">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1AB935C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16BA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9D0898" w14:textId="77777777" w:rsidR="00000000" w:rsidRDefault="00EE5306">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375F77E6" w14:textId="77777777" w:rsidR="00000000" w:rsidRDefault="00EE5306">
            <w:pPr>
              <w:spacing w:after="100"/>
              <w:jc w:val="right"/>
              <w:rPr>
                <w:rFonts w:eastAsia="Times New Roman"/>
              </w:rPr>
            </w:pPr>
          </w:p>
        </w:tc>
      </w:tr>
      <w:tr w:rsidR="00000000" w14:paraId="636C4021" w14:textId="77777777">
        <w:trPr>
          <w:divId w:val="1362898981"/>
        </w:trPr>
        <w:tc>
          <w:tcPr>
            <w:tcW w:w="0" w:type="auto"/>
            <w:gridSpan w:val="3"/>
            <w:shd w:val="clear" w:color="auto" w:fill="CCEEFF"/>
            <w:tcMar>
              <w:top w:w="30" w:type="dxa"/>
              <w:left w:w="245" w:type="dxa"/>
              <w:bottom w:w="30" w:type="dxa"/>
              <w:right w:w="20" w:type="dxa"/>
            </w:tcMar>
            <w:vAlign w:val="bottom"/>
            <w:hideMark/>
          </w:tcPr>
          <w:p w14:paraId="403B83B1" w14:textId="77777777" w:rsidR="00000000" w:rsidRDefault="00EE5306">
            <w:pPr>
              <w:spacing w:after="100"/>
              <w:rPr>
                <w:rFonts w:eastAsia="Times New Roman"/>
              </w:rPr>
            </w:pPr>
            <w:r>
              <w:rPr>
                <w:rFonts w:eastAsia="Times New Roman"/>
                <w:color w:val="000000"/>
                <w:sz w:val="20"/>
                <w:szCs w:val="20"/>
              </w:rPr>
              <w:t>Total concession shops</w:t>
            </w:r>
          </w:p>
        </w:tc>
        <w:tc>
          <w:tcPr>
            <w:tcW w:w="0" w:type="auto"/>
            <w:gridSpan w:val="3"/>
            <w:shd w:val="clear" w:color="auto" w:fill="CCEEFF"/>
            <w:tcMar>
              <w:top w:w="0" w:type="dxa"/>
              <w:left w:w="20" w:type="dxa"/>
              <w:bottom w:w="0" w:type="dxa"/>
              <w:right w:w="20" w:type="dxa"/>
            </w:tcMar>
            <w:vAlign w:val="center"/>
            <w:hideMark/>
          </w:tcPr>
          <w:p w14:paraId="4637E276"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F79571" w14:textId="77777777" w:rsidR="00000000" w:rsidRDefault="00EE5306">
            <w:pPr>
              <w:spacing w:after="100"/>
              <w:jc w:val="right"/>
              <w:rPr>
                <w:rFonts w:eastAsia="Times New Roman"/>
              </w:rPr>
            </w:pPr>
            <w:r>
              <w:rPr>
                <w:rFonts w:eastAsia="Times New Roman"/>
                <w:color w:val="000000"/>
                <w:sz w:val="20"/>
                <w:szCs w:val="20"/>
              </w:rPr>
              <w:t>654 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2D025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EB757"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8C5D3F" w14:textId="77777777" w:rsidR="00000000" w:rsidRDefault="00EE5306">
            <w:pPr>
              <w:spacing w:after="100"/>
              <w:jc w:val="right"/>
              <w:rPr>
                <w:rFonts w:eastAsia="Times New Roman"/>
              </w:rPr>
            </w:pPr>
            <w:r>
              <w:rPr>
                <w:rFonts w:eastAsia="Times New Roman"/>
                <w:color w:val="000000"/>
                <w:sz w:val="20"/>
                <w:szCs w:val="20"/>
              </w:rPr>
              <w:t>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E20F29" w14:textId="77777777" w:rsidR="00000000" w:rsidRDefault="00EE5306">
            <w:pPr>
              <w:spacing w:after="100"/>
              <w:jc w:val="right"/>
              <w:rPr>
                <w:rFonts w:eastAsia="Times New Roman"/>
              </w:rPr>
            </w:pPr>
          </w:p>
        </w:tc>
      </w:tr>
      <w:tr w:rsidR="00000000" w14:paraId="4356AD7F" w14:textId="77777777">
        <w:trPr>
          <w:divId w:val="1362898981"/>
        </w:trPr>
        <w:tc>
          <w:tcPr>
            <w:tcW w:w="0" w:type="auto"/>
            <w:gridSpan w:val="3"/>
            <w:shd w:val="clear" w:color="auto" w:fill="FFFFFF"/>
            <w:tcMar>
              <w:top w:w="30" w:type="dxa"/>
              <w:left w:w="380" w:type="dxa"/>
              <w:bottom w:w="30" w:type="dxa"/>
              <w:right w:w="20" w:type="dxa"/>
            </w:tcMar>
            <w:vAlign w:val="bottom"/>
            <w:hideMark/>
          </w:tcPr>
          <w:p w14:paraId="4AE52095" w14:textId="77777777" w:rsidR="00000000" w:rsidRDefault="00EE5306">
            <w:pPr>
              <w:spacing w:after="100"/>
              <w:rPr>
                <w:rFonts w:eastAsia="Times New Roman"/>
              </w:rPr>
            </w:pPr>
            <w:r>
              <w:rPr>
                <w:rFonts w:eastAsia="Times New Roman"/>
                <w:color w:val="000000"/>
                <w:sz w:val="20"/>
                <w:szCs w:val="20"/>
              </w:rPr>
              <w:t>Total stores</w:t>
            </w:r>
          </w:p>
        </w:tc>
        <w:tc>
          <w:tcPr>
            <w:tcW w:w="0" w:type="auto"/>
            <w:gridSpan w:val="3"/>
            <w:shd w:val="clear" w:color="auto" w:fill="FFFFFF"/>
            <w:tcMar>
              <w:top w:w="0" w:type="dxa"/>
              <w:left w:w="20" w:type="dxa"/>
              <w:bottom w:w="0" w:type="dxa"/>
              <w:right w:w="20" w:type="dxa"/>
            </w:tcMar>
            <w:vAlign w:val="center"/>
            <w:hideMark/>
          </w:tcPr>
          <w:p w14:paraId="531FD1DD"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C2EE0B" w14:textId="77777777" w:rsidR="00000000" w:rsidRDefault="00EE5306">
            <w:pPr>
              <w:spacing w:after="100"/>
              <w:jc w:val="right"/>
              <w:rPr>
                <w:rFonts w:eastAsia="Times New Roman"/>
              </w:rPr>
            </w:pPr>
            <w:r>
              <w:rPr>
                <w:rFonts w:eastAsia="Times New Roman"/>
                <w:color w:val="000000"/>
                <w:sz w:val="20"/>
                <w:szCs w:val="20"/>
              </w:rPr>
              <w:t>1,184 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32DEE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E4BFC" w14:textId="77777777" w:rsidR="00000000" w:rsidRDefault="00EE530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D5FD5B" w14:textId="77777777" w:rsidR="00000000" w:rsidRDefault="00EE5306">
            <w:pPr>
              <w:spacing w:after="100"/>
              <w:jc w:val="right"/>
              <w:rPr>
                <w:rFonts w:eastAsia="Times New Roman"/>
              </w:rPr>
            </w:pPr>
            <w:r>
              <w:rPr>
                <w:rFonts w:eastAsia="Times New Roman"/>
                <w:color w:val="000000"/>
                <w:sz w:val="20"/>
                <w:szCs w:val="20"/>
              </w:rPr>
              <w:t>1,159 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655ABB" w14:textId="77777777" w:rsidR="00000000" w:rsidRDefault="00EE5306">
            <w:pPr>
              <w:spacing w:after="100"/>
              <w:jc w:val="right"/>
              <w:rPr>
                <w:rFonts w:eastAsia="Times New Roman"/>
              </w:rPr>
            </w:pPr>
          </w:p>
        </w:tc>
      </w:tr>
    </w:tbl>
    <w:p w14:paraId="6F4ABAC0" w14:textId="77777777" w:rsidR="00000000" w:rsidRDefault="00EE5306">
      <w:pPr>
        <w:ind w:firstLine="540"/>
        <w:jc w:val="both"/>
        <w:divId w:val="129442767"/>
        <w:rPr>
          <w:rFonts w:eastAsia="Times New Roman"/>
        </w:rPr>
      </w:pPr>
      <w:r>
        <w:rPr>
          <w:rFonts w:eastAsia="Times New Roman"/>
          <w:color w:val="000000"/>
          <w:sz w:val="20"/>
          <w:szCs w:val="20"/>
        </w:rPr>
        <w:t>In addition to our stores, we sold products online in North America and Europe through our various digital commerce sites, which include www.RalphLauren.com and www.ClubMonaco.com, among others, as well as through our Polo mobile app in North America and t</w:t>
      </w:r>
      <w:r>
        <w:rPr>
          <w:rFonts w:eastAsia="Times New Roman"/>
          <w:color w:val="000000"/>
          <w:sz w:val="20"/>
          <w:szCs w:val="20"/>
        </w:rPr>
        <w:t>he United Kingdom. In Asia, we sold products online through our digital commerce site, www.RalphLauren.cn, which launched in September 2018, as well as through various third-party digital partner commerce sites.</w:t>
      </w:r>
    </w:p>
    <w:p w14:paraId="20EB3AE2" w14:textId="77777777" w:rsidR="00000000" w:rsidRDefault="00EE5306">
      <w:pPr>
        <w:ind w:firstLine="540"/>
        <w:jc w:val="both"/>
        <w:divId w:val="1560823778"/>
        <w:rPr>
          <w:rFonts w:eastAsia="Times New Roman"/>
        </w:rPr>
      </w:pPr>
      <w:r>
        <w:rPr>
          <w:rFonts w:eastAsia="Times New Roman"/>
          <w:color w:val="000000"/>
          <w:sz w:val="20"/>
          <w:szCs w:val="20"/>
        </w:rPr>
        <w:t xml:space="preserve">Net revenues for our segments, as well as a </w:t>
      </w:r>
      <w:r>
        <w:rPr>
          <w:rFonts w:eastAsia="Times New Roman"/>
          <w:color w:val="000000"/>
          <w:sz w:val="20"/>
          <w:szCs w:val="20"/>
        </w:rPr>
        <w:t>discussion of the changes in each reportable segment's net revenues from the prior fiscal year, are provided below:</w:t>
      </w:r>
    </w:p>
    <w:tbl>
      <w:tblPr>
        <w:tblW w:w="4714" w:type="pct"/>
        <w:tblCellMar>
          <w:top w:w="15" w:type="dxa"/>
          <w:left w:w="15" w:type="dxa"/>
          <w:bottom w:w="15" w:type="dxa"/>
          <w:right w:w="15" w:type="dxa"/>
        </w:tblCellMar>
        <w:tblLook w:val="04A0" w:firstRow="1" w:lastRow="0" w:firstColumn="1" w:lastColumn="0" w:noHBand="0" w:noVBand="1"/>
      </w:tblPr>
      <w:tblGrid>
        <w:gridCol w:w="39"/>
        <w:gridCol w:w="1430"/>
        <w:gridCol w:w="38"/>
        <w:gridCol w:w="36"/>
        <w:gridCol w:w="36"/>
        <w:gridCol w:w="36"/>
        <w:gridCol w:w="110"/>
        <w:gridCol w:w="585"/>
        <w:gridCol w:w="36"/>
        <w:gridCol w:w="36"/>
        <w:gridCol w:w="36"/>
        <w:gridCol w:w="36"/>
        <w:gridCol w:w="110"/>
        <w:gridCol w:w="585"/>
        <w:gridCol w:w="36"/>
        <w:gridCol w:w="36"/>
        <w:gridCol w:w="36"/>
        <w:gridCol w:w="36"/>
        <w:gridCol w:w="111"/>
        <w:gridCol w:w="607"/>
        <w:gridCol w:w="36"/>
        <w:gridCol w:w="36"/>
        <w:gridCol w:w="36"/>
        <w:gridCol w:w="36"/>
        <w:gridCol w:w="111"/>
        <w:gridCol w:w="627"/>
        <w:gridCol w:w="36"/>
        <w:gridCol w:w="36"/>
        <w:gridCol w:w="36"/>
        <w:gridCol w:w="36"/>
        <w:gridCol w:w="111"/>
        <w:gridCol w:w="607"/>
        <w:gridCol w:w="36"/>
        <w:gridCol w:w="36"/>
        <w:gridCol w:w="36"/>
        <w:gridCol w:w="36"/>
        <w:gridCol w:w="73"/>
        <w:gridCol w:w="600"/>
        <w:gridCol w:w="230"/>
        <w:gridCol w:w="36"/>
        <w:gridCol w:w="36"/>
        <w:gridCol w:w="36"/>
        <w:gridCol w:w="74"/>
        <w:gridCol w:w="617"/>
        <w:gridCol w:w="230"/>
      </w:tblGrid>
      <w:tr w:rsidR="00000000" w14:paraId="5803C82C" w14:textId="77777777">
        <w:trPr>
          <w:divId w:val="2079864556"/>
        </w:trPr>
        <w:tc>
          <w:tcPr>
            <w:tcW w:w="50" w:type="pct"/>
            <w:vAlign w:val="center"/>
            <w:hideMark/>
          </w:tcPr>
          <w:p w14:paraId="7B3EAF90" w14:textId="77777777" w:rsidR="00000000" w:rsidRDefault="00EE5306">
            <w:pPr>
              <w:ind w:firstLine="540"/>
              <w:jc w:val="both"/>
              <w:rPr>
                <w:rFonts w:eastAsia="Times New Roman"/>
              </w:rPr>
            </w:pPr>
          </w:p>
        </w:tc>
        <w:tc>
          <w:tcPr>
            <w:tcW w:w="1286" w:type="pct"/>
            <w:vAlign w:val="center"/>
            <w:hideMark/>
          </w:tcPr>
          <w:p w14:paraId="2EE221BF" w14:textId="77777777" w:rsidR="00000000" w:rsidRDefault="00EE5306">
            <w:pPr>
              <w:spacing w:after="100"/>
              <w:rPr>
                <w:rFonts w:eastAsia="Times New Roman"/>
                <w:sz w:val="20"/>
                <w:szCs w:val="20"/>
              </w:rPr>
            </w:pPr>
          </w:p>
        </w:tc>
        <w:tc>
          <w:tcPr>
            <w:tcW w:w="5" w:type="pct"/>
            <w:vAlign w:val="center"/>
            <w:hideMark/>
          </w:tcPr>
          <w:p w14:paraId="34356EBC" w14:textId="77777777" w:rsidR="00000000" w:rsidRDefault="00EE5306">
            <w:pPr>
              <w:spacing w:after="100"/>
              <w:rPr>
                <w:rFonts w:eastAsia="Times New Roman"/>
                <w:sz w:val="20"/>
                <w:szCs w:val="20"/>
              </w:rPr>
            </w:pPr>
          </w:p>
        </w:tc>
        <w:tc>
          <w:tcPr>
            <w:tcW w:w="5" w:type="pct"/>
            <w:vAlign w:val="center"/>
            <w:hideMark/>
          </w:tcPr>
          <w:p w14:paraId="00E5EDAE" w14:textId="77777777" w:rsidR="00000000" w:rsidRDefault="00EE5306">
            <w:pPr>
              <w:spacing w:after="100"/>
              <w:rPr>
                <w:rFonts w:eastAsia="Times New Roman"/>
                <w:sz w:val="20"/>
                <w:szCs w:val="20"/>
              </w:rPr>
            </w:pPr>
          </w:p>
        </w:tc>
        <w:tc>
          <w:tcPr>
            <w:tcW w:w="28" w:type="pct"/>
            <w:vAlign w:val="center"/>
            <w:hideMark/>
          </w:tcPr>
          <w:p w14:paraId="0FDBD55A" w14:textId="77777777" w:rsidR="00000000" w:rsidRDefault="00EE5306">
            <w:pPr>
              <w:spacing w:after="100"/>
              <w:rPr>
                <w:rFonts w:eastAsia="Times New Roman"/>
                <w:sz w:val="20"/>
                <w:szCs w:val="20"/>
              </w:rPr>
            </w:pPr>
          </w:p>
        </w:tc>
        <w:tc>
          <w:tcPr>
            <w:tcW w:w="5" w:type="pct"/>
            <w:vAlign w:val="center"/>
            <w:hideMark/>
          </w:tcPr>
          <w:p w14:paraId="7F948674" w14:textId="77777777" w:rsidR="00000000" w:rsidRDefault="00EE5306">
            <w:pPr>
              <w:spacing w:after="100"/>
              <w:rPr>
                <w:rFonts w:eastAsia="Times New Roman"/>
                <w:sz w:val="20"/>
                <w:szCs w:val="20"/>
              </w:rPr>
            </w:pPr>
          </w:p>
        </w:tc>
        <w:tc>
          <w:tcPr>
            <w:tcW w:w="50" w:type="pct"/>
            <w:vAlign w:val="center"/>
            <w:hideMark/>
          </w:tcPr>
          <w:p w14:paraId="7FF714A6" w14:textId="77777777" w:rsidR="00000000" w:rsidRDefault="00EE5306">
            <w:pPr>
              <w:spacing w:after="100"/>
              <w:rPr>
                <w:rFonts w:eastAsia="Times New Roman"/>
                <w:sz w:val="20"/>
                <w:szCs w:val="20"/>
              </w:rPr>
            </w:pPr>
          </w:p>
        </w:tc>
        <w:tc>
          <w:tcPr>
            <w:tcW w:w="433" w:type="pct"/>
            <w:vAlign w:val="center"/>
            <w:hideMark/>
          </w:tcPr>
          <w:p w14:paraId="44E01A51" w14:textId="77777777" w:rsidR="00000000" w:rsidRDefault="00EE5306">
            <w:pPr>
              <w:spacing w:after="100"/>
              <w:rPr>
                <w:rFonts w:eastAsia="Times New Roman"/>
                <w:sz w:val="20"/>
                <w:szCs w:val="20"/>
              </w:rPr>
            </w:pPr>
          </w:p>
        </w:tc>
        <w:tc>
          <w:tcPr>
            <w:tcW w:w="5" w:type="pct"/>
            <w:vAlign w:val="center"/>
            <w:hideMark/>
          </w:tcPr>
          <w:p w14:paraId="645E728F" w14:textId="77777777" w:rsidR="00000000" w:rsidRDefault="00EE5306">
            <w:pPr>
              <w:spacing w:after="100"/>
              <w:rPr>
                <w:rFonts w:eastAsia="Times New Roman"/>
                <w:sz w:val="20"/>
                <w:szCs w:val="20"/>
              </w:rPr>
            </w:pPr>
          </w:p>
        </w:tc>
        <w:tc>
          <w:tcPr>
            <w:tcW w:w="5" w:type="pct"/>
            <w:vAlign w:val="center"/>
            <w:hideMark/>
          </w:tcPr>
          <w:p w14:paraId="165DCFB0" w14:textId="77777777" w:rsidR="00000000" w:rsidRDefault="00EE5306">
            <w:pPr>
              <w:spacing w:after="100"/>
              <w:rPr>
                <w:rFonts w:eastAsia="Times New Roman"/>
                <w:sz w:val="20"/>
                <w:szCs w:val="20"/>
              </w:rPr>
            </w:pPr>
          </w:p>
        </w:tc>
        <w:tc>
          <w:tcPr>
            <w:tcW w:w="28" w:type="pct"/>
            <w:vAlign w:val="center"/>
            <w:hideMark/>
          </w:tcPr>
          <w:p w14:paraId="27F55075" w14:textId="77777777" w:rsidR="00000000" w:rsidRDefault="00EE5306">
            <w:pPr>
              <w:spacing w:after="100"/>
              <w:rPr>
                <w:rFonts w:eastAsia="Times New Roman"/>
                <w:sz w:val="20"/>
                <w:szCs w:val="20"/>
              </w:rPr>
            </w:pPr>
          </w:p>
        </w:tc>
        <w:tc>
          <w:tcPr>
            <w:tcW w:w="5" w:type="pct"/>
            <w:vAlign w:val="center"/>
            <w:hideMark/>
          </w:tcPr>
          <w:p w14:paraId="091C50DB" w14:textId="77777777" w:rsidR="00000000" w:rsidRDefault="00EE5306">
            <w:pPr>
              <w:spacing w:after="100"/>
              <w:rPr>
                <w:rFonts w:eastAsia="Times New Roman"/>
                <w:sz w:val="20"/>
                <w:szCs w:val="20"/>
              </w:rPr>
            </w:pPr>
          </w:p>
        </w:tc>
        <w:tc>
          <w:tcPr>
            <w:tcW w:w="50" w:type="pct"/>
            <w:vAlign w:val="center"/>
            <w:hideMark/>
          </w:tcPr>
          <w:p w14:paraId="1E568574" w14:textId="77777777" w:rsidR="00000000" w:rsidRDefault="00EE5306">
            <w:pPr>
              <w:spacing w:after="100"/>
              <w:rPr>
                <w:rFonts w:eastAsia="Times New Roman"/>
                <w:sz w:val="20"/>
                <w:szCs w:val="20"/>
              </w:rPr>
            </w:pPr>
          </w:p>
        </w:tc>
        <w:tc>
          <w:tcPr>
            <w:tcW w:w="433" w:type="pct"/>
            <w:vAlign w:val="center"/>
            <w:hideMark/>
          </w:tcPr>
          <w:p w14:paraId="784A66D7" w14:textId="77777777" w:rsidR="00000000" w:rsidRDefault="00EE5306">
            <w:pPr>
              <w:spacing w:after="100"/>
              <w:rPr>
                <w:rFonts w:eastAsia="Times New Roman"/>
                <w:sz w:val="20"/>
                <w:szCs w:val="20"/>
              </w:rPr>
            </w:pPr>
          </w:p>
        </w:tc>
        <w:tc>
          <w:tcPr>
            <w:tcW w:w="5" w:type="pct"/>
            <w:vAlign w:val="center"/>
            <w:hideMark/>
          </w:tcPr>
          <w:p w14:paraId="59582CAE" w14:textId="77777777" w:rsidR="00000000" w:rsidRDefault="00EE5306">
            <w:pPr>
              <w:spacing w:after="100"/>
              <w:rPr>
                <w:rFonts w:eastAsia="Times New Roman"/>
                <w:sz w:val="20"/>
                <w:szCs w:val="20"/>
              </w:rPr>
            </w:pPr>
          </w:p>
        </w:tc>
        <w:tc>
          <w:tcPr>
            <w:tcW w:w="5" w:type="pct"/>
            <w:vAlign w:val="center"/>
            <w:hideMark/>
          </w:tcPr>
          <w:p w14:paraId="26B702AD" w14:textId="77777777" w:rsidR="00000000" w:rsidRDefault="00EE5306">
            <w:pPr>
              <w:spacing w:after="100"/>
              <w:rPr>
                <w:rFonts w:eastAsia="Times New Roman"/>
                <w:sz w:val="20"/>
                <w:szCs w:val="20"/>
              </w:rPr>
            </w:pPr>
          </w:p>
        </w:tc>
        <w:tc>
          <w:tcPr>
            <w:tcW w:w="28" w:type="pct"/>
            <w:vAlign w:val="center"/>
            <w:hideMark/>
          </w:tcPr>
          <w:p w14:paraId="55EE7D2A" w14:textId="77777777" w:rsidR="00000000" w:rsidRDefault="00EE5306">
            <w:pPr>
              <w:spacing w:after="100"/>
              <w:rPr>
                <w:rFonts w:eastAsia="Times New Roman"/>
                <w:sz w:val="20"/>
                <w:szCs w:val="20"/>
              </w:rPr>
            </w:pPr>
          </w:p>
        </w:tc>
        <w:tc>
          <w:tcPr>
            <w:tcW w:w="5" w:type="pct"/>
            <w:vAlign w:val="center"/>
            <w:hideMark/>
          </w:tcPr>
          <w:p w14:paraId="394497B0" w14:textId="77777777" w:rsidR="00000000" w:rsidRDefault="00EE5306">
            <w:pPr>
              <w:spacing w:after="100"/>
              <w:rPr>
                <w:rFonts w:eastAsia="Times New Roman"/>
                <w:sz w:val="20"/>
                <w:szCs w:val="20"/>
              </w:rPr>
            </w:pPr>
          </w:p>
        </w:tc>
        <w:tc>
          <w:tcPr>
            <w:tcW w:w="50" w:type="pct"/>
            <w:vAlign w:val="center"/>
            <w:hideMark/>
          </w:tcPr>
          <w:p w14:paraId="177C1634" w14:textId="77777777" w:rsidR="00000000" w:rsidRDefault="00EE5306">
            <w:pPr>
              <w:spacing w:after="100"/>
              <w:rPr>
                <w:rFonts w:eastAsia="Times New Roman"/>
                <w:sz w:val="20"/>
                <w:szCs w:val="20"/>
              </w:rPr>
            </w:pPr>
          </w:p>
        </w:tc>
        <w:tc>
          <w:tcPr>
            <w:tcW w:w="433" w:type="pct"/>
            <w:vAlign w:val="center"/>
            <w:hideMark/>
          </w:tcPr>
          <w:p w14:paraId="0E6C8583" w14:textId="77777777" w:rsidR="00000000" w:rsidRDefault="00EE5306">
            <w:pPr>
              <w:spacing w:after="100"/>
              <w:rPr>
                <w:rFonts w:eastAsia="Times New Roman"/>
                <w:sz w:val="20"/>
                <w:szCs w:val="20"/>
              </w:rPr>
            </w:pPr>
          </w:p>
        </w:tc>
        <w:tc>
          <w:tcPr>
            <w:tcW w:w="5" w:type="pct"/>
            <w:vAlign w:val="center"/>
            <w:hideMark/>
          </w:tcPr>
          <w:p w14:paraId="744AA40A" w14:textId="77777777" w:rsidR="00000000" w:rsidRDefault="00EE5306">
            <w:pPr>
              <w:spacing w:after="100"/>
              <w:rPr>
                <w:rFonts w:eastAsia="Times New Roman"/>
                <w:sz w:val="20"/>
                <w:szCs w:val="20"/>
              </w:rPr>
            </w:pPr>
          </w:p>
        </w:tc>
        <w:tc>
          <w:tcPr>
            <w:tcW w:w="5" w:type="pct"/>
            <w:vAlign w:val="center"/>
            <w:hideMark/>
          </w:tcPr>
          <w:p w14:paraId="6E840F56" w14:textId="77777777" w:rsidR="00000000" w:rsidRDefault="00EE5306">
            <w:pPr>
              <w:spacing w:after="100"/>
              <w:rPr>
                <w:rFonts w:eastAsia="Times New Roman"/>
                <w:sz w:val="20"/>
                <w:szCs w:val="20"/>
              </w:rPr>
            </w:pPr>
          </w:p>
        </w:tc>
        <w:tc>
          <w:tcPr>
            <w:tcW w:w="28" w:type="pct"/>
            <w:vAlign w:val="center"/>
            <w:hideMark/>
          </w:tcPr>
          <w:p w14:paraId="5B4D523F" w14:textId="77777777" w:rsidR="00000000" w:rsidRDefault="00EE5306">
            <w:pPr>
              <w:spacing w:after="100"/>
              <w:rPr>
                <w:rFonts w:eastAsia="Times New Roman"/>
                <w:sz w:val="20"/>
                <w:szCs w:val="20"/>
              </w:rPr>
            </w:pPr>
          </w:p>
        </w:tc>
        <w:tc>
          <w:tcPr>
            <w:tcW w:w="5" w:type="pct"/>
            <w:vAlign w:val="center"/>
            <w:hideMark/>
          </w:tcPr>
          <w:p w14:paraId="40592C67" w14:textId="77777777" w:rsidR="00000000" w:rsidRDefault="00EE5306">
            <w:pPr>
              <w:spacing w:after="100"/>
              <w:rPr>
                <w:rFonts w:eastAsia="Times New Roman"/>
                <w:sz w:val="20"/>
                <w:szCs w:val="20"/>
              </w:rPr>
            </w:pPr>
          </w:p>
        </w:tc>
        <w:tc>
          <w:tcPr>
            <w:tcW w:w="50" w:type="pct"/>
            <w:vAlign w:val="center"/>
            <w:hideMark/>
          </w:tcPr>
          <w:p w14:paraId="38094C60" w14:textId="77777777" w:rsidR="00000000" w:rsidRDefault="00EE5306">
            <w:pPr>
              <w:spacing w:after="100"/>
              <w:rPr>
                <w:rFonts w:eastAsia="Times New Roman"/>
                <w:sz w:val="20"/>
                <w:szCs w:val="20"/>
              </w:rPr>
            </w:pPr>
          </w:p>
        </w:tc>
        <w:tc>
          <w:tcPr>
            <w:tcW w:w="433" w:type="pct"/>
            <w:vAlign w:val="center"/>
            <w:hideMark/>
          </w:tcPr>
          <w:p w14:paraId="57C3DA5C" w14:textId="77777777" w:rsidR="00000000" w:rsidRDefault="00EE5306">
            <w:pPr>
              <w:spacing w:after="100"/>
              <w:rPr>
                <w:rFonts w:eastAsia="Times New Roman"/>
                <w:sz w:val="20"/>
                <w:szCs w:val="20"/>
              </w:rPr>
            </w:pPr>
          </w:p>
        </w:tc>
        <w:tc>
          <w:tcPr>
            <w:tcW w:w="5" w:type="pct"/>
            <w:vAlign w:val="center"/>
            <w:hideMark/>
          </w:tcPr>
          <w:p w14:paraId="0F9CF34F" w14:textId="77777777" w:rsidR="00000000" w:rsidRDefault="00EE5306">
            <w:pPr>
              <w:spacing w:after="100"/>
              <w:rPr>
                <w:rFonts w:eastAsia="Times New Roman"/>
                <w:sz w:val="20"/>
                <w:szCs w:val="20"/>
              </w:rPr>
            </w:pPr>
          </w:p>
        </w:tc>
        <w:tc>
          <w:tcPr>
            <w:tcW w:w="5" w:type="pct"/>
            <w:vAlign w:val="center"/>
            <w:hideMark/>
          </w:tcPr>
          <w:p w14:paraId="132EE928" w14:textId="77777777" w:rsidR="00000000" w:rsidRDefault="00EE5306">
            <w:pPr>
              <w:spacing w:after="100"/>
              <w:rPr>
                <w:rFonts w:eastAsia="Times New Roman"/>
                <w:sz w:val="20"/>
                <w:szCs w:val="20"/>
              </w:rPr>
            </w:pPr>
          </w:p>
        </w:tc>
        <w:tc>
          <w:tcPr>
            <w:tcW w:w="28" w:type="pct"/>
            <w:vAlign w:val="center"/>
            <w:hideMark/>
          </w:tcPr>
          <w:p w14:paraId="09B353A4" w14:textId="77777777" w:rsidR="00000000" w:rsidRDefault="00EE5306">
            <w:pPr>
              <w:spacing w:after="100"/>
              <w:rPr>
                <w:rFonts w:eastAsia="Times New Roman"/>
                <w:sz w:val="20"/>
                <w:szCs w:val="20"/>
              </w:rPr>
            </w:pPr>
          </w:p>
        </w:tc>
        <w:tc>
          <w:tcPr>
            <w:tcW w:w="5" w:type="pct"/>
            <w:vAlign w:val="center"/>
            <w:hideMark/>
          </w:tcPr>
          <w:p w14:paraId="3F9C5F38" w14:textId="77777777" w:rsidR="00000000" w:rsidRDefault="00EE5306">
            <w:pPr>
              <w:spacing w:after="100"/>
              <w:rPr>
                <w:rFonts w:eastAsia="Times New Roman"/>
                <w:sz w:val="20"/>
                <w:szCs w:val="20"/>
              </w:rPr>
            </w:pPr>
          </w:p>
        </w:tc>
        <w:tc>
          <w:tcPr>
            <w:tcW w:w="50" w:type="pct"/>
            <w:vAlign w:val="center"/>
            <w:hideMark/>
          </w:tcPr>
          <w:p w14:paraId="6CFDBA5D" w14:textId="77777777" w:rsidR="00000000" w:rsidRDefault="00EE5306">
            <w:pPr>
              <w:spacing w:after="100"/>
              <w:rPr>
                <w:rFonts w:eastAsia="Times New Roman"/>
                <w:sz w:val="20"/>
                <w:szCs w:val="20"/>
              </w:rPr>
            </w:pPr>
          </w:p>
        </w:tc>
        <w:tc>
          <w:tcPr>
            <w:tcW w:w="433" w:type="pct"/>
            <w:vAlign w:val="center"/>
            <w:hideMark/>
          </w:tcPr>
          <w:p w14:paraId="5CE36583" w14:textId="77777777" w:rsidR="00000000" w:rsidRDefault="00EE5306">
            <w:pPr>
              <w:spacing w:after="100"/>
              <w:rPr>
                <w:rFonts w:eastAsia="Times New Roman"/>
                <w:sz w:val="20"/>
                <w:szCs w:val="20"/>
              </w:rPr>
            </w:pPr>
          </w:p>
        </w:tc>
        <w:tc>
          <w:tcPr>
            <w:tcW w:w="5" w:type="pct"/>
            <w:vAlign w:val="center"/>
            <w:hideMark/>
          </w:tcPr>
          <w:p w14:paraId="1ABA49CE" w14:textId="77777777" w:rsidR="00000000" w:rsidRDefault="00EE5306">
            <w:pPr>
              <w:spacing w:after="100"/>
              <w:rPr>
                <w:rFonts w:eastAsia="Times New Roman"/>
                <w:sz w:val="20"/>
                <w:szCs w:val="20"/>
              </w:rPr>
            </w:pPr>
          </w:p>
        </w:tc>
        <w:tc>
          <w:tcPr>
            <w:tcW w:w="5" w:type="pct"/>
            <w:vAlign w:val="center"/>
            <w:hideMark/>
          </w:tcPr>
          <w:p w14:paraId="77AE16EF" w14:textId="77777777" w:rsidR="00000000" w:rsidRDefault="00EE5306">
            <w:pPr>
              <w:spacing w:after="100"/>
              <w:rPr>
                <w:rFonts w:eastAsia="Times New Roman"/>
                <w:sz w:val="20"/>
                <w:szCs w:val="20"/>
              </w:rPr>
            </w:pPr>
          </w:p>
        </w:tc>
        <w:tc>
          <w:tcPr>
            <w:tcW w:w="28" w:type="pct"/>
            <w:vAlign w:val="center"/>
            <w:hideMark/>
          </w:tcPr>
          <w:p w14:paraId="6CB2CA61" w14:textId="77777777" w:rsidR="00000000" w:rsidRDefault="00EE5306">
            <w:pPr>
              <w:spacing w:after="100"/>
              <w:rPr>
                <w:rFonts w:eastAsia="Times New Roman"/>
                <w:sz w:val="20"/>
                <w:szCs w:val="20"/>
              </w:rPr>
            </w:pPr>
          </w:p>
        </w:tc>
        <w:tc>
          <w:tcPr>
            <w:tcW w:w="5" w:type="pct"/>
            <w:vAlign w:val="center"/>
            <w:hideMark/>
          </w:tcPr>
          <w:p w14:paraId="220AD94F" w14:textId="77777777" w:rsidR="00000000" w:rsidRDefault="00EE5306">
            <w:pPr>
              <w:spacing w:after="100"/>
              <w:rPr>
                <w:rFonts w:eastAsia="Times New Roman"/>
                <w:sz w:val="20"/>
                <w:szCs w:val="20"/>
              </w:rPr>
            </w:pPr>
          </w:p>
        </w:tc>
        <w:tc>
          <w:tcPr>
            <w:tcW w:w="50" w:type="pct"/>
            <w:vAlign w:val="center"/>
            <w:hideMark/>
          </w:tcPr>
          <w:p w14:paraId="153F7F19" w14:textId="77777777" w:rsidR="00000000" w:rsidRDefault="00EE5306">
            <w:pPr>
              <w:spacing w:after="100"/>
              <w:rPr>
                <w:rFonts w:eastAsia="Times New Roman"/>
                <w:sz w:val="20"/>
                <w:szCs w:val="20"/>
              </w:rPr>
            </w:pPr>
          </w:p>
        </w:tc>
        <w:tc>
          <w:tcPr>
            <w:tcW w:w="417" w:type="pct"/>
            <w:vAlign w:val="center"/>
            <w:hideMark/>
          </w:tcPr>
          <w:p w14:paraId="3FFB9BED" w14:textId="77777777" w:rsidR="00000000" w:rsidRDefault="00EE5306">
            <w:pPr>
              <w:spacing w:after="100"/>
              <w:rPr>
                <w:rFonts w:eastAsia="Times New Roman"/>
                <w:sz w:val="20"/>
                <w:szCs w:val="20"/>
              </w:rPr>
            </w:pPr>
          </w:p>
        </w:tc>
        <w:tc>
          <w:tcPr>
            <w:tcW w:w="5" w:type="pct"/>
            <w:vAlign w:val="center"/>
            <w:hideMark/>
          </w:tcPr>
          <w:p w14:paraId="3299B5A1" w14:textId="77777777" w:rsidR="00000000" w:rsidRDefault="00EE5306">
            <w:pPr>
              <w:spacing w:after="100"/>
              <w:rPr>
                <w:rFonts w:eastAsia="Times New Roman"/>
                <w:sz w:val="20"/>
                <w:szCs w:val="20"/>
              </w:rPr>
            </w:pPr>
          </w:p>
        </w:tc>
        <w:tc>
          <w:tcPr>
            <w:tcW w:w="5" w:type="pct"/>
            <w:vAlign w:val="center"/>
            <w:hideMark/>
          </w:tcPr>
          <w:p w14:paraId="4DD9B5DB" w14:textId="77777777" w:rsidR="00000000" w:rsidRDefault="00EE5306">
            <w:pPr>
              <w:spacing w:after="100"/>
              <w:rPr>
                <w:rFonts w:eastAsia="Times New Roman"/>
                <w:sz w:val="20"/>
                <w:szCs w:val="20"/>
              </w:rPr>
            </w:pPr>
          </w:p>
        </w:tc>
        <w:tc>
          <w:tcPr>
            <w:tcW w:w="28" w:type="pct"/>
            <w:vAlign w:val="center"/>
            <w:hideMark/>
          </w:tcPr>
          <w:p w14:paraId="342280A1" w14:textId="77777777" w:rsidR="00000000" w:rsidRDefault="00EE5306">
            <w:pPr>
              <w:spacing w:after="100"/>
              <w:rPr>
                <w:rFonts w:eastAsia="Times New Roman"/>
                <w:sz w:val="20"/>
                <w:szCs w:val="20"/>
              </w:rPr>
            </w:pPr>
          </w:p>
        </w:tc>
        <w:tc>
          <w:tcPr>
            <w:tcW w:w="5" w:type="pct"/>
            <w:vAlign w:val="center"/>
            <w:hideMark/>
          </w:tcPr>
          <w:p w14:paraId="2AAD73CF" w14:textId="77777777" w:rsidR="00000000" w:rsidRDefault="00EE5306">
            <w:pPr>
              <w:spacing w:after="100"/>
              <w:rPr>
                <w:rFonts w:eastAsia="Times New Roman"/>
                <w:sz w:val="20"/>
                <w:szCs w:val="20"/>
              </w:rPr>
            </w:pPr>
          </w:p>
        </w:tc>
        <w:tc>
          <w:tcPr>
            <w:tcW w:w="50" w:type="pct"/>
            <w:vAlign w:val="center"/>
            <w:hideMark/>
          </w:tcPr>
          <w:p w14:paraId="5B40A570" w14:textId="77777777" w:rsidR="00000000" w:rsidRDefault="00EE5306">
            <w:pPr>
              <w:spacing w:after="100"/>
              <w:rPr>
                <w:rFonts w:eastAsia="Times New Roman"/>
                <w:sz w:val="20"/>
                <w:szCs w:val="20"/>
              </w:rPr>
            </w:pPr>
          </w:p>
        </w:tc>
        <w:tc>
          <w:tcPr>
            <w:tcW w:w="418" w:type="pct"/>
            <w:vAlign w:val="center"/>
            <w:hideMark/>
          </w:tcPr>
          <w:p w14:paraId="5A17A057" w14:textId="77777777" w:rsidR="00000000" w:rsidRDefault="00EE5306">
            <w:pPr>
              <w:spacing w:after="100"/>
              <w:rPr>
                <w:rFonts w:eastAsia="Times New Roman"/>
                <w:sz w:val="20"/>
                <w:szCs w:val="20"/>
              </w:rPr>
            </w:pPr>
          </w:p>
        </w:tc>
        <w:tc>
          <w:tcPr>
            <w:tcW w:w="5" w:type="pct"/>
            <w:vAlign w:val="center"/>
            <w:hideMark/>
          </w:tcPr>
          <w:p w14:paraId="576EFD99" w14:textId="77777777" w:rsidR="00000000" w:rsidRDefault="00EE5306">
            <w:pPr>
              <w:spacing w:after="100"/>
              <w:rPr>
                <w:rFonts w:eastAsia="Times New Roman"/>
                <w:sz w:val="20"/>
                <w:szCs w:val="20"/>
              </w:rPr>
            </w:pPr>
          </w:p>
        </w:tc>
      </w:tr>
      <w:tr w:rsidR="00000000" w14:paraId="3EB45DAE" w14:textId="77777777">
        <w:trPr>
          <w:divId w:val="2079864556"/>
          <w:trHeight w:val="240"/>
        </w:trPr>
        <w:tc>
          <w:tcPr>
            <w:tcW w:w="0" w:type="auto"/>
            <w:gridSpan w:val="3"/>
            <w:tcMar>
              <w:top w:w="0" w:type="dxa"/>
              <w:left w:w="20" w:type="dxa"/>
              <w:bottom w:w="0" w:type="dxa"/>
              <w:right w:w="20" w:type="dxa"/>
            </w:tcMar>
            <w:vAlign w:val="center"/>
            <w:hideMark/>
          </w:tcPr>
          <w:p w14:paraId="242327E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BEED02"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E975DFC"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0FFD7AEB"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615248" w14:textId="77777777" w:rsidR="00000000" w:rsidRDefault="00EE5306">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14:paraId="529E3D84" w14:textId="77777777" w:rsidR="00000000" w:rsidRDefault="00EE5306">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1BAAD4FC" w14:textId="77777777" w:rsidR="00000000" w:rsidRDefault="00EE5306">
            <w:pPr>
              <w:spacing w:after="100"/>
              <w:jc w:val="center"/>
              <w:rPr>
                <w:rFonts w:eastAsia="Times New Roman"/>
              </w:rPr>
            </w:pPr>
            <w:r>
              <w:rPr>
                <w:rFonts w:eastAsia="Times New Roman"/>
                <w:b/>
                <w:bCs/>
                <w:color w:val="000000"/>
                <w:sz w:val="16"/>
                <w:szCs w:val="16"/>
              </w:rPr>
              <w:t>Foreign Exchange Impact</w:t>
            </w:r>
          </w:p>
        </w:tc>
        <w:tc>
          <w:tcPr>
            <w:tcW w:w="0" w:type="auto"/>
            <w:gridSpan w:val="3"/>
            <w:tcMar>
              <w:top w:w="0" w:type="dxa"/>
              <w:left w:w="20" w:type="dxa"/>
              <w:bottom w:w="0" w:type="dxa"/>
              <w:right w:w="20" w:type="dxa"/>
            </w:tcMar>
            <w:vAlign w:val="center"/>
            <w:hideMark/>
          </w:tcPr>
          <w:p w14:paraId="03B98DD5"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82E665" w14:textId="77777777" w:rsidR="00000000" w:rsidRDefault="00EE5306">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14:paraId="38CD6524" w14:textId="77777777" w:rsidR="00000000" w:rsidRDefault="00EE530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AADF59D" w14:textId="77777777" w:rsidR="00000000" w:rsidRDefault="00EE5306">
            <w:pPr>
              <w:spacing w:after="100"/>
              <w:jc w:val="center"/>
              <w:rPr>
                <w:rFonts w:eastAsia="Times New Roman"/>
              </w:rPr>
            </w:pPr>
            <w:r>
              <w:rPr>
                <w:rFonts w:eastAsia="Times New Roman"/>
                <w:b/>
                <w:bCs/>
                <w:color w:val="000000"/>
                <w:sz w:val="16"/>
                <w:szCs w:val="16"/>
              </w:rPr>
              <w:t>% Change</w:t>
            </w:r>
          </w:p>
        </w:tc>
      </w:tr>
      <w:tr w:rsidR="00000000" w14:paraId="5384FB16" w14:textId="77777777">
        <w:trPr>
          <w:divId w:val="2079864556"/>
          <w:trHeight w:val="420"/>
        </w:trPr>
        <w:tc>
          <w:tcPr>
            <w:tcW w:w="0" w:type="auto"/>
            <w:gridSpan w:val="3"/>
            <w:tcMar>
              <w:top w:w="0" w:type="dxa"/>
              <w:left w:w="20" w:type="dxa"/>
              <w:bottom w:w="0" w:type="dxa"/>
              <w:right w:w="20" w:type="dxa"/>
            </w:tcMar>
            <w:vAlign w:val="center"/>
            <w:hideMark/>
          </w:tcPr>
          <w:p w14:paraId="287AA74A"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4709BE0"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F18999E"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1DCA39E9"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1C6EB1"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47CF6E57"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BC8EB20" w14:textId="77777777" w:rsidR="00000000" w:rsidRDefault="00EE5306">
            <w:pPr>
              <w:spacing w:after="100"/>
              <w:jc w:val="center"/>
              <w:rPr>
                <w:rFonts w:eastAsia="Times New Roman"/>
              </w:rPr>
            </w:pPr>
            <w:r>
              <w:rPr>
                <w:rFonts w:eastAsia="Times New Roman"/>
                <w:b/>
                <w:bCs/>
                <w:color w:val="000000"/>
                <w:sz w:val="16"/>
                <w:szCs w:val="16"/>
              </w:rPr>
              <w:t>As</w:t>
            </w:r>
            <w:r>
              <w:rPr>
                <w:rFonts w:eastAsia="Times New Roman"/>
                <w:b/>
                <w:bCs/>
                <w:color w:val="000000"/>
                <w:sz w:val="16"/>
                <w:szCs w:val="16"/>
              </w:rPr>
              <w:br/>
              <w:t>Reported</w:t>
            </w:r>
          </w:p>
        </w:tc>
        <w:tc>
          <w:tcPr>
            <w:tcW w:w="0" w:type="auto"/>
            <w:gridSpan w:val="3"/>
            <w:tcMar>
              <w:top w:w="0" w:type="dxa"/>
              <w:left w:w="20" w:type="dxa"/>
              <w:bottom w:w="0" w:type="dxa"/>
              <w:right w:w="20" w:type="dxa"/>
            </w:tcMar>
            <w:vAlign w:val="center"/>
            <w:hideMark/>
          </w:tcPr>
          <w:p w14:paraId="65F11D90" w14:textId="77777777" w:rsidR="00000000" w:rsidRDefault="00EE5306">
            <w:pPr>
              <w:spacing w:after="100"/>
              <w:jc w:val="center"/>
              <w:rPr>
                <w:rFonts w:eastAsia="Times New Roman"/>
              </w:rPr>
            </w:pPr>
          </w:p>
        </w:tc>
        <w:tc>
          <w:tcPr>
            <w:tcW w:w="0" w:type="auto"/>
            <w:gridSpan w:val="3"/>
            <w:vMerge/>
            <w:tcBorders>
              <w:bottom w:val="single" w:sz="8" w:space="0" w:color="000000"/>
            </w:tcBorders>
            <w:vAlign w:val="center"/>
            <w:hideMark/>
          </w:tcPr>
          <w:p w14:paraId="6E080FBA"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46503A6C" w14:textId="77777777" w:rsidR="00000000" w:rsidRDefault="00EE5306">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DE11C9" w14:textId="77777777" w:rsidR="00000000" w:rsidRDefault="00EE5306">
            <w:pPr>
              <w:spacing w:after="100"/>
              <w:jc w:val="center"/>
              <w:rPr>
                <w:rFonts w:eastAsia="Times New Roman"/>
              </w:rPr>
            </w:pPr>
            <w:r>
              <w:rPr>
                <w:rFonts w:eastAsia="Times New Roman"/>
                <w:b/>
                <w:bCs/>
                <w:color w:val="000000"/>
                <w:sz w:val="16"/>
                <w:szCs w:val="16"/>
              </w:rPr>
              <w:t>Constant Currency</w:t>
            </w:r>
          </w:p>
        </w:tc>
        <w:tc>
          <w:tcPr>
            <w:tcW w:w="0" w:type="auto"/>
            <w:gridSpan w:val="3"/>
            <w:tcMar>
              <w:top w:w="0" w:type="dxa"/>
              <w:left w:w="20" w:type="dxa"/>
              <w:bottom w:w="0" w:type="dxa"/>
              <w:right w:w="20" w:type="dxa"/>
            </w:tcMar>
            <w:vAlign w:val="center"/>
            <w:hideMark/>
          </w:tcPr>
          <w:p w14:paraId="785D099C"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468B5A" w14:textId="77777777" w:rsidR="00000000" w:rsidRDefault="00EE5306">
            <w:pPr>
              <w:spacing w:after="100"/>
              <w:jc w:val="center"/>
              <w:rPr>
                <w:rFonts w:eastAsia="Times New Roman"/>
              </w:rPr>
            </w:pPr>
            <w:r>
              <w:rPr>
                <w:rFonts w:eastAsia="Times New Roman"/>
                <w:b/>
                <w:bCs/>
                <w:color w:val="000000"/>
                <w:sz w:val="16"/>
                <w:szCs w:val="16"/>
              </w:rPr>
              <w:t>As</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14:paraId="415CC1E7"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879C54" w14:textId="77777777" w:rsidR="00000000" w:rsidRDefault="00EE5306">
            <w:pPr>
              <w:spacing w:after="100"/>
              <w:jc w:val="center"/>
              <w:rPr>
                <w:rFonts w:eastAsia="Times New Roman"/>
              </w:rPr>
            </w:pPr>
            <w:r>
              <w:rPr>
                <w:rFonts w:eastAsia="Times New Roman"/>
                <w:b/>
                <w:bCs/>
                <w:color w:val="000000"/>
                <w:sz w:val="16"/>
                <w:szCs w:val="16"/>
              </w:rPr>
              <w:t>Constant</w:t>
            </w:r>
            <w:r>
              <w:rPr>
                <w:rFonts w:eastAsia="Times New Roman"/>
                <w:b/>
                <w:bCs/>
                <w:color w:val="000000"/>
                <w:sz w:val="16"/>
                <w:szCs w:val="16"/>
              </w:rPr>
              <w:br/>
              <w:t>Currency</w:t>
            </w:r>
          </w:p>
        </w:tc>
      </w:tr>
      <w:tr w:rsidR="00000000" w14:paraId="6432D36B" w14:textId="77777777">
        <w:trPr>
          <w:divId w:val="2079864556"/>
        </w:trPr>
        <w:tc>
          <w:tcPr>
            <w:tcW w:w="0" w:type="auto"/>
            <w:gridSpan w:val="3"/>
            <w:tcMar>
              <w:top w:w="0" w:type="dxa"/>
              <w:left w:w="20" w:type="dxa"/>
              <w:bottom w:w="0" w:type="dxa"/>
              <w:right w:w="20" w:type="dxa"/>
            </w:tcMar>
            <w:vAlign w:val="center"/>
            <w:hideMark/>
          </w:tcPr>
          <w:p w14:paraId="2FA15A27"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C0C57DE" w14:textId="77777777" w:rsidR="00000000" w:rsidRDefault="00EE5306">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6093C759"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20538A29"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FE7FECB"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26788E"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EBAC03" w14:textId="77777777" w:rsidR="00000000" w:rsidRDefault="00EE5306">
            <w:pPr>
              <w:spacing w:after="100"/>
              <w:rPr>
                <w:rFonts w:eastAsia="Times New Roman"/>
                <w:sz w:val="20"/>
                <w:szCs w:val="20"/>
              </w:rPr>
            </w:pPr>
          </w:p>
        </w:tc>
      </w:tr>
      <w:tr w:rsidR="00000000" w14:paraId="2B85AE0B" w14:textId="77777777">
        <w:trPr>
          <w:divId w:val="2079864556"/>
        </w:trPr>
        <w:tc>
          <w:tcPr>
            <w:tcW w:w="0" w:type="auto"/>
            <w:gridSpan w:val="3"/>
            <w:shd w:val="clear" w:color="auto" w:fill="CCEEFF"/>
            <w:tcMar>
              <w:top w:w="30" w:type="dxa"/>
              <w:left w:w="20" w:type="dxa"/>
              <w:bottom w:w="30" w:type="dxa"/>
              <w:right w:w="20" w:type="dxa"/>
            </w:tcMar>
            <w:vAlign w:val="bottom"/>
            <w:hideMark/>
          </w:tcPr>
          <w:p w14:paraId="0CE59208" w14:textId="77777777" w:rsidR="00000000" w:rsidRDefault="00EE5306">
            <w:pPr>
              <w:spacing w:after="100"/>
              <w:rPr>
                <w:rFonts w:eastAsia="Times New Roman"/>
              </w:rPr>
            </w:pPr>
            <w:r>
              <w:rPr>
                <w:rFonts w:eastAsia="Times New Roman"/>
                <w:b/>
                <w:bCs/>
                <w:color w:val="000000"/>
                <w:sz w:val="18"/>
                <w:szCs w:val="18"/>
              </w:rPr>
              <w:t>Net Revenues:</w:t>
            </w:r>
          </w:p>
        </w:tc>
        <w:tc>
          <w:tcPr>
            <w:tcW w:w="0" w:type="auto"/>
            <w:gridSpan w:val="3"/>
            <w:shd w:val="clear" w:color="auto" w:fill="CCEEFF"/>
            <w:tcMar>
              <w:top w:w="0" w:type="dxa"/>
              <w:left w:w="20" w:type="dxa"/>
              <w:bottom w:w="0" w:type="dxa"/>
              <w:right w:w="20" w:type="dxa"/>
            </w:tcMar>
            <w:vAlign w:val="center"/>
            <w:hideMark/>
          </w:tcPr>
          <w:p w14:paraId="5E1FEE6F"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AF4A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7E2A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9F583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091D1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AEAC2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0F9DC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25937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964B5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D4202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E2DEE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8CF54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AA0CE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D62D6" w14:textId="77777777" w:rsidR="00000000" w:rsidRDefault="00EE5306">
            <w:pPr>
              <w:spacing w:after="100"/>
              <w:rPr>
                <w:rFonts w:eastAsia="Times New Roman"/>
                <w:sz w:val="20"/>
                <w:szCs w:val="20"/>
              </w:rPr>
            </w:pPr>
          </w:p>
        </w:tc>
      </w:tr>
      <w:tr w:rsidR="00EE5306" w14:paraId="38D6FF41" w14:textId="77777777">
        <w:trPr>
          <w:divId w:val="2079864556"/>
        </w:trPr>
        <w:tc>
          <w:tcPr>
            <w:tcW w:w="0" w:type="auto"/>
            <w:gridSpan w:val="3"/>
            <w:shd w:val="clear" w:color="auto" w:fill="FFFFFF"/>
            <w:tcMar>
              <w:top w:w="30" w:type="dxa"/>
              <w:left w:w="155" w:type="dxa"/>
              <w:bottom w:w="30" w:type="dxa"/>
              <w:right w:w="20" w:type="dxa"/>
            </w:tcMar>
            <w:vAlign w:val="bottom"/>
            <w:hideMark/>
          </w:tcPr>
          <w:p w14:paraId="4272B10A" w14:textId="77777777" w:rsidR="00000000" w:rsidRDefault="00EE5306">
            <w:pPr>
              <w:spacing w:after="100"/>
              <w:rPr>
                <w:rFonts w:eastAsia="Times New Roman"/>
              </w:rPr>
            </w:pPr>
            <w:r>
              <w:rPr>
                <w:rFonts w:eastAsia="Times New Roman"/>
                <w:color w:val="000000"/>
                <w:sz w:val="18"/>
                <w:szCs w:val="18"/>
              </w:rPr>
              <w:t>North America</w:t>
            </w:r>
          </w:p>
        </w:tc>
        <w:tc>
          <w:tcPr>
            <w:tcW w:w="0" w:type="auto"/>
            <w:gridSpan w:val="3"/>
            <w:shd w:val="clear" w:color="auto" w:fill="FFFFFF"/>
            <w:tcMar>
              <w:top w:w="0" w:type="dxa"/>
              <w:left w:w="20" w:type="dxa"/>
              <w:bottom w:w="0" w:type="dxa"/>
              <w:right w:w="20" w:type="dxa"/>
            </w:tcMar>
            <w:vAlign w:val="center"/>
            <w:hideMark/>
          </w:tcPr>
          <w:p w14:paraId="44FEACB1"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933D6E4"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4C7EBCD" w14:textId="77777777" w:rsidR="00000000" w:rsidRDefault="00EE5306">
            <w:pPr>
              <w:spacing w:after="100"/>
              <w:jc w:val="right"/>
              <w:rPr>
                <w:rFonts w:eastAsia="Times New Roman"/>
              </w:rPr>
            </w:pPr>
            <w:r>
              <w:rPr>
                <w:rFonts w:eastAsia="Times New Roman"/>
                <w:color w:val="000000"/>
                <w:sz w:val="18"/>
                <w:szCs w:val="18"/>
              </w:rPr>
              <w:t>3,140.5 </w:t>
            </w:r>
          </w:p>
        </w:tc>
        <w:tc>
          <w:tcPr>
            <w:tcW w:w="0" w:type="auto"/>
            <w:shd w:val="clear" w:color="auto" w:fill="FFFFFF"/>
            <w:tcMar>
              <w:top w:w="30" w:type="dxa"/>
              <w:left w:w="0" w:type="dxa"/>
              <w:bottom w:w="30" w:type="dxa"/>
              <w:right w:w="20" w:type="dxa"/>
            </w:tcMar>
            <w:vAlign w:val="bottom"/>
            <w:hideMark/>
          </w:tcPr>
          <w:p w14:paraId="14AE04C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FABA1B"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C2A043"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08AE6F6" w14:textId="77777777" w:rsidR="00000000" w:rsidRDefault="00EE5306">
            <w:pPr>
              <w:spacing w:after="100"/>
              <w:jc w:val="right"/>
              <w:rPr>
                <w:rFonts w:eastAsia="Times New Roman"/>
              </w:rPr>
            </w:pPr>
            <w:r>
              <w:rPr>
                <w:rFonts w:eastAsia="Times New Roman"/>
                <w:color w:val="000000"/>
                <w:sz w:val="18"/>
                <w:szCs w:val="18"/>
              </w:rPr>
              <w:t>3,202.9 </w:t>
            </w:r>
          </w:p>
        </w:tc>
        <w:tc>
          <w:tcPr>
            <w:tcW w:w="0" w:type="auto"/>
            <w:shd w:val="clear" w:color="auto" w:fill="FFFFFF"/>
            <w:tcMar>
              <w:top w:w="30" w:type="dxa"/>
              <w:left w:w="0" w:type="dxa"/>
              <w:bottom w:w="30" w:type="dxa"/>
              <w:right w:w="20" w:type="dxa"/>
            </w:tcMar>
            <w:vAlign w:val="bottom"/>
            <w:hideMark/>
          </w:tcPr>
          <w:p w14:paraId="0BCB1CD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1D79A3"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D0116C"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4392057" w14:textId="77777777" w:rsidR="00000000" w:rsidRDefault="00EE5306">
            <w:pPr>
              <w:spacing w:after="100"/>
              <w:jc w:val="right"/>
              <w:rPr>
                <w:rFonts w:eastAsia="Times New Roman"/>
              </w:rPr>
            </w:pPr>
            <w:r>
              <w:rPr>
                <w:rFonts w:eastAsia="Times New Roman"/>
                <w:color w:val="000000"/>
                <w:sz w:val="18"/>
                <w:szCs w:val="18"/>
              </w:rPr>
              <w:t>(62.4)</w:t>
            </w:r>
          </w:p>
        </w:tc>
        <w:tc>
          <w:tcPr>
            <w:tcW w:w="0" w:type="auto"/>
            <w:shd w:val="clear" w:color="auto" w:fill="FFFFFF"/>
            <w:tcMar>
              <w:top w:w="30" w:type="dxa"/>
              <w:left w:w="0" w:type="dxa"/>
              <w:bottom w:w="30" w:type="dxa"/>
              <w:right w:w="20" w:type="dxa"/>
            </w:tcMar>
            <w:vAlign w:val="bottom"/>
            <w:hideMark/>
          </w:tcPr>
          <w:p w14:paraId="4E9AAE1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51480"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C0472C"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9772034" w14:textId="77777777" w:rsidR="00000000" w:rsidRDefault="00EE5306">
            <w:pPr>
              <w:spacing w:after="100"/>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14:paraId="0A1B2DB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6134F"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0F9644"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C047D01" w14:textId="77777777" w:rsidR="00000000" w:rsidRDefault="00EE5306">
            <w:pPr>
              <w:spacing w:after="100"/>
              <w:jc w:val="right"/>
              <w:rPr>
                <w:rFonts w:eastAsia="Times New Roman"/>
              </w:rPr>
            </w:pPr>
            <w:r>
              <w:rPr>
                <w:rFonts w:eastAsia="Times New Roman"/>
                <w:color w:val="000000"/>
                <w:sz w:val="18"/>
                <w:szCs w:val="18"/>
              </w:rPr>
              <w:t>(61.0)</w:t>
            </w:r>
          </w:p>
        </w:tc>
        <w:tc>
          <w:tcPr>
            <w:tcW w:w="0" w:type="auto"/>
            <w:shd w:val="clear" w:color="auto" w:fill="FFFFFF"/>
            <w:tcMar>
              <w:top w:w="30" w:type="dxa"/>
              <w:left w:w="0" w:type="dxa"/>
              <w:bottom w:w="30" w:type="dxa"/>
              <w:right w:w="20" w:type="dxa"/>
            </w:tcMar>
            <w:vAlign w:val="bottom"/>
            <w:hideMark/>
          </w:tcPr>
          <w:p w14:paraId="633C621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BADD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993F16" w14:textId="77777777" w:rsidR="00000000" w:rsidRDefault="00EE5306">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14:paraId="6516265A" w14:textId="77777777" w:rsidR="00000000" w:rsidRDefault="00EE530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DCA322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F395E7" w14:textId="77777777" w:rsidR="00000000" w:rsidRDefault="00EE5306">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4BCAA98A" w14:textId="77777777" w:rsidR="00000000" w:rsidRDefault="00EE5306">
            <w:pPr>
              <w:spacing w:after="100"/>
              <w:rPr>
                <w:rFonts w:eastAsia="Times New Roman"/>
              </w:rPr>
            </w:pPr>
            <w:r>
              <w:rPr>
                <w:rFonts w:eastAsia="Times New Roman"/>
                <w:color w:val="000000"/>
                <w:sz w:val="18"/>
                <w:szCs w:val="18"/>
              </w:rPr>
              <w:t>%)</w:t>
            </w:r>
          </w:p>
        </w:tc>
      </w:tr>
      <w:tr w:rsidR="00000000" w14:paraId="59F2E646" w14:textId="77777777">
        <w:trPr>
          <w:divId w:val="2079864556"/>
        </w:trPr>
        <w:tc>
          <w:tcPr>
            <w:tcW w:w="0" w:type="auto"/>
            <w:gridSpan w:val="3"/>
            <w:shd w:val="clear" w:color="auto" w:fill="CCEEFF"/>
            <w:tcMar>
              <w:top w:w="30" w:type="dxa"/>
              <w:left w:w="155" w:type="dxa"/>
              <w:bottom w:w="30" w:type="dxa"/>
              <w:right w:w="20" w:type="dxa"/>
            </w:tcMar>
            <w:vAlign w:val="bottom"/>
            <w:hideMark/>
          </w:tcPr>
          <w:p w14:paraId="2B0B3E93" w14:textId="77777777" w:rsidR="00000000" w:rsidRDefault="00EE5306">
            <w:pPr>
              <w:spacing w:after="100"/>
              <w:rPr>
                <w:rFonts w:eastAsia="Times New Roman"/>
              </w:rPr>
            </w:pPr>
            <w:r>
              <w:rPr>
                <w:rFonts w:eastAsia="Times New Roman"/>
                <w:color w:val="000000"/>
                <w:sz w:val="18"/>
                <w:szCs w:val="18"/>
              </w:rPr>
              <w:t>Europe</w:t>
            </w:r>
          </w:p>
        </w:tc>
        <w:tc>
          <w:tcPr>
            <w:tcW w:w="0" w:type="auto"/>
            <w:gridSpan w:val="3"/>
            <w:shd w:val="clear" w:color="auto" w:fill="CCEEFF"/>
            <w:tcMar>
              <w:top w:w="0" w:type="dxa"/>
              <w:left w:w="20" w:type="dxa"/>
              <w:bottom w:w="0" w:type="dxa"/>
              <w:right w:w="20" w:type="dxa"/>
            </w:tcMar>
            <w:vAlign w:val="center"/>
            <w:hideMark/>
          </w:tcPr>
          <w:p w14:paraId="696C5EB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79D5EF" w14:textId="77777777" w:rsidR="00000000" w:rsidRDefault="00EE5306">
            <w:pPr>
              <w:spacing w:after="100"/>
              <w:jc w:val="right"/>
              <w:rPr>
                <w:rFonts w:eastAsia="Times New Roman"/>
              </w:rPr>
            </w:pPr>
            <w:r>
              <w:rPr>
                <w:rFonts w:eastAsia="Times New Roman"/>
                <w:color w:val="000000"/>
                <w:sz w:val="18"/>
                <w:szCs w:val="18"/>
              </w:rPr>
              <w:t>1,632.2 </w:t>
            </w:r>
          </w:p>
        </w:tc>
        <w:tc>
          <w:tcPr>
            <w:tcW w:w="0" w:type="auto"/>
            <w:shd w:val="clear" w:color="auto" w:fill="CCEEFF"/>
            <w:tcMar>
              <w:top w:w="30" w:type="dxa"/>
              <w:left w:w="0" w:type="dxa"/>
              <w:bottom w:w="30" w:type="dxa"/>
              <w:right w:w="20" w:type="dxa"/>
            </w:tcMar>
            <w:vAlign w:val="bottom"/>
            <w:hideMark/>
          </w:tcPr>
          <w:p w14:paraId="46113B0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1F8C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81821F" w14:textId="77777777" w:rsidR="00000000" w:rsidRDefault="00EE5306">
            <w:pPr>
              <w:spacing w:after="100"/>
              <w:jc w:val="right"/>
              <w:rPr>
                <w:rFonts w:eastAsia="Times New Roman"/>
              </w:rPr>
            </w:pPr>
            <w:r>
              <w:rPr>
                <w:rFonts w:eastAsia="Times New Roman"/>
                <w:color w:val="000000"/>
                <w:sz w:val="18"/>
                <w:szCs w:val="18"/>
              </w:rPr>
              <w:t>1,683.0 </w:t>
            </w:r>
          </w:p>
        </w:tc>
        <w:tc>
          <w:tcPr>
            <w:tcW w:w="0" w:type="auto"/>
            <w:shd w:val="clear" w:color="auto" w:fill="CCEEFF"/>
            <w:tcMar>
              <w:top w:w="30" w:type="dxa"/>
              <w:left w:w="0" w:type="dxa"/>
              <w:bottom w:w="30" w:type="dxa"/>
              <w:right w:w="20" w:type="dxa"/>
            </w:tcMar>
            <w:vAlign w:val="bottom"/>
            <w:hideMark/>
          </w:tcPr>
          <w:p w14:paraId="2D69AFF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903BE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569DA1" w14:textId="77777777" w:rsidR="00000000" w:rsidRDefault="00EE5306">
            <w:pPr>
              <w:spacing w:after="100"/>
              <w:jc w:val="right"/>
              <w:rPr>
                <w:rFonts w:eastAsia="Times New Roman"/>
              </w:rPr>
            </w:pPr>
            <w:r>
              <w:rPr>
                <w:rFonts w:eastAsia="Times New Roman"/>
                <w:color w:val="000000"/>
                <w:sz w:val="18"/>
                <w:szCs w:val="18"/>
              </w:rPr>
              <w:t>(50.8)</w:t>
            </w:r>
          </w:p>
        </w:tc>
        <w:tc>
          <w:tcPr>
            <w:tcW w:w="0" w:type="auto"/>
            <w:shd w:val="clear" w:color="auto" w:fill="CCEEFF"/>
            <w:tcMar>
              <w:top w:w="30" w:type="dxa"/>
              <w:left w:w="0" w:type="dxa"/>
              <w:bottom w:w="30" w:type="dxa"/>
              <w:right w:w="20" w:type="dxa"/>
            </w:tcMar>
            <w:vAlign w:val="bottom"/>
            <w:hideMark/>
          </w:tcPr>
          <w:p w14:paraId="07E9F06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73FE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1B877C" w14:textId="77777777" w:rsidR="00000000" w:rsidRDefault="00EE5306">
            <w:pPr>
              <w:spacing w:after="100"/>
              <w:jc w:val="right"/>
              <w:rPr>
                <w:rFonts w:eastAsia="Times New Roman"/>
              </w:rPr>
            </w:pPr>
            <w:r>
              <w:rPr>
                <w:rFonts w:eastAsia="Times New Roman"/>
                <w:color w:val="000000"/>
                <w:sz w:val="18"/>
                <w:szCs w:val="18"/>
              </w:rPr>
              <w:t>(63.6)</w:t>
            </w:r>
          </w:p>
        </w:tc>
        <w:tc>
          <w:tcPr>
            <w:tcW w:w="0" w:type="auto"/>
            <w:shd w:val="clear" w:color="auto" w:fill="CCEEFF"/>
            <w:tcMar>
              <w:top w:w="30" w:type="dxa"/>
              <w:left w:w="0" w:type="dxa"/>
              <w:bottom w:w="30" w:type="dxa"/>
              <w:right w:w="20" w:type="dxa"/>
            </w:tcMar>
            <w:vAlign w:val="bottom"/>
            <w:hideMark/>
          </w:tcPr>
          <w:p w14:paraId="3C29A8F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2F9FF"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7D7A50" w14:textId="77777777" w:rsidR="00000000" w:rsidRDefault="00EE5306">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14:paraId="09CA1E4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7C9F5"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0B78C6" w14:textId="77777777" w:rsidR="00000000" w:rsidRDefault="00EE5306">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14:paraId="2D250352" w14:textId="77777777" w:rsidR="00000000" w:rsidRDefault="00EE530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FFD2DE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D65A26" w14:textId="77777777" w:rsidR="00000000" w:rsidRDefault="00EE5306">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704D20DE" w14:textId="77777777" w:rsidR="00000000" w:rsidRDefault="00EE5306">
            <w:pPr>
              <w:spacing w:after="100"/>
              <w:rPr>
                <w:rFonts w:eastAsia="Times New Roman"/>
              </w:rPr>
            </w:pPr>
            <w:r>
              <w:rPr>
                <w:rFonts w:eastAsia="Times New Roman"/>
                <w:color w:val="000000"/>
                <w:sz w:val="18"/>
                <w:szCs w:val="18"/>
              </w:rPr>
              <w:t>%</w:t>
            </w:r>
          </w:p>
        </w:tc>
      </w:tr>
      <w:tr w:rsidR="00000000" w14:paraId="1845892E" w14:textId="77777777">
        <w:trPr>
          <w:divId w:val="2079864556"/>
        </w:trPr>
        <w:tc>
          <w:tcPr>
            <w:tcW w:w="0" w:type="auto"/>
            <w:gridSpan w:val="3"/>
            <w:shd w:val="clear" w:color="auto" w:fill="FFFFFF"/>
            <w:tcMar>
              <w:top w:w="30" w:type="dxa"/>
              <w:left w:w="155" w:type="dxa"/>
              <w:bottom w:w="30" w:type="dxa"/>
              <w:right w:w="20" w:type="dxa"/>
            </w:tcMar>
            <w:vAlign w:val="bottom"/>
            <w:hideMark/>
          </w:tcPr>
          <w:p w14:paraId="5678EE8F" w14:textId="77777777" w:rsidR="00000000" w:rsidRDefault="00EE5306">
            <w:pPr>
              <w:spacing w:after="100"/>
              <w:rPr>
                <w:rFonts w:eastAsia="Times New Roman"/>
              </w:rPr>
            </w:pPr>
            <w:r>
              <w:rPr>
                <w:rFonts w:eastAsia="Times New Roman"/>
                <w:color w:val="000000"/>
                <w:sz w:val="18"/>
                <w:szCs w:val="18"/>
              </w:rPr>
              <w:t>Asia</w:t>
            </w:r>
          </w:p>
        </w:tc>
        <w:tc>
          <w:tcPr>
            <w:tcW w:w="0" w:type="auto"/>
            <w:gridSpan w:val="3"/>
            <w:shd w:val="clear" w:color="auto" w:fill="FFFFFF"/>
            <w:tcMar>
              <w:top w:w="0" w:type="dxa"/>
              <w:left w:w="20" w:type="dxa"/>
              <w:bottom w:w="0" w:type="dxa"/>
              <w:right w:w="20" w:type="dxa"/>
            </w:tcMar>
            <w:vAlign w:val="center"/>
            <w:hideMark/>
          </w:tcPr>
          <w:p w14:paraId="7864C9B3"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9ACB7E" w14:textId="77777777" w:rsidR="00000000" w:rsidRDefault="00EE5306">
            <w:pPr>
              <w:spacing w:after="100"/>
              <w:jc w:val="right"/>
              <w:rPr>
                <w:rFonts w:eastAsia="Times New Roman"/>
              </w:rPr>
            </w:pPr>
            <w:r>
              <w:rPr>
                <w:rFonts w:eastAsia="Times New Roman"/>
                <w:color w:val="000000"/>
                <w:sz w:val="18"/>
                <w:szCs w:val="18"/>
              </w:rPr>
              <w:t>1,017.2 </w:t>
            </w:r>
          </w:p>
        </w:tc>
        <w:tc>
          <w:tcPr>
            <w:tcW w:w="0" w:type="auto"/>
            <w:shd w:val="clear" w:color="auto" w:fill="FFFFFF"/>
            <w:tcMar>
              <w:top w:w="30" w:type="dxa"/>
              <w:left w:w="0" w:type="dxa"/>
              <w:bottom w:w="30" w:type="dxa"/>
              <w:right w:w="20" w:type="dxa"/>
            </w:tcMar>
            <w:vAlign w:val="bottom"/>
            <w:hideMark/>
          </w:tcPr>
          <w:p w14:paraId="467D772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170A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BB42D" w14:textId="77777777" w:rsidR="00000000" w:rsidRDefault="00EE5306">
            <w:pPr>
              <w:spacing w:after="100"/>
              <w:jc w:val="right"/>
              <w:rPr>
                <w:rFonts w:eastAsia="Times New Roman"/>
              </w:rPr>
            </w:pPr>
            <w:r>
              <w:rPr>
                <w:rFonts w:eastAsia="Times New Roman"/>
                <w:color w:val="000000"/>
                <w:sz w:val="18"/>
                <w:szCs w:val="18"/>
              </w:rPr>
              <w:t>1,041.0 </w:t>
            </w:r>
          </w:p>
        </w:tc>
        <w:tc>
          <w:tcPr>
            <w:tcW w:w="0" w:type="auto"/>
            <w:shd w:val="clear" w:color="auto" w:fill="FFFFFF"/>
            <w:tcMar>
              <w:top w:w="30" w:type="dxa"/>
              <w:left w:w="0" w:type="dxa"/>
              <w:bottom w:w="30" w:type="dxa"/>
              <w:right w:w="20" w:type="dxa"/>
            </w:tcMar>
            <w:vAlign w:val="bottom"/>
            <w:hideMark/>
          </w:tcPr>
          <w:p w14:paraId="121BDF5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3E0E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E7BEA7" w14:textId="77777777" w:rsidR="00000000" w:rsidRDefault="00EE5306">
            <w:pPr>
              <w:spacing w:after="100"/>
              <w:jc w:val="right"/>
              <w:rPr>
                <w:rFonts w:eastAsia="Times New Roman"/>
              </w:rPr>
            </w:pPr>
            <w:r>
              <w:rPr>
                <w:rFonts w:eastAsia="Times New Roman"/>
                <w:color w:val="000000"/>
                <w:sz w:val="18"/>
                <w:szCs w:val="18"/>
              </w:rPr>
              <w:t>(23.8)</w:t>
            </w:r>
          </w:p>
        </w:tc>
        <w:tc>
          <w:tcPr>
            <w:tcW w:w="0" w:type="auto"/>
            <w:shd w:val="clear" w:color="auto" w:fill="FFFFFF"/>
            <w:tcMar>
              <w:top w:w="30" w:type="dxa"/>
              <w:left w:w="0" w:type="dxa"/>
              <w:bottom w:w="30" w:type="dxa"/>
              <w:right w:w="20" w:type="dxa"/>
            </w:tcMar>
            <w:vAlign w:val="bottom"/>
            <w:hideMark/>
          </w:tcPr>
          <w:p w14:paraId="338A0A7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09CE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FEE55" w14:textId="77777777" w:rsidR="00000000" w:rsidRDefault="00EE5306">
            <w:pPr>
              <w:spacing w:after="100"/>
              <w:jc w:val="right"/>
              <w:rPr>
                <w:rFonts w:eastAsia="Times New Roman"/>
              </w:rPr>
            </w:pPr>
            <w:r>
              <w:rPr>
                <w:rFonts w:eastAsia="Times New Roman"/>
                <w:color w:val="000000"/>
                <w:sz w:val="18"/>
                <w:szCs w:val="18"/>
              </w:rPr>
              <w:t>(11.6)</w:t>
            </w:r>
          </w:p>
        </w:tc>
        <w:tc>
          <w:tcPr>
            <w:tcW w:w="0" w:type="auto"/>
            <w:shd w:val="clear" w:color="auto" w:fill="FFFFFF"/>
            <w:tcMar>
              <w:top w:w="30" w:type="dxa"/>
              <w:left w:w="0" w:type="dxa"/>
              <w:bottom w:w="30" w:type="dxa"/>
              <w:right w:w="20" w:type="dxa"/>
            </w:tcMar>
            <w:vAlign w:val="bottom"/>
            <w:hideMark/>
          </w:tcPr>
          <w:p w14:paraId="4677175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C7EE26"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81DD1" w14:textId="77777777" w:rsidR="00000000" w:rsidRDefault="00EE5306">
            <w:pPr>
              <w:spacing w:after="100"/>
              <w:jc w:val="right"/>
              <w:rPr>
                <w:rFonts w:eastAsia="Times New Roman"/>
              </w:rPr>
            </w:pPr>
            <w:r>
              <w:rPr>
                <w:rFonts w:eastAsia="Times New Roman"/>
                <w:color w:val="000000"/>
                <w:sz w:val="18"/>
                <w:szCs w:val="18"/>
              </w:rPr>
              <w:t>(12.2)</w:t>
            </w:r>
          </w:p>
        </w:tc>
        <w:tc>
          <w:tcPr>
            <w:tcW w:w="0" w:type="auto"/>
            <w:shd w:val="clear" w:color="auto" w:fill="FFFFFF"/>
            <w:tcMar>
              <w:top w:w="30" w:type="dxa"/>
              <w:left w:w="0" w:type="dxa"/>
              <w:bottom w:w="30" w:type="dxa"/>
              <w:right w:w="20" w:type="dxa"/>
            </w:tcMar>
            <w:vAlign w:val="bottom"/>
            <w:hideMark/>
          </w:tcPr>
          <w:p w14:paraId="286CB7F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B2F50"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B2F811" w14:textId="77777777" w:rsidR="00000000" w:rsidRDefault="00EE5306">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14:paraId="48E35C26" w14:textId="77777777" w:rsidR="00000000" w:rsidRDefault="00EE530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552EB9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247B6F" w14:textId="77777777" w:rsidR="00000000" w:rsidRDefault="00EE5306">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37A03607" w14:textId="77777777" w:rsidR="00000000" w:rsidRDefault="00EE5306">
            <w:pPr>
              <w:spacing w:after="100"/>
              <w:rPr>
                <w:rFonts w:eastAsia="Times New Roman"/>
              </w:rPr>
            </w:pPr>
            <w:r>
              <w:rPr>
                <w:rFonts w:eastAsia="Times New Roman"/>
                <w:color w:val="000000"/>
                <w:sz w:val="18"/>
                <w:szCs w:val="18"/>
              </w:rPr>
              <w:t>%)</w:t>
            </w:r>
          </w:p>
        </w:tc>
      </w:tr>
      <w:tr w:rsidR="00000000" w14:paraId="780A1275" w14:textId="77777777">
        <w:trPr>
          <w:divId w:val="2079864556"/>
        </w:trPr>
        <w:tc>
          <w:tcPr>
            <w:tcW w:w="0" w:type="auto"/>
            <w:gridSpan w:val="3"/>
            <w:shd w:val="clear" w:color="auto" w:fill="CCEEFF"/>
            <w:tcMar>
              <w:top w:w="30" w:type="dxa"/>
              <w:left w:w="155" w:type="dxa"/>
              <w:bottom w:w="30" w:type="dxa"/>
              <w:right w:w="20" w:type="dxa"/>
            </w:tcMar>
            <w:vAlign w:val="bottom"/>
            <w:hideMark/>
          </w:tcPr>
          <w:p w14:paraId="3EAC6CFF" w14:textId="77777777" w:rsidR="00000000" w:rsidRDefault="00EE5306">
            <w:pPr>
              <w:spacing w:after="100"/>
              <w:rPr>
                <w:rFonts w:eastAsia="Times New Roman"/>
              </w:rPr>
            </w:pPr>
            <w:r>
              <w:rPr>
                <w:rFonts w:eastAsia="Times New Roman"/>
                <w:color w:val="000000"/>
                <w:sz w:val="18"/>
                <w:szCs w:val="18"/>
              </w:rPr>
              <w:t>Other non-reportable segments</w:t>
            </w:r>
          </w:p>
        </w:tc>
        <w:tc>
          <w:tcPr>
            <w:tcW w:w="0" w:type="auto"/>
            <w:gridSpan w:val="3"/>
            <w:shd w:val="clear" w:color="auto" w:fill="CCEEFF"/>
            <w:tcMar>
              <w:top w:w="0" w:type="dxa"/>
              <w:left w:w="20" w:type="dxa"/>
              <w:bottom w:w="0" w:type="dxa"/>
              <w:right w:w="20" w:type="dxa"/>
            </w:tcMar>
            <w:vAlign w:val="center"/>
            <w:hideMark/>
          </w:tcPr>
          <w:p w14:paraId="77DE50D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CF6E7E" w14:textId="77777777" w:rsidR="00000000" w:rsidRDefault="00EE5306">
            <w:pPr>
              <w:spacing w:after="100"/>
              <w:jc w:val="right"/>
              <w:rPr>
                <w:rFonts w:eastAsia="Times New Roman"/>
              </w:rPr>
            </w:pPr>
            <w:r>
              <w:rPr>
                <w:rFonts w:eastAsia="Times New Roman"/>
                <w:color w:val="000000"/>
                <w:sz w:val="18"/>
                <w:szCs w:val="18"/>
              </w:rPr>
              <w:t>369.9 </w:t>
            </w:r>
          </w:p>
        </w:tc>
        <w:tc>
          <w:tcPr>
            <w:tcW w:w="0" w:type="auto"/>
            <w:shd w:val="clear" w:color="auto" w:fill="CCEEFF"/>
            <w:tcMar>
              <w:top w:w="30" w:type="dxa"/>
              <w:left w:w="0" w:type="dxa"/>
              <w:bottom w:w="30" w:type="dxa"/>
              <w:right w:w="20" w:type="dxa"/>
            </w:tcMar>
            <w:vAlign w:val="bottom"/>
            <w:hideMark/>
          </w:tcPr>
          <w:p w14:paraId="7ECEA85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C35B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469FDA" w14:textId="77777777" w:rsidR="00000000" w:rsidRDefault="00EE5306">
            <w:pPr>
              <w:spacing w:after="100"/>
              <w:jc w:val="right"/>
              <w:rPr>
                <w:rFonts w:eastAsia="Times New Roman"/>
              </w:rPr>
            </w:pPr>
            <w:r>
              <w:rPr>
                <w:rFonts w:eastAsia="Times New Roman"/>
                <w:color w:val="000000"/>
                <w:sz w:val="18"/>
                <w:szCs w:val="18"/>
              </w:rPr>
              <w:t>386.1 </w:t>
            </w:r>
          </w:p>
        </w:tc>
        <w:tc>
          <w:tcPr>
            <w:tcW w:w="0" w:type="auto"/>
            <w:shd w:val="clear" w:color="auto" w:fill="CCEEFF"/>
            <w:tcMar>
              <w:top w:w="30" w:type="dxa"/>
              <w:left w:w="0" w:type="dxa"/>
              <w:bottom w:w="30" w:type="dxa"/>
              <w:right w:w="20" w:type="dxa"/>
            </w:tcMar>
            <w:vAlign w:val="bottom"/>
            <w:hideMark/>
          </w:tcPr>
          <w:p w14:paraId="726F424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DFCE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EBE770" w14:textId="77777777" w:rsidR="00000000" w:rsidRDefault="00EE5306">
            <w:pPr>
              <w:spacing w:after="100"/>
              <w:jc w:val="right"/>
              <w:rPr>
                <w:rFonts w:eastAsia="Times New Roman"/>
              </w:rPr>
            </w:pPr>
            <w:r>
              <w:rPr>
                <w:rFonts w:eastAsia="Times New Roman"/>
                <w:color w:val="000000"/>
                <w:sz w:val="18"/>
                <w:szCs w:val="18"/>
              </w:rPr>
              <w:t>(16.2)</w:t>
            </w:r>
          </w:p>
        </w:tc>
        <w:tc>
          <w:tcPr>
            <w:tcW w:w="0" w:type="auto"/>
            <w:shd w:val="clear" w:color="auto" w:fill="CCEEFF"/>
            <w:tcMar>
              <w:top w:w="30" w:type="dxa"/>
              <w:left w:w="0" w:type="dxa"/>
              <w:bottom w:w="30" w:type="dxa"/>
              <w:right w:w="20" w:type="dxa"/>
            </w:tcMar>
            <w:vAlign w:val="bottom"/>
            <w:hideMark/>
          </w:tcPr>
          <w:p w14:paraId="501A6C0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F5F8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F071BF" w14:textId="77777777" w:rsidR="00000000" w:rsidRDefault="00EE5306">
            <w:pPr>
              <w:spacing w:after="100"/>
              <w:jc w:val="right"/>
              <w:rPr>
                <w:rFonts w:eastAsia="Times New Roman"/>
              </w:rPr>
            </w:pPr>
            <w:r>
              <w:rPr>
                <w:rFonts w:eastAsia="Times New Roman"/>
                <w:color w:val="000000"/>
                <w:sz w:val="18"/>
                <w:szCs w:val="18"/>
              </w:rPr>
              <w:t>(0.5)</w:t>
            </w:r>
          </w:p>
        </w:tc>
        <w:tc>
          <w:tcPr>
            <w:tcW w:w="0" w:type="auto"/>
            <w:shd w:val="clear" w:color="auto" w:fill="CCEEFF"/>
            <w:tcMar>
              <w:top w:w="30" w:type="dxa"/>
              <w:left w:w="0" w:type="dxa"/>
              <w:bottom w:w="30" w:type="dxa"/>
              <w:right w:w="20" w:type="dxa"/>
            </w:tcMar>
            <w:vAlign w:val="bottom"/>
            <w:hideMark/>
          </w:tcPr>
          <w:p w14:paraId="5D486C9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B1CF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1362D0" w14:textId="77777777" w:rsidR="00000000" w:rsidRDefault="00EE5306">
            <w:pPr>
              <w:spacing w:after="100"/>
              <w:jc w:val="right"/>
              <w:rPr>
                <w:rFonts w:eastAsia="Times New Roman"/>
              </w:rPr>
            </w:pPr>
            <w:r>
              <w:rPr>
                <w:rFonts w:eastAsia="Times New Roman"/>
                <w:color w:val="000000"/>
                <w:sz w:val="18"/>
                <w:szCs w:val="18"/>
              </w:rPr>
              <w:t>(15.7)</w:t>
            </w:r>
          </w:p>
        </w:tc>
        <w:tc>
          <w:tcPr>
            <w:tcW w:w="0" w:type="auto"/>
            <w:shd w:val="clear" w:color="auto" w:fill="CCEEFF"/>
            <w:tcMar>
              <w:top w:w="30" w:type="dxa"/>
              <w:left w:w="0" w:type="dxa"/>
              <w:bottom w:w="30" w:type="dxa"/>
              <w:right w:w="20" w:type="dxa"/>
            </w:tcMar>
            <w:vAlign w:val="bottom"/>
            <w:hideMark/>
          </w:tcPr>
          <w:p w14:paraId="46C27DA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C7E4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659CF3" w14:textId="77777777" w:rsidR="00000000" w:rsidRDefault="00EE5306">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14:paraId="2E42D55E" w14:textId="77777777" w:rsidR="00000000" w:rsidRDefault="00EE530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5004EB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D98F77" w14:textId="77777777" w:rsidR="00000000" w:rsidRDefault="00EE5306">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14:paraId="406183CC" w14:textId="77777777" w:rsidR="00000000" w:rsidRDefault="00EE5306">
            <w:pPr>
              <w:spacing w:after="100"/>
              <w:rPr>
                <w:rFonts w:eastAsia="Times New Roman"/>
              </w:rPr>
            </w:pPr>
            <w:r>
              <w:rPr>
                <w:rFonts w:eastAsia="Times New Roman"/>
                <w:color w:val="000000"/>
                <w:sz w:val="18"/>
                <w:szCs w:val="18"/>
              </w:rPr>
              <w:t>%)</w:t>
            </w:r>
          </w:p>
        </w:tc>
      </w:tr>
      <w:tr w:rsidR="00EE5306" w14:paraId="384A3FCD" w14:textId="77777777">
        <w:trPr>
          <w:divId w:val="2079864556"/>
        </w:trPr>
        <w:tc>
          <w:tcPr>
            <w:tcW w:w="0" w:type="auto"/>
            <w:gridSpan w:val="3"/>
            <w:shd w:val="clear" w:color="auto" w:fill="FFFFFF"/>
            <w:tcMar>
              <w:top w:w="30" w:type="dxa"/>
              <w:left w:w="380" w:type="dxa"/>
              <w:bottom w:w="30" w:type="dxa"/>
              <w:right w:w="20" w:type="dxa"/>
            </w:tcMar>
            <w:vAlign w:val="bottom"/>
            <w:hideMark/>
          </w:tcPr>
          <w:p w14:paraId="3572FB2E" w14:textId="77777777" w:rsidR="00000000" w:rsidRDefault="00EE5306">
            <w:pPr>
              <w:spacing w:after="100"/>
              <w:rPr>
                <w:rFonts w:eastAsia="Times New Roman"/>
              </w:rPr>
            </w:pPr>
            <w:r>
              <w:rPr>
                <w:rFonts w:eastAsia="Times New Roman"/>
                <w:color w:val="000000"/>
                <w:sz w:val="18"/>
                <w:szCs w:val="18"/>
              </w:rPr>
              <w:t>Total net revenues</w:t>
            </w:r>
          </w:p>
        </w:tc>
        <w:tc>
          <w:tcPr>
            <w:tcW w:w="0" w:type="auto"/>
            <w:gridSpan w:val="3"/>
            <w:shd w:val="clear" w:color="auto" w:fill="FFFFFF"/>
            <w:tcMar>
              <w:top w:w="0" w:type="dxa"/>
              <w:left w:w="20" w:type="dxa"/>
              <w:bottom w:w="0" w:type="dxa"/>
              <w:right w:w="20" w:type="dxa"/>
            </w:tcMar>
            <w:vAlign w:val="center"/>
            <w:hideMark/>
          </w:tcPr>
          <w:p w14:paraId="171AE41D"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ADDC30"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E50B5C" w14:textId="77777777" w:rsidR="00000000" w:rsidRDefault="00EE5306">
            <w:pPr>
              <w:spacing w:after="100"/>
              <w:jc w:val="right"/>
              <w:rPr>
                <w:rFonts w:eastAsia="Times New Roman"/>
              </w:rPr>
            </w:pPr>
            <w:r>
              <w:rPr>
                <w:rFonts w:eastAsia="Times New Roman"/>
                <w:color w:val="000000"/>
                <w:sz w:val="18"/>
                <w:szCs w:val="18"/>
              </w:rPr>
              <w:t>6,159.8 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F18DE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DCD930"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84E839"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CD87C3" w14:textId="77777777" w:rsidR="00000000" w:rsidRDefault="00EE5306">
            <w:pPr>
              <w:spacing w:after="100"/>
              <w:jc w:val="right"/>
              <w:rPr>
                <w:rFonts w:eastAsia="Times New Roman"/>
              </w:rPr>
            </w:pPr>
            <w:r>
              <w:rPr>
                <w:rFonts w:eastAsia="Times New Roman"/>
                <w:color w:val="000000"/>
                <w:sz w:val="18"/>
                <w:szCs w:val="18"/>
              </w:rPr>
              <w:t>6,313.0 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DDE80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B4A7B"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0526EE"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B32E8F" w14:textId="77777777" w:rsidR="00000000" w:rsidRDefault="00EE5306">
            <w:pPr>
              <w:spacing w:after="100"/>
              <w:jc w:val="right"/>
              <w:rPr>
                <w:rFonts w:eastAsia="Times New Roman"/>
              </w:rPr>
            </w:pPr>
            <w:r>
              <w:rPr>
                <w:rFonts w:eastAsia="Times New Roman"/>
                <w:color w:val="000000"/>
                <w:sz w:val="18"/>
                <w:szCs w:val="18"/>
              </w:rPr>
              <w:t>(153.2)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0E035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2B67C"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3F8E62"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462F8D" w14:textId="77777777" w:rsidR="00000000" w:rsidRDefault="00EE5306">
            <w:pPr>
              <w:spacing w:after="100"/>
              <w:jc w:val="right"/>
              <w:rPr>
                <w:rFonts w:eastAsia="Times New Roman"/>
              </w:rPr>
            </w:pPr>
            <w:r>
              <w:rPr>
                <w:rFonts w:eastAsia="Times New Roman"/>
                <w:color w:val="000000"/>
                <w:sz w:val="18"/>
                <w:szCs w:val="18"/>
              </w:rPr>
              <w:t>(77.1)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9B07E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B9818"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567C67"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EF5148" w14:textId="77777777" w:rsidR="00000000" w:rsidRDefault="00EE5306">
            <w:pPr>
              <w:spacing w:after="100"/>
              <w:jc w:val="right"/>
              <w:rPr>
                <w:rFonts w:eastAsia="Times New Roman"/>
              </w:rPr>
            </w:pPr>
            <w:r>
              <w:rPr>
                <w:rFonts w:eastAsia="Times New Roman"/>
                <w:color w:val="000000"/>
                <w:sz w:val="18"/>
                <w:szCs w:val="18"/>
              </w:rPr>
              <w:t>(76.1)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0E3D8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A4B9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11BB04" w14:textId="77777777" w:rsidR="00000000" w:rsidRDefault="00EE5306">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14:paraId="49404AEA" w14:textId="77777777" w:rsidR="00000000" w:rsidRDefault="00EE530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286D145"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170AE0" w14:textId="77777777" w:rsidR="00000000" w:rsidRDefault="00EE5306">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1408FFCE" w14:textId="77777777" w:rsidR="00000000" w:rsidRDefault="00EE5306">
            <w:pPr>
              <w:spacing w:after="100"/>
              <w:rPr>
                <w:rFonts w:eastAsia="Times New Roman"/>
              </w:rPr>
            </w:pPr>
            <w:r>
              <w:rPr>
                <w:rFonts w:eastAsia="Times New Roman"/>
                <w:color w:val="000000"/>
                <w:sz w:val="18"/>
                <w:szCs w:val="18"/>
              </w:rPr>
              <w:t>%)</w:t>
            </w:r>
          </w:p>
        </w:tc>
      </w:tr>
    </w:tbl>
    <w:p w14:paraId="137E7DA2" w14:textId="77777777" w:rsidR="00000000" w:rsidRDefault="00EE5306">
      <w:pPr>
        <w:ind w:firstLine="540"/>
        <w:jc w:val="both"/>
        <w:divId w:val="386531998"/>
        <w:rPr>
          <w:rFonts w:eastAsia="Times New Roman"/>
        </w:rPr>
      </w:pPr>
      <w:r>
        <w:rPr>
          <w:rFonts w:eastAsia="Times New Roman"/>
          <w:i/>
          <w:iCs/>
          <w:color w:val="000000"/>
          <w:sz w:val="20"/>
          <w:szCs w:val="20"/>
        </w:rPr>
        <w:t>North America net revenues</w:t>
      </w:r>
      <w:r>
        <w:rPr>
          <w:rFonts w:eastAsia="Times New Roman"/>
          <w:color w:val="000000"/>
          <w:sz w:val="20"/>
          <w:szCs w:val="20"/>
        </w:rPr>
        <w:t xml:space="preserve"> — </w:t>
      </w:r>
      <w:r>
        <w:rPr>
          <w:rFonts w:eastAsia="Times New Roman"/>
          <w:color w:val="000000"/>
          <w:sz w:val="20"/>
          <w:szCs w:val="20"/>
        </w:rPr>
        <w:t xml:space="preserve">Net revenues decreased by $62.4 million, or 2.0%, during Fiscal 2020 as compared to Fiscal 2019, including net unfavorable foreign currency effects of $1.4 million. On a constant currency basis, net revenues decreased by $61.0 million, or 1.9%, reflecting </w:t>
      </w:r>
      <w:r>
        <w:rPr>
          <w:rFonts w:eastAsia="Times New Roman"/>
          <w:color w:val="000000"/>
          <w:sz w:val="20"/>
          <w:szCs w:val="20"/>
        </w:rPr>
        <w:t xml:space="preserve">adverse impacts related to COVID-19 business disruptions. </w:t>
      </w:r>
    </w:p>
    <w:p w14:paraId="76A66160" w14:textId="77777777" w:rsidR="00000000" w:rsidRDefault="00EE5306">
      <w:pPr>
        <w:ind w:firstLine="540"/>
        <w:jc w:val="both"/>
        <w:divId w:val="1764642590"/>
        <w:rPr>
          <w:rFonts w:eastAsia="Times New Roman"/>
        </w:rPr>
      </w:pPr>
      <w:r>
        <w:rPr>
          <w:rFonts w:eastAsia="Times New Roman"/>
          <w:color w:val="000000"/>
          <w:sz w:val="20"/>
          <w:szCs w:val="20"/>
        </w:rPr>
        <w:t>The $62.4 million net decline in North America net revenues was driven by:</w:t>
      </w:r>
    </w:p>
    <w:p w14:paraId="67F2A28C" w14:textId="77777777" w:rsidR="00000000" w:rsidRDefault="00EE5306">
      <w:pPr>
        <w:ind w:hanging="360"/>
        <w:jc w:val="both"/>
        <w:divId w:val="1561861807"/>
        <w:rPr>
          <w:rFonts w:eastAsia="Times New Roman"/>
        </w:rPr>
      </w:pPr>
      <w:r>
        <w:rPr>
          <w:rFonts w:eastAsia="Times New Roman"/>
          <w:color w:val="000000"/>
          <w:sz w:val="20"/>
          <w:szCs w:val="20"/>
        </w:rPr>
        <w:t>•a $101.2 million net decrease related to our North America wholesale business, largely driven by weaker demand and challe</w:t>
      </w:r>
      <w:r>
        <w:rPr>
          <w:rFonts w:eastAsia="Times New Roman"/>
          <w:color w:val="000000"/>
          <w:sz w:val="20"/>
          <w:szCs w:val="20"/>
        </w:rPr>
        <w:t>nging department store traffic trends, as well as COVID-19 business disruptions.</w:t>
      </w:r>
    </w:p>
    <w:p w14:paraId="6252CCAB" w14:textId="77777777" w:rsidR="00000000" w:rsidRDefault="00EE5306">
      <w:pPr>
        <w:ind w:firstLine="540"/>
        <w:jc w:val="both"/>
        <w:divId w:val="1095129799"/>
        <w:rPr>
          <w:rFonts w:eastAsia="Times New Roman"/>
        </w:rPr>
      </w:pPr>
      <w:r>
        <w:rPr>
          <w:rFonts w:eastAsia="Times New Roman"/>
          <w:color w:val="000000"/>
          <w:sz w:val="20"/>
          <w:szCs w:val="20"/>
        </w:rPr>
        <w:t>This decrease was partially offset by:</w:t>
      </w:r>
    </w:p>
    <w:p w14:paraId="1D82A6F9" w14:textId="77777777" w:rsidR="00000000" w:rsidRDefault="00EE5306">
      <w:pPr>
        <w:ind w:hanging="360"/>
        <w:jc w:val="both"/>
        <w:divId w:val="954292048"/>
        <w:rPr>
          <w:rFonts w:eastAsia="Times New Roman"/>
        </w:rPr>
      </w:pPr>
      <w:r>
        <w:rPr>
          <w:rFonts w:eastAsia="Times New Roman"/>
          <w:color w:val="000000"/>
          <w:sz w:val="20"/>
          <w:szCs w:val="20"/>
        </w:rPr>
        <w:t>•an increase of $38.8 million related to our North America retail business, inclusive of net unfavorable foreign currency effects of $0.</w:t>
      </w:r>
      <w:r>
        <w:rPr>
          <w:rFonts w:eastAsia="Times New Roman"/>
          <w:color w:val="000000"/>
          <w:sz w:val="20"/>
          <w:szCs w:val="20"/>
        </w:rPr>
        <w:t xml:space="preserve">7 million and the adverse impact of COVID-19 business disruptions. On a constant currency basis, net revenues increased by $39.5 million driven by an increase of $47.1 million in non-comparable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9909850" w14:textId="77777777">
        <w:trPr>
          <w:divId w:val="516044408"/>
          <w:jc w:val="center"/>
        </w:trPr>
        <w:tc>
          <w:tcPr>
            <w:tcW w:w="50" w:type="pct"/>
            <w:vAlign w:val="center"/>
            <w:hideMark/>
          </w:tcPr>
          <w:p w14:paraId="384C52AF" w14:textId="77777777" w:rsidR="00000000" w:rsidRDefault="00EE5306">
            <w:pPr>
              <w:ind w:hanging="360"/>
              <w:jc w:val="both"/>
              <w:rPr>
                <w:rFonts w:eastAsia="Times New Roman"/>
              </w:rPr>
            </w:pPr>
          </w:p>
        </w:tc>
        <w:tc>
          <w:tcPr>
            <w:tcW w:w="1699" w:type="pct"/>
            <w:vAlign w:val="center"/>
            <w:hideMark/>
          </w:tcPr>
          <w:p w14:paraId="630CCE33" w14:textId="77777777" w:rsidR="00000000" w:rsidRDefault="00EE5306">
            <w:pPr>
              <w:spacing w:after="100"/>
              <w:rPr>
                <w:rFonts w:eastAsia="Times New Roman"/>
                <w:sz w:val="20"/>
                <w:szCs w:val="20"/>
              </w:rPr>
            </w:pPr>
          </w:p>
        </w:tc>
        <w:tc>
          <w:tcPr>
            <w:tcW w:w="5" w:type="pct"/>
            <w:vAlign w:val="center"/>
            <w:hideMark/>
          </w:tcPr>
          <w:p w14:paraId="7D4F776E" w14:textId="77777777" w:rsidR="00000000" w:rsidRDefault="00EE5306">
            <w:pPr>
              <w:spacing w:after="100"/>
              <w:rPr>
                <w:rFonts w:eastAsia="Times New Roman"/>
                <w:sz w:val="20"/>
                <w:szCs w:val="20"/>
              </w:rPr>
            </w:pPr>
          </w:p>
        </w:tc>
        <w:tc>
          <w:tcPr>
            <w:tcW w:w="50" w:type="pct"/>
            <w:vAlign w:val="center"/>
            <w:hideMark/>
          </w:tcPr>
          <w:p w14:paraId="6CA5AF4B" w14:textId="77777777" w:rsidR="00000000" w:rsidRDefault="00EE5306">
            <w:pPr>
              <w:spacing w:after="100"/>
              <w:rPr>
                <w:rFonts w:eastAsia="Times New Roman"/>
                <w:sz w:val="20"/>
                <w:szCs w:val="20"/>
              </w:rPr>
            </w:pPr>
          </w:p>
        </w:tc>
        <w:tc>
          <w:tcPr>
            <w:tcW w:w="1436" w:type="pct"/>
            <w:vAlign w:val="center"/>
            <w:hideMark/>
          </w:tcPr>
          <w:p w14:paraId="2B42C5A9" w14:textId="77777777" w:rsidR="00000000" w:rsidRDefault="00EE5306">
            <w:pPr>
              <w:spacing w:after="100"/>
              <w:rPr>
                <w:rFonts w:eastAsia="Times New Roman"/>
                <w:sz w:val="20"/>
                <w:szCs w:val="20"/>
              </w:rPr>
            </w:pPr>
          </w:p>
        </w:tc>
        <w:tc>
          <w:tcPr>
            <w:tcW w:w="5" w:type="pct"/>
            <w:vAlign w:val="center"/>
            <w:hideMark/>
          </w:tcPr>
          <w:p w14:paraId="3BA5B026" w14:textId="77777777" w:rsidR="00000000" w:rsidRDefault="00EE5306">
            <w:pPr>
              <w:spacing w:after="100"/>
              <w:rPr>
                <w:rFonts w:eastAsia="Times New Roman"/>
                <w:sz w:val="20"/>
                <w:szCs w:val="20"/>
              </w:rPr>
            </w:pPr>
          </w:p>
        </w:tc>
        <w:tc>
          <w:tcPr>
            <w:tcW w:w="50" w:type="pct"/>
            <w:vAlign w:val="center"/>
            <w:hideMark/>
          </w:tcPr>
          <w:p w14:paraId="5E636DC8" w14:textId="77777777" w:rsidR="00000000" w:rsidRDefault="00EE5306">
            <w:pPr>
              <w:spacing w:after="100"/>
              <w:rPr>
                <w:rFonts w:eastAsia="Times New Roman"/>
                <w:sz w:val="20"/>
                <w:szCs w:val="20"/>
              </w:rPr>
            </w:pPr>
          </w:p>
        </w:tc>
        <w:tc>
          <w:tcPr>
            <w:tcW w:w="1699" w:type="pct"/>
            <w:vAlign w:val="center"/>
            <w:hideMark/>
          </w:tcPr>
          <w:p w14:paraId="2777728A" w14:textId="77777777" w:rsidR="00000000" w:rsidRDefault="00EE5306">
            <w:pPr>
              <w:spacing w:after="100"/>
              <w:rPr>
                <w:rFonts w:eastAsia="Times New Roman"/>
                <w:sz w:val="20"/>
                <w:szCs w:val="20"/>
              </w:rPr>
            </w:pPr>
          </w:p>
        </w:tc>
        <w:tc>
          <w:tcPr>
            <w:tcW w:w="5" w:type="pct"/>
            <w:vAlign w:val="center"/>
            <w:hideMark/>
          </w:tcPr>
          <w:p w14:paraId="2C71ECA7" w14:textId="77777777" w:rsidR="00000000" w:rsidRDefault="00EE5306">
            <w:pPr>
              <w:spacing w:after="100"/>
              <w:rPr>
                <w:rFonts w:eastAsia="Times New Roman"/>
                <w:sz w:val="20"/>
                <w:szCs w:val="20"/>
              </w:rPr>
            </w:pPr>
          </w:p>
        </w:tc>
      </w:tr>
      <w:tr w:rsidR="00000000" w14:paraId="4C6D462B" w14:textId="77777777">
        <w:trPr>
          <w:divId w:val="516044408"/>
          <w:jc w:val="center"/>
        </w:trPr>
        <w:tc>
          <w:tcPr>
            <w:tcW w:w="0" w:type="auto"/>
            <w:gridSpan w:val="3"/>
            <w:tcMar>
              <w:top w:w="0" w:type="dxa"/>
              <w:left w:w="20" w:type="dxa"/>
              <w:bottom w:w="0" w:type="dxa"/>
              <w:right w:w="20" w:type="dxa"/>
            </w:tcMar>
            <w:vAlign w:val="center"/>
            <w:hideMark/>
          </w:tcPr>
          <w:p w14:paraId="2B30002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B823F11" w14:textId="77777777" w:rsidR="00000000" w:rsidRDefault="00EE5306">
            <w:pPr>
              <w:spacing w:after="100"/>
              <w:jc w:val="center"/>
              <w:rPr>
                <w:rFonts w:eastAsia="Times New Roman"/>
              </w:rPr>
            </w:pPr>
            <w:r>
              <w:rPr>
                <w:rFonts w:eastAsia="Times New Roman"/>
                <w:color w:val="000000"/>
                <w:sz w:val="20"/>
                <w:szCs w:val="20"/>
              </w:rPr>
              <w:t>58</w:t>
            </w:r>
          </w:p>
        </w:tc>
        <w:tc>
          <w:tcPr>
            <w:tcW w:w="0" w:type="auto"/>
            <w:gridSpan w:val="3"/>
            <w:tcMar>
              <w:top w:w="0" w:type="dxa"/>
              <w:left w:w="20" w:type="dxa"/>
              <w:bottom w:w="0" w:type="dxa"/>
              <w:right w:w="20" w:type="dxa"/>
            </w:tcMar>
            <w:vAlign w:val="center"/>
            <w:hideMark/>
          </w:tcPr>
          <w:p w14:paraId="7EBA4EC8" w14:textId="77777777" w:rsidR="00000000" w:rsidRDefault="00EE5306">
            <w:pPr>
              <w:spacing w:after="100"/>
              <w:jc w:val="center"/>
              <w:rPr>
                <w:rFonts w:eastAsia="Times New Roman"/>
              </w:rPr>
            </w:pPr>
          </w:p>
        </w:tc>
      </w:tr>
    </w:tbl>
    <w:p w14:paraId="1729AEAC" w14:textId="77777777" w:rsidR="00000000" w:rsidRDefault="00EE5306">
      <w:pPr>
        <w:rPr>
          <w:rFonts w:eastAsia="Times New Roman"/>
        </w:rPr>
      </w:pPr>
      <w:r>
        <w:rPr>
          <w:rFonts w:eastAsia="Times New Roman"/>
        </w:rPr>
        <w:pict w14:anchorId="420C7ED0">
          <v:rect id="_x0000_i1085" style="width:0;height:1.5pt" o:hralign="center" o:hrstd="t" o:hr="t" fillcolor="#a0a0a0" stroked="f"/>
        </w:pict>
      </w:r>
    </w:p>
    <w:p w14:paraId="351EC82A" w14:textId="77777777" w:rsidR="00000000" w:rsidRDefault="00EE5306">
      <w:pPr>
        <w:divId w:val="1692871534"/>
        <w:rPr>
          <w:rFonts w:eastAsia="Times New Roman"/>
        </w:rPr>
      </w:pPr>
    </w:p>
    <w:p w14:paraId="78F1B843" w14:textId="77777777" w:rsidR="00000000" w:rsidRDefault="00EE5306">
      <w:pPr>
        <w:jc w:val="both"/>
        <w:divId w:val="313804050"/>
        <w:rPr>
          <w:rFonts w:eastAsia="Times New Roman"/>
        </w:rPr>
      </w:pPr>
      <w:r>
        <w:rPr>
          <w:rFonts w:eastAsia="Times New Roman"/>
          <w:color w:val="000000"/>
          <w:sz w:val="20"/>
          <w:szCs w:val="20"/>
        </w:rPr>
        <w:t>store sales, partially offset by a decrease of $7.6 million in comparable store sales. The following table summarizes the percentage change in comparable store sales related to our North America retail business, inclus</w:t>
      </w:r>
      <w:r>
        <w:rPr>
          <w:rFonts w:eastAsia="Times New Roman"/>
          <w:color w:val="000000"/>
          <w:sz w:val="20"/>
          <w:szCs w:val="20"/>
        </w:rPr>
        <w:t>ive of adverse impacts related to COVID-19 business disruptions:</w:t>
      </w:r>
    </w:p>
    <w:tbl>
      <w:tblPr>
        <w:tblW w:w="4459" w:type="pct"/>
        <w:tblCellMar>
          <w:top w:w="15" w:type="dxa"/>
          <w:left w:w="15" w:type="dxa"/>
          <w:bottom w:w="15" w:type="dxa"/>
          <w:right w:w="15" w:type="dxa"/>
        </w:tblCellMar>
        <w:tblLook w:val="04A0" w:firstRow="1" w:lastRow="0" w:firstColumn="1" w:lastColumn="0" w:noHBand="0" w:noVBand="1"/>
      </w:tblPr>
      <w:tblGrid>
        <w:gridCol w:w="37"/>
        <w:gridCol w:w="5956"/>
        <w:gridCol w:w="36"/>
        <w:gridCol w:w="36"/>
        <w:gridCol w:w="36"/>
        <w:gridCol w:w="36"/>
        <w:gridCol w:w="37"/>
        <w:gridCol w:w="979"/>
        <w:gridCol w:w="254"/>
      </w:tblGrid>
      <w:tr w:rsidR="00000000" w14:paraId="669151E0" w14:textId="77777777">
        <w:trPr>
          <w:divId w:val="1129667906"/>
        </w:trPr>
        <w:tc>
          <w:tcPr>
            <w:tcW w:w="50" w:type="pct"/>
            <w:vAlign w:val="center"/>
            <w:hideMark/>
          </w:tcPr>
          <w:p w14:paraId="6C36EDB4" w14:textId="77777777" w:rsidR="00000000" w:rsidRDefault="00EE5306">
            <w:pPr>
              <w:jc w:val="both"/>
              <w:rPr>
                <w:rFonts w:eastAsia="Times New Roman"/>
              </w:rPr>
            </w:pPr>
          </w:p>
        </w:tc>
        <w:tc>
          <w:tcPr>
            <w:tcW w:w="4084" w:type="pct"/>
            <w:vAlign w:val="center"/>
            <w:hideMark/>
          </w:tcPr>
          <w:p w14:paraId="124A0CE7" w14:textId="77777777" w:rsidR="00000000" w:rsidRDefault="00EE5306">
            <w:pPr>
              <w:spacing w:after="100"/>
              <w:rPr>
                <w:rFonts w:eastAsia="Times New Roman"/>
                <w:sz w:val="20"/>
                <w:szCs w:val="20"/>
              </w:rPr>
            </w:pPr>
          </w:p>
        </w:tc>
        <w:tc>
          <w:tcPr>
            <w:tcW w:w="5" w:type="pct"/>
            <w:vAlign w:val="center"/>
            <w:hideMark/>
          </w:tcPr>
          <w:p w14:paraId="3DDDACCB" w14:textId="77777777" w:rsidR="00000000" w:rsidRDefault="00EE5306">
            <w:pPr>
              <w:spacing w:after="100"/>
              <w:rPr>
                <w:rFonts w:eastAsia="Times New Roman"/>
                <w:sz w:val="20"/>
                <w:szCs w:val="20"/>
              </w:rPr>
            </w:pPr>
          </w:p>
        </w:tc>
        <w:tc>
          <w:tcPr>
            <w:tcW w:w="5" w:type="pct"/>
            <w:vAlign w:val="center"/>
            <w:hideMark/>
          </w:tcPr>
          <w:p w14:paraId="7C3ACE65" w14:textId="77777777" w:rsidR="00000000" w:rsidRDefault="00EE5306">
            <w:pPr>
              <w:spacing w:after="100"/>
              <w:rPr>
                <w:rFonts w:eastAsia="Times New Roman"/>
                <w:sz w:val="20"/>
                <w:szCs w:val="20"/>
              </w:rPr>
            </w:pPr>
          </w:p>
        </w:tc>
        <w:tc>
          <w:tcPr>
            <w:tcW w:w="30" w:type="pct"/>
            <w:vAlign w:val="center"/>
            <w:hideMark/>
          </w:tcPr>
          <w:p w14:paraId="770CF30C" w14:textId="77777777" w:rsidR="00000000" w:rsidRDefault="00EE5306">
            <w:pPr>
              <w:spacing w:after="100"/>
              <w:rPr>
                <w:rFonts w:eastAsia="Times New Roman"/>
                <w:sz w:val="20"/>
                <w:szCs w:val="20"/>
              </w:rPr>
            </w:pPr>
          </w:p>
        </w:tc>
        <w:tc>
          <w:tcPr>
            <w:tcW w:w="5" w:type="pct"/>
            <w:vAlign w:val="center"/>
            <w:hideMark/>
          </w:tcPr>
          <w:p w14:paraId="46D50507" w14:textId="77777777" w:rsidR="00000000" w:rsidRDefault="00EE5306">
            <w:pPr>
              <w:spacing w:after="100"/>
              <w:rPr>
                <w:rFonts w:eastAsia="Times New Roman"/>
                <w:sz w:val="20"/>
                <w:szCs w:val="20"/>
              </w:rPr>
            </w:pPr>
          </w:p>
        </w:tc>
        <w:tc>
          <w:tcPr>
            <w:tcW w:w="50" w:type="pct"/>
            <w:vAlign w:val="center"/>
            <w:hideMark/>
          </w:tcPr>
          <w:p w14:paraId="752EA625" w14:textId="77777777" w:rsidR="00000000" w:rsidRDefault="00EE5306">
            <w:pPr>
              <w:spacing w:after="100"/>
              <w:rPr>
                <w:rFonts w:eastAsia="Times New Roman"/>
                <w:sz w:val="20"/>
                <w:szCs w:val="20"/>
              </w:rPr>
            </w:pPr>
          </w:p>
        </w:tc>
        <w:tc>
          <w:tcPr>
            <w:tcW w:w="764" w:type="pct"/>
            <w:vAlign w:val="center"/>
            <w:hideMark/>
          </w:tcPr>
          <w:p w14:paraId="19A8DA05" w14:textId="77777777" w:rsidR="00000000" w:rsidRDefault="00EE5306">
            <w:pPr>
              <w:spacing w:after="100"/>
              <w:rPr>
                <w:rFonts w:eastAsia="Times New Roman"/>
                <w:sz w:val="20"/>
                <w:szCs w:val="20"/>
              </w:rPr>
            </w:pPr>
          </w:p>
        </w:tc>
        <w:tc>
          <w:tcPr>
            <w:tcW w:w="5" w:type="pct"/>
            <w:vAlign w:val="center"/>
            <w:hideMark/>
          </w:tcPr>
          <w:p w14:paraId="7DC0BFF7" w14:textId="77777777" w:rsidR="00000000" w:rsidRDefault="00EE5306">
            <w:pPr>
              <w:spacing w:after="100"/>
              <w:rPr>
                <w:rFonts w:eastAsia="Times New Roman"/>
                <w:sz w:val="20"/>
                <w:szCs w:val="20"/>
              </w:rPr>
            </w:pPr>
          </w:p>
        </w:tc>
      </w:tr>
      <w:tr w:rsidR="00000000" w14:paraId="5AE57A47" w14:textId="77777777">
        <w:trPr>
          <w:divId w:val="1129667906"/>
        </w:trPr>
        <w:tc>
          <w:tcPr>
            <w:tcW w:w="0" w:type="auto"/>
            <w:gridSpan w:val="3"/>
            <w:tcMar>
              <w:top w:w="30" w:type="dxa"/>
              <w:left w:w="20" w:type="dxa"/>
              <w:bottom w:w="30" w:type="dxa"/>
              <w:right w:w="20" w:type="dxa"/>
            </w:tcMar>
            <w:vAlign w:val="bottom"/>
            <w:hideMark/>
          </w:tcPr>
          <w:p w14:paraId="6FFEF4F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30955FE"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3834C139" w14:textId="77777777" w:rsidR="00000000" w:rsidRDefault="00EE5306">
            <w:pPr>
              <w:spacing w:after="100"/>
              <w:jc w:val="center"/>
              <w:rPr>
                <w:rFonts w:eastAsia="Times New Roman"/>
              </w:rPr>
            </w:pPr>
            <w:r>
              <w:rPr>
                <w:rFonts w:eastAsia="Times New Roman"/>
                <w:b/>
                <w:bCs/>
                <w:color w:val="000000"/>
                <w:sz w:val="16"/>
                <w:szCs w:val="16"/>
              </w:rPr>
              <w:t>% Change</w:t>
            </w:r>
          </w:p>
        </w:tc>
      </w:tr>
      <w:tr w:rsidR="00000000" w14:paraId="396059B1" w14:textId="77777777">
        <w:trPr>
          <w:divId w:val="1129667906"/>
        </w:trPr>
        <w:tc>
          <w:tcPr>
            <w:tcW w:w="0" w:type="auto"/>
            <w:gridSpan w:val="3"/>
            <w:shd w:val="clear" w:color="auto" w:fill="CCEEFF"/>
            <w:tcMar>
              <w:top w:w="30" w:type="dxa"/>
              <w:left w:w="20" w:type="dxa"/>
              <w:bottom w:w="30" w:type="dxa"/>
              <w:right w:w="20" w:type="dxa"/>
            </w:tcMar>
            <w:vAlign w:val="bottom"/>
            <w:hideMark/>
          </w:tcPr>
          <w:p w14:paraId="3090D614" w14:textId="77777777" w:rsidR="00000000" w:rsidRDefault="00EE5306">
            <w:pPr>
              <w:spacing w:after="100"/>
              <w:rPr>
                <w:rFonts w:eastAsia="Times New Roman"/>
              </w:rPr>
            </w:pPr>
            <w:r>
              <w:rPr>
                <w:rFonts w:eastAsia="Times New Roman"/>
                <w:color w:val="000000"/>
                <w:sz w:val="20"/>
                <w:szCs w:val="20"/>
              </w:rPr>
              <w:t>Digital commerce comparable store sales</w:t>
            </w:r>
          </w:p>
        </w:tc>
        <w:tc>
          <w:tcPr>
            <w:tcW w:w="0" w:type="auto"/>
            <w:gridSpan w:val="3"/>
            <w:shd w:val="clear" w:color="auto" w:fill="CCEEFF"/>
            <w:tcMar>
              <w:top w:w="0" w:type="dxa"/>
              <w:left w:w="20" w:type="dxa"/>
              <w:bottom w:w="0" w:type="dxa"/>
              <w:right w:w="20" w:type="dxa"/>
            </w:tcMar>
            <w:vAlign w:val="center"/>
            <w:hideMark/>
          </w:tcPr>
          <w:p w14:paraId="3F718067"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57BFAC" w14:textId="77777777" w:rsidR="00000000" w:rsidRDefault="00EE5306">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60CB34" w14:textId="77777777" w:rsidR="00000000" w:rsidRDefault="00EE5306">
            <w:pPr>
              <w:spacing w:after="100"/>
              <w:rPr>
                <w:rFonts w:eastAsia="Times New Roman"/>
              </w:rPr>
            </w:pPr>
            <w:r>
              <w:rPr>
                <w:rFonts w:eastAsia="Times New Roman"/>
                <w:color w:val="000000"/>
                <w:sz w:val="20"/>
                <w:szCs w:val="20"/>
              </w:rPr>
              <w:t>%</w:t>
            </w:r>
          </w:p>
        </w:tc>
      </w:tr>
      <w:tr w:rsidR="00000000" w14:paraId="1C0A1E83" w14:textId="77777777">
        <w:trPr>
          <w:divId w:val="1129667906"/>
        </w:trPr>
        <w:tc>
          <w:tcPr>
            <w:tcW w:w="0" w:type="auto"/>
            <w:gridSpan w:val="3"/>
            <w:shd w:val="clear" w:color="auto" w:fill="FFFFFF"/>
            <w:tcMar>
              <w:top w:w="30" w:type="dxa"/>
              <w:left w:w="20" w:type="dxa"/>
              <w:bottom w:w="30" w:type="dxa"/>
              <w:right w:w="20" w:type="dxa"/>
            </w:tcMar>
            <w:vAlign w:val="bottom"/>
            <w:hideMark/>
          </w:tcPr>
          <w:p w14:paraId="405DAE52" w14:textId="77777777" w:rsidR="00000000" w:rsidRDefault="00EE5306">
            <w:pPr>
              <w:spacing w:after="100"/>
              <w:rPr>
                <w:rFonts w:eastAsia="Times New Roman"/>
              </w:rPr>
            </w:pPr>
            <w:r>
              <w:rPr>
                <w:rFonts w:eastAsia="Times New Roman"/>
                <w:color w:val="000000"/>
                <w:sz w:val="20"/>
                <w:szCs w:val="20"/>
              </w:rPr>
              <w:t>Comparable store sales excluding digital commerce</w:t>
            </w:r>
          </w:p>
        </w:tc>
        <w:tc>
          <w:tcPr>
            <w:tcW w:w="0" w:type="auto"/>
            <w:gridSpan w:val="3"/>
            <w:shd w:val="clear" w:color="auto" w:fill="FFFFFF"/>
            <w:tcMar>
              <w:top w:w="0" w:type="dxa"/>
              <w:left w:w="20" w:type="dxa"/>
              <w:bottom w:w="0" w:type="dxa"/>
              <w:right w:w="20" w:type="dxa"/>
            </w:tcMar>
            <w:vAlign w:val="center"/>
            <w:hideMark/>
          </w:tcPr>
          <w:p w14:paraId="64F5638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F7B617" w14:textId="77777777" w:rsidR="00000000" w:rsidRDefault="00EE5306">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1E1162DB" w14:textId="77777777" w:rsidR="00000000" w:rsidRDefault="00EE5306">
            <w:pPr>
              <w:spacing w:after="100"/>
              <w:rPr>
                <w:rFonts w:eastAsia="Times New Roman"/>
              </w:rPr>
            </w:pPr>
            <w:r>
              <w:rPr>
                <w:rFonts w:eastAsia="Times New Roman"/>
                <w:color w:val="000000"/>
                <w:sz w:val="20"/>
                <w:szCs w:val="20"/>
              </w:rPr>
              <w:t>%)</w:t>
            </w:r>
          </w:p>
        </w:tc>
      </w:tr>
      <w:tr w:rsidR="00000000" w14:paraId="27D777FE" w14:textId="77777777">
        <w:trPr>
          <w:divId w:val="1129667906"/>
        </w:trPr>
        <w:tc>
          <w:tcPr>
            <w:tcW w:w="0" w:type="auto"/>
            <w:gridSpan w:val="3"/>
            <w:shd w:val="clear" w:color="auto" w:fill="CCEEFF"/>
            <w:tcMar>
              <w:top w:w="30" w:type="dxa"/>
              <w:left w:w="20" w:type="dxa"/>
              <w:bottom w:w="30" w:type="dxa"/>
              <w:right w:w="20" w:type="dxa"/>
            </w:tcMar>
            <w:vAlign w:val="bottom"/>
            <w:hideMark/>
          </w:tcPr>
          <w:p w14:paraId="4B414ED9" w14:textId="77777777" w:rsidR="00000000" w:rsidRDefault="00EE5306">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14:paraId="237AAAB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F3AD5C"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4E6077" w14:textId="77777777" w:rsidR="00000000" w:rsidRDefault="00EE5306">
            <w:pPr>
              <w:spacing w:after="100"/>
              <w:rPr>
                <w:rFonts w:eastAsia="Times New Roman"/>
              </w:rPr>
            </w:pPr>
            <w:r>
              <w:rPr>
                <w:rFonts w:eastAsia="Times New Roman"/>
                <w:color w:val="000000"/>
                <w:sz w:val="20"/>
                <w:szCs w:val="20"/>
              </w:rPr>
              <w:t>%</w:t>
            </w:r>
          </w:p>
        </w:tc>
      </w:tr>
    </w:tbl>
    <w:p w14:paraId="10231F0C" w14:textId="77777777" w:rsidR="00000000" w:rsidRDefault="00EE5306">
      <w:pPr>
        <w:ind w:firstLine="540"/>
        <w:jc w:val="both"/>
        <w:divId w:val="1118765170"/>
        <w:rPr>
          <w:rFonts w:eastAsia="Times New Roman"/>
        </w:rPr>
      </w:pPr>
      <w:r>
        <w:rPr>
          <w:rFonts w:eastAsia="Times New Roman"/>
          <w:i/>
          <w:iCs/>
          <w:color w:val="000000"/>
          <w:sz w:val="20"/>
          <w:szCs w:val="20"/>
        </w:rPr>
        <w:t>Europe net revenues</w:t>
      </w:r>
      <w:r>
        <w:rPr>
          <w:rFonts w:eastAsia="Times New Roman"/>
          <w:color w:val="000000"/>
          <w:sz w:val="20"/>
          <w:szCs w:val="20"/>
        </w:rPr>
        <w:t xml:space="preserve"> — </w:t>
      </w:r>
      <w:r>
        <w:rPr>
          <w:rFonts w:eastAsia="Times New Roman"/>
          <w:color w:val="000000"/>
          <w:sz w:val="20"/>
          <w:szCs w:val="20"/>
        </w:rPr>
        <w:t>Net revenues decreased by $50.8 million, or 3.0%, during Fiscal 2020 as compared to Fiscal 2019, including net unfavorable foreign currency effects of $63.6 million. On a constant currency basis, net revenues increased by $12.8 million, or 0.8%, despite ad</w:t>
      </w:r>
      <w:r>
        <w:rPr>
          <w:rFonts w:eastAsia="Times New Roman"/>
          <w:color w:val="000000"/>
          <w:sz w:val="20"/>
          <w:szCs w:val="20"/>
        </w:rPr>
        <w:t xml:space="preserve">verse impacts related to COVID-19 business disruptions. </w:t>
      </w:r>
    </w:p>
    <w:p w14:paraId="2E6AC5AF" w14:textId="77777777" w:rsidR="00000000" w:rsidRDefault="00EE5306">
      <w:pPr>
        <w:ind w:firstLine="540"/>
        <w:jc w:val="both"/>
        <w:divId w:val="753863540"/>
        <w:rPr>
          <w:rFonts w:eastAsia="Times New Roman"/>
        </w:rPr>
      </w:pPr>
      <w:r>
        <w:rPr>
          <w:rFonts w:eastAsia="Times New Roman"/>
          <w:color w:val="000000"/>
          <w:sz w:val="20"/>
          <w:szCs w:val="20"/>
        </w:rPr>
        <w:t>The $50.8 million net decline in Europe net revenues was driven by:</w:t>
      </w:r>
    </w:p>
    <w:p w14:paraId="512E9880" w14:textId="77777777" w:rsidR="00000000" w:rsidRDefault="00EE5306">
      <w:pPr>
        <w:ind w:hanging="360"/>
        <w:jc w:val="both"/>
        <w:divId w:val="1721172990"/>
        <w:rPr>
          <w:rFonts w:eastAsia="Times New Roman"/>
        </w:rPr>
      </w:pPr>
      <w:r>
        <w:rPr>
          <w:rFonts w:eastAsia="Times New Roman"/>
          <w:color w:val="000000"/>
          <w:sz w:val="20"/>
          <w:szCs w:val="20"/>
        </w:rPr>
        <w:t xml:space="preserve">•a $44.3 million net decrease related to our Europe wholesale business driven by net unfavorable foreign currency effects of $32.3 </w:t>
      </w:r>
      <w:r>
        <w:rPr>
          <w:rFonts w:eastAsia="Times New Roman"/>
          <w:color w:val="000000"/>
          <w:sz w:val="20"/>
          <w:szCs w:val="20"/>
        </w:rPr>
        <w:t>million and COVID-19 business disruptions, partially offset by stronger demand prior to the COVID-19 pandemic; and</w:t>
      </w:r>
    </w:p>
    <w:p w14:paraId="039D3CBF" w14:textId="77777777" w:rsidR="00000000" w:rsidRDefault="00EE5306">
      <w:pPr>
        <w:ind w:hanging="360"/>
        <w:jc w:val="both"/>
        <w:divId w:val="1074819052"/>
        <w:rPr>
          <w:rFonts w:eastAsia="Times New Roman"/>
        </w:rPr>
      </w:pPr>
      <w:r>
        <w:rPr>
          <w:rFonts w:eastAsia="Times New Roman"/>
          <w:color w:val="000000"/>
          <w:sz w:val="20"/>
          <w:szCs w:val="20"/>
        </w:rPr>
        <w:t>•a $6.5 million net decrease related to our Europe retail business, inclusive of net unfavorable foreign currency effects of $31.3 million an</w:t>
      </w:r>
      <w:r>
        <w:rPr>
          <w:rFonts w:eastAsia="Times New Roman"/>
          <w:color w:val="000000"/>
          <w:sz w:val="20"/>
          <w:szCs w:val="20"/>
        </w:rPr>
        <w:t xml:space="preserve">d the adverse impact of COVID-19 business disruptions. On a constant currency basis, net revenues increased by $24.8 million driven by an increase of $32.4 million in non-comparable store sales, partially offset by a decrease of $7.6 million in comparable </w:t>
      </w:r>
      <w:r>
        <w:rPr>
          <w:rFonts w:eastAsia="Times New Roman"/>
          <w:color w:val="000000"/>
          <w:sz w:val="20"/>
          <w:szCs w:val="20"/>
        </w:rPr>
        <w:t>store sales. The following table summarizes the percentage change in comparable store sales related to our Europe retail business, inclusive of adverse impacts related to COVID-19 business disruptions:</w:t>
      </w:r>
    </w:p>
    <w:tbl>
      <w:tblPr>
        <w:tblW w:w="4473" w:type="pct"/>
        <w:tblCellMar>
          <w:top w:w="15" w:type="dxa"/>
          <w:left w:w="15" w:type="dxa"/>
          <w:bottom w:w="15" w:type="dxa"/>
          <w:right w:w="15" w:type="dxa"/>
        </w:tblCellMar>
        <w:tblLook w:val="04A0" w:firstRow="1" w:lastRow="0" w:firstColumn="1" w:lastColumn="0" w:noHBand="0" w:noVBand="1"/>
      </w:tblPr>
      <w:tblGrid>
        <w:gridCol w:w="37"/>
        <w:gridCol w:w="5979"/>
        <w:gridCol w:w="36"/>
        <w:gridCol w:w="36"/>
        <w:gridCol w:w="36"/>
        <w:gridCol w:w="36"/>
        <w:gridCol w:w="37"/>
        <w:gridCol w:w="980"/>
        <w:gridCol w:w="254"/>
      </w:tblGrid>
      <w:tr w:rsidR="00000000" w14:paraId="2610FC0F" w14:textId="77777777">
        <w:trPr>
          <w:divId w:val="892274421"/>
        </w:trPr>
        <w:tc>
          <w:tcPr>
            <w:tcW w:w="50" w:type="pct"/>
            <w:vAlign w:val="center"/>
            <w:hideMark/>
          </w:tcPr>
          <w:p w14:paraId="4230217C" w14:textId="77777777" w:rsidR="00000000" w:rsidRDefault="00EE5306">
            <w:pPr>
              <w:ind w:hanging="360"/>
              <w:jc w:val="both"/>
              <w:rPr>
                <w:rFonts w:eastAsia="Times New Roman"/>
              </w:rPr>
            </w:pPr>
          </w:p>
        </w:tc>
        <w:tc>
          <w:tcPr>
            <w:tcW w:w="4087" w:type="pct"/>
            <w:vAlign w:val="center"/>
            <w:hideMark/>
          </w:tcPr>
          <w:p w14:paraId="4B81716E" w14:textId="77777777" w:rsidR="00000000" w:rsidRDefault="00EE5306">
            <w:pPr>
              <w:spacing w:after="100"/>
              <w:rPr>
                <w:rFonts w:eastAsia="Times New Roman"/>
                <w:sz w:val="20"/>
                <w:szCs w:val="20"/>
              </w:rPr>
            </w:pPr>
          </w:p>
        </w:tc>
        <w:tc>
          <w:tcPr>
            <w:tcW w:w="5" w:type="pct"/>
            <w:vAlign w:val="center"/>
            <w:hideMark/>
          </w:tcPr>
          <w:p w14:paraId="3FE96B91" w14:textId="77777777" w:rsidR="00000000" w:rsidRDefault="00EE5306">
            <w:pPr>
              <w:spacing w:after="100"/>
              <w:rPr>
                <w:rFonts w:eastAsia="Times New Roman"/>
                <w:sz w:val="20"/>
                <w:szCs w:val="20"/>
              </w:rPr>
            </w:pPr>
          </w:p>
        </w:tc>
        <w:tc>
          <w:tcPr>
            <w:tcW w:w="5" w:type="pct"/>
            <w:vAlign w:val="center"/>
            <w:hideMark/>
          </w:tcPr>
          <w:p w14:paraId="78D07503" w14:textId="77777777" w:rsidR="00000000" w:rsidRDefault="00EE5306">
            <w:pPr>
              <w:spacing w:after="100"/>
              <w:rPr>
                <w:rFonts w:eastAsia="Times New Roman"/>
                <w:sz w:val="20"/>
                <w:szCs w:val="20"/>
              </w:rPr>
            </w:pPr>
          </w:p>
        </w:tc>
        <w:tc>
          <w:tcPr>
            <w:tcW w:w="30" w:type="pct"/>
            <w:vAlign w:val="center"/>
            <w:hideMark/>
          </w:tcPr>
          <w:p w14:paraId="7025DE09" w14:textId="77777777" w:rsidR="00000000" w:rsidRDefault="00EE5306">
            <w:pPr>
              <w:spacing w:after="100"/>
              <w:rPr>
                <w:rFonts w:eastAsia="Times New Roman"/>
                <w:sz w:val="20"/>
                <w:szCs w:val="20"/>
              </w:rPr>
            </w:pPr>
          </w:p>
        </w:tc>
        <w:tc>
          <w:tcPr>
            <w:tcW w:w="5" w:type="pct"/>
            <w:vAlign w:val="center"/>
            <w:hideMark/>
          </w:tcPr>
          <w:p w14:paraId="77C3F979" w14:textId="77777777" w:rsidR="00000000" w:rsidRDefault="00EE5306">
            <w:pPr>
              <w:spacing w:after="100"/>
              <w:rPr>
                <w:rFonts w:eastAsia="Times New Roman"/>
                <w:sz w:val="20"/>
                <w:szCs w:val="20"/>
              </w:rPr>
            </w:pPr>
          </w:p>
        </w:tc>
        <w:tc>
          <w:tcPr>
            <w:tcW w:w="50" w:type="pct"/>
            <w:vAlign w:val="center"/>
            <w:hideMark/>
          </w:tcPr>
          <w:p w14:paraId="3446A10D" w14:textId="77777777" w:rsidR="00000000" w:rsidRDefault="00EE5306">
            <w:pPr>
              <w:spacing w:after="100"/>
              <w:rPr>
                <w:rFonts w:eastAsia="Times New Roman"/>
                <w:sz w:val="20"/>
                <w:szCs w:val="20"/>
              </w:rPr>
            </w:pPr>
          </w:p>
        </w:tc>
        <w:tc>
          <w:tcPr>
            <w:tcW w:w="762" w:type="pct"/>
            <w:vAlign w:val="center"/>
            <w:hideMark/>
          </w:tcPr>
          <w:p w14:paraId="149D4093" w14:textId="77777777" w:rsidR="00000000" w:rsidRDefault="00EE5306">
            <w:pPr>
              <w:spacing w:after="100"/>
              <w:rPr>
                <w:rFonts w:eastAsia="Times New Roman"/>
                <w:sz w:val="20"/>
                <w:szCs w:val="20"/>
              </w:rPr>
            </w:pPr>
          </w:p>
        </w:tc>
        <w:tc>
          <w:tcPr>
            <w:tcW w:w="5" w:type="pct"/>
            <w:vAlign w:val="center"/>
            <w:hideMark/>
          </w:tcPr>
          <w:p w14:paraId="6FC2FA80" w14:textId="77777777" w:rsidR="00000000" w:rsidRDefault="00EE5306">
            <w:pPr>
              <w:spacing w:after="100"/>
              <w:rPr>
                <w:rFonts w:eastAsia="Times New Roman"/>
                <w:sz w:val="20"/>
                <w:szCs w:val="20"/>
              </w:rPr>
            </w:pPr>
          </w:p>
        </w:tc>
      </w:tr>
      <w:tr w:rsidR="00000000" w14:paraId="445674FA" w14:textId="77777777">
        <w:trPr>
          <w:divId w:val="892274421"/>
        </w:trPr>
        <w:tc>
          <w:tcPr>
            <w:tcW w:w="0" w:type="auto"/>
            <w:gridSpan w:val="3"/>
            <w:tcMar>
              <w:top w:w="30" w:type="dxa"/>
              <w:left w:w="20" w:type="dxa"/>
              <w:bottom w:w="30" w:type="dxa"/>
              <w:right w:w="20" w:type="dxa"/>
            </w:tcMar>
            <w:vAlign w:val="bottom"/>
            <w:hideMark/>
          </w:tcPr>
          <w:p w14:paraId="74A2932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BF438DB"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0335DC70" w14:textId="77777777" w:rsidR="00000000" w:rsidRDefault="00EE5306">
            <w:pPr>
              <w:spacing w:after="100"/>
              <w:jc w:val="center"/>
              <w:rPr>
                <w:rFonts w:eastAsia="Times New Roman"/>
              </w:rPr>
            </w:pPr>
            <w:r>
              <w:rPr>
                <w:rFonts w:eastAsia="Times New Roman"/>
                <w:b/>
                <w:bCs/>
                <w:color w:val="000000"/>
                <w:sz w:val="16"/>
                <w:szCs w:val="16"/>
              </w:rPr>
              <w:t>% Change</w:t>
            </w:r>
          </w:p>
        </w:tc>
      </w:tr>
      <w:tr w:rsidR="00000000" w14:paraId="5D3DDAE1" w14:textId="77777777">
        <w:trPr>
          <w:divId w:val="892274421"/>
        </w:trPr>
        <w:tc>
          <w:tcPr>
            <w:tcW w:w="0" w:type="auto"/>
            <w:gridSpan w:val="3"/>
            <w:shd w:val="clear" w:color="auto" w:fill="CCEEFF"/>
            <w:tcMar>
              <w:top w:w="30" w:type="dxa"/>
              <w:left w:w="20" w:type="dxa"/>
              <w:bottom w:w="30" w:type="dxa"/>
              <w:right w:w="20" w:type="dxa"/>
            </w:tcMar>
            <w:vAlign w:val="bottom"/>
            <w:hideMark/>
          </w:tcPr>
          <w:p w14:paraId="43D26ED1" w14:textId="77777777" w:rsidR="00000000" w:rsidRDefault="00EE5306">
            <w:pPr>
              <w:spacing w:after="100"/>
              <w:rPr>
                <w:rFonts w:eastAsia="Times New Roman"/>
              </w:rPr>
            </w:pPr>
            <w:r>
              <w:rPr>
                <w:rFonts w:eastAsia="Times New Roman"/>
                <w:color w:val="000000"/>
                <w:sz w:val="20"/>
                <w:szCs w:val="20"/>
              </w:rPr>
              <w:t>Digital commerce comparable store sales</w:t>
            </w:r>
          </w:p>
        </w:tc>
        <w:tc>
          <w:tcPr>
            <w:tcW w:w="0" w:type="auto"/>
            <w:gridSpan w:val="3"/>
            <w:shd w:val="clear" w:color="auto" w:fill="CCEEFF"/>
            <w:tcMar>
              <w:top w:w="0" w:type="dxa"/>
              <w:left w:w="20" w:type="dxa"/>
              <w:bottom w:w="0" w:type="dxa"/>
              <w:right w:w="20" w:type="dxa"/>
            </w:tcMar>
            <w:vAlign w:val="center"/>
            <w:hideMark/>
          </w:tcPr>
          <w:p w14:paraId="7AF22A27"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481F64" w14:textId="77777777" w:rsidR="00000000" w:rsidRDefault="00EE5306">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E917AB" w14:textId="77777777" w:rsidR="00000000" w:rsidRDefault="00EE5306">
            <w:pPr>
              <w:spacing w:after="100"/>
              <w:rPr>
                <w:rFonts w:eastAsia="Times New Roman"/>
              </w:rPr>
            </w:pPr>
            <w:r>
              <w:rPr>
                <w:rFonts w:eastAsia="Times New Roman"/>
                <w:color w:val="000000"/>
                <w:sz w:val="20"/>
                <w:szCs w:val="20"/>
              </w:rPr>
              <w:t>%</w:t>
            </w:r>
          </w:p>
        </w:tc>
      </w:tr>
      <w:tr w:rsidR="00000000" w14:paraId="24C44A3A" w14:textId="77777777">
        <w:trPr>
          <w:divId w:val="892274421"/>
        </w:trPr>
        <w:tc>
          <w:tcPr>
            <w:tcW w:w="0" w:type="auto"/>
            <w:gridSpan w:val="3"/>
            <w:shd w:val="clear" w:color="auto" w:fill="FFFFFF"/>
            <w:tcMar>
              <w:top w:w="30" w:type="dxa"/>
              <w:left w:w="20" w:type="dxa"/>
              <w:bottom w:w="30" w:type="dxa"/>
              <w:right w:w="20" w:type="dxa"/>
            </w:tcMar>
            <w:vAlign w:val="bottom"/>
            <w:hideMark/>
          </w:tcPr>
          <w:p w14:paraId="2902C8D3" w14:textId="77777777" w:rsidR="00000000" w:rsidRDefault="00EE5306">
            <w:pPr>
              <w:spacing w:after="100"/>
              <w:rPr>
                <w:rFonts w:eastAsia="Times New Roman"/>
              </w:rPr>
            </w:pPr>
            <w:r>
              <w:rPr>
                <w:rFonts w:eastAsia="Times New Roman"/>
                <w:color w:val="000000"/>
                <w:sz w:val="20"/>
                <w:szCs w:val="20"/>
              </w:rPr>
              <w:t>Comparable store sales excluding digital commerce</w:t>
            </w:r>
          </w:p>
        </w:tc>
        <w:tc>
          <w:tcPr>
            <w:tcW w:w="0" w:type="auto"/>
            <w:gridSpan w:val="3"/>
            <w:shd w:val="clear" w:color="auto" w:fill="FFFFFF"/>
            <w:tcMar>
              <w:top w:w="0" w:type="dxa"/>
              <w:left w:w="20" w:type="dxa"/>
              <w:bottom w:w="0" w:type="dxa"/>
              <w:right w:w="20" w:type="dxa"/>
            </w:tcMar>
            <w:vAlign w:val="center"/>
            <w:hideMark/>
          </w:tcPr>
          <w:p w14:paraId="6ADF0D6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11546D" w14:textId="77777777" w:rsidR="00000000" w:rsidRDefault="00EE5306">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55E09BC2" w14:textId="77777777" w:rsidR="00000000" w:rsidRDefault="00EE5306">
            <w:pPr>
              <w:spacing w:after="100"/>
              <w:rPr>
                <w:rFonts w:eastAsia="Times New Roman"/>
              </w:rPr>
            </w:pPr>
            <w:r>
              <w:rPr>
                <w:rFonts w:eastAsia="Times New Roman"/>
                <w:color w:val="000000"/>
                <w:sz w:val="20"/>
                <w:szCs w:val="20"/>
              </w:rPr>
              <w:t>%)</w:t>
            </w:r>
          </w:p>
        </w:tc>
      </w:tr>
      <w:tr w:rsidR="00000000" w14:paraId="2C225D60" w14:textId="77777777">
        <w:trPr>
          <w:divId w:val="892274421"/>
        </w:trPr>
        <w:tc>
          <w:tcPr>
            <w:tcW w:w="0" w:type="auto"/>
            <w:gridSpan w:val="3"/>
            <w:shd w:val="clear" w:color="auto" w:fill="CCEEFF"/>
            <w:tcMar>
              <w:top w:w="30" w:type="dxa"/>
              <w:left w:w="20" w:type="dxa"/>
              <w:bottom w:w="30" w:type="dxa"/>
              <w:right w:w="20" w:type="dxa"/>
            </w:tcMar>
            <w:vAlign w:val="bottom"/>
            <w:hideMark/>
          </w:tcPr>
          <w:p w14:paraId="19606A5D" w14:textId="77777777" w:rsidR="00000000" w:rsidRDefault="00EE5306">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14:paraId="22DD3CB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6F0489" w14:textId="77777777" w:rsidR="00000000" w:rsidRDefault="00EE5306">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6A0DBD41" w14:textId="77777777" w:rsidR="00000000" w:rsidRDefault="00EE5306">
            <w:pPr>
              <w:spacing w:after="100"/>
              <w:rPr>
                <w:rFonts w:eastAsia="Times New Roman"/>
              </w:rPr>
            </w:pPr>
            <w:r>
              <w:rPr>
                <w:rFonts w:eastAsia="Times New Roman"/>
                <w:color w:val="000000"/>
                <w:sz w:val="20"/>
                <w:szCs w:val="20"/>
              </w:rPr>
              <w:t>%)</w:t>
            </w:r>
          </w:p>
        </w:tc>
      </w:tr>
    </w:tbl>
    <w:p w14:paraId="3D6501E5" w14:textId="77777777" w:rsidR="00000000" w:rsidRDefault="00EE5306">
      <w:pPr>
        <w:ind w:firstLine="540"/>
        <w:jc w:val="both"/>
        <w:divId w:val="1623416339"/>
        <w:rPr>
          <w:rFonts w:eastAsia="Times New Roman"/>
        </w:rPr>
      </w:pPr>
      <w:r>
        <w:rPr>
          <w:rFonts w:eastAsia="Times New Roman"/>
          <w:i/>
          <w:iCs/>
          <w:color w:val="000000"/>
          <w:sz w:val="20"/>
          <w:szCs w:val="20"/>
        </w:rPr>
        <w:t>Asia net revenues</w:t>
      </w:r>
      <w:r>
        <w:rPr>
          <w:rFonts w:eastAsia="Times New Roman"/>
          <w:color w:val="000000"/>
          <w:sz w:val="20"/>
          <w:szCs w:val="20"/>
        </w:rPr>
        <w:t xml:space="preserve"> — </w:t>
      </w:r>
      <w:r>
        <w:rPr>
          <w:rFonts w:eastAsia="Times New Roman"/>
          <w:color w:val="000000"/>
          <w:sz w:val="20"/>
          <w:szCs w:val="20"/>
        </w:rPr>
        <w:t>Net revenues decreased by $23.8 million, or 2.3%, during Fiscal 2020 as compared to Fiscal 2019, including net unfavorable foreign currency effects of $11.6 million. On a constant currency basis, net revenues decreased by $12.2 million, or 1.2%, reflecting</w:t>
      </w:r>
      <w:r>
        <w:rPr>
          <w:rFonts w:eastAsia="Times New Roman"/>
          <w:color w:val="000000"/>
          <w:sz w:val="20"/>
          <w:szCs w:val="20"/>
        </w:rPr>
        <w:t xml:space="preserve"> adverse impacts related to COVID-19 and Hong Kong protest business disruptions. </w:t>
      </w:r>
    </w:p>
    <w:p w14:paraId="670675BF" w14:textId="77777777" w:rsidR="00000000" w:rsidRDefault="00EE5306">
      <w:pPr>
        <w:ind w:firstLine="540"/>
        <w:jc w:val="both"/>
        <w:divId w:val="781919408"/>
        <w:rPr>
          <w:rFonts w:eastAsia="Times New Roman"/>
        </w:rPr>
      </w:pPr>
      <w:r>
        <w:rPr>
          <w:rFonts w:eastAsia="Times New Roman"/>
          <w:color w:val="000000"/>
          <w:sz w:val="20"/>
          <w:szCs w:val="20"/>
        </w:rPr>
        <w:t xml:space="preserve">The $23.8 million net decline in Asia net revenues was driven by: </w:t>
      </w:r>
    </w:p>
    <w:p w14:paraId="7DE00C21" w14:textId="77777777" w:rsidR="00000000" w:rsidRDefault="00EE5306">
      <w:pPr>
        <w:ind w:hanging="360"/>
        <w:jc w:val="both"/>
        <w:divId w:val="97721056"/>
        <w:rPr>
          <w:rFonts w:eastAsia="Times New Roman"/>
        </w:rPr>
      </w:pPr>
      <w:r>
        <w:rPr>
          <w:rFonts w:eastAsia="Times New Roman"/>
          <w:color w:val="000000"/>
          <w:sz w:val="20"/>
          <w:szCs w:val="20"/>
        </w:rPr>
        <w:t>•a $21.9 million net decrease related to our Asia retail business, inclusive of net unfavorable foreign cur</w:t>
      </w:r>
      <w:r>
        <w:rPr>
          <w:rFonts w:eastAsia="Times New Roman"/>
          <w:color w:val="000000"/>
          <w:sz w:val="20"/>
          <w:szCs w:val="20"/>
        </w:rPr>
        <w:t>rency effects of $10.7 million and the adverse impacts of COVID-19 and Hong Kong protest business disruptions. On a constant currency basis, net revenues decreased by $11.2 million, reflecting a decrease of $36.4 million in comparable store sales, partiall</w:t>
      </w:r>
      <w:r>
        <w:rPr>
          <w:rFonts w:eastAsia="Times New Roman"/>
          <w:color w:val="000000"/>
          <w:sz w:val="20"/>
          <w:szCs w:val="20"/>
        </w:rPr>
        <w:t>y offset by an increase of $25.2 million in non-comparable store sales. The following table summarizes the percentage change in comparable store sales related to our Asia retail business, inclusive of adverse impacts related to COVID-19 and Hong Kong prote</w:t>
      </w:r>
      <w:r>
        <w:rPr>
          <w:rFonts w:eastAsia="Times New Roman"/>
          <w:color w:val="000000"/>
          <w:sz w:val="20"/>
          <w:szCs w:val="20"/>
        </w:rPr>
        <w:t>st business disruptions:</w:t>
      </w:r>
    </w:p>
    <w:tbl>
      <w:tblPr>
        <w:tblW w:w="4459" w:type="pct"/>
        <w:tblCellMar>
          <w:top w:w="15" w:type="dxa"/>
          <w:left w:w="15" w:type="dxa"/>
          <w:bottom w:w="15" w:type="dxa"/>
          <w:right w:w="15" w:type="dxa"/>
        </w:tblCellMar>
        <w:tblLook w:val="04A0" w:firstRow="1" w:lastRow="0" w:firstColumn="1" w:lastColumn="0" w:noHBand="0" w:noVBand="1"/>
      </w:tblPr>
      <w:tblGrid>
        <w:gridCol w:w="37"/>
        <w:gridCol w:w="5956"/>
        <w:gridCol w:w="36"/>
        <w:gridCol w:w="36"/>
        <w:gridCol w:w="36"/>
        <w:gridCol w:w="36"/>
        <w:gridCol w:w="37"/>
        <w:gridCol w:w="979"/>
        <w:gridCol w:w="254"/>
      </w:tblGrid>
      <w:tr w:rsidR="00000000" w14:paraId="5F04A7A1" w14:textId="77777777">
        <w:trPr>
          <w:divId w:val="1096561571"/>
        </w:trPr>
        <w:tc>
          <w:tcPr>
            <w:tcW w:w="50" w:type="pct"/>
            <w:vAlign w:val="center"/>
            <w:hideMark/>
          </w:tcPr>
          <w:p w14:paraId="173E55D6" w14:textId="77777777" w:rsidR="00000000" w:rsidRDefault="00EE5306">
            <w:pPr>
              <w:ind w:hanging="360"/>
              <w:jc w:val="both"/>
              <w:rPr>
                <w:rFonts w:eastAsia="Times New Roman"/>
              </w:rPr>
            </w:pPr>
          </w:p>
        </w:tc>
        <w:tc>
          <w:tcPr>
            <w:tcW w:w="4084" w:type="pct"/>
            <w:vAlign w:val="center"/>
            <w:hideMark/>
          </w:tcPr>
          <w:p w14:paraId="4D6FB25B" w14:textId="77777777" w:rsidR="00000000" w:rsidRDefault="00EE5306">
            <w:pPr>
              <w:spacing w:after="100"/>
              <w:rPr>
                <w:rFonts w:eastAsia="Times New Roman"/>
                <w:sz w:val="20"/>
                <w:szCs w:val="20"/>
              </w:rPr>
            </w:pPr>
          </w:p>
        </w:tc>
        <w:tc>
          <w:tcPr>
            <w:tcW w:w="5" w:type="pct"/>
            <w:vAlign w:val="center"/>
            <w:hideMark/>
          </w:tcPr>
          <w:p w14:paraId="511A2F10" w14:textId="77777777" w:rsidR="00000000" w:rsidRDefault="00EE5306">
            <w:pPr>
              <w:spacing w:after="100"/>
              <w:rPr>
                <w:rFonts w:eastAsia="Times New Roman"/>
                <w:sz w:val="20"/>
                <w:szCs w:val="20"/>
              </w:rPr>
            </w:pPr>
          </w:p>
        </w:tc>
        <w:tc>
          <w:tcPr>
            <w:tcW w:w="5" w:type="pct"/>
            <w:vAlign w:val="center"/>
            <w:hideMark/>
          </w:tcPr>
          <w:p w14:paraId="748C6921" w14:textId="77777777" w:rsidR="00000000" w:rsidRDefault="00EE5306">
            <w:pPr>
              <w:spacing w:after="100"/>
              <w:rPr>
                <w:rFonts w:eastAsia="Times New Roman"/>
                <w:sz w:val="20"/>
                <w:szCs w:val="20"/>
              </w:rPr>
            </w:pPr>
          </w:p>
        </w:tc>
        <w:tc>
          <w:tcPr>
            <w:tcW w:w="30" w:type="pct"/>
            <w:vAlign w:val="center"/>
            <w:hideMark/>
          </w:tcPr>
          <w:p w14:paraId="49A9FB8B" w14:textId="77777777" w:rsidR="00000000" w:rsidRDefault="00EE5306">
            <w:pPr>
              <w:spacing w:after="100"/>
              <w:rPr>
                <w:rFonts w:eastAsia="Times New Roman"/>
                <w:sz w:val="20"/>
                <w:szCs w:val="20"/>
              </w:rPr>
            </w:pPr>
          </w:p>
        </w:tc>
        <w:tc>
          <w:tcPr>
            <w:tcW w:w="5" w:type="pct"/>
            <w:vAlign w:val="center"/>
            <w:hideMark/>
          </w:tcPr>
          <w:p w14:paraId="1923D459" w14:textId="77777777" w:rsidR="00000000" w:rsidRDefault="00EE5306">
            <w:pPr>
              <w:spacing w:after="100"/>
              <w:rPr>
                <w:rFonts w:eastAsia="Times New Roman"/>
                <w:sz w:val="20"/>
                <w:szCs w:val="20"/>
              </w:rPr>
            </w:pPr>
          </w:p>
        </w:tc>
        <w:tc>
          <w:tcPr>
            <w:tcW w:w="50" w:type="pct"/>
            <w:vAlign w:val="center"/>
            <w:hideMark/>
          </w:tcPr>
          <w:p w14:paraId="0E960D70" w14:textId="77777777" w:rsidR="00000000" w:rsidRDefault="00EE5306">
            <w:pPr>
              <w:spacing w:after="100"/>
              <w:rPr>
                <w:rFonts w:eastAsia="Times New Roman"/>
                <w:sz w:val="20"/>
                <w:szCs w:val="20"/>
              </w:rPr>
            </w:pPr>
          </w:p>
        </w:tc>
        <w:tc>
          <w:tcPr>
            <w:tcW w:w="764" w:type="pct"/>
            <w:vAlign w:val="center"/>
            <w:hideMark/>
          </w:tcPr>
          <w:p w14:paraId="2D8E3085" w14:textId="77777777" w:rsidR="00000000" w:rsidRDefault="00EE5306">
            <w:pPr>
              <w:spacing w:after="100"/>
              <w:rPr>
                <w:rFonts w:eastAsia="Times New Roman"/>
                <w:sz w:val="20"/>
                <w:szCs w:val="20"/>
              </w:rPr>
            </w:pPr>
          </w:p>
        </w:tc>
        <w:tc>
          <w:tcPr>
            <w:tcW w:w="5" w:type="pct"/>
            <w:vAlign w:val="center"/>
            <w:hideMark/>
          </w:tcPr>
          <w:p w14:paraId="42E825F3" w14:textId="77777777" w:rsidR="00000000" w:rsidRDefault="00EE5306">
            <w:pPr>
              <w:spacing w:after="100"/>
              <w:rPr>
                <w:rFonts w:eastAsia="Times New Roman"/>
                <w:sz w:val="20"/>
                <w:szCs w:val="20"/>
              </w:rPr>
            </w:pPr>
          </w:p>
        </w:tc>
      </w:tr>
      <w:tr w:rsidR="00000000" w14:paraId="71B3CFC5" w14:textId="77777777">
        <w:trPr>
          <w:divId w:val="1096561571"/>
        </w:trPr>
        <w:tc>
          <w:tcPr>
            <w:tcW w:w="0" w:type="auto"/>
            <w:gridSpan w:val="3"/>
            <w:tcMar>
              <w:top w:w="30" w:type="dxa"/>
              <w:left w:w="20" w:type="dxa"/>
              <w:bottom w:w="30" w:type="dxa"/>
              <w:right w:w="20" w:type="dxa"/>
            </w:tcMar>
            <w:vAlign w:val="bottom"/>
            <w:hideMark/>
          </w:tcPr>
          <w:p w14:paraId="509FA8D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81D731D"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3CD5D0B0" w14:textId="77777777" w:rsidR="00000000" w:rsidRDefault="00EE5306">
            <w:pPr>
              <w:spacing w:after="100"/>
              <w:jc w:val="center"/>
              <w:rPr>
                <w:rFonts w:eastAsia="Times New Roman"/>
              </w:rPr>
            </w:pPr>
            <w:r>
              <w:rPr>
                <w:rFonts w:eastAsia="Times New Roman"/>
                <w:b/>
                <w:bCs/>
                <w:color w:val="000000"/>
                <w:sz w:val="16"/>
                <w:szCs w:val="16"/>
              </w:rPr>
              <w:t>% Change</w:t>
            </w:r>
          </w:p>
        </w:tc>
      </w:tr>
      <w:tr w:rsidR="00000000" w14:paraId="7BCB6F27" w14:textId="77777777">
        <w:trPr>
          <w:divId w:val="1096561571"/>
        </w:trPr>
        <w:tc>
          <w:tcPr>
            <w:tcW w:w="0" w:type="auto"/>
            <w:gridSpan w:val="3"/>
            <w:shd w:val="clear" w:color="auto" w:fill="CCEEFF"/>
            <w:tcMar>
              <w:top w:w="30" w:type="dxa"/>
              <w:left w:w="20" w:type="dxa"/>
              <w:bottom w:w="30" w:type="dxa"/>
              <w:right w:w="20" w:type="dxa"/>
            </w:tcMar>
            <w:vAlign w:val="bottom"/>
            <w:hideMark/>
          </w:tcPr>
          <w:p w14:paraId="1A369E9F" w14:textId="77777777" w:rsidR="00000000" w:rsidRDefault="00EE5306">
            <w:pPr>
              <w:spacing w:after="100"/>
              <w:rPr>
                <w:rFonts w:eastAsia="Times New Roman"/>
              </w:rPr>
            </w:pPr>
            <w:r>
              <w:rPr>
                <w:rFonts w:eastAsia="Times New Roman"/>
                <w:color w:val="000000"/>
                <w:sz w:val="20"/>
                <w:szCs w:val="20"/>
              </w:rPr>
              <w:t>Digital commerce comparable store sales</w:t>
            </w:r>
          </w:p>
        </w:tc>
        <w:tc>
          <w:tcPr>
            <w:tcW w:w="0" w:type="auto"/>
            <w:gridSpan w:val="3"/>
            <w:shd w:val="clear" w:color="auto" w:fill="CCEEFF"/>
            <w:tcMar>
              <w:top w:w="0" w:type="dxa"/>
              <w:left w:w="20" w:type="dxa"/>
              <w:bottom w:w="0" w:type="dxa"/>
              <w:right w:w="20" w:type="dxa"/>
            </w:tcMar>
            <w:vAlign w:val="center"/>
            <w:hideMark/>
          </w:tcPr>
          <w:p w14:paraId="3C6FFC86"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377473" w14:textId="77777777" w:rsidR="00000000" w:rsidRDefault="00EE5306">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7B3C76" w14:textId="77777777" w:rsidR="00000000" w:rsidRDefault="00EE5306">
            <w:pPr>
              <w:spacing w:after="100"/>
              <w:rPr>
                <w:rFonts w:eastAsia="Times New Roman"/>
              </w:rPr>
            </w:pPr>
            <w:r>
              <w:rPr>
                <w:rFonts w:eastAsia="Times New Roman"/>
                <w:color w:val="000000"/>
                <w:sz w:val="20"/>
                <w:szCs w:val="20"/>
              </w:rPr>
              <w:t>%</w:t>
            </w:r>
          </w:p>
        </w:tc>
      </w:tr>
      <w:tr w:rsidR="00000000" w14:paraId="2B289E91" w14:textId="77777777">
        <w:trPr>
          <w:divId w:val="1096561571"/>
        </w:trPr>
        <w:tc>
          <w:tcPr>
            <w:tcW w:w="0" w:type="auto"/>
            <w:gridSpan w:val="3"/>
            <w:shd w:val="clear" w:color="auto" w:fill="FFFFFF"/>
            <w:tcMar>
              <w:top w:w="30" w:type="dxa"/>
              <w:left w:w="20" w:type="dxa"/>
              <w:bottom w:w="30" w:type="dxa"/>
              <w:right w:w="20" w:type="dxa"/>
            </w:tcMar>
            <w:vAlign w:val="bottom"/>
            <w:hideMark/>
          </w:tcPr>
          <w:p w14:paraId="467427C6" w14:textId="77777777" w:rsidR="00000000" w:rsidRDefault="00EE5306">
            <w:pPr>
              <w:spacing w:after="100"/>
              <w:rPr>
                <w:rFonts w:eastAsia="Times New Roman"/>
              </w:rPr>
            </w:pPr>
            <w:r>
              <w:rPr>
                <w:rFonts w:eastAsia="Times New Roman"/>
                <w:color w:val="000000"/>
                <w:sz w:val="20"/>
                <w:szCs w:val="20"/>
              </w:rPr>
              <w:t>Comparable store sales excluding digital commerce</w:t>
            </w:r>
          </w:p>
        </w:tc>
        <w:tc>
          <w:tcPr>
            <w:tcW w:w="0" w:type="auto"/>
            <w:gridSpan w:val="3"/>
            <w:shd w:val="clear" w:color="auto" w:fill="FFFFFF"/>
            <w:tcMar>
              <w:top w:w="0" w:type="dxa"/>
              <w:left w:w="20" w:type="dxa"/>
              <w:bottom w:w="0" w:type="dxa"/>
              <w:right w:w="20" w:type="dxa"/>
            </w:tcMar>
            <w:vAlign w:val="center"/>
            <w:hideMark/>
          </w:tcPr>
          <w:p w14:paraId="7126B37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BFC294" w14:textId="77777777" w:rsidR="00000000" w:rsidRDefault="00EE5306">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B98ACC3" w14:textId="77777777" w:rsidR="00000000" w:rsidRDefault="00EE5306">
            <w:pPr>
              <w:spacing w:after="100"/>
              <w:rPr>
                <w:rFonts w:eastAsia="Times New Roman"/>
              </w:rPr>
            </w:pPr>
            <w:r>
              <w:rPr>
                <w:rFonts w:eastAsia="Times New Roman"/>
                <w:color w:val="000000"/>
                <w:sz w:val="20"/>
                <w:szCs w:val="20"/>
              </w:rPr>
              <w:t>%)</w:t>
            </w:r>
          </w:p>
        </w:tc>
      </w:tr>
      <w:tr w:rsidR="00000000" w14:paraId="3E4413A0" w14:textId="77777777">
        <w:trPr>
          <w:divId w:val="1096561571"/>
        </w:trPr>
        <w:tc>
          <w:tcPr>
            <w:tcW w:w="0" w:type="auto"/>
            <w:gridSpan w:val="3"/>
            <w:shd w:val="clear" w:color="auto" w:fill="CCEEFF"/>
            <w:tcMar>
              <w:top w:w="30" w:type="dxa"/>
              <w:left w:w="20" w:type="dxa"/>
              <w:bottom w:w="30" w:type="dxa"/>
              <w:right w:w="20" w:type="dxa"/>
            </w:tcMar>
            <w:vAlign w:val="bottom"/>
            <w:hideMark/>
          </w:tcPr>
          <w:p w14:paraId="5057DF8A" w14:textId="77777777" w:rsidR="00000000" w:rsidRDefault="00EE5306">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14:paraId="56279A2E"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52C9E0" w14:textId="77777777" w:rsidR="00000000" w:rsidRDefault="00EE5306">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2B17772F" w14:textId="77777777" w:rsidR="00000000" w:rsidRDefault="00EE5306">
            <w:pPr>
              <w:spacing w:after="100"/>
              <w:rPr>
                <w:rFonts w:eastAsia="Times New Roman"/>
              </w:rPr>
            </w:pPr>
            <w:r>
              <w:rPr>
                <w:rFonts w:eastAsia="Times New Roman"/>
                <w:color w:val="000000"/>
                <w:sz w:val="20"/>
                <w:szCs w:val="20"/>
              </w:rPr>
              <w:t>%)</w:t>
            </w:r>
          </w:p>
        </w:tc>
      </w:tr>
    </w:tbl>
    <w:p w14:paraId="54B1BAE3" w14:textId="77777777" w:rsidR="00000000" w:rsidRDefault="00EE5306">
      <w:pPr>
        <w:ind w:hanging="360"/>
        <w:jc w:val="both"/>
        <w:divId w:val="2027516410"/>
        <w:rPr>
          <w:rFonts w:eastAsia="Times New Roman"/>
        </w:rPr>
      </w:pPr>
      <w:r>
        <w:rPr>
          <w:rFonts w:eastAsia="Times New Roman"/>
          <w:color w:val="000000"/>
          <w:sz w:val="20"/>
          <w:szCs w:val="20"/>
        </w:rPr>
        <w:t>•a $1.9 </w:t>
      </w:r>
      <w:r>
        <w:rPr>
          <w:rFonts w:eastAsia="Times New Roman"/>
          <w:color w:val="000000"/>
          <w:sz w:val="20"/>
          <w:szCs w:val="20"/>
        </w:rPr>
        <w:t>million net decrease related to our Asia wholesale business, inclusive of net unfavorable foreign currency effects of $0.9 million and the adverse impact of COVID-19 business disruptions.</w:t>
      </w:r>
    </w:p>
    <w:p w14:paraId="415B8788" w14:textId="77777777" w:rsidR="00000000" w:rsidRDefault="00EE5306">
      <w:pPr>
        <w:ind w:firstLine="540"/>
        <w:jc w:val="both"/>
        <w:divId w:val="991718100"/>
        <w:rPr>
          <w:rFonts w:eastAsia="Times New Roman"/>
        </w:rPr>
      </w:pPr>
      <w:r>
        <w:rPr>
          <w:rFonts w:eastAsia="Times New Roman"/>
          <w:i/>
          <w:iCs/>
          <w:color w:val="000000"/>
          <w:sz w:val="20"/>
          <w:szCs w:val="20"/>
        </w:rPr>
        <w:t>Gross Profit.    </w:t>
      </w:r>
      <w:r>
        <w:rPr>
          <w:rFonts w:eastAsia="Times New Roman"/>
          <w:color w:val="000000"/>
          <w:sz w:val="20"/>
          <w:szCs w:val="20"/>
        </w:rPr>
        <w:t xml:space="preserve">Gross profit decreased by $232.7 million, or 6.0%, </w:t>
      </w:r>
      <w:r>
        <w:rPr>
          <w:rFonts w:eastAsia="Times New Roman"/>
          <w:color w:val="000000"/>
          <w:sz w:val="20"/>
          <w:szCs w:val="20"/>
        </w:rPr>
        <w:t>to $3.653 billion in Fiscal 2020, including net unfavorable foreign currency effects of $53.7 million. The decline in gross profit reflects adverse impacts related to COVID-19 and Hong Kong protest business disruptions, including incremental inventory char</w:t>
      </w:r>
      <w:r>
        <w:rPr>
          <w:rFonts w:eastAsia="Times New Roman"/>
          <w:color w:val="000000"/>
          <w:sz w:val="20"/>
          <w:szCs w:val="20"/>
        </w:rPr>
        <w:t>ges of $157.3 million. Gross profit during Fiscal 2020 and Fiscal 2019 also reflected inventory charges of $2.2 million and $7.2 million, respectively, recorded in connection with our restructuring plans. Gross profit as a percentage of net revenues decrea</w:t>
      </w:r>
      <w:r>
        <w:rPr>
          <w:rFonts w:eastAsia="Times New Roman"/>
          <w:color w:val="000000"/>
          <w:sz w:val="20"/>
          <w:szCs w:val="20"/>
        </w:rPr>
        <w:t xml:space="preserve">sed to 59.3% in Fiscal 2020 from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97AE9B7" w14:textId="77777777">
        <w:trPr>
          <w:divId w:val="982393886"/>
          <w:jc w:val="center"/>
        </w:trPr>
        <w:tc>
          <w:tcPr>
            <w:tcW w:w="50" w:type="pct"/>
            <w:vAlign w:val="center"/>
            <w:hideMark/>
          </w:tcPr>
          <w:p w14:paraId="6F6B49EA" w14:textId="77777777" w:rsidR="00000000" w:rsidRDefault="00EE5306">
            <w:pPr>
              <w:ind w:firstLine="540"/>
              <w:jc w:val="both"/>
              <w:rPr>
                <w:rFonts w:eastAsia="Times New Roman"/>
              </w:rPr>
            </w:pPr>
          </w:p>
        </w:tc>
        <w:tc>
          <w:tcPr>
            <w:tcW w:w="1699" w:type="pct"/>
            <w:vAlign w:val="center"/>
            <w:hideMark/>
          </w:tcPr>
          <w:p w14:paraId="01FF8A3A" w14:textId="77777777" w:rsidR="00000000" w:rsidRDefault="00EE5306">
            <w:pPr>
              <w:spacing w:after="100"/>
              <w:rPr>
                <w:rFonts w:eastAsia="Times New Roman"/>
                <w:sz w:val="20"/>
                <w:szCs w:val="20"/>
              </w:rPr>
            </w:pPr>
          </w:p>
        </w:tc>
        <w:tc>
          <w:tcPr>
            <w:tcW w:w="5" w:type="pct"/>
            <w:vAlign w:val="center"/>
            <w:hideMark/>
          </w:tcPr>
          <w:p w14:paraId="43667C0E" w14:textId="77777777" w:rsidR="00000000" w:rsidRDefault="00EE5306">
            <w:pPr>
              <w:spacing w:after="100"/>
              <w:rPr>
                <w:rFonts w:eastAsia="Times New Roman"/>
                <w:sz w:val="20"/>
                <w:szCs w:val="20"/>
              </w:rPr>
            </w:pPr>
          </w:p>
        </w:tc>
        <w:tc>
          <w:tcPr>
            <w:tcW w:w="50" w:type="pct"/>
            <w:vAlign w:val="center"/>
            <w:hideMark/>
          </w:tcPr>
          <w:p w14:paraId="4DB20CA3" w14:textId="77777777" w:rsidR="00000000" w:rsidRDefault="00EE5306">
            <w:pPr>
              <w:spacing w:after="100"/>
              <w:rPr>
                <w:rFonts w:eastAsia="Times New Roman"/>
                <w:sz w:val="20"/>
                <w:szCs w:val="20"/>
              </w:rPr>
            </w:pPr>
          </w:p>
        </w:tc>
        <w:tc>
          <w:tcPr>
            <w:tcW w:w="1436" w:type="pct"/>
            <w:vAlign w:val="center"/>
            <w:hideMark/>
          </w:tcPr>
          <w:p w14:paraId="429BBB1B" w14:textId="77777777" w:rsidR="00000000" w:rsidRDefault="00EE5306">
            <w:pPr>
              <w:spacing w:after="100"/>
              <w:rPr>
                <w:rFonts w:eastAsia="Times New Roman"/>
                <w:sz w:val="20"/>
                <w:szCs w:val="20"/>
              </w:rPr>
            </w:pPr>
          </w:p>
        </w:tc>
        <w:tc>
          <w:tcPr>
            <w:tcW w:w="5" w:type="pct"/>
            <w:vAlign w:val="center"/>
            <w:hideMark/>
          </w:tcPr>
          <w:p w14:paraId="6B65D83E" w14:textId="77777777" w:rsidR="00000000" w:rsidRDefault="00EE5306">
            <w:pPr>
              <w:spacing w:after="100"/>
              <w:rPr>
                <w:rFonts w:eastAsia="Times New Roman"/>
                <w:sz w:val="20"/>
                <w:szCs w:val="20"/>
              </w:rPr>
            </w:pPr>
          </w:p>
        </w:tc>
        <w:tc>
          <w:tcPr>
            <w:tcW w:w="50" w:type="pct"/>
            <w:vAlign w:val="center"/>
            <w:hideMark/>
          </w:tcPr>
          <w:p w14:paraId="3D25AFC5" w14:textId="77777777" w:rsidR="00000000" w:rsidRDefault="00EE5306">
            <w:pPr>
              <w:spacing w:after="100"/>
              <w:rPr>
                <w:rFonts w:eastAsia="Times New Roman"/>
                <w:sz w:val="20"/>
                <w:szCs w:val="20"/>
              </w:rPr>
            </w:pPr>
          </w:p>
        </w:tc>
        <w:tc>
          <w:tcPr>
            <w:tcW w:w="1699" w:type="pct"/>
            <w:vAlign w:val="center"/>
            <w:hideMark/>
          </w:tcPr>
          <w:p w14:paraId="69D4EC1C" w14:textId="77777777" w:rsidR="00000000" w:rsidRDefault="00EE5306">
            <w:pPr>
              <w:spacing w:after="100"/>
              <w:rPr>
                <w:rFonts w:eastAsia="Times New Roman"/>
                <w:sz w:val="20"/>
                <w:szCs w:val="20"/>
              </w:rPr>
            </w:pPr>
          </w:p>
        </w:tc>
        <w:tc>
          <w:tcPr>
            <w:tcW w:w="5" w:type="pct"/>
            <w:vAlign w:val="center"/>
            <w:hideMark/>
          </w:tcPr>
          <w:p w14:paraId="2872DC51" w14:textId="77777777" w:rsidR="00000000" w:rsidRDefault="00EE5306">
            <w:pPr>
              <w:spacing w:after="100"/>
              <w:rPr>
                <w:rFonts w:eastAsia="Times New Roman"/>
                <w:sz w:val="20"/>
                <w:szCs w:val="20"/>
              </w:rPr>
            </w:pPr>
          </w:p>
        </w:tc>
      </w:tr>
      <w:tr w:rsidR="00000000" w14:paraId="73CC276D" w14:textId="77777777">
        <w:trPr>
          <w:divId w:val="982393886"/>
          <w:jc w:val="center"/>
        </w:trPr>
        <w:tc>
          <w:tcPr>
            <w:tcW w:w="0" w:type="auto"/>
            <w:gridSpan w:val="3"/>
            <w:tcMar>
              <w:top w:w="0" w:type="dxa"/>
              <w:left w:w="20" w:type="dxa"/>
              <w:bottom w:w="0" w:type="dxa"/>
              <w:right w:w="20" w:type="dxa"/>
            </w:tcMar>
            <w:vAlign w:val="center"/>
            <w:hideMark/>
          </w:tcPr>
          <w:p w14:paraId="5B64E69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8EF629C" w14:textId="77777777" w:rsidR="00000000" w:rsidRDefault="00EE5306">
            <w:pPr>
              <w:spacing w:after="100"/>
              <w:jc w:val="center"/>
              <w:rPr>
                <w:rFonts w:eastAsia="Times New Roman"/>
              </w:rPr>
            </w:pPr>
            <w:r>
              <w:rPr>
                <w:rFonts w:eastAsia="Times New Roman"/>
                <w:color w:val="000000"/>
                <w:sz w:val="20"/>
                <w:szCs w:val="20"/>
              </w:rPr>
              <w:t>59</w:t>
            </w:r>
          </w:p>
        </w:tc>
        <w:tc>
          <w:tcPr>
            <w:tcW w:w="0" w:type="auto"/>
            <w:gridSpan w:val="3"/>
            <w:tcMar>
              <w:top w:w="0" w:type="dxa"/>
              <w:left w:w="20" w:type="dxa"/>
              <w:bottom w:w="0" w:type="dxa"/>
              <w:right w:w="20" w:type="dxa"/>
            </w:tcMar>
            <w:vAlign w:val="center"/>
            <w:hideMark/>
          </w:tcPr>
          <w:p w14:paraId="22A6CB26" w14:textId="77777777" w:rsidR="00000000" w:rsidRDefault="00EE5306">
            <w:pPr>
              <w:spacing w:after="100"/>
              <w:jc w:val="center"/>
              <w:rPr>
                <w:rFonts w:eastAsia="Times New Roman"/>
              </w:rPr>
            </w:pPr>
          </w:p>
        </w:tc>
      </w:tr>
    </w:tbl>
    <w:p w14:paraId="7A116A65" w14:textId="77777777" w:rsidR="00000000" w:rsidRDefault="00EE5306">
      <w:pPr>
        <w:rPr>
          <w:rFonts w:eastAsia="Times New Roman"/>
        </w:rPr>
      </w:pPr>
      <w:r>
        <w:rPr>
          <w:rFonts w:eastAsia="Times New Roman"/>
        </w:rPr>
        <w:pict w14:anchorId="7469C6AE">
          <v:rect id="_x0000_i1086" style="width:0;height:1.5pt" o:hralign="center" o:hrstd="t" o:hr="t" fillcolor="#a0a0a0" stroked="f"/>
        </w:pict>
      </w:r>
    </w:p>
    <w:p w14:paraId="092B90D1" w14:textId="77777777" w:rsidR="00000000" w:rsidRDefault="00EE5306">
      <w:pPr>
        <w:divId w:val="2005008788"/>
        <w:rPr>
          <w:rFonts w:eastAsia="Times New Roman"/>
        </w:rPr>
      </w:pPr>
    </w:p>
    <w:p w14:paraId="675F5998" w14:textId="77777777" w:rsidR="00000000" w:rsidRDefault="00EE5306">
      <w:pPr>
        <w:jc w:val="both"/>
        <w:divId w:val="1722745615"/>
        <w:rPr>
          <w:rFonts w:eastAsia="Times New Roman"/>
        </w:rPr>
      </w:pPr>
      <w:r>
        <w:rPr>
          <w:rFonts w:eastAsia="Times New Roman"/>
          <w:color w:val="000000"/>
          <w:sz w:val="20"/>
          <w:szCs w:val="20"/>
        </w:rPr>
        <w:t>61.6% in Fiscal 2019. The 230 basis point decline was primarily driven by higher inventory charges and deleverage on lower net revenues, partially offset by favorable geographic, channel, and product mix, improved pric</w:t>
      </w:r>
      <w:r>
        <w:rPr>
          <w:rFonts w:eastAsia="Times New Roman"/>
          <w:color w:val="000000"/>
          <w:sz w:val="20"/>
          <w:szCs w:val="20"/>
        </w:rPr>
        <w:t>ing, and lower levels of promotional activity.</w:t>
      </w:r>
    </w:p>
    <w:p w14:paraId="4FFD1AD9" w14:textId="77777777" w:rsidR="00000000" w:rsidRDefault="00EE5306">
      <w:pPr>
        <w:ind w:firstLine="540"/>
        <w:jc w:val="both"/>
        <w:divId w:val="1303997262"/>
        <w:rPr>
          <w:rFonts w:eastAsia="Times New Roman"/>
        </w:rPr>
      </w:pPr>
      <w:r>
        <w:rPr>
          <w:rFonts w:eastAsia="Times New Roman"/>
          <w:i/>
          <w:iCs/>
          <w:color w:val="000000"/>
          <w:sz w:val="20"/>
          <w:szCs w:val="20"/>
        </w:rPr>
        <w:t>Selling, General, and Administrative Expenses.</w:t>
      </w:r>
      <w:r>
        <w:rPr>
          <w:rFonts w:eastAsia="Times New Roman"/>
          <w:color w:val="000000"/>
          <w:sz w:val="20"/>
          <w:szCs w:val="20"/>
        </w:rPr>
        <w:t>    SG&amp;A expenses increased by $69.2 million, or 2.2%, to $3.238 billion in Fiscal 2020, including net favorable foreign currency effects of $35.5 million. The inc</w:t>
      </w:r>
      <w:r>
        <w:rPr>
          <w:rFonts w:eastAsia="Times New Roman"/>
          <w:color w:val="000000"/>
          <w:sz w:val="20"/>
          <w:szCs w:val="20"/>
        </w:rPr>
        <w:t>rease in SG&amp;A expenses reflects net adverse impacts related to COVID-19 and Hong Kong protest business disruptions, including incremental bad debt expense of $56.4 million. SG&amp;A expenses as a percentage of net revenues increased to 52.6% in Fiscal 2020 fro</w:t>
      </w:r>
      <w:r>
        <w:rPr>
          <w:rFonts w:eastAsia="Times New Roman"/>
          <w:color w:val="000000"/>
          <w:sz w:val="20"/>
          <w:szCs w:val="20"/>
        </w:rPr>
        <w:t>m 50.2% in Fiscal 2019. The 240 basis point increase was primarily due to operating deleverage on lower net revenues and higher bad debt expense, both primarily attributable to the COVID-19 pandemic, as well as the unfavorable impact attributable to geogra</w:t>
      </w:r>
      <w:r>
        <w:rPr>
          <w:rFonts w:eastAsia="Times New Roman"/>
          <w:color w:val="000000"/>
          <w:sz w:val="20"/>
          <w:szCs w:val="20"/>
        </w:rPr>
        <w:t>phic and channel mix, as a greater portion of our revenue was generated by our retail businesses (which typically carry higher operating expense margins).</w:t>
      </w:r>
    </w:p>
    <w:p w14:paraId="3BFBCF9F" w14:textId="77777777" w:rsidR="00000000" w:rsidRDefault="00EE5306">
      <w:pPr>
        <w:ind w:firstLine="540"/>
        <w:jc w:val="both"/>
        <w:divId w:val="1211190022"/>
        <w:rPr>
          <w:rFonts w:eastAsia="Times New Roman"/>
        </w:rPr>
      </w:pPr>
      <w:r>
        <w:rPr>
          <w:rFonts w:eastAsia="Times New Roman"/>
          <w:color w:val="000000"/>
          <w:sz w:val="20"/>
          <w:szCs w:val="20"/>
        </w:rPr>
        <w:t>The $69.2 million net increase in SG&amp;A expenses was driven by:</w:t>
      </w:r>
    </w:p>
    <w:tbl>
      <w:tblPr>
        <w:tblW w:w="4722" w:type="pct"/>
        <w:tblCellMar>
          <w:top w:w="15" w:type="dxa"/>
          <w:left w:w="15" w:type="dxa"/>
          <w:bottom w:w="15" w:type="dxa"/>
          <w:right w:w="15" w:type="dxa"/>
        </w:tblCellMar>
        <w:tblLook w:val="04A0" w:firstRow="1" w:lastRow="0" w:firstColumn="1" w:lastColumn="0" w:noHBand="0" w:noVBand="1"/>
      </w:tblPr>
      <w:tblGrid>
        <w:gridCol w:w="39"/>
        <w:gridCol w:w="6142"/>
        <w:gridCol w:w="37"/>
        <w:gridCol w:w="36"/>
        <w:gridCol w:w="36"/>
        <w:gridCol w:w="36"/>
        <w:gridCol w:w="121"/>
        <w:gridCol w:w="1361"/>
        <w:gridCol w:w="36"/>
      </w:tblGrid>
      <w:tr w:rsidR="00000000" w14:paraId="3350474C" w14:textId="77777777">
        <w:trPr>
          <w:divId w:val="1697611613"/>
        </w:trPr>
        <w:tc>
          <w:tcPr>
            <w:tcW w:w="50" w:type="pct"/>
            <w:vAlign w:val="center"/>
            <w:hideMark/>
          </w:tcPr>
          <w:p w14:paraId="4658E9F7" w14:textId="77777777" w:rsidR="00000000" w:rsidRDefault="00EE5306">
            <w:pPr>
              <w:ind w:firstLine="540"/>
              <w:jc w:val="both"/>
              <w:rPr>
                <w:rFonts w:eastAsia="Times New Roman"/>
              </w:rPr>
            </w:pPr>
          </w:p>
        </w:tc>
        <w:tc>
          <w:tcPr>
            <w:tcW w:w="3938" w:type="pct"/>
            <w:vAlign w:val="center"/>
            <w:hideMark/>
          </w:tcPr>
          <w:p w14:paraId="5C149573" w14:textId="77777777" w:rsidR="00000000" w:rsidRDefault="00EE5306">
            <w:pPr>
              <w:spacing w:after="100"/>
              <w:rPr>
                <w:rFonts w:eastAsia="Times New Roman"/>
                <w:sz w:val="20"/>
                <w:szCs w:val="20"/>
              </w:rPr>
            </w:pPr>
          </w:p>
        </w:tc>
        <w:tc>
          <w:tcPr>
            <w:tcW w:w="5" w:type="pct"/>
            <w:vAlign w:val="center"/>
            <w:hideMark/>
          </w:tcPr>
          <w:p w14:paraId="1CB64C20" w14:textId="77777777" w:rsidR="00000000" w:rsidRDefault="00EE5306">
            <w:pPr>
              <w:spacing w:after="100"/>
              <w:rPr>
                <w:rFonts w:eastAsia="Times New Roman"/>
                <w:sz w:val="20"/>
                <w:szCs w:val="20"/>
              </w:rPr>
            </w:pPr>
          </w:p>
        </w:tc>
        <w:tc>
          <w:tcPr>
            <w:tcW w:w="5" w:type="pct"/>
            <w:vAlign w:val="center"/>
            <w:hideMark/>
          </w:tcPr>
          <w:p w14:paraId="189317F5" w14:textId="77777777" w:rsidR="00000000" w:rsidRDefault="00EE5306">
            <w:pPr>
              <w:spacing w:after="100"/>
              <w:rPr>
                <w:rFonts w:eastAsia="Times New Roman"/>
                <w:sz w:val="20"/>
                <w:szCs w:val="20"/>
              </w:rPr>
            </w:pPr>
          </w:p>
        </w:tc>
        <w:tc>
          <w:tcPr>
            <w:tcW w:w="28" w:type="pct"/>
            <w:vAlign w:val="center"/>
            <w:hideMark/>
          </w:tcPr>
          <w:p w14:paraId="5E0ACB8C" w14:textId="77777777" w:rsidR="00000000" w:rsidRDefault="00EE5306">
            <w:pPr>
              <w:spacing w:after="100"/>
              <w:rPr>
                <w:rFonts w:eastAsia="Times New Roman"/>
                <w:sz w:val="20"/>
                <w:szCs w:val="20"/>
              </w:rPr>
            </w:pPr>
          </w:p>
        </w:tc>
        <w:tc>
          <w:tcPr>
            <w:tcW w:w="5" w:type="pct"/>
            <w:vAlign w:val="center"/>
            <w:hideMark/>
          </w:tcPr>
          <w:p w14:paraId="5F2FA6E1" w14:textId="77777777" w:rsidR="00000000" w:rsidRDefault="00EE5306">
            <w:pPr>
              <w:spacing w:after="100"/>
              <w:rPr>
                <w:rFonts w:eastAsia="Times New Roman"/>
                <w:sz w:val="20"/>
                <w:szCs w:val="20"/>
              </w:rPr>
            </w:pPr>
          </w:p>
        </w:tc>
        <w:tc>
          <w:tcPr>
            <w:tcW w:w="50" w:type="pct"/>
            <w:vAlign w:val="center"/>
            <w:hideMark/>
          </w:tcPr>
          <w:p w14:paraId="4221EA98" w14:textId="77777777" w:rsidR="00000000" w:rsidRDefault="00EE5306">
            <w:pPr>
              <w:spacing w:after="100"/>
              <w:rPr>
                <w:rFonts w:eastAsia="Times New Roman"/>
                <w:sz w:val="20"/>
                <w:szCs w:val="20"/>
              </w:rPr>
            </w:pPr>
          </w:p>
        </w:tc>
        <w:tc>
          <w:tcPr>
            <w:tcW w:w="912" w:type="pct"/>
            <w:vAlign w:val="center"/>
            <w:hideMark/>
          </w:tcPr>
          <w:p w14:paraId="2A318F6E" w14:textId="77777777" w:rsidR="00000000" w:rsidRDefault="00EE5306">
            <w:pPr>
              <w:spacing w:after="100"/>
              <w:rPr>
                <w:rFonts w:eastAsia="Times New Roman"/>
                <w:sz w:val="20"/>
                <w:szCs w:val="20"/>
              </w:rPr>
            </w:pPr>
          </w:p>
        </w:tc>
        <w:tc>
          <w:tcPr>
            <w:tcW w:w="5" w:type="pct"/>
            <w:vAlign w:val="center"/>
            <w:hideMark/>
          </w:tcPr>
          <w:p w14:paraId="4A582A01" w14:textId="77777777" w:rsidR="00000000" w:rsidRDefault="00EE5306">
            <w:pPr>
              <w:spacing w:after="100"/>
              <w:rPr>
                <w:rFonts w:eastAsia="Times New Roman"/>
                <w:sz w:val="20"/>
                <w:szCs w:val="20"/>
              </w:rPr>
            </w:pPr>
          </w:p>
        </w:tc>
      </w:tr>
      <w:tr w:rsidR="00000000" w14:paraId="52B67C3E" w14:textId="77777777">
        <w:trPr>
          <w:divId w:val="1697611613"/>
        </w:trPr>
        <w:tc>
          <w:tcPr>
            <w:tcW w:w="0" w:type="auto"/>
            <w:gridSpan w:val="3"/>
            <w:tcMar>
              <w:top w:w="0" w:type="dxa"/>
              <w:left w:w="20" w:type="dxa"/>
              <w:bottom w:w="0" w:type="dxa"/>
              <w:right w:w="20" w:type="dxa"/>
            </w:tcMar>
            <w:vAlign w:val="center"/>
            <w:hideMark/>
          </w:tcPr>
          <w:p w14:paraId="29CC0DC5"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390C4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B987467" w14:textId="77777777" w:rsidR="00000000" w:rsidRDefault="00EE5306">
            <w:pPr>
              <w:spacing w:after="100"/>
              <w:jc w:val="center"/>
              <w:rPr>
                <w:rFonts w:eastAsia="Times New Roman"/>
              </w:rPr>
            </w:pPr>
            <w:r>
              <w:rPr>
                <w:rFonts w:eastAsia="Times New Roman"/>
                <w:b/>
                <w:bCs/>
                <w:color w:val="000000"/>
                <w:sz w:val="16"/>
                <w:szCs w:val="16"/>
              </w:rPr>
              <w:t>Fiscal 2020</w:t>
            </w:r>
            <w:r>
              <w:rPr>
                <w:rFonts w:eastAsia="Times New Roman"/>
                <w:b/>
                <w:bCs/>
                <w:color w:val="000000"/>
                <w:sz w:val="16"/>
                <w:szCs w:val="16"/>
              </w:rPr>
              <w:br/>
            </w:r>
            <w:r>
              <w:rPr>
                <w:rFonts w:eastAsia="Times New Roman"/>
                <w:b/>
                <w:bCs/>
                <w:color w:val="000000"/>
                <w:sz w:val="16"/>
                <w:szCs w:val="16"/>
              </w:rPr>
              <w:t xml:space="preserve">Compared to </w:t>
            </w:r>
            <w:r>
              <w:rPr>
                <w:rFonts w:eastAsia="Times New Roman"/>
                <w:b/>
                <w:bCs/>
                <w:color w:val="000000"/>
                <w:sz w:val="16"/>
                <w:szCs w:val="16"/>
              </w:rPr>
              <w:br/>
              <w:t>Fiscal 2019</w:t>
            </w:r>
          </w:p>
        </w:tc>
      </w:tr>
      <w:tr w:rsidR="00000000" w14:paraId="376DA1A9" w14:textId="77777777">
        <w:trPr>
          <w:divId w:val="1697611613"/>
        </w:trPr>
        <w:tc>
          <w:tcPr>
            <w:tcW w:w="0" w:type="auto"/>
            <w:gridSpan w:val="3"/>
            <w:tcMar>
              <w:top w:w="0" w:type="dxa"/>
              <w:left w:w="20" w:type="dxa"/>
              <w:bottom w:w="0" w:type="dxa"/>
              <w:right w:w="20" w:type="dxa"/>
            </w:tcMar>
            <w:vAlign w:val="center"/>
            <w:hideMark/>
          </w:tcPr>
          <w:p w14:paraId="3DC934DC"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AFDA9B2"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0640056"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332B36CB" w14:textId="77777777">
        <w:trPr>
          <w:divId w:val="1697611613"/>
        </w:trPr>
        <w:tc>
          <w:tcPr>
            <w:tcW w:w="0" w:type="auto"/>
            <w:gridSpan w:val="3"/>
            <w:shd w:val="clear" w:color="auto" w:fill="CCEEFF"/>
            <w:tcMar>
              <w:top w:w="30" w:type="dxa"/>
              <w:left w:w="20" w:type="dxa"/>
              <w:bottom w:w="30" w:type="dxa"/>
              <w:right w:w="20" w:type="dxa"/>
            </w:tcMar>
            <w:vAlign w:val="bottom"/>
            <w:hideMark/>
          </w:tcPr>
          <w:p w14:paraId="03DF8FA3" w14:textId="77777777" w:rsidR="00000000" w:rsidRDefault="00EE5306">
            <w:pPr>
              <w:spacing w:after="100"/>
              <w:rPr>
                <w:rFonts w:eastAsia="Times New Roman"/>
              </w:rPr>
            </w:pPr>
            <w:r>
              <w:rPr>
                <w:rFonts w:eastAsia="Times New Roman"/>
                <w:b/>
                <w:bCs/>
                <w:color w:val="000000"/>
                <w:sz w:val="20"/>
                <w:szCs w:val="20"/>
              </w:rPr>
              <w:t>SG&amp;A expense category:</w:t>
            </w:r>
          </w:p>
        </w:tc>
        <w:tc>
          <w:tcPr>
            <w:tcW w:w="0" w:type="auto"/>
            <w:gridSpan w:val="3"/>
            <w:shd w:val="clear" w:color="auto" w:fill="CCEEFF"/>
            <w:tcMar>
              <w:top w:w="0" w:type="dxa"/>
              <w:left w:w="20" w:type="dxa"/>
              <w:bottom w:w="0" w:type="dxa"/>
              <w:right w:w="20" w:type="dxa"/>
            </w:tcMar>
            <w:vAlign w:val="center"/>
            <w:hideMark/>
          </w:tcPr>
          <w:p w14:paraId="32961F61"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EAACC" w14:textId="77777777" w:rsidR="00000000" w:rsidRDefault="00EE5306">
            <w:pPr>
              <w:spacing w:after="100"/>
              <w:rPr>
                <w:rFonts w:eastAsia="Times New Roman"/>
                <w:sz w:val="20"/>
                <w:szCs w:val="20"/>
              </w:rPr>
            </w:pPr>
          </w:p>
        </w:tc>
      </w:tr>
      <w:tr w:rsidR="00000000" w14:paraId="7F2F8733" w14:textId="77777777">
        <w:trPr>
          <w:divId w:val="1697611613"/>
        </w:trPr>
        <w:tc>
          <w:tcPr>
            <w:tcW w:w="0" w:type="auto"/>
            <w:gridSpan w:val="3"/>
            <w:shd w:val="clear" w:color="auto" w:fill="FFFFFF"/>
            <w:tcMar>
              <w:top w:w="30" w:type="dxa"/>
              <w:left w:w="155" w:type="dxa"/>
              <w:bottom w:w="30" w:type="dxa"/>
              <w:right w:w="20" w:type="dxa"/>
            </w:tcMar>
            <w:vAlign w:val="bottom"/>
            <w:hideMark/>
          </w:tcPr>
          <w:p w14:paraId="1BE1C5B1" w14:textId="77777777" w:rsidR="00000000" w:rsidRDefault="00EE5306">
            <w:pPr>
              <w:spacing w:after="100"/>
              <w:rPr>
                <w:rFonts w:eastAsia="Times New Roman"/>
              </w:rPr>
            </w:pPr>
            <w:r>
              <w:rPr>
                <w:rFonts w:eastAsia="Times New Roman"/>
                <w:color w:val="000000"/>
                <w:sz w:val="20"/>
                <w:szCs w:val="20"/>
              </w:rPr>
              <w:t>Bad debt expense</w:t>
            </w:r>
          </w:p>
        </w:tc>
        <w:tc>
          <w:tcPr>
            <w:tcW w:w="0" w:type="auto"/>
            <w:gridSpan w:val="3"/>
            <w:shd w:val="clear" w:color="auto" w:fill="FFFFFF"/>
            <w:tcMar>
              <w:top w:w="0" w:type="dxa"/>
              <w:left w:w="20" w:type="dxa"/>
              <w:bottom w:w="0" w:type="dxa"/>
              <w:right w:w="20" w:type="dxa"/>
            </w:tcMar>
            <w:vAlign w:val="center"/>
            <w:hideMark/>
          </w:tcPr>
          <w:p w14:paraId="3F69D6C4"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A60F14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14DCA0" w14:textId="77777777" w:rsidR="00000000" w:rsidRDefault="00EE5306">
            <w:pPr>
              <w:spacing w:after="100"/>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14:paraId="3F60C9EE" w14:textId="77777777" w:rsidR="00000000" w:rsidRDefault="00EE5306">
            <w:pPr>
              <w:spacing w:after="100"/>
              <w:jc w:val="right"/>
              <w:rPr>
                <w:rFonts w:eastAsia="Times New Roman"/>
              </w:rPr>
            </w:pPr>
          </w:p>
        </w:tc>
      </w:tr>
      <w:tr w:rsidR="00000000" w14:paraId="7FF1EC50" w14:textId="77777777">
        <w:trPr>
          <w:divId w:val="1697611613"/>
        </w:trPr>
        <w:tc>
          <w:tcPr>
            <w:tcW w:w="0" w:type="auto"/>
            <w:gridSpan w:val="3"/>
            <w:shd w:val="clear" w:color="auto" w:fill="CCEEFF"/>
            <w:tcMar>
              <w:top w:w="30" w:type="dxa"/>
              <w:left w:w="155" w:type="dxa"/>
              <w:bottom w:w="30" w:type="dxa"/>
              <w:right w:w="20" w:type="dxa"/>
            </w:tcMar>
            <w:vAlign w:val="bottom"/>
            <w:hideMark/>
          </w:tcPr>
          <w:p w14:paraId="5D62A444" w14:textId="77777777" w:rsidR="00000000" w:rsidRDefault="00EE5306">
            <w:pPr>
              <w:spacing w:after="100"/>
              <w:rPr>
                <w:rFonts w:eastAsia="Times New Roman"/>
              </w:rPr>
            </w:pPr>
            <w:r>
              <w:rPr>
                <w:rFonts w:eastAsia="Times New Roman"/>
                <w:color w:val="000000"/>
                <w:sz w:val="20"/>
                <w:szCs w:val="20"/>
              </w:rPr>
              <w:t>Compensation-related expenses</w:t>
            </w:r>
          </w:p>
        </w:tc>
        <w:tc>
          <w:tcPr>
            <w:tcW w:w="0" w:type="auto"/>
            <w:gridSpan w:val="3"/>
            <w:shd w:val="clear" w:color="auto" w:fill="CCEEFF"/>
            <w:tcMar>
              <w:top w:w="0" w:type="dxa"/>
              <w:left w:w="20" w:type="dxa"/>
              <w:bottom w:w="0" w:type="dxa"/>
              <w:right w:w="20" w:type="dxa"/>
            </w:tcMar>
            <w:vAlign w:val="center"/>
            <w:hideMark/>
          </w:tcPr>
          <w:p w14:paraId="2C449E8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830C2B" w14:textId="77777777" w:rsidR="00000000" w:rsidRDefault="00EE5306">
            <w:pPr>
              <w:spacing w:after="100"/>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14:paraId="4176A703" w14:textId="77777777" w:rsidR="00000000" w:rsidRDefault="00EE5306">
            <w:pPr>
              <w:spacing w:after="100"/>
              <w:jc w:val="right"/>
              <w:rPr>
                <w:rFonts w:eastAsia="Times New Roman"/>
              </w:rPr>
            </w:pPr>
          </w:p>
        </w:tc>
      </w:tr>
      <w:tr w:rsidR="00000000" w14:paraId="0FDD7BF0" w14:textId="77777777">
        <w:trPr>
          <w:divId w:val="1697611613"/>
        </w:trPr>
        <w:tc>
          <w:tcPr>
            <w:tcW w:w="0" w:type="auto"/>
            <w:gridSpan w:val="3"/>
            <w:shd w:val="clear" w:color="auto" w:fill="FFFFFF"/>
            <w:tcMar>
              <w:top w:w="30" w:type="dxa"/>
              <w:left w:w="155" w:type="dxa"/>
              <w:bottom w:w="30" w:type="dxa"/>
              <w:right w:w="20" w:type="dxa"/>
            </w:tcMar>
            <w:vAlign w:val="bottom"/>
            <w:hideMark/>
          </w:tcPr>
          <w:p w14:paraId="7F03AB2D" w14:textId="77777777" w:rsidR="00000000" w:rsidRDefault="00EE5306">
            <w:pPr>
              <w:spacing w:after="100"/>
              <w:rPr>
                <w:rFonts w:eastAsia="Times New Roman"/>
              </w:rPr>
            </w:pPr>
            <w:r>
              <w:rPr>
                <w:rFonts w:eastAsia="Times New Roman"/>
                <w:color w:val="000000"/>
                <w:sz w:val="20"/>
                <w:szCs w:val="20"/>
              </w:rPr>
              <w:t>Marketing and advertising expenses</w:t>
            </w:r>
          </w:p>
        </w:tc>
        <w:tc>
          <w:tcPr>
            <w:tcW w:w="0" w:type="auto"/>
            <w:gridSpan w:val="3"/>
            <w:shd w:val="clear" w:color="auto" w:fill="FFFFFF"/>
            <w:tcMar>
              <w:top w:w="0" w:type="dxa"/>
              <w:left w:w="20" w:type="dxa"/>
              <w:bottom w:w="0" w:type="dxa"/>
              <w:right w:w="20" w:type="dxa"/>
            </w:tcMar>
            <w:vAlign w:val="center"/>
            <w:hideMark/>
          </w:tcPr>
          <w:p w14:paraId="4ACACFC3"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9153C3" w14:textId="77777777" w:rsidR="00000000" w:rsidRDefault="00EE5306">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14:paraId="1F475D92" w14:textId="77777777" w:rsidR="00000000" w:rsidRDefault="00EE5306">
            <w:pPr>
              <w:spacing w:after="100"/>
              <w:jc w:val="right"/>
              <w:rPr>
                <w:rFonts w:eastAsia="Times New Roman"/>
              </w:rPr>
            </w:pPr>
          </w:p>
        </w:tc>
      </w:tr>
      <w:tr w:rsidR="00000000" w14:paraId="03E453F8" w14:textId="77777777">
        <w:trPr>
          <w:divId w:val="1697611613"/>
        </w:trPr>
        <w:tc>
          <w:tcPr>
            <w:tcW w:w="0" w:type="auto"/>
            <w:gridSpan w:val="3"/>
            <w:shd w:val="clear" w:color="auto" w:fill="CCEEFF"/>
            <w:tcMar>
              <w:top w:w="30" w:type="dxa"/>
              <w:left w:w="155" w:type="dxa"/>
              <w:bottom w:w="30" w:type="dxa"/>
              <w:right w:w="20" w:type="dxa"/>
            </w:tcMar>
            <w:vAlign w:val="bottom"/>
            <w:hideMark/>
          </w:tcPr>
          <w:p w14:paraId="3EE86E1E" w14:textId="77777777" w:rsidR="00000000" w:rsidRDefault="00EE5306">
            <w:pPr>
              <w:spacing w:after="100"/>
              <w:rPr>
                <w:rFonts w:eastAsia="Times New Roman"/>
              </w:rPr>
            </w:pPr>
            <w:r>
              <w:rPr>
                <w:rFonts w:eastAsia="Times New Roman"/>
                <w:color w:val="000000"/>
                <w:sz w:val="20"/>
                <w:szCs w:val="20"/>
              </w:rPr>
              <w:t>Staff-related expenses</w:t>
            </w:r>
          </w:p>
        </w:tc>
        <w:tc>
          <w:tcPr>
            <w:tcW w:w="0" w:type="auto"/>
            <w:gridSpan w:val="3"/>
            <w:shd w:val="clear" w:color="auto" w:fill="CCEEFF"/>
            <w:tcMar>
              <w:top w:w="0" w:type="dxa"/>
              <w:left w:w="20" w:type="dxa"/>
              <w:bottom w:w="0" w:type="dxa"/>
              <w:right w:w="20" w:type="dxa"/>
            </w:tcMar>
            <w:vAlign w:val="center"/>
            <w:hideMark/>
          </w:tcPr>
          <w:p w14:paraId="75D55D1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626181" w14:textId="77777777" w:rsidR="00000000" w:rsidRDefault="00EE5306">
            <w:pPr>
              <w:spacing w:after="100"/>
              <w:jc w:val="right"/>
              <w:rPr>
                <w:rFonts w:eastAsia="Times New Roman"/>
              </w:rPr>
            </w:pPr>
            <w:r>
              <w:rPr>
                <w:rFonts w:eastAsia="Times New Roman"/>
                <w:color w:val="000000"/>
                <w:sz w:val="20"/>
                <w:szCs w:val="20"/>
              </w:rPr>
              <w:t>(21.4)</w:t>
            </w:r>
          </w:p>
        </w:tc>
        <w:tc>
          <w:tcPr>
            <w:tcW w:w="0" w:type="auto"/>
            <w:shd w:val="clear" w:color="auto" w:fill="CCEEFF"/>
            <w:tcMar>
              <w:top w:w="30" w:type="dxa"/>
              <w:left w:w="0" w:type="dxa"/>
              <w:bottom w:w="30" w:type="dxa"/>
              <w:right w:w="20" w:type="dxa"/>
            </w:tcMar>
            <w:vAlign w:val="bottom"/>
            <w:hideMark/>
          </w:tcPr>
          <w:p w14:paraId="7A43536C" w14:textId="77777777" w:rsidR="00000000" w:rsidRDefault="00EE5306">
            <w:pPr>
              <w:spacing w:after="100"/>
              <w:jc w:val="right"/>
              <w:rPr>
                <w:rFonts w:eastAsia="Times New Roman"/>
              </w:rPr>
            </w:pPr>
          </w:p>
        </w:tc>
      </w:tr>
      <w:tr w:rsidR="00000000" w14:paraId="0F702964" w14:textId="77777777">
        <w:trPr>
          <w:divId w:val="1697611613"/>
        </w:trPr>
        <w:tc>
          <w:tcPr>
            <w:tcW w:w="0" w:type="auto"/>
            <w:gridSpan w:val="3"/>
            <w:shd w:val="clear" w:color="auto" w:fill="FFFFFF"/>
            <w:tcMar>
              <w:top w:w="30" w:type="dxa"/>
              <w:left w:w="155" w:type="dxa"/>
              <w:bottom w:w="30" w:type="dxa"/>
              <w:right w:w="20" w:type="dxa"/>
            </w:tcMar>
            <w:vAlign w:val="bottom"/>
            <w:hideMark/>
          </w:tcPr>
          <w:p w14:paraId="6975FCC6" w14:textId="77777777" w:rsidR="00000000" w:rsidRDefault="00EE5306">
            <w:pPr>
              <w:spacing w:after="100"/>
              <w:rPr>
                <w:rFonts w:eastAsia="Times New Roman"/>
              </w:rPr>
            </w:pPr>
            <w:r>
              <w:rPr>
                <w:rFonts w:eastAsia="Times New Roman"/>
                <w:color w:val="000000"/>
                <w:sz w:val="20"/>
                <w:szCs w:val="20"/>
              </w:rPr>
              <w:t>Rent and occupancy expenses</w:t>
            </w:r>
          </w:p>
        </w:tc>
        <w:tc>
          <w:tcPr>
            <w:tcW w:w="0" w:type="auto"/>
            <w:gridSpan w:val="3"/>
            <w:shd w:val="clear" w:color="auto" w:fill="FFFFFF"/>
            <w:tcMar>
              <w:top w:w="0" w:type="dxa"/>
              <w:left w:w="20" w:type="dxa"/>
              <w:bottom w:w="0" w:type="dxa"/>
              <w:right w:w="20" w:type="dxa"/>
            </w:tcMar>
            <w:vAlign w:val="center"/>
            <w:hideMark/>
          </w:tcPr>
          <w:p w14:paraId="6E6F342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30E8E1" w14:textId="77777777" w:rsidR="00000000" w:rsidRDefault="00EE5306">
            <w:pPr>
              <w:spacing w:after="100"/>
              <w:jc w:val="right"/>
              <w:rPr>
                <w:rFonts w:eastAsia="Times New Roman"/>
              </w:rPr>
            </w:pPr>
            <w:r>
              <w:rPr>
                <w:rFonts w:eastAsia="Times New Roman"/>
                <w:color w:val="000000"/>
                <w:sz w:val="20"/>
                <w:szCs w:val="20"/>
              </w:rPr>
              <w:t>(14.3)</w:t>
            </w:r>
          </w:p>
        </w:tc>
        <w:tc>
          <w:tcPr>
            <w:tcW w:w="0" w:type="auto"/>
            <w:shd w:val="clear" w:color="auto" w:fill="FFFFFF"/>
            <w:tcMar>
              <w:top w:w="30" w:type="dxa"/>
              <w:left w:w="0" w:type="dxa"/>
              <w:bottom w:w="30" w:type="dxa"/>
              <w:right w:w="20" w:type="dxa"/>
            </w:tcMar>
            <w:vAlign w:val="bottom"/>
            <w:hideMark/>
          </w:tcPr>
          <w:p w14:paraId="5E62CD70" w14:textId="77777777" w:rsidR="00000000" w:rsidRDefault="00EE5306">
            <w:pPr>
              <w:spacing w:after="100"/>
              <w:jc w:val="right"/>
              <w:rPr>
                <w:rFonts w:eastAsia="Times New Roman"/>
              </w:rPr>
            </w:pPr>
          </w:p>
        </w:tc>
      </w:tr>
      <w:tr w:rsidR="00000000" w14:paraId="4B04EEAD" w14:textId="77777777">
        <w:trPr>
          <w:divId w:val="1697611613"/>
        </w:trPr>
        <w:tc>
          <w:tcPr>
            <w:tcW w:w="0" w:type="auto"/>
            <w:gridSpan w:val="3"/>
            <w:shd w:val="clear" w:color="auto" w:fill="CCEEFF"/>
            <w:tcMar>
              <w:top w:w="30" w:type="dxa"/>
              <w:left w:w="155" w:type="dxa"/>
              <w:bottom w:w="30" w:type="dxa"/>
              <w:right w:w="20" w:type="dxa"/>
            </w:tcMar>
            <w:vAlign w:val="bottom"/>
            <w:hideMark/>
          </w:tcPr>
          <w:p w14:paraId="5CF0A3CA" w14:textId="77777777" w:rsidR="00000000" w:rsidRDefault="00EE5306">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14:paraId="16C85AA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4A32C0" w14:textId="77777777" w:rsidR="00000000" w:rsidRDefault="00EE5306">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14:paraId="7C89BC2C" w14:textId="77777777" w:rsidR="00000000" w:rsidRDefault="00EE5306">
            <w:pPr>
              <w:spacing w:after="100"/>
              <w:jc w:val="right"/>
              <w:rPr>
                <w:rFonts w:eastAsia="Times New Roman"/>
              </w:rPr>
            </w:pPr>
          </w:p>
        </w:tc>
      </w:tr>
      <w:tr w:rsidR="00000000" w14:paraId="5D63A976" w14:textId="77777777">
        <w:trPr>
          <w:divId w:val="1697611613"/>
        </w:trPr>
        <w:tc>
          <w:tcPr>
            <w:tcW w:w="0" w:type="auto"/>
            <w:gridSpan w:val="3"/>
            <w:shd w:val="clear" w:color="auto" w:fill="FFFFFF"/>
            <w:tcMar>
              <w:top w:w="30" w:type="dxa"/>
              <w:left w:w="380" w:type="dxa"/>
              <w:bottom w:w="30" w:type="dxa"/>
              <w:right w:w="20" w:type="dxa"/>
            </w:tcMar>
            <w:vAlign w:val="bottom"/>
            <w:hideMark/>
          </w:tcPr>
          <w:p w14:paraId="17454515" w14:textId="77777777" w:rsidR="00000000" w:rsidRDefault="00EE5306">
            <w:pPr>
              <w:spacing w:after="100"/>
              <w:rPr>
                <w:rFonts w:eastAsia="Times New Roman"/>
              </w:rPr>
            </w:pPr>
            <w:r>
              <w:rPr>
                <w:rFonts w:eastAsia="Times New Roman"/>
                <w:color w:val="000000"/>
                <w:sz w:val="20"/>
                <w:szCs w:val="20"/>
              </w:rPr>
              <w:t>Total net increase in SG&amp;A expenses</w:t>
            </w:r>
          </w:p>
        </w:tc>
        <w:tc>
          <w:tcPr>
            <w:tcW w:w="0" w:type="auto"/>
            <w:gridSpan w:val="3"/>
            <w:shd w:val="clear" w:color="auto" w:fill="FFFFFF"/>
            <w:tcMar>
              <w:top w:w="0" w:type="dxa"/>
              <w:left w:w="20" w:type="dxa"/>
              <w:bottom w:w="0" w:type="dxa"/>
              <w:right w:w="20" w:type="dxa"/>
            </w:tcMar>
            <w:vAlign w:val="center"/>
            <w:hideMark/>
          </w:tcPr>
          <w:p w14:paraId="5777EF20"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1D76D1"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6401C0" w14:textId="77777777" w:rsidR="00000000" w:rsidRDefault="00EE5306">
            <w:pPr>
              <w:spacing w:after="100"/>
              <w:jc w:val="right"/>
              <w:rPr>
                <w:rFonts w:eastAsia="Times New Roman"/>
              </w:rPr>
            </w:pPr>
            <w:r>
              <w:rPr>
                <w:rFonts w:eastAsia="Times New Roman"/>
                <w:color w:val="000000"/>
                <w:sz w:val="20"/>
                <w:szCs w:val="20"/>
              </w:rPr>
              <w:t>69.2 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A3E3B6" w14:textId="77777777" w:rsidR="00000000" w:rsidRDefault="00EE5306">
            <w:pPr>
              <w:spacing w:after="100"/>
              <w:jc w:val="right"/>
              <w:rPr>
                <w:rFonts w:eastAsia="Times New Roman"/>
              </w:rPr>
            </w:pPr>
          </w:p>
        </w:tc>
      </w:tr>
    </w:tbl>
    <w:p w14:paraId="536906BB" w14:textId="77777777" w:rsidR="00000000" w:rsidRDefault="00EE5306">
      <w:pPr>
        <w:ind w:firstLine="540"/>
        <w:jc w:val="both"/>
        <w:divId w:val="1174228112"/>
        <w:rPr>
          <w:rFonts w:eastAsia="Times New Roman"/>
        </w:rPr>
      </w:pPr>
      <w:r>
        <w:rPr>
          <w:rFonts w:eastAsia="Times New Roman"/>
          <w:i/>
          <w:iCs/>
          <w:color w:val="000000"/>
          <w:sz w:val="20"/>
          <w:szCs w:val="20"/>
        </w:rPr>
        <w:t>Impairment of Assets.</w:t>
      </w:r>
      <w:r>
        <w:rPr>
          <w:rFonts w:eastAsia="Times New Roman"/>
          <w:color w:val="000000"/>
          <w:sz w:val="20"/>
          <w:szCs w:val="20"/>
        </w:rPr>
        <w:t>   </w:t>
      </w:r>
      <w:r>
        <w:rPr>
          <w:rFonts w:eastAsia="Times New Roman"/>
          <w:color w:val="000000"/>
          <w:sz w:val="20"/>
          <w:szCs w:val="20"/>
        </w:rPr>
        <w:t>During Fiscal 2020 and Fiscal 2019, we recorded non-cash impairment charges of $31.6 million and $21.2 million, respectively, to write-down certain long-lived assets in connection with our restructuring plans and identification of underperforming stores. A</w:t>
      </w:r>
      <w:r>
        <w:rPr>
          <w:rFonts w:eastAsia="Times New Roman"/>
          <w:color w:val="000000"/>
          <w:sz w:val="20"/>
          <w:szCs w:val="20"/>
        </w:rPr>
        <w:t xml:space="preserve">dditionally, as a result of our decision to sell our corporate jet in connection with our cost savings initiative, we recorded a non-cash impairment charge of $4.6 million during Fiscal 2019 to reduce the carrying value of the asset being held-for-sale to </w:t>
      </w:r>
      <w:r>
        <w:rPr>
          <w:rFonts w:eastAsia="Times New Roman"/>
          <w:color w:val="000000"/>
          <w:sz w:val="20"/>
          <w:szCs w:val="20"/>
        </w:rPr>
        <w:t>its estimated fair value, less costs to sell. See Note 8 to the accompanying consolidated financial statements.</w:t>
      </w:r>
    </w:p>
    <w:p w14:paraId="7F341F3A" w14:textId="77777777" w:rsidR="00000000" w:rsidRDefault="00EE5306">
      <w:pPr>
        <w:ind w:firstLine="540"/>
        <w:jc w:val="both"/>
        <w:divId w:val="1153372878"/>
        <w:rPr>
          <w:rFonts w:eastAsia="Times New Roman"/>
        </w:rPr>
      </w:pPr>
      <w:r>
        <w:rPr>
          <w:rFonts w:eastAsia="Times New Roman"/>
          <w:i/>
          <w:iCs/>
          <w:color w:val="000000"/>
          <w:sz w:val="20"/>
          <w:szCs w:val="20"/>
        </w:rPr>
        <w:t>Restructuring and Other Charges.</w:t>
      </w:r>
      <w:r>
        <w:rPr>
          <w:rFonts w:eastAsia="Times New Roman"/>
          <w:color w:val="000000"/>
          <w:sz w:val="20"/>
          <w:szCs w:val="20"/>
        </w:rPr>
        <w:t>   During Fiscal 2020 and Fiscal 2019, we recorded restructuring charges of $37.6 million and $93.6 million, res</w:t>
      </w:r>
      <w:r>
        <w:rPr>
          <w:rFonts w:eastAsia="Times New Roman"/>
          <w:color w:val="000000"/>
          <w:sz w:val="20"/>
          <w:szCs w:val="20"/>
        </w:rPr>
        <w:t>pectively, in connection with our restructuring plans, primarily consisting of severance and benefits costs, as well as a loss on sale of property during the prior fiscal year period. Additionally, during Fiscal 2020, we recorded other charges of $29.6 mil</w:t>
      </w:r>
      <w:r>
        <w:rPr>
          <w:rFonts w:eastAsia="Times New Roman"/>
          <w:color w:val="000000"/>
          <w:sz w:val="20"/>
          <w:szCs w:val="20"/>
        </w:rPr>
        <w:t xml:space="preserve">lion primarily related to the charitable donation of the net cash proceeds received from the sale of our corporate jet, and rent and occupancy costs associated with certain previously exited real estate locations for which the related lease agreements had </w:t>
      </w:r>
      <w:r>
        <w:rPr>
          <w:rFonts w:eastAsia="Times New Roman"/>
          <w:color w:val="000000"/>
          <w:sz w:val="20"/>
          <w:szCs w:val="20"/>
        </w:rPr>
        <w:t>not yet expired. During Fiscal 2019, we recorded other charges of $36.5 million primarily related to our sabbatical leave program initiated during the fourth quarter of Fiscal 2019, depreciation expense associated with our former Polo store at 711 Fifth Av</w:t>
      </w:r>
      <w:r>
        <w:rPr>
          <w:rFonts w:eastAsia="Times New Roman"/>
          <w:color w:val="000000"/>
          <w:sz w:val="20"/>
          <w:szCs w:val="20"/>
        </w:rPr>
        <w:t>enue in New York City, and a customs audit. See Note 9 to the accompanying consolidated financial statements.</w:t>
      </w:r>
    </w:p>
    <w:p w14:paraId="0D9EF879" w14:textId="77777777" w:rsidR="00000000" w:rsidRDefault="00EE5306">
      <w:pPr>
        <w:ind w:firstLine="540"/>
        <w:jc w:val="both"/>
        <w:divId w:val="1850828541"/>
        <w:rPr>
          <w:rFonts w:eastAsia="Times New Roman"/>
        </w:rPr>
      </w:pPr>
      <w:r>
        <w:rPr>
          <w:rFonts w:eastAsia="Times New Roman"/>
          <w:i/>
          <w:iCs/>
          <w:color w:val="000000"/>
          <w:sz w:val="20"/>
          <w:szCs w:val="20"/>
        </w:rPr>
        <w:t>Operating Income.</w:t>
      </w:r>
      <w:r>
        <w:rPr>
          <w:rFonts w:eastAsia="Times New Roman"/>
          <w:color w:val="000000"/>
          <w:sz w:val="20"/>
          <w:szCs w:val="20"/>
        </w:rPr>
        <w:t>    Operating income decreased by $244.8 million, or 43.6%, to $317.0 million in Fiscal 2020, including net unfavorable foreign c</w:t>
      </w:r>
      <w:r>
        <w:rPr>
          <w:rFonts w:eastAsia="Times New Roman"/>
          <w:color w:val="000000"/>
          <w:sz w:val="20"/>
          <w:szCs w:val="20"/>
        </w:rPr>
        <w:t>urrency effects of $18.2 million. The decline in operating income reflects net adverse impacts related to COVID-19 and Hong Kong protest business disruptions, including total incremental inventory charges and bad debt expense of $213.7 million, as previous</w:t>
      </w:r>
      <w:r>
        <w:rPr>
          <w:rFonts w:eastAsia="Times New Roman"/>
          <w:color w:val="000000"/>
          <w:sz w:val="20"/>
          <w:szCs w:val="20"/>
        </w:rPr>
        <w:t>ly discussed. Our operating results during Fiscal 2020 and Fiscal 2019 were also negatively impacted by restructuring-related charges, impairment of assets, and certain other charges totaling $101.0 million and $163.1 million, respectively, as previously d</w:t>
      </w:r>
      <w:r>
        <w:rPr>
          <w:rFonts w:eastAsia="Times New Roman"/>
          <w:color w:val="000000"/>
          <w:sz w:val="20"/>
          <w:szCs w:val="20"/>
        </w:rPr>
        <w:t>iscussed. Operating income as a percentage of net revenues decreased to 5.1% in Fiscal 2020 from 8.9% in Fiscal 2019. The 380 basis point decline was primarily driven by the decline in our gross margin and the increase in SG&amp;A expenses as a percentage of n</w:t>
      </w:r>
      <w:r>
        <w:rPr>
          <w:rFonts w:eastAsia="Times New Roman"/>
          <w:color w:val="000000"/>
          <w:sz w:val="20"/>
          <w:szCs w:val="20"/>
        </w:rPr>
        <w:t>et revenues, partially offset by lower restructuring-related charges recorded during Fiscal 2020 as compared to the prior fiscal year, all as previously discussed.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F5B325F" w14:textId="77777777">
        <w:trPr>
          <w:divId w:val="1079324207"/>
          <w:jc w:val="center"/>
        </w:trPr>
        <w:tc>
          <w:tcPr>
            <w:tcW w:w="50" w:type="pct"/>
            <w:vAlign w:val="center"/>
            <w:hideMark/>
          </w:tcPr>
          <w:p w14:paraId="26AEEBF0" w14:textId="77777777" w:rsidR="00000000" w:rsidRDefault="00EE5306">
            <w:pPr>
              <w:ind w:firstLine="540"/>
              <w:jc w:val="both"/>
              <w:rPr>
                <w:rFonts w:eastAsia="Times New Roman"/>
              </w:rPr>
            </w:pPr>
          </w:p>
        </w:tc>
        <w:tc>
          <w:tcPr>
            <w:tcW w:w="1699" w:type="pct"/>
            <w:vAlign w:val="center"/>
            <w:hideMark/>
          </w:tcPr>
          <w:p w14:paraId="1F9E0F96" w14:textId="77777777" w:rsidR="00000000" w:rsidRDefault="00EE5306">
            <w:pPr>
              <w:spacing w:after="100"/>
              <w:rPr>
                <w:rFonts w:eastAsia="Times New Roman"/>
                <w:sz w:val="20"/>
                <w:szCs w:val="20"/>
              </w:rPr>
            </w:pPr>
          </w:p>
        </w:tc>
        <w:tc>
          <w:tcPr>
            <w:tcW w:w="5" w:type="pct"/>
            <w:vAlign w:val="center"/>
            <w:hideMark/>
          </w:tcPr>
          <w:p w14:paraId="0DC8A637" w14:textId="77777777" w:rsidR="00000000" w:rsidRDefault="00EE5306">
            <w:pPr>
              <w:spacing w:after="100"/>
              <w:rPr>
                <w:rFonts w:eastAsia="Times New Roman"/>
                <w:sz w:val="20"/>
                <w:szCs w:val="20"/>
              </w:rPr>
            </w:pPr>
          </w:p>
        </w:tc>
        <w:tc>
          <w:tcPr>
            <w:tcW w:w="50" w:type="pct"/>
            <w:vAlign w:val="center"/>
            <w:hideMark/>
          </w:tcPr>
          <w:p w14:paraId="659D52B6" w14:textId="77777777" w:rsidR="00000000" w:rsidRDefault="00EE5306">
            <w:pPr>
              <w:spacing w:after="100"/>
              <w:rPr>
                <w:rFonts w:eastAsia="Times New Roman"/>
                <w:sz w:val="20"/>
                <w:szCs w:val="20"/>
              </w:rPr>
            </w:pPr>
          </w:p>
        </w:tc>
        <w:tc>
          <w:tcPr>
            <w:tcW w:w="1436" w:type="pct"/>
            <w:vAlign w:val="center"/>
            <w:hideMark/>
          </w:tcPr>
          <w:p w14:paraId="5F7AFBF0" w14:textId="77777777" w:rsidR="00000000" w:rsidRDefault="00EE5306">
            <w:pPr>
              <w:spacing w:after="100"/>
              <w:rPr>
                <w:rFonts w:eastAsia="Times New Roman"/>
                <w:sz w:val="20"/>
                <w:szCs w:val="20"/>
              </w:rPr>
            </w:pPr>
          </w:p>
        </w:tc>
        <w:tc>
          <w:tcPr>
            <w:tcW w:w="5" w:type="pct"/>
            <w:vAlign w:val="center"/>
            <w:hideMark/>
          </w:tcPr>
          <w:p w14:paraId="0C200EA4" w14:textId="77777777" w:rsidR="00000000" w:rsidRDefault="00EE5306">
            <w:pPr>
              <w:spacing w:after="100"/>
              <w:rPr>
                <w:rFonts w:eastAsia="Times New Roman"/>
                <w:sz w:val="20"/>
                <w:szCs w:val="20"/>
              </w:rPr>
            </w:pPr>
          </w:p>
        </w:tc>
        <w:tc>
          <w:tcPr>
            <w:tcW w:w="50" w:type="pct"/>
            <w:vAlign w:val="center"/>
            <w:hideMark/>
          </w:tcPr>
          <w:p w14:paraId="44DE64FF" w14:textId="77777777" w:rsidR="00000000" w:rsidRDefault="00EE5306">
            <w:pPr>
              <w:spacing w:after="100"/>
              <w:rPr>
                <w:rFonts w:eastAsia="Times New Roman"/>
                <w:sz w:val="20"/>
                <w:szCs w:val="20"/>
              </w:rPr>
            </w:pPr>
          </w:p>
        </w:tc>
        <w:tc>
          <w:tcPr>
            <w:tcW w:w="1699" w:type="pct"/>
            <w:vAlign w:val="center"/>
            <w:hideMark/>
          </w:tcPr>
          <w:p w14:paraId="22D5660D" w14:textId="77777777" w:rsidR="00000000" w:rsidRDefault="00EE5306">
            <w:pPr>
              <w:spacing w:after="100"/>
              <w:rPr>
                <w:rFonts w:eastAsia="Times New Roman"/>
                <w:sz w:val="20"/>
                <w:szCs w:val="20"/>
              </w:rPr>
            </w:pPr>
          </w:p>
        </w:tc>
        <w:tc>
          <w:tcPr>
            <w:tcW w:w="5" w:type="pct"/>
            <w:vAlign w:val="center"/>
            <w:hideMark/>
          </w:tcPr>
          <w:p w14:paraId="6FB8CB46" w14:textId="77777777" w:rsidR="00000000" w:rsidRDefault="00EE5306">
            <w:pPr>
              <w:spacing w:after="100"/>
              <w:rPr>
                <w:rFonts w:eastAsia="Times New Roman"/>
                <w:sz w:val="20"/>
                <w:szCs w:val="20"/>
              </w:rPr>
            </w:pPr>
          </w:p>
        </w:tc>
      </w:tr>
      <w:tr w:rsidR="00000000" w14:paraId="7EFB5BCE" w14:textId="77777777">
        <w:trPr>
          <w:divId w:val="1079324207"/>
          <w:jc w:val="center"/>
        </w:trPr>
        <w:tc>
          <w:tcPr>
            <w:tcW w:w="0" w:type="auto"/>
            <w:gridSpan w:val="3"/>
            <w:tcMar>
              <w:top w:w="0" w:type="dxa"/>
              <w:left w:w="20" w:type="dxa"/>
              <w:bottom w:w="0" w:type="dxa"/>
              <w:right w:w="20" w:type="dxa"/>
            </w:tcMar>
            <w:vAlign w:val="center"/>
            <w:hideMark/>
          </w:tcPr>
          <w:p w14:paraId="08A8166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36FD6CA" w14:textId="77777777" w:rsidR="00000000" w:rsidRDefault="00EE5306">
            <w:pPr>
              <w:spacing w:after="100"/>
              <w:jc w:val="center"/>
              <w:rPr>
                <w:rFonts w:eastAsia="Times New Roman"/>
              </w:rPr>
            </w:pPr>
            <w:r>
              <w:rPr>
                <w:rFonts w:eastAsia="Times New Roman"/>
                <w:color w:val="000000"/>
                <w:sz w:val="20"/>
                <w:szCs w:val="20"/>
              </w:rPr>
              <w:t>60</w:t>
            </w:r>
          </w:p>
        </w:tc>
        <w:tc>
          <w:tcPr>
            <w:tcW w:w="0" w:type="auto"/>
            <w:gridSpan w:val="3"/>
            <w:tcMar>
              <w:top w:w="0" w:type="dxa"/>
              <w:left w:w="20" w:type="dxa"/>
              <w:bottom w:w="0" w:type="dxa"/>
              <w:right w:w="20" w:type="dxa"/>
            </w:tcMar>
            <w:vAlign w:val="center"/>
            <w:hideMark/>
          </w:tcPr>
          <w:p w14:paraId="648FE2C4" w14:textId="77777777" w:rsidR="00000000" w:rsidRDefault="00EE5306">
            <w:pPr>
              <w:spacing w:after="100"/>
              <w:jc w:val="center"/>
              <w:rPr>
                <w:rFonts w:eastAsia="Times New Roman"/>
              </w:rPr>
            </w:pPr>
          </w:p>
        </w:tc>
      </w:tr>
    </w:tbl>
    <w:p w14:paraId="0BFDEF8A" w14:textId="77777777" w:rsidR="00000000" w:rsidRDefault="00EE5306">
      <w:pPr>
        <w:rPr>
          <w:rFonts w:eastAsia="Times New Roman"/>
        </w:rPr>
      </w:pPr>
      <w:r>
        <w:rPr>
          <w:rFonts w:eastAsia="Times New Roman"/>
        </w:rPr>
        <w:pict w14:anchorId="18F7E83D">
          <v:rect id="_x0000_i1087" style="width:0;height:1.5pt" o:hralign="center" o:hrstd="t" o:hr="t" fillcolor="#a0a0a0" stroked="f"/>
        </w:pict>
      </w:r>
    </w:p>
    <w:p w14:paraId="27DB44CB" w14:textId="77777777" w:rsidR="00000000" w:rsidRDefault="00EE5306">
      <w:pPr>
        <w:divId w:val="1384401869"/>
        <w:rPr>
          <w:rFonts w:eastAsia="Times New Roman"/>
        </w:rPr>
      </w:pPr>
    </w:p>
    <w:p w14:paraId="21EAFA69" w14:textId="77777777" w:rsidR="00000000" w:rsidRDefault="00EE5306">
      <w:pPr>
        <w:ind w:firstLine="540"/>
        <w:jc w:val="both"/>
        <w:divId w:val="389111857"/>
        <w:rPr>
          <w:rFonts w:eastAsia="Times New Roman"/>
        </w:rPr>
      </w:pPr>
      <w:r>
        <w:rPr>
          <w:rFonts w:eastAsia="Times New Roman"/>
          <w:color w:val="000000"/>
          <w:sz w:val="20"/>
          <w:szCs w:val="20"/>
        </w:rPr>
        <w:t>Operating income and margin for our segments, as well as a discussion of the changes in each reportable segment's operating margin from the prior fiscal year, are provided below:</w:t>
      </w:r>
    </w:p>
    <w:tbl>
      <w:tblPr>
        <w:tblW w:w="4714" w:type="pct"/>
        <w:tblCellMar>
          <w:top w:w="15" w:type="dxa"/>
          <w:left w:w="15" w:type="dxa"/>
          <w:bottom w:w="15" w:type="dxa"/>
          <w:right w:w="15" w:type="dxa"/>
        </w:tblCellMar>
        <w:tblLook w:val="04A0" w:firstRow="1" w:lastRow="0" w:firstColumn="1" w:lastColumn="0" w:noHBand="0" w:noVBand="1"/>
      </w:tblPr>
      <w:tblGrid>
        <w:gridCol w:w="40"/>
        <w:gridCol w:w="2598"/>
        <w:gridCol w:w="39"/>
        <w:gridCol w:w="36"/>
        <w:gridCol w:w="36"/>
        <w:gridCol w:w="36"/>
        <w:gridCol w:w="121"/>
        <w:gridCol w:w="656"/>
        <w:gridCol w:w="37"/>
        <w:gridCol w:w="36"/>
        <w:gridCol w:w="36"/>
        <w:gridCol w:w="36"/>
        <w:gridCol w:w="82"/>
        <w:gridCol w:w="653"/>
        <w:gridCol w:w="36"/>
        <w:gridCol w:w="36"/>
        <w:gridCol w:w="36"/>
        <w:gridCol w:w="36"/>
        <w:gridCol w:w="121"/>
        <w:gridCol w:w="656"/>
        <w:gridCol w:w="37"/>
        <w:gridCol w:w="36"/>
        <w:gridCol w:w="36"/>
        <w:gridCol w:w="36"/>
        <w:gridCol w:w="82"/>
        <w:gridCol w:w="653"/>
        <w:gridCol w:w="36"/>
        <w:gridCol w:w="36"/>
        <w:gridCol w:w="36"/>
        <w:gridCol w:w="36"/>
        <w:gridCol w:w="120"/>
        <w:gridCol w:w="584"/>
        <w:gridCol w:w="36"/>
        <w:gridCol w:w="36"/>
        <w:gridCol w:w="36"/>
        <w:gridCol w:w="36"/>
        <w:gridCol w:w="58"/>
        <w:gridCol w:w="502"/>
        <w:gridCol w:w="36"/>
      </w:tblGrid>
      <w:tr w:rsidR="00000000" w14:paraId="1584170F" w14:textId="77777777">
        <w:trPr>
          <w:divId w:val="1312250314"/>
        </w:trPr>
        <w:tc>
          <w:tcPr>
            <w:tcW w:w="50" w:type="pct"/>
            <w:vAlign w:val="center"/>
            <w:hideMark/>
          </w:tcPr>
          <w:p w14:paraId="4E955FBE" w14:textId="77777777" w:rsidR="00000000" w:rsidRDefault="00EE5306">
            <w:pPr>
              <w:ind w:firstLine="540"/>
              <w:jc w:val="both"/>
              <w:rPr>
                <w:rFonts w:eastAsia="Times New Roman"/>
              </w:rPr>
            </w:pPr>
          </w:p>
        </w:tc>
        <w:tc>
          <w:tcPr>
            <w:tcW w:w="1960" w:type="pct"/>
            <w:vAlign w:val="center"/>
            <w:hideMark/>
          </w:tcPr>
          <w:p w14:paraId="5386CE72" w14:textId="77777777" w:rsidR="00000000" w:rsidRDefault="00EE5306">
            <w:pPr>
              <w:spacing w:after="100"/>
              <w:rPr>
                <w:rFonts w:eastAsia="Times New Roman"/>
                <w:sz w:val="20"/>
                <w:szCs w:val="20"/>
              </w:rPr>
            </w:pPr>
          </w:p>
        </w:tc>
        <w:tc>
          <w:tcPr>
            <w:tcW w:w="5" w:type="pct"/>
            <w:vAlign w:val="center"/>
            <w:hideMark/>
          </w:tcPr>
          <w:p w14:paraId="75AABDC2" w14:textId="77777777" w:rsidR="00000000" w:rsidRDefault="00EE5306">
            <w:pPr>
              <w:spacing w:after="100"/>
              <w:rPr>
                <w:rFonts w:eastAsia="Times New Roman"/>
                <w:sz w:val="20"/>
                <w:szCs w:val="20"/>
              </w:rPr>
            </w:pPr>
          </w:p>
        </w:tc>
        <w:tc>
          <w:tcPr>
            <w:tcW w:w="5" w:type="pct"/>
            <w:vAlign w:val="center"/>
            <w:hideMark/>
          </w:tcPr>
          <w:p w14:paraId="323EAD38" w14:textId="77777777" w:rsidR="00000000" w:rsidRDefault="00EE5306">
            <w:pPr>
              <w:spacing w:after="100"/>
              <w:rPr>
                <w:rFonts w:eastAsia="Times New Roman"/>
                <w:sz w:val="20"/>
                <w:szCs w:val="20"/>
              </w:rPr>
            </w:pPr>
          </w:p>
        </w:tc>
        <w:tc>
          <w:tcPr>
            <w:tcW w:w="28" w:type="pct"/>
            <w:vAlign w:val="center"/>
            <w:hideMark/>
          </w:tcPr>
          <w:p w14:paraId="29880CFF" w14:textId="77777777" w:rsidR="00000000" w:rsidRDefault="00EE5306">
            <w:pPr>
              <w:spacing w:after="100"/>
              <w:rPr>
                <w:rFonts w:eastAsia="Times New Roman"/>
                <w:sz w:val="20"/>
                <w:szCs w:val="20"/>
              </w:rPr>
            </w:pPr>
          </w:p>
        </w:tc>
        <w:tc>
          <w:tcPr>
            <w:tcW w:w="5" w:type="pct"/>
            <w:vAlign w:val="center"/>
            <w:hideMark/>
          </w:tcPr>
          <w:p w14:paraId="63674955" w14:textId="77777777" w:rsidR="00000000" w:rsidRDefault="00EE5306">
            <w:pPr>
              <w:spacing w:after="100"/>
              <w:rPr>
                <w:rFonts w:eastAsia="Times New Roman"/>
                <w:sz w:val="20"/>
                <w:szCs w:val="20"/>
              </w:rPr>
            </w:pPr>
          </w:p>
        </w:tc>
        <w:tc>
          <w:tcPr>
            <w:tcW w:w="50" w:type="pct"/>
            <w:vAlign w:val="center"/>
            <w:hideMark/>
          </w:tcPr>
          <w:p w14:paraId="0C7532A6" w14:textId="77777777" w:rsidR="00000000" w:rsidRDefault="00EE5306">
            <w:pPr>
              <w:spacing w:after="100"/>
              <w:rPr>
                <w:rFonts w:eastAsia="Times New Roman"/>
                <w:sz w:val="20"/>
                <w:szCs w:val="20"/>
              </w:rPr>
            </w:pPr>
          </w:p>
        </w:tc>
        <w:tc>
          <w:tcPr>
            <w:tcW w:w="417" w:type="pct"/>
            <w:vAlign w:val="center"/>
            <w:hideMark/>
          </w:tcPr>
          <w:p w14:paraId="0724CBF2" w14:textId="77777777" w:rsidR="00000000" w:rsidRDefault="00EE5306">
            <w:pPr>
              <w:spacing w:after="100"/>
              <w:rPr>
                <w:rFonts w:eastAsia="Times New Roman"/>
                <w:sz w:val="20"/>
                <w:szCs w:val="20"/>
              </w:rPr>
            </w:pPr>
          </w:p>
        </w:tc>
        <w:tc>
          <w:tcPr>
            <w:tcW w:w="5" w:type="pct"/>
            <w:vAlign w:val="center"/>
            <w:hideMark/>
          </w:tcPr>
          <w:p w14:paraId="29B0BAE3" w14:textId="77777777" w:rsidR="00000000" w:rsidRDefault="00EE5306">
            <w:pPr>
              <w:spacing w:after="100"/>
              <w:rPr>
                <w:rFonts w:eastAsia="Times New Roman"/>
                <w:sz w:val="20"/>
                <w:szCs w:val="20"/>
              </w:rPr>
            </w:pPr>
          </w:p>
        </w:tc>
        <w:tc>
          <w:tcPr>
            <w:tcW w:w="5" w:type="pct"/>
            <w:vAlign w:val="center"/>
            <w:hideMark/>
          </w:tcPr>
          <w:p w14:paraId="7BFE643D" w14:textId="77777777" w:rsidR="00000000" w:rsidRDefault="00EE5306">
            <w:pPr>
              <w:spacing w:after="100"/>
              <w:rPr>
                <w:rFonts w:eastAsia="Times New Roman"/>
                <w:sz w:val="20"/>
                <w:szCs w:val="20"/>
              </w:rPr>
            </w:pPr>
          </w:p>
        </w:tc>
        <w:tc>
          <w:tcPr>
            <w:tcW w:w="28" w:type="pct"/>
            <w:vAlign w:val="center"/>
            <w:hideMark/>
          </w:tcPr>
          <w:p w14:paraId="695866D4" w14:textId="77777777" w:rsidR="00000000" w:rsidRDefault="00EE5306">
            <w:pPr>
              <w:spacing w:after="100"/>
              <w:rPr>
                <w:rFonts w:eastAsia="Times New Roman"/>
                <w:sz w:val="20"/>
                <w:szCs w:val="20"/>
              </w:rPr>
            </w:pPr>
          </w:p>
        </w:tc>
        <w:tc>
          <w:tcPr>
            <w:tcW w:w="5" w:type="pct"/>
            <w:vAlign w:val="center"/>
            <w:hideMark/>
          </w:tcPr>
          <w:p w14:paraId="7F6DB7CA" w14:textId="77777777" w:rsidR="00000000" w:rsidRDefault="00EE5306">
            <w:pPr>
              <w:spacing w:after="100"/>
              <w:rPr>
                <w:rFonts w:eastAsia="Times New Roman"/>
                <w:sz w:val="20"/>
                <w:szCs w:val="20"/>
              </w:rPr>
            </w:pPr>
          </w:p>
        </w:tc>
        <w:tc>
          <w:tcPr>
            <w:tcW w:w="50" w:type="pct"/>
            <w:vAlign w:val="center"/>
            <w:hideMark/>
          </w:tcPr>
          <w:p w14:paraId="2F30CC5A" w14:textId="77777777" w:rsidR="00000000" w:rsidRDefault="00EE5306">
            <w:pPr>
              <w:spacing w:after="100"/>
              <w:rPr>
                <w:rFonts w:eastAsia="Times New Roman"/>
                <w:sz w:val="20"/>
                <w:szCs w:val="20"/>
              </w:rPr>
            </w:pPr>
          </w:p>
        </w:tc>
        <w:tc>
          <w:tcPr>
            <w:tcW w:w="402" w:type="pct"/>
            <w:vAlign w:val="center"/>
            <w:hideMark/>
          </w:tcPr>
          <w:p w14:paraId="7E1C57DB" w14:textId="77777777" w:rsidR="00000000" w:rsidRDefault="00EE5306">
            <w:pPr>
              <w:spacing w:after="100"/>
              <w:rPr>
                <w:rFonts w:eastAsia="Times New Roman"/>
                <w:sz w:val="20"/>
                <w:szCs w:val="20"/>
              </w:rPr>
            </w:pPr>
          </w:p>
        </w:tc>
        <w:tc>
          <w:tcPr>
            <w:tcW w:w="5" w:type="pct"/>
            <w:vAlign w:val="center"/>
            <w:hideMark/>
          </w:tcPr>
          <w:p w14:paraId="2063717C" w14:textId="77777777" w:rsidR="00000000" w:rsidRDefault="00EE5306">
            <w:pPr>
              <w:spacing w:after="100"/>
              <w:rPr>
                <w:rFonts w:eastAsia="Times New Roman"/>
                <w:sz w:val="20"/>
                <w:szCs w:val="20"/>
              </w:rPr>
            </w:pPr>
          </w:p>
        </w:tc>
        <w:tc>
          <w:tcPr>
            <w:tcW w:w="5" w:type="pct"/>
            <w:vAlign w:val="center"/>
            <w:hideMark/>
          </w:tcPr>
          <w:p w14:paraId="22055E84" w14:textId="77777777" w:rsidR="00000000" w:rsidRDefault="00EE5306">
            <w:pPr>
              <w:spacing w:after="100"/>
              <w:rPr>
                <w:rFonts w:eastAsia="Times New Roman"/>
                <w:sz w:val="20"/>
                <w:szCs w:val="20"/>
              </w:rPr>
            </w:pPr>
          </w:p>
        </w:tc>
        <w:tc>
          <w:tcPr>
            <w:tcW w:w="28" w:type="pct"/>
            <w:vAlign w:val="center"/>
            <w:hideMark/>
          </w:tcPr>
          <w:p w14:paraId="4307B7D5" w14:textId="77777777" w:rsidR="00000000" w:rsidRDefault="00EE5306">
            <w:pPr>
              <w:spacing w:after="100"/>
              <w:rPr>
                <w:rFonts w:eastAsia="Times New Roman"/>
                <w:sz w:val="20"/>
                <w:szCs w:val="20"/>
              </w:rPr>
            </w:pPr>
          </w:p>
        </w:tc>
        <w:tc>
          <w:tcPr>
            <w:tcW w:w="5" w:type="pct"/>
            <w:vAlign w:val="center"/>
            <w:hideMark/>
          </w:tcPr>
          <w:p w14:paraId="1A2443F8" w14:textId="77777777" w:rsidR="00000000" w:rsidRDefault="00EE5306">
            <w:pPr>
              <w:spacing w:after="100"/>
              <w:rPr>
                <w:rFonts w:eastAsia="Times New Roman"/>
                <w:sz w:val="20"/>
                <w:szCs w:val="20"/>
              </w:rPr>
            </w:pPr>
          </w:p>
        </w:tc>
        <w:tc>
          <w:tcPr>
            <w:tcW w:w="50" w:type="pct"/>
            <w:vAlign w:val="center"/>
            <w:hideMark/>
          </w:tcPr>
          <w:p w14:paraId="7C502F8C" w14:textId="77777777" w:rsidR="00000000" w:rsidRDefault="00EE5306">
            <w:pPr>
              <w:spacing w:after="100"/>
              <w:rPr>
                <w:rFonts w:eastAsia="Times New Roman"/>
                <w:sz w:val="20"/>
                <w:szCs w:val="20"/>
              </w:rPr>
            </w:pPr>
          </w:p>
        </w:tc>
        <w:tc>
          <w:tcPr>
            <w:tcW w:w="417" w:type="pct"/>
            <w:vAlign w:val="center"/>
            <w:hideMark/>
          </w:tcPr>
          <w:p w14:paraId="2B3CFF61" w14:textId="77777777" w:rsidR="00000000" w:rsidRDefault="00EE5306">
            <w:pPr>
              <w:spacing w:after="100"/>
              <w:rPr>
                <w:rFonts w:eastAsia="Times New Roman"/>
                <w:sz w:val="20"/>
                <w:szCs w:val="20"/>
              </w:rPr>
            </w:pPr>
          </w:p>
        </w:tc>
        <w:tc>
          <w:tcPr>
            <w:tcW w:w="5" w:type="pct"/>
            <w:vAlign w:val="center"/>
            <w:hideMark/>
          </w:tcPr>
          <w:p w14:paraId="5E1DE6E8" w14:textId="77777777" w:rsidR="00000000" w:rsidRDefault="00EE5306">
            <w:pPr>
              <w:spacing w:after="100"/>
              <w:rPr>
                <w:rFonts w:eastAsia="Times New Roman"/>
                <w:sz w:val="20"/>
                <w:szCs w:val="20"/>
              </w:rPr>
            </w:pPr>
          </w:p>
        </w:tc>
        <w:tc>
          <w:tcPr>
            <w:tcW w:w="5" w:type="pct"/>
            <w:vAlign w:val="center"/>
            <w:hideMark/>
          </w:tcPr>
          <w:p w14:paraId="3C3034BD" w14:textId="77777777" w:rsidR="00000000" w:rsidRDefault="00EE5306">
            <w:pPr>
              <w:spacing w:after="100"/>
              <w:rPr>
                <w:rFonts w:eastAsia="Times New Roman"/>
                <w:sz w:val="20"/>
                <w:szCs w:val="20"/>
              </w:rPr>
            </w:pPr>
          </w:p>
        </w:tc>
        <w:tc>
          <w:tcPr>
            <w:tcW w:w="28" w:type="pct"/>
            <w:vAlign w:val="center"/>
            <w:hideMark/>
          </w:tcPr>
          <w:p w14:paraId="20640410" w14:textId="77777777" w:rsidR="00000000" w:rsidRDefault="00EE5306">
            <w:pPr>
              <w:spacing w:after="100"/>
              <w:rPr>
                <w:rFonts w:eastAsia="Times New Roman"/>
                <w:sz w:val="20"/>
                <w:szCs w:val="20"/>
              </w:rPr>
            </w:pPr>
          </w:p>
        </w:tc>
        <w:tc>
          <w:tcPr>
            <w:tcW w:w="5" w:type="pct"/>
            <w:vAlign w:val="center"/>
            <w:hideMark/>
          </w:tcPr>
          <w:p w14:paraId="37FCA5A4" w14:textId="77777777" w:rsidR="00000000" w:rsidRDefault="00EE5306">
            <w:pPr>
              <w:spacing w:after="100"/>
              <w:rPr>
                <w:rFonts w:eastAsia="Times New Roman"/>
                <w:sz w:val="20"/>
                <w:szCs w:val="20"/>
              </w:rPr>
            </w:pPr>
          </w:p>
        </w:tc>
        <w:tc>
          <w:tcPr>
            <w:tcW w:w="50" w:type="pct"/>
            <w:vAlign w:val="center"/>
            <w:hideMark/>
          </w:tcPr>
          <w:p w14:paraId="726B5785" w14:textId="77777777" w:rsidR="00000000" w:rsidRDefault="00EE5306">
            <w:pPr>
              <w:spacing w:after="100"/>
              <w:rPr>
                <w:rFonts w:eastAsia="Times New Roman"/>
                <w:sz w:val="20"/>
                <w:szCs w:val="20"/>
              </w:rPr>
            </w:pPr>
          </w:p>
        </w:tc>
        <w:tc>
          <w:tcPr>
            <w:tcW w:w="402" w:type="pct"/>
            <w:vAlign w:val="center"/>
            <w:hideMark/>
          </w:tcPr>
          <w:p w14:paraId="1B098C72" w14:textId="77777777" w:rsidR="00000000" w:rsidRDefault="00EE5306">
            <w:pPr>
              <w:spacing w:after="100"/>
              <w:rPr>
                <w:rFonts w:eastAsia="Times New Roman"/>
                <w:sz w:val="20"/>
                <w:szCs w:val="20"/>
              </w:rPr>
            </w:pPr>
          </w:p>
        </w:tc>
        <w:tc>
          <w:tcPr>
            <w:tcW w:w="5" w:type="pct"/>
            <w:vAlign w:val="center"/>
            <w:hideMark/>
          </w:tcPr>
          <w:p w14:paraId="585DA018" w14:textId="77777777" w:rsidR="00000000" w:rsidRDefault="00EE5306">
            <w:pPr>
              <w:spacing w:after="100"/>
              <w:rPr>
                <w:rFonts w:eastAsia="Times New Roman"/>
                <w:sz w:val="20"/>
                <w:szCs w:val="20"/>
              </w:rPr>
            </w:pPr>
          </w:p>
        </w:tc>
        <w:tc>
          <w:tcPr>
            <w:tcW w:w="5" w:type="pct"/>
            <w:vAlign w:val="center"/>
            <w:hideMark/>
          </w:tcPr>
          <w:p w14:paraId="1AD398C8" w14:textId="77777777" w:rsidR="00000000" w:rsidRDefault="00EE5306">
            <w:pPr>
              <w:spacing w:after="100"/>
              <w:rPr>
                <w:rFonts w:eastAsia="Times New Roman"/>
                <w:sz w:val="20"/>
                <w:szCs w:val="20"/>
              </w:rPr>
            </w:pPr>
          </w:p>
        </w:tc>
        <w:tc>
          <w:tcPr>
            <w:tcW w:w="28" w:type="pct"/>
            <w:vAlign w:val="center"/>
            <w:hideMark/>
          </w:tcPr>
          <w:p w14:paraId="4298DEE3" w14:textId="77777777" w:rsidR="00000000" w:rsidRDefault="00EE5306">
            <w:pPr>
              <w:spacing w:after="100"/>
              <w:rPr>
                <w:rFonts w:eastAsia="Times New Roman"/>
                <w:sz w:val="20"/>
                <w:szCs w:val="20"/>
              </w:rPr>
            </w:pPr>
          </w:p>
        </w:tc>
        <w:tc>
          <w:tcPr>
            <w:tcW w:w="5" w:type="pct"/>
            <w:vAlign w:val="center"/>
            <w:hideMark/>
          </w:tcPr>
          <w:p w14:paraId="7DAB8713" w14:textId="77777777" w:rsidR="00000000" w:rsidRDefault="00EE5306">
            <w:pPr>
              <w:spacing w:after="100"/>
              <w:rPr>
                <w:rFonts w:eastAsia="Times New Roman"/>
                <w:sz w:val="20"/>
                <w:szCs w:val="20"/>
              </w:rPr>
            </w:pPr>
          </w:p>
        </w:tc>
        <w:tc>
          <w:tcPr>
            <w:tcW w:w="50" w:type="pct"/>
            <w:vAlign w:val="center"/>
            <w:hideMark/>
          </w:tcPr>
          <w:p w14:paraId="3869D139" w14:textId="77777777" w:rsidR="00000000" w:rsidRDefault="00EE5306">
            <w:pPr>
              <w:spacing w:after="100"/>
              <w:rPr>
                <w:rFonts w:eastAsia="Times New Roman"/>
                <w:sz w:val="20"/>
                <w:szCs w:val="20"/>
              </w:rPr>
            </w:pPr>
          </w:p>
        </w:tc>
        <w:tc>
          <w:tcPr>
            <w:tcW w:w="348" w:type="pct"/>
            <w:vAlign w:val="center"/>
            <w:hideMark/>
          </w:tcPr>
          <w:p w14:paraId="4E8C5225" w14:textId="77777777" w:rsidR="00000000" w:rsidRDefault="00EE5306">
            <w:pPr>
              <w:spacing w:after="100"/>
              <w:rPr>
                <w:rFonts w:eastAsia="Times New Roman"/>
                <w:sz w:val="20"/>
                <w:szCs w:val="20"/>
              </w:rPr>
            </w:pPr>
          </w:p>
        </w:tc>
        <w:tc>
          <w:tcPr>
            <w:tcW w:w="5" w:type="pct"/>
            <w:vAlign w:val="center"/>
            <w:hideMark/>
          </w:tcPr>
          <w:p w14:paraId="7838387E" w14:textId="77777777" w:rsidR="00000000" w:rsidRDefault="00EE5306">
            <w:pPr>
              <w:spacing w:after="100"/>
              <w:rPr>
                <w:rFonts w:eastAsia="Times New Roman"/>
                <w:sz w:val="20"/>
                <w:szCs w:val="20"/>
              </w:rPr>
            </w:pPr>
          </w:p>
        </w:tc>
        <w:tc>
          <w:tcPr>
            <w:tcW w:w="5" w:type="pct"/>
            <w:vAlign w:val="center"/>
            <w:hideMark/>
          </w:tcPr>
          <w:p w14:paraId="1FDC3EEC" w14:textId="77777777" w:rsidR="00000000" w:rsidRDefault="00EE5306">
            <w:pPr>
              <w:spacing w:after="100"/>
              <w:rPr>
                <w:rFonts w:eastAsia="Times New Roman"/>
                <w:sz w:val="20"/>
                <w:szCs w:val="20"/>
              </w:rPr>
            </w:pPr>
          </w:p>
        </w:tc>
        <w:tc>
          <w:tcPr>
            <w:tcW w:w="28" w:type="pct"/>
            <w:vAlign w:val="center"/>
            <w:hideMark/>
          </w:tcPr>
          <w:p w14:paraId="5F66B508" w14:textId="77777777" w:rsidR="00000000" w:rsidRDefault="00EE5306">
            <w:pPr>
              <w:spacing w:after="100"/>
              <w:rPr>
                <w:rFonts w:eastAsia="Times New Roman"/>
                <w:sz w:val="20"/>
                <w:szCs w:val="20"/>
              </w:rPr>
            </w:pPr>
          </w:p>
        </w:tc>
        <w:tc>
          <w:tcPr>
            <w:tcW w:w="5" w:type="pct"/>
            <w:vAlign w:val="center"/>
            <w:hideMark/>
          </w:tcPr>
          <w:p w14:paraId="023BD0D2" w14:textId="77777777" w:rsidR="00000000" w:rsidRDefault="00EE5306">
            <w:pPr>
              <w:spacing w:after="100"/>
              <w:rPr>
                <w:rFonts w:eastAsia="Times New Roman"/>
                <w:sz w:val="20"/>
                <w:szCs w:val="20"/>
              </w:rPr>
            </w:pPr>
          </w:p>
        </w:tc>
        <w:tc>
          <w:tcPr>
            <w:tcW w:w="50" w:type="pct"/>
            <w:vAlign w:val="center"/>
            <w:hideMark/>
          </w:tcPr>
          <w:p w14:paraId="4BC6C4C1" w14:textId="77777777" w:rsidR="00000000" w:rsidRDefault="00EE5306">
            <w:pPr>
              <w:spacing w:after="100"/>
              <w:rPr>
                <w:rFonts w:eastAsia="Times New Roman"/>
                <w:sz w:val="20"/>
                <w:szCs w:val="20"/>
              </w:rPr>
            </w:pPr>
          </w:p>
        </w:tc>
        <w:tc>
          <w:tcPr>
            <w:tcW w:w="433" w:type="pct"/>
            <w:vAlign w:val="center"/>
            <w:hideMark/>
          </w:tcPr>
          <w:p w14:paraId="2377105C" w14:textId="77777777" w:rsidR="00000000" w:rsidRDefault="00EE5306">
            <w:pPr>
              <w:spacing w:after="100"/>
              <w:rPr>
                <w:rFonts w:eastAsia="Times New Roman"/>
                <w:sz w:val="20"/>
                <w:szCs w:val="20"/>
              </w:rPr>
            </w:pPr>
          </w:p>
        </w:tc>
        <w:tc>
          <w:tcPr>
            <w:tcW w:w="5" w:type="pct"/>
            <w:vAlign w:val="center"/>
            <w:hideMark/>
          </w:tcPr>
          <w:p w14:paraId="29BB67A6" w14:textId="77777777" w:rsidR="00000000" w:rsidRDefault="00EE5306">
            <w:pPr>
              <w:spacing w:after="100"/>
              <w:rPr>
                <w:rFonts w:eastAsia="Times New Roman"/>
                <w:sz w:val="20"/>
                <w:szCs w:val="20"/>
              </w:rPr>
            </w:pPr>
          </w:p>
        </w:tc>
      </w:tr>
      <w:tr w:rsidR="00000000" w14:paraId="796DE6E7" w14:textId="77777777">
        <w:trPr>
          <w:divId w:val="1312250314"/>
          <w:trHeight w:val="240"/>
        </w:trPr>
        <w:tc>
          <w:tcPr>
            <w:tcW w:w="0" w:type="auto"/>
            <w:gridSpan w:val="3"/>
            <w:vMerge w:val="restart"/>
            <w:tcMar>
              <w:top w:w="0" w:type="dxa"/>
              <w:left w:w="20" w:type="dxa"/>
              <w:bottom w:w="0" w:type="dxa"/>
              <w:right w:w="20" w:type="dxa"/>
            </w:tcMar>
            <w:vAlign w:val="center"/>
            <w:hideMark/>
          </w:tcPr>
          <w:p w14:paraId="0775666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E7447B" w14:textId="77777777" w:rsidR="00000000" w:rsidRDefault="00EE5306">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6C3AF733"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2D2A5B89"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D0661E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E77BB2"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8110CA" w14:textId="77777777" w:rsidR="00000000" w:rsidRDefault="00EE5306">
            <w:pPr>
              <w:spacing w:after="100"/>
              <w:rPr>
                <w:rFonts w:eastAsia="Times New Roman"/>
                <w:sz w:val="20"/>
                <w:szCs w:val="20"/>
              </w:rPr>
            </w:pPr>
          </w:p>
        </w:tc>
      </w:tr>
      <w:tr w:rsidR="00000000" w14:paraId="59A1189D" w14:textId="77777777">
        <w:trPr>
          <w:divId w:val="1312250314"/>
          <w:trHeight w:val="240"/>
        </w:trPr>
        <w:tc>
          <w:tcPr>
            <w:tcW w:w="0" w:type="auto"/>
            <w:gridSpan w:val="3"/>
            <w:vMerge/>
            <w:vAlign w:val="center"/>
            <w:hideMark/>
          </w:tcPr>
          <w:p w14:paraId="08401DBD"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C18BD7" w14:textId="77777777" w:rsidR="00000000" w:rsidRDefault="00EE530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21E8915" w14:textId="77777777" w:rsidR="00000000" w:rsidRDefault="00EE5306">
            <w:pPr>
              <w:spacing w:after="100"/>
              <w:jc w:val="center"/>
              <w:rPr>
                <w:rFonts w:eastAsia="Times New Roman"/>
              </w:rPr>
            </w:pPr>
            <w:r>
              <w:rPr>
                <w:rFonts w:eastAsia="Times New Roman"/>
                <w:b/>
                <w:bCs/>
                <w:color w:val="000000"/>
                <w:sz w:val="16"/>
                <w:szCs w:val="16"/>
              </w:rPr>
              <w:t>March 28, 2020</w:t>
            </w:r>
          </w:p>
        </w:tc>
        <w:tc>
          <w:tcPr>
            <w:tcW w:w="0" w:type="auto"/>
            <w:gridSpan w:val="3"/>
            <w:tcBorders>
              <w:top w:val="single" w:sz="8" w:space="0" w:color="000000"/>
            </w:tcBorders>
            <w:tcMar>
              <w:top w:w="0" w:type="dxa"/>
              <w:left w:w="20" w:type="dxa"/>
              <w:bottom w:w="0" w:type="dxa"/>
              <w:right w:w="20" w:type="dxa"/>
            </w:tcMar>
            <w:vAlign w:val="center"/>
            <w:hideMark/>
          </w:tcPr>
          <w:p w14:paraId="687D932A" w14:textId="77777777" w:rsidR="00000000" w:rsidRDefault="00EE530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483965E" w14:textId="77777777" w:rsidR="00000000" w:rsidRDefault="00EE5306">
            <w:pPr>
              <w:spacing w:after="100"/>
              <w:jc w:val="center"/>
              <w:rPr>
                <w:rFonts w:eastAsia="Times New Roman"/>
              </w:rPr>
            </w:pPr>
            <w:r>
              <w:rPr>
                <w:rFonts w:eastAsia="Times New Roman"/>
                <w:b/>
                <w:bCs/>
                <w:color w:val="000000"/>
                <w:sz w:val="16"/>
                <w:szCs w:val="16"/>
              </w:rPr>
              <w:t>March 30, 2019</w:t>
            </w:r>
          </w:p>
        </w:tc>
        <w:tc>
          <w:tcPr>
            <w:tcW w:w="0" w:type="auto"/>
            <w:gridSpan w:val="3"/>
            <w:tcMar>
              <w:top w:w="0" w:type="dxa"/>
              <w:left w:w="20" w:type="dxa"/>
              <w:bottom w:w="0" w:type="dxa"/>
              <w:right w:w="20" w:type="dxa"/>
            </w:tcMar>
            <w:vAlign w:val="center"/>
            <w:hideMark/>
          </w:tcPr>
          <w:p w14:paraId="372C520A"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A5424D2"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15684D"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4F2DE9" w14:textId="77777777" w:rsidR="00000000" w:rsidRDefault="00EE5306">
            <w:pPr>
              <w:spacing w:after="100"/>
              <w:rPr>
                <w:rFonts w:eastAsia="Times New Roman"/>
                <w:sz w:val="20"/>
                <w:szCs w:val="20"/>
              </w:rPr>
            </w:pPr>
          </w:p>
        </w:tc>
      </w:tr>
      <w:tr w:rsidR="00000000" w14:paraId="4E0E40F4" w14:textId="77777777">
        <w:trPr>
          <w:divId w:val="1312250314"/>
          <w:trHeight w:val="420"/>
        </w:trPr>
        <w:tc>
          <w:tcPr>
            <w:tcW w:w="0" w:type="auto"/>
            <w:gridSpan w:val="3"/>
            <w:vMerge/>
            <w:vAlign w:val="center"/>
            <w:hideMark/>
          </w:tcPr>
          <w:p w14:paraId="143A1821"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BC5C58"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C2F51D8"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p>
        </w:tc>
        <w:tc>
          <w:tcPr>
            <w:tcW w:w="0" w:type="auto"/>
            <w:gridSpan w:val="3"/>
            <w:tcBorders>
              <w:top w:val="single" w:sz="8" w:space="0" w:color="000000"/>
            </w:tcBorders>
            <w:tcMar>
              <w:top w:w="0" w:type="dxa"/>
              <w:left w:w="20" w:type="dxa"/>
              <w:bottom w:w="0" w:type="dxa"/>
              <w:right w:w="20" w:type="dxa"/>
            </w:tcMar>
            <w:vAlign w:val="center"/>
            <w:hideMark/>
          </w:tcPr>
          <w:p w14:paraId="7E6395F2"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7C53E2"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14:paraId="35AADF64"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48D472"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p>
        </w:tc>
        <w:tc>
          <w:tcPr>
            <w:tcW w:w="0" w:type="auto"/>
            <w:gridSpan w:val="3"/>
            <w:tcBorders>
              <w:top w:val="single" w:sz="8" w:space="0" w:color="000000"/>
            </w:tcBorders>
            <w:tcMar>
              <w:top w:w="0" w:type="dxa"/>
              <w:left w:w="20" w:type="dxa"/>
              <w:bottom w:w="0" w:type="dxa"/>
              <w:right w:w="20" w:type="dxa"/>
            </w:tcMar>
            <w:vAlign w:val="center"/>
            <w:hideMark/>
          </w:tcPr>
          <w:p w14:paraId="400B0071"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1CBF9A"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14:paraId="46EF3489"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1BF5172" w14:textId="77777777" w:rsidR="00000000" w:rsidRDefault="00EE5306">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14:paraId="03A47A61"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F7874C" w14:textId="77777777" w:rsidR="00000000" w:rsidRDefault="00EE5306">
            <w:pPr>
              <w:spacing w:after="100"/>
              <w:jc w:val="center"/>
              <w:rPr>
                <w:rFonts w:eastAsia="Times New Roman"/>
              </w:rPr>
            </w:pPr>
            <w:r>
              <w:rPr>
                <w:rFonts w:eastAsia="Times New Roman"/>
                <w:b/>
                <w:bCs/>
                <w:color w:val="000000"/>
                <w:sz w:val="16"/>
                <w:szCs w:val="16"/>
              </w:rPr>
              <w:t>Margin</w:t>
            </w:r>
            <w:r>
              <w:rPr>
                <w:rFonts w:eastAsia="Times New Roman"/>
                <w:b/>
                <w:bCs/>
                <w:color w:val="000000"/>
                <w:sz w:val="16"/>
                <w:szCs w:val="16"/>
              </w:rPr>
              <w:br/>
              <w:t>Change</w:t>
            </w:r>
          </w:p>
        </w:tc>
      </w:tr>
      <w:tr w:rsidR="00000000" w14:paraId="60AB5370" w14:textId="77777777">
        <w:trPr>
          <w:divId w:val="1312250314"/>
          <w:trHeight w:val="240"/>
        </w:trPr>
        <w:tc>
          <w:tcPr>
            <w:tcW w:w="0" w:type="auto"/>
            <w:gridSpan w:val="3"/>
            <w:vMerge/>
            <w:vAlign w:val="center"/>
            <w:hideMark/>
          </w:tcPr>
          <w:p w14:paraId="13DEC263"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D3F919"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082992"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122F98B0"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70158D3"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B97C08"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BD80F87"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2AD898F8"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2711D5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804643"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C144B23"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41934C8A"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AEC2745" w14:textId="77777777" w:rsidR="00000000" w:rsidRDefault="00EE5306">
            <w:pPr>
              <w:spacing w:after="100"/>
              <w:rPr>
                <w:rFonts w:eastAsia="Times New Roman"/>
                <w:sz w:val="20"/>
                <w:szCs w:val="20"/>
              </w:rPr>
            </w:pPr>
          </w:p>
        </w:tc>
      </w:tr>
      <w:tr w:rsidR="00000000" w14:paraId="6449D421" w14:textId="77777777">
        <w:trPr>
          <w:divId w:val="1312250314"/>
        </w:trPr>
        <w:tc>
          <w:tcPr>
            <w:tcW w:w="0" w:type="auto"/>
            <w:gridSpan w:val="3"/>
            <w:shd w:val="clear" w:color="auto" w:fill="CCEEFF"/>
            <w:tcMar>
              <w:top w:w="30" w:type="dxa"/>
              <w:left w:w="20" w:type="dxa"/>
              <w:bottom w:w="30" w:type="dxa"/>
              <w:right w:w="20" w:type="dxa"/>
            </w:tcMar>
            <w:vAlign w:val="bottom"/>
            <w:hideMark/>
          </w:tcPr>
          <w:p w14:paraId="27ACD392" w14:textId="77777777" w:rsidR="00000000" w:rsidRDefault="00EE5306">
            <w:pPr>
              <w:spacing w:after="100"/>
              <w:rPr>
                <w:rFonts w:eastAsia="Times New Roman"/>
              </w:rPr>
            </w:pPr>
            <w:r>
              <w:rPr>
                <w:rFonts w:eastAsia="Times New Roman"/>
                <w:b/>
                <w:bCs/>
                <w:color w:val="000000"/>
                <w:sz w:val="20"/>
                <w:szCs w:val="20"/>
              </w:rPr>
              <w:t>Segment:</w:t>
            </w:r>
          </w:p>
        </w:tc>
        <w:tc>
          <w:tcPr>
            <w:tcW w:w="0" w:type="auto"/>
            <w:gridSpan w:val="3"/>
            <w:shd w:val="clear" w:color="auto" w:fill="CCEEFF"/>
            <w:tcMar>
              <w:top w:w="0" w:type="dxa"/>
              <w:left w:w="20" w:type="dxa"/>
              <w:bottom w:w="0" w:type="dxa"/>
              <w:right w:w="20" w:type="dxa"/>
            </w:tcMar>
            <w:vAlign w:val="center"/>
            <w:hideMark/>
          </w:tcPr>
          <w:p w14:paraId="2C3D4063"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BE03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359E6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0AE25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9AB07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6FFB2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01E22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4EB33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3EEB4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D5AF0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A8996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10DF0E" w14:textId="77777777" w:rsidR="00000000" w:rsidRDefault="00EE5306">
            <w:pPr>
              <w:spacing w:after="100"/>
              <w:rPr>
                <w:rFonts w:eastAsia="Times New Roman"/>
                <w:sz w:val="20"/>
                <w:szCs w:val="20"/>
              </w:rPr>
            </w:pPr>
          </w:p>
        </w:tc>
      </w:tr>
      <w:tr w:rsidR="00000000" w14:paraId="164CC312" w14:textId="77777777">
        <w:trPr>
          <w:divId w:val="1312250314"/>
        </w:trPr>
        <w:tc>
          <w:tcPr>
            <w:tcW w:w="0" w:type="auto"/>
            <w:gridSpan w:val="3"/>
            <w:shd w:val="clear" w:color="auto" w:fill="FFFFFF"/>
            <w:tcMar>
              <w:top w:w="30" w:type="dxa"/>
              <w:left w:w="155" w:type="dxa"/>
              <w:bottom w:w="30" w:type="dxa"/>
              <w:right w:w="20" w:type="dxa"/>
            </w:tcMar>
            <w:vAlign w:val="bottom"/>
            <w:hideMark/>
          </w:tcPr>
          <w:p w14:paraId="7F5BF118"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14:paraId="053D1045"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2A5E5E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72C484" w14:textId="77777777" w:rsidR="00000000" w:rsidRDefault="00EE5306">
            <w:pPr>
              <w:spacing w:after="100"/>
              <w:jc w:val="right"/>
              <w:rPr>
                <w:rFonts w:eastAsia="Times New Roman"/>
              </w:rPr>
            </w:pPr>
            <w:r>
              <w:rPr>
                <w:rFonts w:eastAsia="Times New Roman"/>
                <w:color w:val="000000"/>
                <w:sz w:val="20"/>
                <w:szCs w:val="20"/>
              </w:rPr>
              <w:t>456.0 </w:t>
            </w:r>
          </w:p>
        </w:tc>
        <w:tc>
          <w:tcPr>
            <w:tcW w:w="0" w:type="auto"/>
            <w:shd w:val="clear" w:color="auto" w:fill="FFFFFF"/>
            <w:tcMar>
              <w:top w:w="30" w:type="dxa"/>
              <w:left w:w="0" w:type="dxa"/>
              <w:bottom w:w="30" w:type="dxa"/>
              <w:right w:w="20" w:type="dxa"/>
            </w:tcMar>
            <w:vAlign w:val="bottom"/>
            <w:hideMark/>
          </w:tcPr>
          <w:p w14:paraId="2AE9A26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7B723"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30992C5" w14:textId="77777777" w:rsidR="00000000" w:rsidRDefault="00EE5306">
            <w:pPr>
              <w:spacing w:after="100"/>
              <w:jc w:val="center"/>
              <w:rPr>
                <w:rFonts w:eastAsia="Times New Roman"/>
              </w:rPr>
            </w:pPr>
            <w:r>
              <w:rPr>
                <w:rFonts w:eastAsia="Times New Roman"/>
                <w:color w:val="000000"/>
                <w:sz w:val="20"/>
                <w:szCs w:val="20"/>
              </w:rPr>
              <w:t>14.5%</w:t>
            </w:r>
          </w:p>
        </w:tc>
        <w:tc>
          <w:tcPr>
            <w:tcW w:w="0" w:type="auto"/>
            <w:gridSpan w:val="3"/>
            <w:shd w:val="clear" w:color="auto" w:fill="FFFFFF"/>
            <w:tcMar>
              <w:top w:w="0" w:type="dxa"/>
              <w:left w:w="20" w:type="dxa"/>
              <w:bottom w:w="0" w:type="dxa"/>
              <w:right w:w="20" w:type="dxa"/>
            </w:tcMar>
            <w:vAlign w:val="center"/>
            <w:hideMark/>
          </w:tcPr>
          <w:p w14:paraId="415051A7" w14:textId="77777777" w:rsidR="00000000" w:rsidRDefault="00EE5306">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41595573"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2FF831" w14:textId="77777777" w:rsidR="00000000" w:rsidRDefault="00EE5306">
            <w:pPr>
              <w:spacing w:after="100"/>
              <w:jc w:val="right"/>
              <w:rPr>
                <w:rFonts w:eastAsia="Times New Roman"/>
              </w:rPr>
            </w:pPr>
            <w:r>
              <w:rPr>
                <w:rFonts w:eastAsia="Times New Roman"/>
                <w:color w:val="000000"/>
                <w:sz w:val="20"/>
                <w:szCs w:val="20"/>
              </w:rPr>
              <w:t>655.8 </w:t>
            </w:r>
          </w:p>
        </w:tc>
        <w:tc>
          <w:tcPr>
            <w:tcW w:w="0" w:type="auto"/>
            <w:shd w:val="clear" w:color="auto" w:fill="FFFFFF"/>
            <w:tcMar>
              <w:top w:w="30" w:type="dxa"/>
              <w:left w:w="0" w:type="dxa"/>
              <w:bottom w:w="30" w:type="dxa"/>
              <w:right w:w="20" w:type="dxa"/>
            </w:tcMar>
            <w:vAlign w:val="bottom"/>
            <w:hideMark/>
          </w:tcPr>
          <w:p w14:paraId="1A513A5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884A2"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84510F2" w14:textId="77777777" w:rsidR="00000000" w:rsidRDefault="00EE5306">
            <w:pPr>
              <w:spacing w:after="100"/>
              <w:jc w:val="center"/>
              <w:rPr>
                <w:rFonts w:eastAsia="Times New Roman"/>
              </w:rPr>
            </w:pPr>
            <w:r>
              <w:rPr>
                <w:rFonts w:eastAsia="Times New Roman"/>
                <w:color w:val="000000"/>
                <w:sz w:val="20"/>
                <w:szCs w:val="20"/>
              </w:rPr>
              <w:t>20.5%</w:t>
            </w:r>
          </w:p>
        </w:tc>
        <w:tc>
          <w:tcPr>
            <w:tcW w:w="0" w:type="auto"/>
            <w:gridSpan w:val="3"/>
            <w:shd w:val="clear" w:color="auto" w:fill="FFFFFF"/>
            <w:tcMar>
              <w:top w:w="0" w:type="dxa"/>
              <w:left w:w="20" w:type="dxa"/>
              <w:bottom w:w="0" w:type="dxa"/>
              <w:right w:w="20" w:type="dxa"/>
            </w:tcMar>
            <w:vAlign w:val="center"/>
            <w:hideMark/>
          </w:tcPr>
          <w:p w14:paraId="1CA7E271" w14:textId="77777777" w:rsidR="00000000" w:rsidRDefault="00EE5306">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6FA6CA5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AC40EB" w14:textId="77777777" w:rsidR="00000000" w:rsidRDefault="00EE5306">
            <w:pPr>
              <w:spacing w:after="100"/>
              <w:jc w:val="right"/>
              <w:rPr>
                <w:rFonts w:eastAsia="Times New Roman"/>
              </w:rPr>
            </w:pPr>
            <w:r>
              <w:rPr>
                <w:rFonts w:eastAsia="Times New Roman"/>
                <w:color w:val="000000"/>
                <w:sz w:val="20"/>
                <w:szCs w:val="20"/>
              </w:rPr>
              <w:t>(199.8)</w:t>
            </w:r>
          </w:p>
        </w:tc>
        <w:tc>
          <w:tcPr>
            <w:tcW w:w="0" w:type="auto"/>
            <w:shd w:val="clear" w:color="auto" w:fill="FFFFFF"/>
            <w:tcMar>
              <w:top w:w="30" w:type="dxa"/>
              <w:left w:w="0" w:type="dxa"/>
              <w:bottom w:w="30" w:type="dxa"/>
              <w:right w:w="20" w:type="dxa"/>
            </w:tcMar>
            <w:vAlign w:val="bottom"/>
            <w:hideMark/>
          </w:tcPr>
          <w:p w14:paraId="274359E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CC75C"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9D90975" w14:textId="77777777" w:rsidR="00000000" w:rsidRDefault="00EE5306">
            <w:pPr>
              <w:spacing w:after="100"/>
              <w:jc w:val="center"/>
              <w:rPr>
                <w:rFonts w:eastAsia="Times New Roman"/>
              </w:rPr>
            </w:pPr>
            <w:r>
              <w:rPr>
                <w:rFonts w:eastAsia="Times New Roman"/>
                <w:color w:val="000000"/>
                <w:sz w:val="20"/>
                <w:szCs w:val="20"/>
              </w:rPr>
              <w:t>(600 bps)</w:t>
            </w:r>
          </w:p>
        </w:tc>
      </w:tr>
      <w:tr w:rsidR="00000000" w14:paraId="28522950" w14:textId="77777777">
        <w:trPr>
          <w:divId w:val="1312250314"/>
        </w:trPr>
        <w:tc>
          <w:tcPr>
            <w:tcW w:w="0" w:type="auto"/>
            <w:gridSpan w:val="3"/>
            <w:shd w:val="clear" w:color="auto" w:fill="CCEEFF"/>
            <w:tcMar>
              <w:top w:w="30" w:type="dxa"/>
              <w:left w:w="155" w:type="dxa"/>
              <w:bottom w:w="30" w:type="dxa"/>
              <w:right w:w="20" w:type="dxa"/>
            </w:tcMar>
            <w:vAlign w:val="bottom"/>
            <w:hideMark/>
          </w:tcPr>
          <w:p w14:paraId="19E43CDE"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14:paraId="63FFD46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83953B" w14:textId="77777777" w:rsidR="00000000" w:rsidRDefault="00EE5306">
            <w:pPr>
              <w:spacing w:after="100"/>
              <w:jc w:val="right"/>
              <w:rPr>
                <w:rFonts w:eastAsia="Times New Roman"/>
              </w:rPr>
            </w:pPr>
            <w:r>
              <w:rPr>
                <w:rFonts w:eastAsia="Times New Roman"/>
                <w:color w:val="000000"/>
                <w:sz w:val="20"/>
                <w:szCs w:val="20"/>
              </w:rPr>
              <w:t>336.3 </w:t>
            </w:r>
          </w:p>
        </w:tc>
        <w:tc>
          <w:tcPr>
            <w:tcW w:w="0" w:type="auto"/>
            <w:shd w:val="clear" w:color="auto" w:fill="CCEEFF"/>
            <w:tcMar>
              <w:top w:w="30" w:type="dxa"/>
              <w:left w:w="0" w:type="dxa"/>
              <w:bottom w:w="30" w:type="dxa"/>
              <w:right w:w="20" w:type="dxa"/>
            </w:tcMar>
            <w:vAlign w:val="bottom"/>
            <w:hideMark/>
          </w:tcPr>
          <w:p w14:paraId="1B00EC4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50C3B"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E62DBE5" w14:textId="77777777" w:rsidR="00000000" w:rsidRDefault="00EE5306">
            <w:pPr>
              <w:spacing w:after="100"/>
              <w:jc w:val="center"/>
              <w:rPr>
                <w:rFonts w:eastAsia="Times New Roman"/>
              </w:rPr>
            </w:pPr>
            <w:r>
              <w:rPr>
                <w:rFonts w:eastAsia="Times New Roman"/>
                <w:color w:val="000000"/>
                <w:sz w:val="20"/>
                <w:szCs w:val="20"/>
              </w:rPr>
              <w:t>20.6%</w:t>
            </w:r>
          </w:p>
        </w:tc>
        <w:tc>
          <w:tcPr>
            <w:tcW w:w="0" w:type="auto"/>
            <w:gridSpan w:val="3"/>
            <w:shd w:val="clear" w:color="auto" w:fill="CCEEFF"/>
            <w:tcMar>
              <w:top w:w="0" w:type="dxa"/>
              <w:left w:w="20" w:type="dxa"/>
              <w:bottom w:w="0" w:type="dxa"/>
              <w:right w:w="20" w:type="dxa"/>
            </w:tcMar>
            <w:vAlign w:val="center"/>
            <w:hideMark/>
          </w:tcPr>
          <w:p w14:paraId="119ABD55"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5E10E2" w14:textId="77777777" w:rsidR="00000000" w:rsidRDefault="00EE5306">
            <w:pPr>
              <w:spacing w:after="100"/>
              <w:jc w:val="right"/>
              <w:rPr>
                <w:rFonts w:eastAsia="Times New Roman"/>
              </w:rPr>
            </w:pPr>
            <w:r>
              <w:rPr>
                <w:rFonts w:eastAsia="Times New Roman"/>
                <w:color w:val="000000"/>
                <w:sz w:val="20"/>
                <w:szCs w:val="20"/>
              </w:rPr>
              <w:t>392.8 </w:t>
            </w:r>
          </w:p>
        </w:tc>
        <w:tc>
          <w:tcPr>
            <w:tcW w:w="0" w:type="auto"/>
            <w:shd w:val="clear" w:color="auto" w:fill="CCEEFF"/>
            <w:tcMar>
              <w:top w:w="30" w:type="dxa"/>
              <w:left w:w="0" w:type="dxa"/>
              <w:bottom w:w="30" w:type="dxa"/>
              <w:right w:w="20" w:type="dxa"/>
            </w:tcMar>
            <w:vAlign w:val="bottom"/>
            <w:hideMark/>
          </w:tcPr>
          <w:p w14:paraId="4BBAB85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EE6C1"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9274B55" w14:textId="77777777" w:rsidR="00000000" w:rsidRDefault="00EE5306">
            <w:pPr>
              <w:spacing w:after="100"/>
              <w:jc w:val="center"/>
              <w:rPr>
                <w:rFonts w:eastAsia="Times New Roman"/>
              </w:rPr>
            </w:pPr>
            <w:r>
              <w:rPr>
                <w:rFonts w:eastAsia="Times New Roman"/>
                <w:color w:val="000000"/>
                <w:sz w:val="20"/>
                <w:szCs w:val="20"/>
              </w:rPr>
              <w:t>23.3%</w:t>
            </w:r>
          </w:p>
        </w:tc>
        <w:tc>
          <w:tcPr>
            <w:tcW w:w="0" w:type="auto"/>
            <w:gridSpan w:val="3"/>
            <w:shd w:val="clear" w:color="auto" w:fill="CCEEFF"/>
            <w:tcMar>
              <w:top w:w="0" w:type="dxa"/>
              <w:left w:w="20" w:type="dxa"/>
              <w:bottom w:w="0" w:type="dxa"/>
              <w:right w:w="20" w:type="dxa"/>
            </w:tcMar>
            <w:vAlign w:val="center"/>
            <w:hideMark/>
          </w:tcPr>
          <w:p w14:paraId="2381F830"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1B0A06" w14:textId="77777777" w:rsidR="00000000" w:rsidRDefault="00EE5306">
            <w:pPr>
              <w:spacing w:after="100"/>
              <w:jc w:val="right"/>
              <w:rPr>
                <w:rFonts w:eastAsia="Times New Roman"/>
              </w:rPr>
            </w:pPr>
            <w:r>
              <w:rPr>
                <w:rFonts w:eastAsia="Times New Roman"/>
                <w:color w:val="000000"/>
                <w:sz w:val="20"/>
                <w:szCs w:val="20"/>
              </w:rPr>
              <w:t>(56.5)</w:t>
            </w:r>
          </w:p>
        </w:tc>
        <w:tc>
          <w:tcPr>
            <w:tcW w:w="0" w:type="auto"/>
            <w:shd w:val="clear" w:color="auto" w:fill="CCEEFF"/>
            <w:tcMar>
              <w:top w:w="30" w:type="dxa"/>
              <w:left w:w="0" w:type="dxa"/>
              <w:bottom w:w="30" w:type="dxa"/>
              <w:right w:w="20" w:type="dxa"/>
            </w:tcMar>
            <w:vAlign w:val="bottom"/>
            <w:hideMark/>
          </w:tcPr>
          <w:p w14:paraId="445C780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64578"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653CFA8" w14:textId="77777777" w:rsidR="00000000" w:rsidRDefault="00EE5306">
            <w:pPr>
              <w:spacing w:after="100"/>
              <w:jc w:val="center"/>
              <w:rPr>
                <w:rFonts w:eastAsia="Times New Roman"/>
              </w:rPr>
            </w:pPr>
            <w:r>
              <w:rPr>
                <w:rFonts w:eastAsia="Times New Roman"/>
                <w:color w:val="000000"/>
                <w:sz w:val="20"/>
                <w:szCs w:val="20"/>
              </w:rPr>
              <w:t>(270 bps)</w:t>
            </w:r>
          </w:p>
        </w:tc>
      </w:tr>
      <w:tr w:rsidR="00000000" w14:paraId="1CC6A8BF" w14:textId="77777777">
        <w:trPr>
          <w:divId w:val="1312250314"/>
        </w:trPr>
        <w:tc>
          <w:tcPr>
            <w:tcW w:w="0" w:type="auto"/>
            <w:gridSpan w:val="3"/>
            <w:shd w:val="clear" w:color="auto" w:fill="FFFFFF"/>
            <w:tcMar>
              <w:top w:w="30" w:type="dxa"/>
              <w:left w:w="155" w:type="dxa"/>
              <w:bottom w:w="30" w:type="dxa"/>
              <w:right w:w="20" w:type="dxa"/>
            </w:tcMar>
            <w:vAlign w:val="bottom"/>
            <w:hideMark/>
          </w:tcPr>
          <w:p w14:paraId="7307AE43"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14:paraId="08B53621"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EA5825" w14:textId="77777777" w:rsidR="00000000" w:rsidRDefault="00EE5306">
            <w:pPr>
              <w:spacing w:after="100"/>
              <w:jc w:val="right"/>
              <w:rPr>
                <w:rFonts w:eastAsia="Times New Roman"/>
              </w:rPr>
            </w:pPr>
            <w:r>
              <w:rPr>
                <w:rFonts w:eastAsia="Times New Roman"/>
                <w:color w:val="000000"/>
                <w:sz w:val="20"/>
                <w:szCs w:val="20"/>
              </w:rPr>
              <w:t>124.8 </w:t>
            </w:r>
          </w:p>
        </w:tc>
        <w:tc>
          <w:tcPr>
            <w:tcW w:w="0" w:type="auto"/>
            <w:shd w:val="clear" w:color="auto" w:fill="FFFFFF"/>
            <w:tcMar>
              <w:top w:w="30" w:type="dxa"/>
              <w:left w:w="0" w:type="dxa"/>
              <w:bottom w:w="30" w:type="dxa"/>
              <w:right w:w="20" w:type="dxa"/>
            </w:tcMar>
            <w:vAlign w:val="bottom"/>
            <w:hideMark/>
          </w:tcPr>
          <w:p w14:paraId="7B445A3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458A22"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ED0FCF6" w14:textId="77777777" w:rsidR="00000000" w:rsidRDefault="00EE5306">
            <w:pPr>
              <w:spacing w:after="100"/>
              <w:jc w:val="center"/>
              <w:rPr>
                <w:rFonts w:eastAsia="Times New Roman"/>
              </w:rPr>
            </w:pPr>
            <w:r>
              <w:rPr>
                <w:rFonts w:eastAsia="Times New Roman"/>
                <w:color w:val="000000"/>
                <w:sz w:val="20"/>
                <w:szCs w:val="20"/>
              </w:rPr>
              <w:t>12.3%</w:t>
            </w:r>
          </w:p>
        </w:tc>
        <w:tc>
          <w:tcPr>
            <w:tcW w:w="0" w:type="auto"/>
            <w:gridSpan w:val="3"/>
            <w:shd w:val="clear" w:color="auto" w:fill="FFFFFF"/>
            <w:tcMar>
              <w:top w:w="0" w:type="dxa"/>
              <w:left w:w="20" w:type="dxa"/>
              <w:bottom w:w="0" w:type="dxa"/>
              <w:right w:w="20" w:type="dxa"/>
            </w:tcMar>
            <w:vAlign w:val="center"/>
            <w:hideMark/>
          </w:tcPr>
          <w:p w14:paraId="62855590" w14:textId="77777777" w:rsidR="00000000" w:rsidRDefault="00EE530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305A3E" w14:textId="77777777" w:rsidR="00000000" w:rsidRDefault="00EE5306">
            <w:pPr>
              <w:spacing w:after="100"/>
              <w:jc w:val="right"/>
              <w:rPr>
                <w:rFonts w:eastAsia="Times New Roman"/>
              </w:rPr>
            </w:pPr>
            <w:r>
              <w:rPr>
                <w:rFonts w:eastAsia="Times New Roman"/>
                <w:color w:val="000000"/>
                <w:sz w:val="20"/>
                <w:szCs w:val="20"/>
              </w:rPr>
              <w:t>161.0 </w:t>
            </w:r>
          </w:p>
        </w:tc>
        <w:tc>
          <w:tcPr>
            <w:tcW w:w="0" w:type="auto"/>
            <w:shd w:val="clear" w:color="auto" w:fill="FFFFFF"/>
            <w:tcMar>
              <w:top w:w="30" w:type="dxa"/>
              <w:left w:w="0" w:type="dxa"/>
              <w:bottom w:w="30" w:type="dxa"/>
              <w:right w:w="20" w:type="dxa"/>
            </w:tcMar>
            <w:vAlign w:val="bottom"/>
            <w:hideMark/>
          </w:tcPr>
          <w:p w14:paraId="4A02C9B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0B550"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E389D5E" w14:textId="77777777" w:rsidR="00000000" w:rsidRDefault="00EE5306">
            <w:pPr>
              <w:spacing w:after="100"/>
              <w:jc w:val="center"/>
              <w:rPr>
                <w:rFonts w:eastAsia="Times New Roman"/>
              </w:rPr>
            </w:pPr>
            <w:r>
              <w:rPr>
                <w:rFonts w:eastAsia="Times New Roman"/>
                <w:color w:val="000000"/>
                <w:sz w:val="20"/>
                <w:szCs w:val="20"/>
              </w:rPr>
              <w:t>15.5%</w:t>
            </w:r>
          </w:p>
        </w:tc>
        <w:tc>
          <w:tcPr>
            <w:tcW w:w="0" w:type="auto"/>
            <w:gridSpan w:val="3"/>
            <w:shd w:val="clear" w:color="auto" w:fill="FFFFFF"/>
            <w:tcMar>
              <w:top w:w="0" w:type="dxa"/>
              <w:left w:w="20" w:type="dxa"/>
              <w:bottom w:w="0" w:type="dxa"/>
              <w:right w:w="20" w:type="dxa"/>
            </w:tcMar>
            <w:vAlign w:val="center"/>
            <w:hideMark/>
          </w:tcPr>
          <w:p w14:paraId="5CFA2126" w14:textId="77777777" w:rsidR="00000000" w:rsidRDefault="00EE530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D68E58" w14:textId="77777777" w:rsidR="00000000" w:rsidRDefault="00EE5306">
            <w:pPr>
              <w:spacing w:after="100"/>
              <w:jc w:val="right"/>
              <w:rPr>
                <w:rFonts w:eastAsia="Times New Roman"/>
              </w:rPr>
            </w:pPr>
            <w:r>
              <w:rPr>
                <w:rFonts w:eastAsia="Times New Roman"/>
                <w:color w:val="000000"/>
                <w:sz w:val="20"/>
                <w:szCs w:val="20"/>
              </w:rPr>
              <w:t>(36.2)</w:t>
            </w:r>
          </w:p>
        </w:tc>
        <w:tc>
          <w:tcPr>
            <w:tcW w:w="0" w:type="auto"/>
            <w:shd w:val="clear" w:color="auto" w:fill="FFFFFF"/>
            <w:tcMar>
              <w:top w:w="30" w:type="dxa"/>
              <w:left w:w="0" w:type="dxa"/>
              <w:bottom w:w="30" w:type="dxa"/>
              <w:right w:w="20" w:type="dxa"/>
            </w:tcMar>
            <w:vAlign w:val="bottom"/>
            <w:hideMark/>
          </w:tcPr>
          <w:p w14:paraId="7C1F69C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A171E"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5C5B53C" w14:textId="77777777" w:rsidR="00000000" w:rsidRDefault="00EE5306">
            <w:pPr>
              <w:spacing w:after="100"/>
              <w:jc w:val="center"/>
              <w:rPr>
                <w:rFonts w:eastAsia="Times New Roman"/>
              </w:rPr>
            </w:pPr>
            <w:r>
              <w:rPr>
                <w:rFonts w:eastAsia="Times New Roman"/>
                <w:color w:val="000000"/>
                <w:sz w:val="20"/>
                <w:szCs w:val="20"/>
              </w:rPr>
              <w:t>(320 bps)</w:t>
            </w:r>
          </w:p>
        </w:tc>
      </w:tr>
      <w:tr w:rsidR="00000000" w14:paraId="1AAB90EA" w14:textId="77777777">
        <w:trPr>
          <w:divId w:val="1312250314"/>
        </w:trPr>
        <w:tc>
          <w:tcPr>
            <w:tcW w:w="0" w:type="auto"/>
            <w:gridSpan w:val="3"/>
            <w:shd w:val="clear" w:color="auto" w:fill="CCEEFF"/>
            <w:tcMar>
              <w:top w:w="30" w:type="dxa"/>
              <w:left w:w="155" w:type="dxa"/>
              <w:bottom w:w="30" w:type="dxa"/>
              <w:right w:w="20" w:type="dxa"/>
            </w:tcMar>
            <w:vAlign w:val="bottom"/>
            <w:hideMark/>
          </w:tcPr>
          <w:p w14:paraId="0C447B16"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14:paraId="3A32AA59"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BDEA61" w14:textId="77777777" w:rsidR="00000000" w:rsidRDefault="00EE5306">
            <w:pPr>
              <w:spacing w:after="100"/>
              <w:jc w:val="right"/>
              <w:rPr>
                <w:rFonts w:eastAsia="Times New Roman"/>
              </w:rPr>
            </w:pPr>
            <w:r>
              <w:rPr>
                <w:rFonts w:eastAsia="Times New Roman"/>
                <w:color w:val="000000"/>
                <w:sz w:val="20"/>
                <w:szCs w:val="20"/>
              </w:rPr>
              <w:t>85.2 </w:t>
            </w:r>
          </w:p>
        </w:tc>
        <w:tc>
          <w:tcPr>
            <w:tcW w:w="0" w:type="auto"/>
            <w:shd w:val="clear" w:color="auto" w:fill="CCEEFF"/>
            <w:tcMar>
              <w:top w:w="30" w:type="dxa"/>
              <w:left w:w="0" w:type="dxa"/>
              <w:bottom w:w="30" w:type="dxa"/>
              <w:right w:w="20" w:type="dxa"/>
            </w:tcMar>
            <w:vAlign w:val="bottom"/>
            <w:hideMark/>
          </w:tcPr>
          <w:p w14:paraId="44D5611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B28CB"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658C15F" w14:textId="77777777" w:rsidR="00000000" w:rsidRDefault="00EE5306">
            <w:pPr>
              <w:spacing w:after="100"/>
              <w:jc w:val="center"/>
              <w:rPr>
                <w:rFonts w:eastAsia="Times New Roman"/>
              </w:rPr>
            </w:pPr>
            <w:r>
              <w:rPr>
                <w:rFonts w:eastAsia="Times New Roman"/>
                <w:color w:val="000000"/>
                <w:sz w:val="20"/>
                <w:szCs w:val="20"/>
              </w:rPr>
              <w:t>23.0%</w:t>
            </w:r>
          </w:p>
        </w:tc>
        <w:tc>
          <w:tcPr>
            <w:tcW w:w="0" w:type="auto"/>
            <w:gridSpan w:val="3"/>
            <w:shd w:val="clear" w:color="auto" w:fill="CCEEFF"/>
            <w:tcMar>
              <w:top w:w="0" w:type="dxa"/>
              <w:left w:w="20" w:type="dxa"/>
              <w:bottom w:w="0" w:type="dxa"/>
              <w:right w:w="20" w:type="dxa"/>
            </w:tcMar>
            <w:vAlign w:val="center"/>
            <w:hideMark/>
          </w:tcPr>
          <w:p w14:paraId="75FF3A3E"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6A4978" w14:textId="77777777" w:rsidR="00000000" w:rsidRDefault="00EE5306">
            <w:pPr>
              <w:spacing w:after="100"/>
              <w:jc w:val="right"/>
              <w:rPr>
                <w:rFonts w:eastAsia="Times New Roman"/>
              </w:rPr>
            </w:pPr>
            <w:r>
              <w:rPr>
                <w:rFonts w:eastAsia="Times New Roman"/>
                <w:color w:val="000000"/>
                <w:sz w:val="20"/>
                <w:szCs w:val="20"/>
              </w:rPr>
              <w:t>118.7 </w:t>
            </w:r>
          </w:p>
        </w:tc>
        <w:tc>
          <w:tcPr>
            <w:tcW w:w="0" w:type="auto"/>
            <w:shd w:val="clear" w:color="auto" w:fill="CCEEFF"/>
            <w:tcMar>
              <w:top w:w="30" w:type="dxa"/>
              <w:left w:w="0" w:type="dxa"/>
              <w:bottom w:w="30" w:type="dxa"/>
              <w:right w:w="20" w:type="dxa"/>
            </w:tcMar>
            <w:vAlign w:val="bottom"/>
            <w:hideMark/>
          </w:tcPr>
          <w:p w14:paraId="17915EA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81EC1"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9F0AAE7" w14:textId="77777777" w:rsidR="00000000" w:rsidRDefault="00EE5306">
            <w:pPr>
              <w:spacing w:after="100"/>
              <w:jc w:val="center"/>
              <w:rPr>
                <w:rFonts w:eastAsia="Times New Roman"/>
              </w:rPr>
            </w:pPr>
            <w:r>
              <w:rPr>
                <w:rFonts w:eastAsia="Times New Roman"/>
                <w:color w:val="000000"/>
                <w:sz w:val="20"/>
                <w:szCs w:val="20"/>
              </w:rPr>
              <w:t>30.7%</w:t>
            </w:r>
          </w:p>
        </w:tc>
        <w:tc>
          <w:tcPr>
            <w:tcW w:w="0" w:type="auto"/>
            <w:gridSpan w:val="3"/>
            <w:shd w:val="clear" w:color="auto" w:fill="CCEEFF"/>
            <w:tcMar>
              <w:top w:w="0" w:type="dxa"/>
              <w:left w:w="20" w:type="dxa"/>
              <w:bottom w:w="0" w:type="dxa"/>
              <w:right w:w="20" w:type="dxa"/>
            </w:tcMar>
            <w:vAlign w:val="center"/>
            <w:hideMark/>
          </w:tcPr>
          <w:p w14:paraId="50D9431F"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F0E8FC" w14:textId="77777777" w:rsidR="00000000" w:rsidRDefault="00EE5306">
            <w:pPr>
              <w:spacing w:after="100"/>
              <w:jc w:val="right"/>
              <w:rPr>
                <w:rFonts w:eastAsia="Times New Roman"/>
              </w:rPr>
            </w:pPr>
            <w:r>
              <w:rPr>
                <w:rFonts w:eastAsia="Times New Roman"/>
                <w:color w:val="000000"/>
                <w:sz w:val="20"/>
                <w:szCs w:val="20"/>
              </w:rPr>
              <w:t>(33.5)</w:t>
            </w:r>
          </w:p>
        </w:tc>
        <w:tc>
          <w:tcPr>
            <w:tcW w:w="0" w:type="auto"/>
            <w:shd w:val="clear" w:color="auto" w:fill="CCEEFF"/>
            <w:tcMar>
              <w:top w:w="30" w:type="dxa"/>
              <w:left w:w="0" w:type="dxa"/>
              <w:bottom w:w="30" w:type="dxa"/>
              <w:right w:w="20" w:type="dxa"/>
            </w:tcMar>
            <w:vAlign w:val="bottom"/>
            <w:hideMark/>
          </w:tcPr>
          <w:p w14:paraId="6A26D48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415BC"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DB2AD35" w14:textId="77777777" w:rsidR="00000000" w:rsidRDefault="00EE5306">
            <w:pPr>
              <w:spacing w:after="100"/>
              <w:jc w:val="center"/>
              <w:rPr>
                <w:rFonts w:eastAsia="Times New Roman"/>
              </w:rPr>
            </w:pPr>
            <w:r>
              <w:rPr>
                <w:rFonts w:eastAsia="Times New Roman"/>
                <w:color w:val="000000"/>
                <w:sz w:val="20"/>
                <w:szCs w:val="20"/>
              </w:rPr>
              <w:t>(770 bps)</w:t>
            </w:r>
          </w:p>
        </w:tc>
      </w:tr>
      <w:tr w:rsidR="00000000" w14:paraId="715413E3" w14:textId="77777777">
        <w:trPr>
          <w:divId w:val="1312250314"/>
        </w:trPr>
        <w:tc>
          <w:tcPr>
            <w:tcW w:w="0" w:type="auto"/>
            <w:gridSpan w:val="3"/>
            <w:shd w:val="clear" w:color="auto" w:fill="FFFFFF"/>
            <w:tcMar>
              <w:top w:w="0" w:type="dxa"/>
              <w:left w:w="20" w:type="dxa"/>
              <w:bottom w:w="0" w:type="dxa"/>
              <w:right w:w="20" w:type="dxa"/>
            </w:tcMar>
            <w:vAlign w:val="center"/>
            <w:hideMark/>
          </w:tcPr>
          <w:p w14:paraId="42E31F80" w14:textId="77777777" w:rsidR="00000000" w:rsidRDefault="00EE5306">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C37B6"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31FC2A" w14:textId="77777777" w:rsidR="00000000" w:rsidRDefault="00EE5306">
            <w:pPr>
              <w:spacing w:after="100"/>
              <w:jc w:val="right"/>
              <w:rPr>
                <w:rFonts w:eastAsia="Times New Roman"/>
              </w:rPr>
            </w:pPr>
            <w:r>
              <w:rPr>
                <w:rFonts w:eastAsia="Times New Roman"/>
                <w:color w:val="000000"/>
                <w:sz w:val="20"/>
                <w:szCs w:val="20"/>
              </w:rPr>
              <w:t>1,002.3 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A38FD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1972C"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A1670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FB1F0F"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E36B47" w14:textId="77777777" w:rsidR="00000000" w:rsidRDefault="00EE5306">
            <w:pPr>
              <w:spacing w:after="100"/>
              <w:jc w:val="right"/>
              <w:rPr>
                <w:rFonts w:eastAsia="Times New Roman"/>
              </w:rPr>
            </w:pPr>
            <w:r>
              <w:rPr>
                <w:rFonts w:eastAsia="Times New Roman"/>
                <w:color w:val="000000"/>
                <w:sz w:val="20"/>
                <w:szCs w:val="20"/>
              </w:rPr>
              <w:t>1,328.3 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973AB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B35F1C"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54819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FCAEE9"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CF02CE" w14:textId="77777777" w:rsidR="00000000" w:rsidRDefault="00EE5306">
            <w:pPr>
              <w:spacing w:after="100"/>
              <w:jc w:val="right"/>
              <w:rPr>
                <w:rFonts w:eastAsia="Times New Roman"/>
              </w:rPr>
            </w:pPr>
            <w:r>
              <w:rPr>
                <w:rFonts w:eastAsia="Times New Roman"/>
                <w:color w:val="000000"/>
                <w:sz w:val="20"/>
                <w:szCs w:val="20"/>
              </w:rPr>
              <w:t>(326.0)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AB4A5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0AE19"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33C688" w14:textId="77777777" w:rsidR="00000000" w:rsidRDefault="00EE5306">
            <w:pPr>
              <w:spacing w:after="100"/>
              <w:rPr>
                <w:rFonts w:eastAsia="Times New Roman"/>
                <w:sz w:val="20"/>
                <w:szCs w:val="20"/>
              </w:rPr>
            </w:pPr>
          </w:p>
        </w:tc>
      </w:tr>
      <w:tr w:rsidR="00000000" w14:paraId="50D9A1F1" w14:textId="77777777">
        <w:trPr>
          <w:divId w:val="1312250314"/>
        </w:trPr>
        <w:tc>
          <w:tcPr>
            <w:tcW w:w="0" w:type="auto"/>
            <w:gridSpan w:val="3"/>
            <w:shd w:val="clear" w:color="auto" w:fill="CCEEFF"/>
            <w:tcMar>
              <w:top w:w="30" w:type="dxa"/>
              <w:left w:w="155" w:type="dxa"/>
              <w:bottom w:w="30" w:type="dxa"/>
              <w:right w:w="20" w:type="dxa"/>
            </w:tcMar>
            <w:vAlign w:val="bottom"/>
            <w:hideMark/>
          </w:tcPr>
          <w:p w14:paraId="418BEC6B" w14:textId="77777777" w:rsidR="00000000" w:rsidRDefault="00EE5306">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CCEEFF"/>
            <w:tcMar>
              <w:top w:w="0" w:type="dxa"/>
              <w:left w:w="20" w:type="dxa"/>
              <w:bottom w:w="0" w:type="dxa"/>
              <w:right w:w="20" w:type="dxa"/>
            </w:tcMar>
            <w:vAlign w:val="center"/>
            <w:hideMark/>
          </w:tcPr>
          <w:p w14:paraId="2FF98F9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05D7EA" w14:textId="77777777" w:rsidR="00000000" w:rsidRDefault="00EE5306">
            <w:pPr>
              <w:spacing w:after="100"/>
              <w:jc w:val="right"/>
              <w:rPr>
                <w:rFonts w:eastAsia="Times New Roman"/>
              </w:rPr>
            </w:pPr>
            <w:r>
              <w:rPr>
                <w:rFonts w:eastAsia="Times New Roman"/>
                <w:color w:val="000000"/>
                <w:sz w:val="20"/>
                <w:szCs w:val="20"/>
              </w:rPr>
              <w:t>(618.1)</w:t>
            </w:r>
          </w:p>
        </w:tc>
        <w:tc>
          <w:tcPr>
            <w:tcW w:w="0" w:type="auto"/>
            <w:shd w:val="clear" w:color="auto" w:fill="CCEEFF"/>
            <w:tcMar>
              <w:top w:w="30" w:type="dxa"/>
              <w:left w:w="0" w:type="dxa"/>
              <w:bottom w:w="30" w:type="dxa"/>
              <w:right w:w="20" w:type="dxa"/>
            </w:tcMar>
            <w:vAlign w:val="bottom"/>
            <w:hideMark/>
          </w:tcPr>
          <w:p w14:paraId="3F38F9D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63C33"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D02AB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04C066"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55C8D3" w14:textId="77777777" w:rsidR="00000000" w:rsidRDefault="00EE5306">
            <w:pPr>
              <w:spacing w:after="100"/>
              <w:jc w:val="right"/>
              <w:rPr>
                <w:rFonts w:eastAsia="Times New Roman"/>
              </w:rPr>
            </w:pPr>
            <w:r>
              <w:rPr>
                <w:rFonts w:eastAsia="Times New Roman"/>
                <w:color w:val="000000"/>
                <w:sz w:val="20"/>
                <w:szCs w:val="20"/>
              </w:rPr>
              <w:t>(636.4)</w:t>
            </w:r>
          </w:p>
        </w:tc>
        <w:tc>
          <w:tcPr>
            <w:tcW w:w="0" w:type="auto"/>
            <w:shd w:val="clear" w:color="auto" w:fill="CCEEFF"/>
            <w:tcMar>
              <w:top w:w="30" w:type="dxa"/>
              <w:left w:w="0" w:type="dxa"/>
              <w:bottom w:w="30" w:type="dxa"/>
              <w:right w:w="20" w:type="dxa"/>
            </w:tcMar>
            <w:vAlign w:val="bottom"/>
            <w:hideMark/>
          </w:tcPr>
          <w:p w14:paraId="1805E9D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9D1BA"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1F8B8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37EA3E"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223B90" w14:textId="77777777" w:rsidR="00000000" w:rsidRDefault="00EE5306">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14:paraId="03540AD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316407"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D72CAC" w14:textId="77777777" w:rsidR="00000000" w:rsidRDefault="00EE5306">
            <w:pPr>
              <w:spacing w:after="100"/>
              <w:rPr>
                <w:rFonts w:eastAsia="Times New Roman"/>
                <w:sz w:val="20"/>
                <w:szCs w:val="20"/>
              </w:rPr>
            </w:pPr>
          </w:p>
        </w:tc>
      </w:tr>
      <w:tr w:rsidR="00000000" w14:paraId="214E39DD" w14:textId="77777777">
        <w:trPr>
          <w:divId w:val="1312250314"/>
        </w:trPr>
        <w:tc>
          <w:tcPr>
            <w:tcW w:w="0" w:type="auto"/>
            <w:gridSpan w:val="3"/>
            <w:shd w:val="clear" w:color="auto" w:fill="FFFFFF"/>
            <w:tcMar>
              <w:top w:w="30" w:type="dxa"/>
              <w:left w:w="155" w:type="dxa"/>
              <w:bottom w:w="30" w:type="dxa"/>
              <w:right w:w="20" w:type="dxa"/>
            </w:tcMar>
            <w:vAlign w:val="bottom"/>
            <w:hideMark/>
          </w:tcPr>
          <w:p w14:paraId="48268420" w14:textId="77777777" w:rsidR="00000000" w:rsidRDefault="00EE5306">
            <w:pPr>
              <w:spacing w:after="100"/>
              <w:rPr>
                <w:rFonts w:eastAsia="Times New Roman"/>
              </w:rPr>
            </w:pPr>
            <w:r>
              <w:rPr>
                <w:rFonts w:eastAsia="Times New Roman"/>
                <w:color w:val="000000"/>
                <w:sz w:val="20"/>
                <w:szCs w:val="20"/>
              </w:rPr>
              <w:t>Unallocated restructuring and other charges</w:t>
            </w:r>
          </w:p>
        </w:tc>
        <w:tc>
          <w:tcPr>
            <w:tcW w:w="0" w:type="auto"/>
            <w:gridSpan w:val="3"/>
            <w:shd w:val="clear" w:color="auto" w:fill="FFFFFF"/>
            <w:tcMar>
              <w:top w:w="0" w:type="dxa"/>
              <w:left w:w="20" w:type="dxa"/>
              <w:bottom w:w="0" w:type="dxa"/>
              <w:right w:w="20" w:type="dxa"/>
            </w:tcMar>
            <w:vAlign w:val="center"/>
            <w:hideMark/>
          </w:tcPr>
          <w:p w14:paraId="08A796D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52A06E" w14:textId="77777777" w:rsidR="00000000" w:rsidRDefault="00EE5306">
            <w:pPr>
              <w:spacing w:after="100"/>
              <w:jc w:val="right"/>
              <w:rPr>
                <w:rFonts w:eastAsia="Times New Roman"/>
              </w:rPr>
            </w:pPr>
            <w:r>
              <w:rPr>
                <w:rFonts w:eastAsia="Times New Roman"/>
                <w:color w:val="000000"/>
                <w:sz w:val="20"/>
                <w:szCs w:val="20"/>
              </w:rPr>
              <w:t>(67.2)</w:t>
            </w:r>
          </w:p>
        </w:tc>
        <w:tc>
          <w:tcPr>
            <w:tcW w:w="0" w:type="auto"/>
            <w:shd w:val="clear" w:color="auto" w:fill="FFFFFF"/>
            <w:tcMar>
              <w:top w:w="30" w:type="dxa"/>
              <w:left w:w="0" w:type="dxa"/>
              <w:bottom w:w="30" w:type="dxa"/>
              <w:right w:w="20" w:type="dxa"/>
            </w:tcMar>
            <w:vAlign w:val="bottom"/>
            <w:hideMark/>
          </w:tcPr>
          <w:p w14:paraId="1CE16C2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E3BD5"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4A07E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1F4673"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DE6F75" w14:textId="77777777" w:rsidR="00000000" w:rsidRDefault="00EE5306">
            <w:pPr>
              <w:spacing w:after="100"/>
              <w:jc w:val="right"/>
              <w:rPr>
                <w:rFonts w:eastAsia="Times New Roman"/>
              </w:rPr>
            </w:pPr>
            <w:r>
              <w:rPr>
                <w:rFonts w:eastAsia="Times New Roman"/>
                <w:color w:val="000000"/>
                <w:sz w:val="20"/>
                <w:szCs w:val="20"/>
              </w:rPr>
              <w:t>(130.1)</w:t>
            </w:r>
          </w:p>
        </w:tc>
        <w:tc>
          <w:tcPr>
            <w:tcW w:w="0" w:type="auto"/>
            <w:shd w:val="clear" w:color="auto" w:fill="FFFFFF"/>
            <w:tcMar>
              <w:top w:w="30" w:type="dxa"/>
              <w:left w:w="0" w:type="dxa"/>
              <w:bottom w:w="30" w:type="dxa"/>
              <w:right w:w="20" w:type="dxa"/>
            </w:tcMar>
            <w:vAlign w:val="bottom"/>
            <w:hideMark/>
          </w:tcPr>
          <w:p w14:paraId="4F66D8D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A456A"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65D70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F67052"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3FD8A6" w14:textId="77777777" w:rsidR="00000000" w:rsidRDefault="00EE5306">
            <w:pPr>
              <w:spacing w:after="100"/>
              <w:jc w:val="right"/>
              <w:rPr>
                <w:rFonts w:eastAsia="Times New Roman"/>
              </w:rPr>
            </w:pPr>
            <w:r>
              <w:rPr>
                <w:rFonts w:eastAsia="Times New Roman"/>
                <w:color w:val="000000"/>
                <w:sz w:val="20"/>
                <w:szCs w:val="20"/>
              </w:rPr>
              <w:t>62.9 </w:t>
            </w:r>
          </w:p>
        </w:tc>
        <w:tc>
          <w:tcPr>
            <w:tcW w:w="0" w:type="auto"/>
            <w:shd w:val="clear" w:color="auto" w:fill="FFFFFF"/>
            <w:tcMar>
              <w:top w:w="30" w:type="dxa"/>
              <w:left w:w="0" w:type="dxa"/>
              <w:bottom w:w="30" w:type="dxa"/>
              <w:right w:w="20" w:type="dxa"/>
            </w:tcMar>
            <w:vAlign w:val="bottom"/>
            <w:hideMark/>
          </w:tcPr>
          <w:p w14:paraId="7A67307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C49F5"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6E2354" w14:textId="77777777" w:rsidR="00000000" w:rsidRDefault="00EE5306">
            <w:pPr>
              <w:spacing w:after="100"/>
              <w:rPr>
                <w:rFonts w:eastAsia="Times New Roman"/>
                <w:sz w:val="20"/>
                <w:szCs w:val="20"/>
              </w:rPr>
            </w:pPr>
          </w:p>
        </w:tc>
      </w:tr>
      <w:tr w:rsidR="00000000" w14:paraId="19FE5D5B" w14:textId="77777777">
        <w:trPr>
          <w:divId w:val="1312250314"/>
        </w:trPr>
        <w:tc>
          <w:tcPr>
            <w:tcW w:w="0" w:type="auto"/>
            <w:gridSpan w:val="3"/>
            <w:shd w:val="clear" w:color="auto" w:fill="CCEEFF"/>
            <w:tcMar>
              <w:top w:w="30" w:type="dxa"/>
              <w:left w:w="380" w:type="dxa"/>
              <w:bottom w:w="30" w:type="dxa"/>
              <w:right w:w="20" w:type="dxa"/>
            </w:tcMar>
            <w:vAlign w:val="bottom"/>
            <w:hideMark/>
          </w:tcPr>
          <w:p w14:paraId="510E9FC9" w14:textId="77777777" w:rsidR="00000000" w:rsidRDefault="00EE5306">
            <w:pPr>
              <w:spacing w:after="100"/>
              <w:rPr>
                <w:rFonts w:eastAsia="Times New Roman"/>
              </w:rPr>
            </w:pPr>
            <w:r>
              <w:rPr>
                <w:rFonts w:eastAsia="Times New Roman"/>
                <w:color w:val="000000"/>
                <w:sz w:val="20"/>
                <w:szCs w:val="20"/>
              </w:rPr>
              <w:t>Total operating income</w:t>
            </w:r>
          </w:p>
        </w:tc>
        <w:tc>
          <w:tcPr>
            <w:tcW w:w="0" w:type="auto"/>
            <w:gridSpan w:val="3"/>
            <w:shd w:val="clear" w:color="auto" w:fill="CCEEFF"/>
            <w:tcMar>
              <w:top w:w="0" w:type="dxa"/>
              <w:left w:w="20" w:type="dxa"/>
              <w:bottom w:w="0" w:type="dxa"/>
              <w:right w:w="20" w:type="dxa"/>
            </w:tcMar>
            <w:vAlign w:val="center"/>
            <w:hideMark/>
          </w:tcPr>
          <w:p w14:paraId="3914CD51"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157A75"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07D922" w14:textId="77777777" w:rsidR="00000000" w:rsidRDefault="00EE5306">
            <w:pPr>
              <w:spacing w:after="100"/>
              <w:jc w:val="right"/>
              <w:rPr>
                <w:rFonts w:eastAsia="Times New Roman"/>
              </w:rPr>
            </w:pPr>
            <w:r>
              <w:rPr>
                <w:rFonts w:eastAsia="Times New Roman"/>
                <w:color w:val="000000"/>
                <w:sz w:val="20"/>
                <w:szCs w:val="20"/>
              </w:rPr>
              <w:t>317.0 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21C64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0F607"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CAB28A9" w14:textId="77777777" w:rsidR="00000000" w:rsidRDefault="00EE5306">
            <w:pPr>
              <w:spacing w:after="100"/>
              <w:jc w:val="center"/>
              <w:rPr>
                <w:rFonts w:eastAsia="Times New Roman"/>
              </w:rPr>
            </w:pPr>
            <w:r>
              <w:rPr>
                <w:rFonts w:eastAsia="Times New Roman"/>
                <w:color w:val="000000"/>
                <w:sz w:val="20"/>
                <w:szCs w:val="20"/>
              </w:rPr>
              <w:t>5.1%</w:t>
            </w:r>
          </w:p>
        </w:tc>
        <w:tc>
          <w:tcPr>
            <w:tcW w:w="0" w:type="auto"/>
            <w:gridSpan w:val="3"/>
            <w:shd w:val="clear" w:color="auto" w:fill="CCEEFF"/>
            <w:tcMar>
              <w:top w:w="0" w:type="dxa"/>
              <w:left w:w="20" w:type="dxa"/>
              <w:bottom w:w="0" w:type="dxa"/>
              <w:right w:w="20" w:type="dxa"/>
            </w:tcMar>
            <w:vAlign w:val="center"/>
            <w:hideMark/>
          </w:tcPr>
          <w:p w14:paraId="0D43A521" w14:textId="77777777" w:rsidR="00000000" w:rsidRDefault="00EE5306">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228C45"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6C367F" w14:textId="77777777" w:rsidR="00000000" w:rsidRDefault="00EE5306">
            <w:pPr>
              <w:spacing w:after="100"/>
              <w:jc w:val="right"/>
              <w:rPr>
                <w:rFonts w:eastAsia="Times New Roman"/>
              </w:rPr>
            </w:pPr>
            <w:r>
              <w:rPr>
                <w:rFonts w:eastAsia="Times New Roman"/>
                <w:color w:val="000000"/>
                <w:sz w:val="20"/>
                <w:szCs w:val="20"/>
              </w:rPr>
              <w:t>561.8 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734A5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74818"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7957072" w14:textId="77777777" w:rsidR="00000000" w:rsidRDefault="00EE5306">
            <w:pPr>
              <w:spacing w:after="100"/>
              <w:jc w:val="center"/>
              <w:rPr>
                <w:rFonts w:eastAsia="Times New Roman"/>
              </w:rPr>
            </w:pPr>
            <w:r>
              <w:rPr>
                <w:rFonts w:eastAsia="Times New Roman"/>
                <w:color w:val="000000"/>
                <w:sz w:val="20"/>
                <w:szCs w:val="20"/>
              </w:rPr>
              <w:t>8.9%</w:t>
            </w:r>
          </w:p>
        </w:tc>
        <w:tc>
          <w:tcPr>
            <w:tcW w:w="0" w:type="auto"/>
            <w:gridSpan w:val="3"/>
            <w:shd w:val="clear" w:color="auto" w:fill="CCEEFF"/>
            <w:tcMar>
              <w:top w:w="0" w:type="dxa"/>
              <w:left w:w="20" w:type="dxa"/>
              <w:bottom w:w="0" w:type="dxa"/>
              <w:right w:w="20" w:type="dxa"/>
            </w:tcMar>
            <w:vAlign w:val="center"/>
            <w:hideMark/>
          </w:tcPr>
          <w:p w14:paraId="1B07BA4E" w14:textId="77777777" w:rsidR="00000000" w:rsidRDefault="00EE5306">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83039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2DE670" w14:textId="77777777" w:rsidR="00000000" w:rsidRDefault="00EE5306">
            <w:pPr>
              <w:spacing w:after="100"/>
              <w:jc w:val="right"/>
              <w:rPr>
                <w:rFonts w:eastAsia="Times New Roman"/>
              </w:rPr>
            </w:pPr>
            <w:r>
              <w:rPr>
                <w:rFonts w:eastAsia="Times New Roman"/>
                <w:color w:val="000000"/>
                <w:sz w:val="20"/>
                <w:szCs w:val="20"/>
              </w:rPr>
              <w:t>(244.8)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EE391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102DF9"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3C07968" w14:textId="77777777" w:rsidR="00000000" w:rsidRDefault="00EE5306">
            <w:pPr>
              <w:spacing w:after="100"/>
              <w:jc w:val="center"/>
              <w:rPr>
                <w:rFonts w:eastAsia="Times New Roman"/>
              </w:rPr>
            </w:pPr>
            <w:r>
              <w:rPr>
                <w:rFonts w:eastAsia="Times New Roman"/>
                <w:color w:val="000000"/>
                <w:sz w:val="20"/>
                <w:szCs w:val="20"/>
              </w:rPr>
              <w:t>(380 bps)</w:t>
            </w:r>
          </w:p>
        </w:tc>
      </w:tr>
    </w:tbl>
    <w:p w14:paraId="4E5025FA" w14:textId="77777777" w:rsidR="00000000" w:rsidRDefault="00EE5306">
      <w:pPr>
        <w:ind w:firstLine="540"/>
        <w:jc w:val="both"/>
        <w:divId w:val="1133445350"/>
        <w:rPr>
          <w:rFonts w:eastAsia="Times New Roman"/>
        </w:rPr>
      </w:pPr>
      <w:r>
        <w:rPr>
          <w:rFonts w:eastAsia="Times New Roman"/>
          <w:i/>
          <w:iCs/>
          <w:color w:val="000000"/>
          <w:sz w:val="20"/>
          <w:szCs w:val="20"/>
        </w:rPr>
        <w:t>North America operating margin</w:t>
      </w:r>
      <w:r>
        <w:rPr>
          <w:rFonts w:eastAsia="Times New Roman"/>
          <w:color w:val="000000"/>
          <w:sz w:val="20"/>
          <w:szCs w:val="20"/>
        </w:rPr>
        <w:t xml:space="preserve"> declined by 600 basis points, primarily due to the unfavorable impact of 450 basis points related to incremental inventory charges and bad debt expense recorded in connection with COVID-19 business</w:t>
      </w:r>
      <w:r>
        <w:rPr>
          <w:rFonts w:eastAsia="Times New Roman"/>
          <w:color w:val="000000"/>
          <w:sz w:val="20"/>
          <w:szCs w:val="20"/>
        </w:rPr>
        <w:t xml:space="preserve"> disruptions. The remaining 150 basis point decline largely related to adverse market conditions driven by the COVID-19 pandemic.</w:t>
      </w:r>
    </w:p>
    <w:p w14:paraId="73CDD151" w14:textId="77777777" w:rsidR="00000000" w:rsidRDefault="00EE5306">
      <w:pPr>
        <w:ind w:firstLine="540"/>
        <w:jc w:val="both"/>
        <w:divId w:val="108622521"/>
        <w:rPr>
          <w:rFonts w:eastAsia="Times New Roman"/>
        </w:rPr>
      </w:pPr>
      <w:r>
        <w:rPr>
          <w:rFonts w:eastAsia="Times New Roman"/>
          <w:i/>
          <w:iCs/>
          <w:color w:val="000000"/>
          <w:sz w:val="20"/>
          <w:szCs w:val="20"/>
        </w:rPr>
        <w:t>Europe operating margin</w:t>
      </w:r>
      <w:r>
        <w:rPr>
          <w:rFonts w:eastAsia="Times New Roman"/>
          <w:color w:val="000000"/>
          <w:sz w:val="20"/>
          <w:szCs w:val="20"/>
        </w:rPr>
        <w:t xml:space="preserve"> declined by 270 basis points, primarily due to the net unfavorable impact of 210 basis points related </w:t>
      </w:r>
      <w:r>
        <w:rPr>
          <w:rFonts w:eastAsia="Times New Roman"/>
          <w:color w:val="000000"/>
          <w:sz w:val="20"/>
          <w:szCs w:val="20"/>
        </w:rPr>
        <w:t>to incremental inventory charges and bad debt expense recorded in connection with COVID-19 business disruptions, partially offset by lower non-cash charges recorded in connection with our restructuring plans during Fiscal 2020 as compared to the prior fisc</w:t>
      </w:r>
      <w:r>
        <w:rPr>
          <w:rFonts w:eastAsia="Times New Roman"/>
          <w:color w:val="000000"/>
          <w:sz w:val="20"/>
          <w:szCs w:val="20"/>
        </w:rPr>
        <w:t xml:space="preserve">al year. The decline in operating margin also reflected a 40 basis point decline largely related to adverse market conditions driven by the COVID-19 pandemic, as well as a 20 basis point decline related to unfavorable foreign currency. </w:t>
      </w:r>
    </w:p>
    <w:p w14:paraId="39E4070A" w14:textId="77777777" w:rsidR="00000000" w:rsidRDefault="00EE5306">
      <w:pPr>
        <w:ind w:firstLine="540"/>
        <w:jc w:val="both"/>
        <w:divId w:val="1499609941"/>
        <w:rPr>
          <w:rFonts w:eastAsia="Times New Roman"/>
        </w:rPr>
      </w:pPr>
      <w:r>
        <w:rPr>
          <w:rFonts w:eastAsia="Times New Roman"/>
          <w:i/>
          <w:iCs/>
          <w:color w:val="000000"/>
          <w:sz w:val="20"/>
          <w:szCs w:val="20"/>
        </w:rPr>
        <w:t>Asia operating marg</w:t>
      </w:r>
      <w:r>
        <w:rPr>
          <w:rFonts w:eastAsia="Times New Roman"/>
          <w:i/>
          <w:iCs/>
          <w:color w:val="000000"/>
          <w:sz w:val="20"/>
          <w:szCs w:val="20"/>
        </w:rPr>
        <w:t>in</w:t>
      </w:r>
      <w:r>
        <w:rPr>
          <w:rFonts w:eastAsia="Times New Roman"/>
          <w:color w:val="000000"/>
          <w:sz w:val="20"/>
          <w:szCs w:val="20"/>
        </w:rPr>
        <w:t xml:space="preserve"> declined by 320 basis points, primarily due to the unfavorable impact of 160 basis points related to incremental inventory charges and bad debt expense recorded in connection with COVID-19 business disruptions. The remaining 160 basis point decline larg</w:t>
      </w:r>
      <w:r>
        <w:rPr>
          <w:rFonts w:eastAsia="Times New Roman"/>
          <w:color w:val="000000"/>
          <w:sz w:val="20"/>
          <w:szCs w:val="20"/>
        </w:rPr>
        <w:t>ely related to adverse market conditions driven by the COVID-19 pandemic and Hong Kong protests.</w:t>
      </w:r>
    </w:p>
    <w:p w14:paraId="7BEED2C9" w14:textId="77777777" w:rsidR="00000000" w:rsidRDefault="00EE5306">
      <w:pPr>
        <w:ind w:firstLine="540"/>
        <w:jc w:val="both"/>
        <w:divId w:val="1472600496"/>
        <w:rPr>
          <w:rFonts w:eastAsia="Times New Roman"/>
        </w:rPr>
      </w:pPr>
      <w:r>
        <w:rPr>
          <w:rFonts w:eastAsia="Times New Roman"/>
          <w:i/>
          <w:iCs/>
          <w:color w:val="000000"/>
          <w:sz w:val="20"/>
          <w:szCs w:val="20"/>
        </w:rPr>
        <w:t>Unallocated corporate expenses</w:t>
      </w:r>
      <w:r>
        <w:rPr>
          <w:rFonts w:eastAsia="Times New Roman"/>
          <w:color w:val="000000"/>
          <w:sz w:val="20"/>
          <w:szCs w:val="20"/>
        </w:rPr>
        <w:t xml:space="preserve"> decreased by $18.3 million to $618.1 million in Fiscal 2020. The decline in unallocated corporate expenses was due to lower comp</w:t>
      </w:r>
      <w:r>
        <w:rPr>
          <w:rFonts w:eastAsia="Times New Roman"/>
          <w:color w:val="000000"/>
          <w:sz w:val="20"/>
          <w:szCs w:val="20"/>
        </w:rPr>
        <w:t>ensation-related expenses of $11.5 million, lower staff-related expenses of $8.8 million, lower consulting fees of $6.7 million, and lower marketing and advertising expenses of $9.5 million, partially offset by lower intercompany sourcing commission income</w:t>
      </w:r>
      <w:r>
        <w:rPr>
          <w:rFonts w:eastAsia="Times New Roman"/>
          <w:color w:val="000000"/>
          <w:sz w:val="20"/>
          <w:szCs w:val="20"/>
        </w:rPr>
        <w:t xml:space="preserve"> of $10.2 million (which is offset at the segment level and eliminates in consolidation) and higher other expenses of $8.0 million.</w:t>
      </w:r>
    </w:p>
    <w:p w14:paraId="14196627" w14:textId="77777777" w:rsidR="00000000" w:rsidRDefault="00EE5306">
      <w:pPr>
        <w:ind w:firstLine="540"/>
        <w:jc w:val="both"/>
        <w:divId w:val="1926452191"/>
        <w:rPr>
          <w:rFonts w:eastAsia="Times New Roman"/>
        </w:rPr>
      </w:pPr>
      <w:r>
        <w:rPr>
          <w:rFonts w:eastAsia="Times New Roman"/>
          <w:i/>
          <w:iCs/>
          <w:color w:val="000000"/>
          <w:sz w:val="20"/>
          <w:szCs w:val="20"/>
        </w:rPr>
        <w:t>Unallocated restructuring and other charges</w:t>
      </w:r>
      <w:r>
        <w:rPr>
          <w:rFonts w:eastAsia="Times New Roman"/>
          <w:color w:val="000000"/>
          <w:sz w:val="20"/>
          <w:szCs w:val="20"/>
        </w:rPr>
        <w:t xml:space="preserve"> decreased by $62.9 million to $67.2 million in Fiscal 2020, as previously discus</w:t>
      </w:r>
      <w:r>
        <w:rPr>
          <w:rFonts w:eastAsia="Times New Roman"/>
          <w:color w:val="000000"/>
          <w:sz w:val="20"/>
          <w:szCs w:val="20"/>
        </w:rPr>
        <w:t>sed above and in Note 9 to the accompanying consolidated financial statements.</w:t>
      </w:r>
    </w:p>
    <w:p w14:paraId="2D70A6D5" w14:textId="77777777" w:rsidR="00000000" w:rsidRDefault="00EE5306">
      <w:pPr>
        <w:ind w:firstLine="540"/>
        <w:jc w:val="both"/>
        <w:divId w:val="821504313"/>
        <w:rPr>
          <w:rFonts w:eastAsia="Times New Roman"/>
        </w:rPr>
      </w:pPr>
      <w:r>
        <w:rPr>
          <w:rFonts w:eastAsia="Times New Roman"/>
          <w:i/>
          <w:iCs/>
          <w:color w:val="000000"/>
          <w:sz w:val="20"/>
          <w:szCs w:val="20"/>
        </w:rPr>
        <w:t>Non-operating Income (Expense), Net.</w:t>
      </w:r>
      <w:r>
        <w:rPr>
          <w:rFonts w:eastAsia="Times New Roman"/>
          <w:color w:val="000000"/>
          <w:sz w:val="20"/>
          <w:szCs w:val="20"/>
        </w:rPr>
        <w:t>    During Fiscal 2020, we reported non-operating income, net, of $9.4 million, as compared to $20.7 million in Fiscal 2019. The $11.3 millio</w:t>
      </w:r>
      <w:r>
        <w:rPr>
          <w:rFonts w:eastAsia="Times New Roman"/>
          <w:color w:val="000000"/>
          <w:sz w:val="20"/>
          <w:szCs w:val="20"/>
        </w:rPr>
        <w:t>n decline was primarily driven by:</w:t>
      </w:r>
    </w:p>
    <w:p w14:paraId="55BD09DA" w14:textId="77777777" w:rsidR="00000000" w:rsidRDefault="00EE5306">
      <w:pPr>
        <w:ind w:hanging="360"/>
        <w:jc w:val="both"/>
        <w:divId w:val="279533998"/>
        <w:rPr>
          <w:rFonts w:eastAsia="Times New Roman"/>
        </w:rPr>
      </w:pPr>
      <w:r>
        <w:rPr>
          <w:rFonts w:eastAsia="Times New Roman"/>
          <w:color w:val="000000"/>
          <w:sz w:val="20"/>
          <w:szCs w:val="20"/>
        </w:rPr>
        <w:t>•an $8.0 million increase in other expense, net, driven by a $7.1 million impairment of an equity method investment recorded in Fiscal 2020. See Note 8 to the accompanying consolidated financial statements; and</w:t>
      </w:r>
    </w:p>
    <w:p w14:paraId="502FCD2E" w14:textId="77777777" w:rsidR="00000000" w:rsidRDefault="00EE5306">
      <w:pPr>
        <w:ind w:hanging="360"/>
        <w:jc w:val="both"/>
        <w:divId w:val="156842304"/>
        <w:rPr>
          <w:rFonts w:eastAsia="Times New Roman"/>
        </w:rPr>
      </w:pPr>
      <w:r>
        <w:rPr>
          <w:rFonts w:eastAsia="Times New Roman"/>
          <w:color w:val="000000"/>
          <w:sz w:val="20"/>
          <w:szCs w:val="20"/>
        </w:rPr>
        <w:t>•a $6.4 mi</w:t>
      </w:r>
      <w:r>
        <w:rPr>
          <w:rFonts w:eastAsia="Times New Roman"/>
          <w:color w:val="000000"/>
          <w:sz w:val="20"/>
          <w:szCs w:val="20"/>
        </w:rPr>
        <w:t>llion decrease in interest income driven by the lower balance of our investment portfolio, as well as lower interest rates in financial markets during Fiscal 2020 as compared to the prior fiscal year.</w:t>
      </w:r>
    </w:p>
    <w:p w14:paraId="54DF4782" w14:textId="77777777" w:rsidR="00000000" w:rsidRDefault="00EE5306">
      <w:pPr>
        <w:ind w:firstLine="540"/>
        <w:jc w:val="both"/>
        <w:divId w:val="1657876378"/>
        <w:rPr>
          <w:rFonts w:eastAsia="Times New Roman"/>
        </w:rPr>
      </w:pPr>
      <w:r>
        <w:rPr>
          <w:rFonts w:eastAsia="Times New Roman"/>
          <w:i/>
          <w:iCs/>
          <w:color w:val="000000"/>
          <w:sz w:val="20"/>
          <w:szCs w:val="20"/>
        </w:rPr>
        <w:t>Income Tax Benefit (Provision).</w:t>
      </w:r>
      <w:r>
        <w:rPr>
          <w:rFonts w:eastAsia="Times New Roman"/>
          <w:color w:val="000000"/>
          <w:sz w:val="20"/>
          <w:szCs w:val="20"/>
        </w:rPr>
        <w:t>    We reported an incom</w:t>
      </w:r>
      <w:r>
        <w:rPr>
          <w:rFonts w:eastAsia="Times New Roman"/>
          <w:color w:val="000000"/>
          <w:sz w:val="20"/>
          <w:szCs w:val="20"/>
        </w:rPr>
        <w:t>e tax benefit and effective tax rate of $57.9 million and (17.7%), respectively, in Fiscal 2020, as compared to an income tax provision and effective tax rate of $151.6 million and 26.0%, respectively, in Fiscal 2019. The $209.5 million decline in the inco</w:t>
      </w:r>
      <w:r>
        <w:rPr>
          <w:rFonts w:eastAsia="Times New Roman"/>
          <w:color w:val="000000"/>
          <w:sz w:val="20"/>
          <w:szCs w:val="20"/>
        </w:rPr>
        <w:t xml:space="preserve">me tax provision was largely driven by lower pretax income primarily due to the adverse impacts of COVID-19 and Hong Kong protest business disruptions. The decline in our income tax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0A379DE" w14:textId="77777777">
        <w:trPr>
          <w:divId w:val="1017124352"/>
          <w:jc w:val="center"/>
        </w:trPr>
        <w:tc>
          <w:tcPr>
            <w:tcW w:w="50" w:type="pct"/>
            <w:vAlign w:val="center"/>
            <w:hideMark/>
          </w:tcPr>
          <w:p w14:paraId="14C7325A" w14:textId="77777777" w:rsidR="00000000" w:rsidRDefault="00EE5306">
            <w:pPr>
              <w:ind w:firstLine="540"/>
              <w:jc w:val="both"/>
              <w:rPr>
                <w:rFonts w:eastAsia="Times New Roman"/>
              </w:rPr>
            </w:pPr>
          </w:p>
        </w:tc>
        <w:tc>
          <w:tcPr>
            <w:tcW w:w="1699" w:type="pct"/>
            <w:vAlign w:val="center"/>
            <w:hideMark/>
          </w:tcPr>
          <w:p w14:paraId="38E35E4B" w14:textId="77777777" w:rsidR="00000000" w:rsidRDefault="00EE5306">
            <w:pPr>
              <w:spacing w:after="100"/>
              <w:rPr>
                <w:rFonts w:eastAsia="Times New Roman"/>
                <w:sz w:val="20"/>
                <w:szCs w:val="20"/>
              </w:rPr>
            </w:pPr>
          </w:p>
        </w:tc>
        <w:tc>
          <w:tcPr>
            <w:tcW w:w="5" w:type="pct"/>
            <w:vAlign w:val="center"/>
            <w:hideMark/>
          </w:tcPr>
          <w:p w14:paraId="05A5348C" w14:textId="77777777" w:rsidR="00000000" w:rsidRDefault="00EE5306">
            <w:pPr>
              <w:spacing w:after="100"/>
              <w:rPr>
                <w:rFonts w:eastAsia="Times New Roman"/>
                <w:sz w:val="20"/>
                <w:szCs w:val="20"/>
              </w:rPr>
            </w:pPr>
          </w:p>
        </w:tc>
        <w:tc>
          <w:tcPr>
            <w:tcW w:w="50" w:type="pct"/>
            <w:vAlign w:val="center"/>
            <w:hideMark/>
          </w:tcPr>
          <w:p w14:paraId="2DDD9569" w14:textId="77777777" w:rsidR="00000000" w:rsidRDefault="00EE5306">
            <w:pPr>
              <w:spacing w:after="100"/>
              <w:rPr>
                <w:rFonts w:eastAsia="Times New Roman"/>
                <w:sz w:val="20"/>
                <w:szCs w:val="20"/>
              </w:rPr>
            </w:pPr>
          </w:p>
        </w:tc>
        <w:tc>
          <w:tcPr>
            <w:tcW w:w="1436" w:type="pct"/>
            <w:vAlign w:val="center"/>
            <w:hideMark/>
          </w:tcPr>
          <w:p w14:paraId="28B9999D" w14:textId="77777777" w:rsidR="00000000" w:rsidRDefault="00EE5306">
            <w:pPr>
              <w:spacing w:after="100"/>
              <w:rPr>
                <w:rFonts w:eastAsia="Times New Roman"/>
                <w:sz w:val="20"/>
                <w:szCs w:val="20"/>
              </w:rPr>
            </w:pPr>
          </w:p>
        </w:tc>
        <w:tc>
          <w:tcPr>
            <w:tcW w:w="5" w:type="pct"/>
            <w:vAlign w:val="center"/>
            <w:hideMark/>
          </w:tcPr>
          <w:p w14:paraId="7346E5E9" w14:textId="77777777" w:rsidR="00000000" w:rsidRDefault="00EE5306">
            <w:pPr>
              <w:spacing w:after="100"/>
              <w:rPr>
                <w:rFonts w:eastAsia="Times New Roman"/>
                <w:sz w:val="20"/>
                <w:szCs w:val="20"/>
              </w:rPr>
            </w:pPr>
          </w:p>
        </w:tc>
        <w:tc>
          <w:tcPr>
            <w:tcW w:w="50" w:type="pct"/>
            <w:vAlign w:val="center"/>
            <w:hideMark/>
          </w:tcPr>
          <w:p w14:paraId="01EF1F99" w14:textId="77777777" w:rsidR="00000000" w:rsidRDefault="00EE5306">
            <w:pPr>
              <w:spacing w:after="100"/>
              <w:rPr>
                <w:rFonts w:eastAsia="Times New Roman"/>
                <w:sz w:val="20"/>
                <w:szCs w:val="20"/>
              </w:rPr>
            </w:pPr>
          </w:p>
        </w:tc>
        <w:tc>
          <w:tcPr>
            <w:tcW w:w="1699" w:type="pct"/>
            <w:vAlign w:val="center"/>
            <w:hideMark/>
          </w:tcPr>
          <w:p w14:paraId="4D9BDF1D" w14:textId="77777777" w:rsidR="00000000" w:rsidRDefault="00EE5306">
            <w:pPr>
              <w:spacing w:after="100"/>
              <w:rPr>
                <w:rFonts w:eastAsia="Times New Roman"/>
                <w:sz w:val="20"/>
                <w:szCs w:val="20"/>
              </w:rPr>
            </w:pPr>
          </w:p>
        </w:tc>
        <w:tc>
          <w:tcPr>
            <w:tcW w:w="5" w:type="pct"/>
            <w:vAlign w:val="center"/>
            <w:hideMark/>
          </w:tcPr>
          <w:p w14:paraId="6FCB2DA8" w14:textId="77777777" w:rsidR="00000000" w:rsidRDefault="00EE5306">
            <w:pPr>
              <w:spacing w:after="100"/>
              <w:rPr>
                <w:rFonts w:eastAsia="Times New Roman"/>
                <w:sz w:val="20"/>
                <w:szCs w:val="20"/>
              </w:rPr>
            </w:pPr>
          </w:p>
        </w:tc>
      </w:tr>
      <w:tr w:rsidR="00000000" w14:paraId="174A99F3" w14:textId="77777777">
        <w:trPr>
          <w:divId w:val="1017124352"/>
          <w:jc w:val="center"/>
        </w:trPr>
        <w:tc>
          <w:tcPr>
            <w:tcW w:w="0" w:type="auto"/>
            <w:gridSpan w:val="3"/>
            <w:tcMar>
              <w:top w:w="0" w:type="dxa"/>
              <w:left w:w="20" w:type="dxa"/>
              <w:bottom w:w="0" w:type="dxa"/>
              <w:right w:w="20" w:type="dxa"/>
            </w:tcMar>
            <w:vAlign w:val="center"/>
            <w:hideMark/>
          </w:tcPr>
          <w:p w14:paraId="7A8732F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FBABDC4" w14:textId="77777777" w:rsidR="00000000" w:rsidRDefault="00EE5306">
            <w:pPr>
              <w:spacing w:after="100"/>
              <w:jc w:val="center"/>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14:paraId="2A0EDD40" w14:textId="77777777" w:rsidR="00000000" w:rsidRDefault="00EE5306">
            <w:pPr>
              <w:spacing w:after="100"/>
              <w:jc w:val="center"/>
              <w:rPr>
                <w:rFonts w:eastAsia="Times New Roman"/>
              </w:rPr>
            </w:pPr>
          </w:p>
        </w:tc>
      </w:tr>
    </w:tbl>
    <w:p w14:paraId="2400AD83" w14:textId="77777777" w:rsidR="00000000" w:rsidRDefault="00EE5306">
      <w:pPr>
        <w:rPr>
          <w:rFonts w:eastAsia="Times New Roman"/>
        </w:rPr>
      </w:pPr>
      <w:r>
        <w:rPr>
          <w:rFonts w:eastAsia="Times New Roman"/>
        </w:rPr>
        <w:pict w14:anchorId="79953CB4">
          <v:rect id="_x0000_i1088" style="width:0;height:1.5pt" o:hralign="center" o:hrstd="t" o:hr="t" fillcolor="#a0a0a0" stroked="f"/>
        </w:pict>
      </w:r>
    </w:p>
    <w:p w14:paraId="490D30D6" w14:textId="77777777" w:rsidR="00000000" w:rsidRDefault="00EE5306">
      <w:pPr>
        <w:divId w:val="582834570"/>
        <w:rPr>
          <w:rFonts w:eastAsia="Times New Roman"/>
        </w:rPr>
      </w:pPr>
    </w:p>
    <w:p w14:paraId="1A176F11" w14:textId="77777777" w:rsidR="00000000" w:rsidRDefault="00EE5306">
      <w:pPr>
        <w:jc w:val="both"/>
        <w:divId w:val="1776830245"/>
        <w:rPr>
          <w:rFonts w:eastAsia="Times New Roman"/>
        </w:rPr>
      </w:pPr>
      <w:r>
        <w:rPr>
          <w:rFonts w:eastAsia="Times New Roman"/>
          <w:color w:val="000000"/>
          <w:sz w:val="20"/>
          <w:szCs w:val="20"/>
        </w:rPr>
        <w:t xml:space="preserve">provision also reflected a one-time benefit of $122.9 million recorded in Fiscal 2020 in connection with the Swiss Tax Act, which lowered our effective tax rate by 3,760 basis points, as well as the absence of a $27.6 million TCJA enactment-related charge </w:t>
      </w:r>
      <w:r>
        <w:rPr>
          <w:rFonts w:eastAsia="Times New Roman"/>
          <w:color w:val="000000"/>
          <w:sz w:val="20"/>
          <w:szCs w:val="20"/>
        </w:rPr>
        <w:t xml:space="preserve">recorded in the prior fiscal year, which negatively impacted our prior fiscal year effective tax rate by 470 basis points. In addition to this combined 4,230 basis point improvement related to tax reform impacts, the decline in our effective tax rate also </w:t>
      </w:r>
      <w:r>
        <w:rPr>
          <w:rFonts w:eastAsia="Times New Roman"/>
          <w:color w:val="000000"/>
          <w:sz w:val="20"/>
          <w:szCs w:val="20"/>
        </w:rPr>
        <w:t>reflected the net favorable impact of 140 basis points primarily attributable to other factors, including the tax impacts of earnings in lower taxed foreign jurisdictions versus the U.S. and favorable provision to tax return adjustments, partially offset b</w:t>
      </w:r>
      <w:r>
        <w:rPr>
          <w:rFonts w:eastAsia="Times New Roman"/>
          <w:color w:val="000000"/>
          <w:sz w:val="20"/>
          <w:szCs w:val="20"/>
        </w:rPr>
        <w:t>y the unfavorable impact of additional income tax reserves associated with certain income tax audits. See Note 10 to the accompanying consolidated financial statements for discussion regarding the Swiss Tax Act and TCJA.</w:t>
      </w:r>
    </w:p>
    <w:p w14:paraId="100C932E" w14:textId="77777777" w:rsidR="00000000" w:rsidRDefault="00EE5306">
      <w:pPr>
        <w:ind w:firstLine="540"/>
        <w:jc w:val="both"/>
        <w:divId w:val="1747915731"/>
        <w:rPr>
          <w:rFonts w:eastAsia="Times New Roman"/>
        </w:rPr>
      </w:pPr>
      <w:r>
        <w:rPr>
          <w:rFonts w:eastAsia="Times New Roman"/>
          <w:i/>
          <w:iCs/>
          <w:color w:val="000000"/>
          <w:sz w:val="20"/>
          <w:szCs w:val="20"/>
        </w:rPr>
        <w:t>Net Income.</w:t>
      </w:r>
      <w:r>
        <w:rPr>
          <w:rFonts w:eastAsia="Times New Roman"/>
          <w:color w:val="000000"/>
          <w:sz w:val="20"/>
          <w:szCs w:val="20"/>
        </w:rPr>
        <w:t>    Net income decreased</w:t>
      </w:r>
      <w:r>
        <w:rPr>
          <w:rFonts w:eastAsia="Times New Roman"/>
          <w:color w:val="000000"/>
          <w:sz w:val="20"/>
          <w:szCs w:val="20"/>
        </w:rPr>
        <w:t xml:space="preserve"> to $384.3 million in Fiscal 2020, from $430.9 million in Fiscal 2019. The $46.6 million decline in net income was primarily due to the decrease in our operating income, partially offset by the decrease in our income tax provision, both as previously discu</w:t>
      </w:r>
      <w:r>
        <w:rPr>
          <w:rFonts w:eastAsia="Times New Roman"/>
          <w:color w:val="000000"/>
          <w:sz w:val="20"/>
          <w:szCs w:val="20"/>
        </w:rPr>
        <w:t xml:space="preserve">ssed. Net income during Fiscal 2020 and Fiscal 2019 reflected a one-time income tax benefit of $122.9 million recorded in connection with Swiss tax reform and TCJA enactment-related charges of $27.6 million, respectively, both as previously discussed. Our </w:t>
      </w:r>
      <w:r>
        <w:rPr>
          <w:rFonts w:eastAsia="Times New Roman"/>
          <w:color w:val="000000"/>
          <w:sz w:val="20"/>
          <w:szCs w:val="20"/>
        </w:rPr>
        <w:t>operating results during Fiscal 2020 and Fiscal 2019 were also negatively impacted by restructuring-related charges, impairment of assets (including an equity method investment), and certain other charges (including those related to COVID-19 business disru</w:t>
      </w:r>
      <w:r>
        <w:rPr>
          <w:rFonts w:eastAsia="Times New Roman"/>
          <w:color w:val="000000"/>
          <w:sz w:val="20"/>
          <w:szCs w:val="20"/>
        </w:rPr>
        <w:t xml:space="preserve">ptions) totaling $321.8 million and $163.1 million, respectively, which had an after-tax effect of reducing net income by $244.8 million and $129.0 million, respectively. </w:t>
      </w:r>
    </w:p>
    <w:p w14:paraId="4D77016F" w14:textId="77777777" w:rsidR="00000000" w:rsidRDefault="00EE5306">
      <w:pPr>
        <w:ind w:firstLine="540"/>
        <w:jc w:val="both"/>
        <w:divId w:val="203451446"/>
        <w:rPr>
          <w:rFonts w:eastAsia="Times New Roman"/>
        </w:rPr>
      </w:pPr>
      <w:r>
        <w:rPr>
          <w:rFonts w:eastAsia="Times New Roman"/>
          <w:i/>
          <w:iCs/>
          <w:color w:val="000000"/>
          <w:sz w:val="20"/>
          <w:szCs w:val="20"/>
        </w:rPr>
        <w:t>Net Income per Diluted Share.</w:t>
      </w:r>
      <w:r>
        <w:rPr>
          <w:rFonts w:eastAsia="Times New Roman"/>
          <w:color w:val="000000"/>
          <w:sz w:val="20"/>
          <w:szCs w:val="20"/>
        </w:rPr>
        <w:t xml:space="preserve">    Net income per diluted share decreased to $4.98 in </w:t>
      </w:r>
      <w:r>
        <w:rPr>
          <w:rFonts w:eastAsia="Times New Roman"/>
          <w:color w:val="000000"/>
          <w:sz w:val="20"/>
          <w:szCs w:val="20"/>
        </w:rPr>
        <w:t xml:space="preserve">Fiscal 2020, from $5.27 in Fiscal 2019. The $0.29 per share decline was due to the lower level of net income, as previously discussed, partially offset by lower weighted-average diluted shares outstanding during Fiscal 2020 driven by our share repurchases </w:t>
      </w:r>
      <w:r>
        <w:rPr>
          <w:rFonts w:eastAsia="Times New Roman"/>
          <w:color w:val="000000"/>
          <w:sz w:val="20"/>
          <w:szCs w:val="20"/>
        </w:rPr>
        <w:t>during Fiscal 2020. Net income per diluted share in Fiscal 2020 and Fiscal 2019 were favorably impacted by $1.59 per share as a result of a one-time income tax benefit recorded in connection with the Swiss Tax Act and negatively impacted by $0.34 per share</w:t>
      </w:r>
      <w:r>
        <w:rPr>
          <w:rFonts w:eastAsia="Times New Roman"/>
          <w:color w:val="000000"/>
          <w:sz w:val="20"/>
          <w:szCs w:val="20"/>
        </w:rPr>
        <w:t xml:space="preserve"> as a result of TCJA enactment-related charges, respectively, both as previously discussed. Net income per diluted share in Fiscal 2020 and Fiscal 2019 were also negatively impacted by $3.17 per share and $1.58 per share, respectively, as a result of restr</w:t>
      </w:r>
      <w:r>
        <w:rPr>
          <w:rFonts w:eastAsia="Times New Roman"/>
          <w:color w:val="000000"/>
          <w:sz w:val="20"/>
          <w:szCs w:val="20"/>
        </w:rPr>
        <w:t>ucturing-related charges, impairment of assets (including an equity method investment), and certain other charges (including those related to COVID-19 business disruptions), as previously discussed.</w:t>
      </w:r>
    </w:p>
    <w:p w14:paraId="697EE23A" w14:textId="77777777" w:rsidR="00000000" w:rsidRDefault="00EE5306">
      <w:pPr>
        <w:divId w:val="55125138"/>
        <w:rPr>
          <w:rFonts w:eastAsia="Times New Roman"/>
        </w:rPr>
      </w:pPr>
      <w:r>
        <w:rPr>
          <w:rFonts w:eastAsia="Times New Roman"/>
          <w:b/>
          <w:bCs/>
          <w:color w:val="000000"/>
          <w:sz w:val="20"/>
          <w:szCs w:val="20"/>
        </w:rPr>
        <w:t>FINANCIAL CONDITION AND LIQUIDITY</w:t>
      </w:r>
    </w:p>
    <w:p w14:paraId="43B9C248" w14:textId="77777777" w:rsidR="00000000" w:rsidRDefault="00EE5306">
      <w:pPr>
        <w:ind w:firstLine="360"/>
        <w:divId w:val="89669129"/>
        <w:rPr>
          <w:rFonts w:eastAsia="Times New Roman"/>
        </w:rPr>
      </w:pPr>
      <w:r>
        <w:rPr>
          <w:rFonts w:eastAsia="Times New Roman"/>
          <w:b/>
          <w:bCs/>
          <w:i/>
          <w:iCs/>
          <w:color w:val="000000"/>
          <w:sz w:val="20"/>
          <w:szCs w:val="20"/>
        </w:rPr>
        <w:t>Financial Condition</w:t>
      </w:r>
      <w:r>
        <w:rPr>
          <w:rFonts w:eastAsia="Times New Roman"/>
          <w:color w:val="000000"/>
          <w:sz w:val="18"/>
          <w:szCs w:val="18"/>
        </w:rPr>
        <w:t> </w:t>
      </w:r>
    </w:p>
    <w:p w14:paraId="485F1D9F" w14:textId="77777777" w:rsidR="00000000" w:rsidRDefault="00EE5306">
      <w:pPr>
        <w:ind w:firstLine="540"/>
        <w:divId w:val="1737123985"/>
        <w:rPr>
          <w:rFonts w:eastAsia="Times New Roman"/>
        </w:rPr>
      </w:pPr>
      <w:r>
        <w:rPr>
          <w:rFonts w:eastAsia="Times New Roman"/>
          <w:color w:val="000000"/>
          <w:sz w:val="20"/>
          <w:szCs w:val="20"/>
        </w:rPr>
        <w:t>Th</w:t>
      </w:r>
      <w:r>
        <w:rPr>
          <w:rFonts w:eastAsia="Times New Roman"/>
          <w:color w:val="000000"/>
          <w:sz w:val="20"/>
          <w:szCs w:val="20"/>
        </w:rPr>
        <w:t>e following table presents our financial condition as of March 27, 2021 and March 28, 2020.</w:t>
      </w:r>
    </w:p>
    <w:tbl>
      <w:tblPr>
        <w:tblW w:w="4722" w:type="pct"/>
        <w:tblCellMar>
          <w:top w:w="15" w:type="dxa"/>
          <w:left w:w="15" w:type="dxa"/>
          <w:bottom w:w="15" w:type="dxa"/>
          <w:right w:w="15" w:type="dxa"/>
        </w:tblCellMar>
        <w:tblLook w:val="04A0" w:firstRow="1" w:lastRow="0" w:firstColumn="1" w:lastColumn="0" w:noHBand="0" w:noVBand="1"/>
      </w:tblPr>
      <w:tblGrid>
        <w:gridCol w:w="38"/>
        <w:gridCol w:w="3883"/>
        <w:gridCol w:w="37"/>
        <w:gridCol w:w="36"/>
        <w:gridCol w:w="36"/>
        <w:gridCol w:w="36"/>
        <w:gridCol w:w="120"/>
        <w:gridCol w:w="1023"/>
        <w:gridCol w:w="36"/>
        <w:gridCol w:w="36"/>
        <w:gridCol w:w="36"/>
        <w:gridCol w:w="36"/>
        <w:gridCol w:w="120"/>
        <w:gridCol w:w="1034"/>
        <w:gridCol w:w="36"/>
        <w:gridCol w:w="36"/>
        <w:gridCol w:w="36"/>
        <w:gridCol w:w="36"/>
        <w:gridCol w:w="121"/>
        <w:gridCol w:w="1036"/>
        <w:gridCol w:w="36"/>
      </w:tblGrid>
      <w:tr w:rsidR="00000000" w14:paraId="4E564F79" w14:textId="77777777">
        <w:trPr>
          <w:divId w:val="187060077"/>
        </w:trPr>
        <w:tc>
          <w:tcPr>
            <w:tcW w:w="50" w:type="pct"/>
            <w:vAlign w:val="center"/>
            <w:hideMark/>
          </w:tcPr>
          <w:p w14:paraId="040031F6" w14:textId="77777777" w:rsidR="00000000" w:rsidRDefault="00EE5306">
            <w:pPr>
              <w:ind w:firstLine="540"/>
              <w:rPr>
                <w:rFonts w:eastAsia="Times New Roman"/>
              </w:rPr>
            </w:pPr>
          </w:p>
        </w:tc>
        <w:tc>
          <w:tcPr>
            <w:tcW w:w="2514" w:type="pct"/>
            <w:vAlign w:val="center"/>
            <w:hideMark/>
          </w:tcPr>
          <w:p w14:paraId="16894BA3" w14:textId="77777777" w:rsidR="00000000" w:rsidRDefault="00EE5306">
            <w:pPr>
              <w:spacing w:after="100"/>
              <w:rPr>
                <w:rFonts w:eastAsia="Times New Roman"/>
                <w:sz w:val="20"/>
                <w:szCs w:val="20"/>
              </w:rPr>
            </w:pPr>
          </w:p>
        </w:tc>
        <w:tc>
          <w:tcPr>
            <w:tcW w:w="5" w:type="pct"/>
            <w:vAlign w:val="center"/>
            <w:hideMark/>
          </w:tcPr>
          <w:p w14:paraId="2C277891" w14:textId="77777777" w:rsidR="00000000" w:rsidRDefault="00EE5306">
            <w:pPr>
              <w:spacing w:after="100"/>
              <w:rPr>
                <w:rFonts w:eastAsia="Times New Roman"/>
                <w:sz w:val="20"/>
                <w:szCs w:val="20"/>
              </w:rPr>
            </w:pPr>
          </w:p>
        </w:tc>
        <w:tc>
          <w:tcPr>
            <w:tcW w:w="5" w:type="pct"/>
            <w:vAlign w:val="center"/>
            <w:hideMark/>
          </w:tcPr>
          <w:p w14:paraId="0149300A" w14:textId="77777777" w:rsidR="00000000" w:rsidRDefault="00EE5306">
            <w:pPr>
              <w:spacing w:after="100"/>
              <w:rPr>
                <w:rFonts w:eastAsia="Times New Roman"/>
                <w:sz w:val="20"/>
                <w:szCs w:val="20"/>
              </w:rPr>
            </w:pPr>
          </w:p>
        </w:tc>
        <w:tc>
          <w:tcPr>
            <w:tcW w:w="28" w:type="pct"/>
            <w:vAlign w:val="center"/>
            <w:hideMark/>
          </w:tcPr>
          <w:p w14:paraId="6FC4AF8B" w14:textId="77777777" w:rsidR="00000000" w:rsidRDefault="00EE5306">
            <w:pPr>
              <w:spacing w:after="100"/>
              <w:rPr>
                <w:rFonts w:eastAsia="Times New Roman"/>
                <w:sz w:val="20"/>
                <w:szCs w:val="20"/>
              </w:rPr>
            </w:pPr>
          </w:p>
        </w:tc>
        <w:tc>
          <w:tcPr>
            <w:tcW w:w="5" w:type="pct"/>
            <w:vAlign w:val="center"/>
            <w:hideMark/>
          </w:tcPr>
          <w:p w14:paraId="678F6560" w14:textId="77777777" w:rsidR="00000000" w:rsidRDefault="00EE5306">
            <w:pPr>
              <w:spacing w:after="100"/>
              <w:rPr>
                <w:rFonts w:eastAsia="Times New Roman"/>
                <w:sz w:val="20"/>
                <w:szCs w:val="20"/>
              </w:rPr>
            </w:pPr>
          </w:p>
        </w:tc>
        <w:tc>
          <w:tcPr>
            <w:tcW w:w="50" w:type="pct"/>
            <w:vAlign w:val="center"/>
            <w:hideMark/>
          </w:tcPr>
          <w:p w14:paraId="0330FF40" w14:textId="77777777" w:rsidR="00000000" w:rsidRDefault="00EE5306">
            <w:pPr>
              <w:spacing w:after="100"/>
              <w:rPr>
                <w:rFonts w:eastAsia="Times New Roman"/>
                <w:sz w:val="20"/>
                <w:szCs w:val="20"/>
              </w:rPr>
            </w:pPr>
          </w:p>
        </w:tc>
        <w:tc>
          <w:tcPr>
            <w:tcW w:w="711" w:type="pct"/>
            <w:vAlign w:val="center"/>
            <w:hideMark/>
          </w:tcPr>
          <w:p w14:paraId="09BCF8E5" w14:textId="77777777" w:rsidR="00000000" w:rsidRDefault="00EE5306">
            <w:pPr>
              <w:spacing w:after="100"/>
              <w:rPr>
                <w:rFonts w:eastAsia="Times New Roman"/>
                <w:sz w:val="20"/>
                <w:szCs w:val="20"/>
              </w:rPr>
            </w:pPr>
          </w:p>
        </w:tc>
        <w:tc>
          <w:tcPr>
            <w:tcW w:w="5" w:type="pct"/>
            <w:vAlign w:val="center"/>
            <w:hideMark/>
          </w:tcPr>
          <w:p w14:paraId="31A516FA" w14:textId="77777777" w:rsidR="00000000" w:rsidRDefault="00EE5306">
            <w:pPr>
              <w:spacing w:after="100"/>
              <w:rPr>
                <w:rFonts w:eastAsia="Times New Roman"/>
                <w:sz w:val="20"/>
                <w:szCs w:val="20"/>
              </w:rPr>
            </w:pPr>
          </w:p>
        </w:tc>
        <w:tc>
          <w:tcPr>
            <w:tcW w:w="5" w:type="pct"/>
            <w:vAlign w:val="center"/>
            <w:hideMark/>
          </w:tcPr>
          <w:p w14:paraId="256F3E9E" w14:textId="77777777" w:rsidR="00000000" w:rsidRDefault="00EE5306">
            <w:pPr>
              <w:spacing w:after="100"/>
              <w:rPr>
                <w:rFonts w:eastAsia="Times New Roman"/>
                <w:sz w:val="20"/>
                <w:szCs w:val="20"/>
              </w:rPr>
            </w:pPr>
          </w:p>
        </w:tc>
        <w:tc>
          <w:tcPr>
            <w:tcW w:w="28" w:type="pct"/>
            <w:vAlign w:val="center"/>
            <w:hideMark/>
          </w:tcPr>
          <w:p w14:paraId="37C1FAC5" w14:textId="77777777" w:rsidR="00000000" w:rsidRDefault="00EE5306">
            <w:pPr>
              <w:spacing w:after="100"/>
              <w:rPr>
                <w:rFonts w:eastAsia="Times New Roman"/>
                <w:sz w:val="20"/>
                <w:szCs w:val="20"/>
              </w:rPr>
            </w:pPr>
          </w:p>
        </w:tc>
        <w:tc>
          <w:tcPr>
            <w:tcW w:w="5" w:type="pct"/>
            <w:vAlign w:val="center"/>
            <w:hideMark/>
          </w:tcPr>
          <w:p w14:paraId="27BE1EB6" w14:textId="77777777" w:rsidR="00000000" w:rsidRDefault="00EE5306">
            <w:pPr>
              <w:spacing w:after="100"/>
              <w:rPr>
                <w:rFonts w:eastAsia="Times New Roman"/>
                <w:sz w:val="20"/>
                <w:szCs w:val="20"/>
              </w:rPr>
            </w:pPr>
          </w:p>
        </w:tc>
        <w:tc>
          <w:tcPr>
            <w:tcW w:w="50" w:type="pct"/>
            <w:vAlign w:val="center"/>
            <w:hideMark/>
          </w:tcPr>
          <w:p w14:paraId="43AD04AF" w14:textId="77777777" w:rsidR="00000000" w:rsidRDefault="00EE5306">
            <w:pPr>
              <w:spacing w:after="100"/>
              <w:rPr>
                <w:rFonts w:eastAsia="Times New Roman"/>
                <w:sz w:val="20"/>
                <w:szCs w:val="20"/>
              </w:rPr>
            </w:pPr>
          </w:p>
        </w:tc>
        <w:tc>
          <w:tcPr>
            <w:tcW w:w="718" w:type="pct"/>
            <w:vAlign w:val="center"/>
            <w:hideMark/>
          </w:tcPr>
          <w:p w14:paraId="5F997BDF" w14:textId="77777777" w:rsidR="00000000" w:rsidRDefault="00EE5306">
            <w:pPr>
              <w:spacing w:after="100"/>
              <w:rPr>
                <w:rFonts w:eastAsia="Times New Roman"/>
                <w:sz w:val="20"/>
                <w:szCs w:val="20"/>
              </w:rPr>
            </w:pPr>
          </w:p>
        </w:tc>
        <w:tc>
          <w:tcPr>
            <w:tcW w:w="5" w:type="pct"/>
            <w:vAlign w:val="center"/>
            <w:hideMark/>
          </w:tcPr>
          <w:p w14:paraId="1E321319" w14:textId="77777777" w:rsidR="00000000" w:rsidRDefault="00EE5306">
            <w:pPr>
              <w:spacing w:after="100"/>
              <w:rPr>
                <w:rFonts w:eastAsia="Times New Roman"/>
                <w:sz w:val="20"/>
                <w:szCs w:val="20"/>
              </w:rPr>
            </w:pPr>
          </w:p>
        </w:tc>
        <w:tc>
          <w:tcPr>
            <w:tcW w:w="5" w:type="pct"/>
            <w:vAlign w:val="center"/>
            <w:hideMark/>
          </w:tcPr>
          <w:p w14:paraId="02136DF1" w14:textId="77777777" w:rsidR="00000000" w:rsidRDefault="00EE5306">
            <w:pPr>
              <w:spacing w:after="100"/>
              <w:rPr>
                <w:rFonts w:eastAsia="Times New Roman"/>
                <w:sz w:val="20"/>
                <w:szCs w:val="20"/>
              </w:rPr>
            </w:pPr>
          </w:p>
        </w:tc>
        <w:tc>
          <w:tcPr>
            <w:tcW w:w="28" w:type="pct"/>
            <w:vAlign w:val="center"/>
            <w:hideMark/>
          </w:tcPr>
          <w:p w14:paraId="3E6D7172" w14:textId="77777777" w:rsidR="00000000" w:rsidRDefault="00EE5306">
            <w:pPr>
              <w:spacing w:after="100"/>
              <w:rPr>
                <w:rFonts w:eastAsia="Times New Roman"/>
                <w:sz w:val="20"/>
                <w:szCs w:val="20"/>
              </w:rPr>
            </w:pPr>
          </w:p>
        </w:tc>
        <w:tc>
          <w:tcPr>
            <w:tcW w:w="5" w:type="pct"/>
            <w:vAlign w:val="center"/>
            <w:hideMark/>
          </w:tcPr>
          <w:p w14:paraId="07A5F36B" w14:textId="77777777" w:rsidR="00000000" w:rsidRDefault="00EE5306">
            <w:pPr>
              <w:spacing w:after="100"/>
              <w:rPr>
                <w:rFonts w:eastAsia="Times New Roman"/>
                <w:sz w:val="20"/>
                <w:szCs w:val="20"/>
              </w:rPr>
            </w:pPr>
          </w:p>
        </w:tc>
        <w:tc>
          <w:tcPr>
            <w:tcW w:w="50" w:type="pct"/>
            <w:vAlign w:val="center"/>
            <w:hideMark/>
          </w:tcPr>
          <w:p w14:paraId="0478018D" w14:textId="77777777" w:rsidR="00000000" w:rsidRDefault="00EE5306">
            <w:pPr>
              <w:spacing w:after="100"/>
              <w:rPr>
                <w:rFonts w:eastAsia="Times New Roman"/>
                <w:sz w:val="20"/>
                <w:szCs w:val="20"/>
              </w:rPr>
            </w:pPr>
          </w:p>
        </w:tc>
        <w:tc>
          <w:tcPr>
            <w:tcW w:w="719" w:type="pct"/>
            <w:vAlign w:val="center"/>
            <w:hideMark/>
          </w:tcPr>
          <w:p w14:paraId="0AE0421C" w14:textId="77777777" w:rsidR="00000000" w:rsidRDefault="00EE5306">
            <w:pPr>
              <w:spacing w:after="100"/>
              <w:rPr>
                <w:rFonts w:eastAsia="Times New Roman"/>
                <w:sz w:val="20"/>
                <w:szCs w:val="20"/>
              </w:rPr>
            </w:pPr>
          </w:p>
        </w:tc>
        <w:tc>
          <w:tcPr>
            <w:tcW w:w="5" w:type="pct"/>
            <w:vAlign w:val="center"/>
            <w:hideMark/>
          </w:tcPr>
          <w:p w14:paraId="5854F560" w14:textId="77777777" w:rsidR="00000000" w:rsidRDefault="00EE5306">
            <w:pPr>
              <w:spacing w:after="100"/>
              <w:rPr>
                <w:rFonts w:eastAsia="Times New Roman"/>
                <w:sz w:val="20"/>
                <w:szCs w:val="20"/>
              </w:rPr>
            </w:pPr>
          </w:p>
        </w:tc>
      </w:tr>
      <w:tr w:rsidR="00000000" w14:paraId="21F9BA9A" w14:textId="77777777">
        <w:trPr>
          <w:divId w:val="187060077"/>
        </w:trPr>
        <w:tc>
          <w:tcPr>
            <w:tcW w:w="0" w:type="auto"/>
            <w:gridSpan w:val="3"/>
            <w:tcMar>
              <w:top w:w="0" w:type="dxa"/>
              <w:left w:w="20" w:type="dxa"/>
              <w:bottom w:w="0" w:type="dxa"/>
              <w:right w:w="20" w:type="dxa"/>
            </w:tcMar>
            <w:vAlign w:val="center"/>
            <w:hideMark/>
          </w:tcPr>
          <w:p w14:paraId="6033A880"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D424A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D8EA83B"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24D8B48E"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8936C40"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3AACA3B9"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C11CD32" w14:textId="77777777" w:rsidR="00000000" w:rsidRDefault="00EE5306">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r>
      <w:tr w:rsidR="00000000" w14:paraId="5B23CC2F" w14:textId="77777777">
        <w:trPr>
          <w:divId w:val="187060077"/>
        </w:trPr>
        <w:tc>
          <w:tcPr>
            <w:tcW w:w="0" w:type="auto"/>
            <w:gridSpan w:val="3"/>
            <w:tcMar>
              <w:top w:w="30" w:type="dxa"/>
              <w:left w:w="20" w:type="dxa"/>
              <w:bottom w:w="30" w:type="dxa"/>
              <w:right w:w="20" w:type="dxa"/>
            </w:tcMar>
            <w:vAlign w:val="bottom"/>
            <w:hideMark/>
          </w:tcPr>
          <w:p w14:paraId="04786BB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AC8B65A"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1086BFF"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5FED1D8A" w14:textId="77777777">
        <w:trPr>
          <w:divId w:val="187060077"/>
        </w:trPr>
        <w:tc>
          <w:tcPr>
            <w:tcW w:w="0" w:type="auto"/>
            <w:gridSpan w:val="3"/>
            <w:shd w:val="clear" w:color="auto" w:fill="CCEEFF"/>
            <w:tcMar>
              <w:top w:w="30" w:type="dxa"/>
              <w:left w:w="20" w:type="dxa"/>
              <w:bottom w:w="30" w:type="dxa"/>
              <w:right w:w="20" w:type="dxa"/>
            </w:tcMar>
            <w:vAlign w:val="bottom"/>
            <w:hideMark/>
          </w:tcPr>
          <w:p w14:paraId="075D09E9" w14:textId="77777777" w:rsidR="00000000" w:rsidRDefault="00EE5306">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1751D32A"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91EA97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58A880" w14:textId="77777777" w:rsidR="00000000" w:rsidRDefault="00EE5306">
            <w:pPr>
              <w:spacing w:after="100"/>
              <w:jc w:val="right"/>
              <w:rPr>
                <w:rFonts w:eastAsia="Times New Roman"/>
              </w:rPr>
            </w:pPr>
            <w:r>
              <w:rPr>
                <w:rFonts w:eastAsia="Times New Roman"/>
                <w:color w:val="000000"/>
                <w:sz w:val="20"/>
                <w:szCs w:val="20"/>
              </w:rPr>
              <w:t>2,579.0 </w:t>
            </w:r>
          </w:p>
        </w:tc>
        <w:tc>
          <w:tcPr>
            <w:tcW w:w="0" w:type="auto"/>
            <w:shd w:val="clear" w:color="auto" w:fill="CCEEFF"/>
            <w:tcMar>
              <w:top w:w="30" w:type="dxa"/>
              <w:left w:w="0" w:type="dxa"/>
              <w:bottom w:w="30" w:type="dxa"/>
              <w:right w:w="20" w:type="dxa"/>
            </w:tcMar>
            <w:vAlign w:val="bottom"/>
            <w:hideMark/>
          </w:tcPr>
          <w:p w14:paraId="2C45280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1D0268"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F251A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328573" w14:textId="77777777" w:rsidR="00000000" w:rsidRDefault="00EE5306">
            <w:pPr>
              <w:spacing w:after="100"/>
              <w:jc w:val="right"/>
              <w:rPr>
                <w:rFonts w:eastAsia="Times New Roman"/>
              </w:rPr>
            </w:pPr>
            <w:r>
              <w:rPr>
                <w:rFonts w:eastAsia="Times New Roman"/>
                <w:color w:val="000000"/>
                <w:sz w:val="20"/>
                <w:szCs w:val="20"/>
              </w:rPr>
              <w:t>1,620.4 </w:t>
            </w:r>
          </w:p>
        </w:tc>
        <w:tc>
          <w:tcPr>
            <w:tcW w:w="0" w:type="auto"/>
            <w:shd w:val="clear" w:color="auto" w:fill="CCEEFF"/>
            <w:tcMar>
              <w:top w:w="30" w:type="dxa"/>
              <w:left w:w="0" w:type="dxa"/>
              <w:bottom w:w="30" w:type="dxa"/>
              <w:right w:w="20" w:type="dxa"/>
            </w:tcMar>
            <w:vAlign w:val="bottom"/>
            <w:hideMark/>
          </w:tcPr>
          <w:p w14:paraId="1B365F3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EF9E0"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F4D1C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1FA89D" w14:textId="77777777" w:rsidR="00000000" w:rsidRDefault="00EE5306">
            <w:pPr>
              <w:spacing w:after="100"/>
              <w:jc w:val="right"/>
              <w:rPr>
                <w:rFonts w:eastAsia="Times New Roman"/>
              </w:rPr>
            </w:pPr>
            <w:r>
              <w:rPr>
                <w:rFonts w:eastAsia="Times New Roman"/>
                <w:color w:val="000000"/>
                <w:sz w:val="20"/>
                <w:szCs w:val="20"/>
              </w:rPr>
              <w:t>958.6 </w:t>
            </w:r>
          </w:p>
        </w:tc>
        <w:tc>
          <w:tcPr>
            <w:tcW w:w="0" w:type="auto"/>
            <w:shd w:val="clear" w:color="auto" w:fill="CCEEFF"/>
            <w:tcMar>
              <w:top w:w="30" w:type="dxa"/>
              <w:left w:w="0" w:type="dxa"/>
              <w:bottom w:w="30" w:type="dxa"/>
              <w:right w:w="20" w:type="dxa"/>
            </w:tcMar>
            <w:vAlign w:val="bottom"/>
            <w:hideMark/>
          </w:tcPr>
          <w:p w14:paraId="1D945E29" w14:textId="77777777" w:rsidR="00000000" w:rsidRDefault="00EE5306">
            <w:pPr>
              <w:spacing w:after="100"/>
              <w:jc w:val="right"/>
              <w:rPr>
                <w:rFonts w:eastAsia="Times New Roman"/>
              </w:rPr>
            </w:pPr>
          </w:p>
        </w:tc>
      </w:tr>
      <w:tr w:rsidR="00000000" w14:paraId="5B35FE48" w14:textId="77777777">
        <w:trPr>
          <w:divId w:val="187060077"/>
        </w:trPr>
        <w:tc>
          <w:tcPr>
            <w:tcW w:w="0" w:type="auto"/>
            <w:gridSpan w:val="3"/>
            <w:shd w:val="clear" w:color="auto" w:fill="FFFFFF"/>
            <w:tcMar>
              <w:top w:w="30" w:type="dxa"/>
              <w:left w:w="20" w:type="dxa"/>
              <w:bottom w:w="30" w:type="dxa"/>
              <w:right w:w="20" w:type="dxa"/>
            </w:tcMar>
            <w:vAlign w:val="bottom"/>
            <w:hideMark/>
          </w:tcPr>
          <w:p w14:paraId="26931E63" w14:textId="77777777" w:rsidR="00000000" w:rsidRDefault="00EE5306">
            <w:pPr>
              <w:spacing w:after="100"/>
              <w:rPr>
                <w:rFonts w:eastAsia="Times New Roman"/>
              </w:rPr>
            </w:pPr>
            <w:r>
              <w:rPr>
                <w:rFonts w:eastAsia="Times New Roman"/>
                <w:color w:val="000000"/>
                <w:sz w:val="20"/>
                <w:szCs w:val="20"/>
              </w:rPr>
              <w:t>Short-term investments</w:t>
            </w:r>
          </w:p>
        </w:tc>
        <w:tc>
          <w:tcPr>
            <w:tcW w:w="0" w:type="auto"/>
            <w:gridSpan w:val="3"/>
            <w:shd w:val="clear" w:color="auto" w:fill="FFFFFF"/>
            <w:tcMar>
              <w:top w:w="0" w:type="dxa"/>
              <w:left w:w="20" w:type="dxa"/>
              <w:bottom w:w="0" w:type="dxa"/>
              <w:right w:w="20" w:type="dxa"/>
            </w:tcMar>
            <w:vAlign w:val="center"/>
            <w:hideMark/>
          </w:tcPr>
          <w:p w14:paraId="75017AF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D7BFCE" w14:textId="77777777" w:rsidR="00000000" w:rsidRDefault="00EE5306">
            <w:pPr>
              <w:spacing w:after="100"/>
              <w:jc w:val="right"/>
              <w:rPr>
                <w:rFonts w:eastAsia="Times New Roman"/>
              </w:rPr>
            </w:pPr>
            <w:r>
              <w:rPr>
                <w:rFonts w:eastAsia="Times New Roman"/>
                <w:color w:val="000000"/>
                <w:sz w:val="20"/>
                <w:szCs w:val="20"/>
              </w:rPr>
              <w:t>197.5 </w:t>
            </w:r>
          </w:p>
        </w:tc>
        <w:tc>
          <w:tcPr>
            <w:tcW w:w="0" w:type="auto"/>
            <w:shd w:val="clear" w:color="auto" w:fill="FFFFFF"/>
            <w:tcMar>
              <w:top w:w="30" w:type="dxa"/>
              <w:left w:w="0" w:type="dxa"/>
              <w:bottom w:w="30" w:type="dxa"/>
              <w:right w:w="20" w:type="dxa"/>
            </w:tcMar>
            <w:vAlign w:val="bottom"/>
            <w:hideMark/>
          </w:tcPr>
          <w:p w14:paraId="73E62CC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4FF00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B84FED" w14:textId="77777777" w:rsidR="00000000" w:rsidRDefault="00EE5306">
            <w:pPr>
              <w:spacing w:after="100"/>
              <w:jc w:val="right"/>
              <w:rPr>
                <w:rFonts w:eastAsia="Times New Roman"/>
              </w:rPr>
            </w:pPr>
            <w:r>
              <w:rPr>
                <w:rFonts w:eastAsia="Times New Roman"/>
                <w:color w:val="000000"/>
                <w:sz w:val="20"/>
                <w:szCs w:val="20"/>
              </w:rPr>
              <w:t>495.9 </w:t>
            </w:r>
          </w:p>
        </w:tc>
        <w:tc>
          <w:tcPr>
            <w:tcW w:w="0" w:type="auto"/>
            <w:shd w:val="clear" w:color="auto" w:fill="FFFFFF"/>
            <w:tcMar>
              <w:top w:w="30" w:type="dxa"/>
              <w:left w:w="0" w:type="dxa"/>
              <w:bottom w:w="30" w:type="dxa"/>
              <w:right w:w="20" w:type="dxa"/>
            </w:tcMar>
            <w:vAlign w:val="bottom"/>
            <w:hideMark/>
          </w:tcPr>
          <w:p w14:paraId="3ADF1BF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40260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FE96FA" w14:textId="77777777" w:rsidR="00000000" w:rsidRDefault="00EE5306">
            <w:pPr>
              <w:spacing w:after="100"/>
              <w:jc w:val="right"/>
              <w:rPr>
                <w:rFonts w:eastAsia="Times New Roman"/>
              </w:rPr>
            </w:pPr>
            <w:r>
              <w:rPr>
                <w:rFonts w:eastAsia="Times New Roman"/>
                <w:color w:val="000000"/>
                <w:sz w:val="20"/>
                <w:szCs w:val="20"/>
              </w:rPr>
              <w:t>(298.4)</w:t>
            </w:r>
          </w:p>
        </w:tc>
        <w:tc>
          <w:tcPr>
            <w:tcW w:w="0" w:type="auto"/>
            <w:shd w:val="clear" w:color="auto" w:fill="FFFFFF"/>
            <w:tcMar>
              <w:top w:w="30" w:type="dxa"/>
              <w:left w:w="0" w:type="dxa"/>
              <w:bottom w:w="30" w:type="dxa"/>
              <w:right w:w="20" w:type="dxa"/>
            </w:tcMar>
            <w:vAlign w:val="bottom"/>
            <w:hideMark/>
          </w:tcPr>
          <w:p w14:paraId="38F2F1E0" w14:textId="77777777" w:rsidR="00000000" w:rsidRDefault="00EE5306">
            <w:pPr>
              <w:spacing w:after="100"/>
              <w:jc w:val="right"/>
              <w:rPr>
                <w:rFonts w:eastAsia="Times New Roman"/>
              </w:rPr>
            </w:pPr>
          </w:p>
        </w:tc>
      </w:tr>
      <w:tr w:rsidR="00000000" w14:paraId="78ADC013" w14:textId="77777777">
        <w:trPr>
          <w:divId w:val="187060077"/>
        </w:trPr>
        <w:tc>
          <w:tcPr>
            <w:tcW w:w="0" w:type="auto"/>
            <w:gridSpan w:val="3"/>
            <w:shd w:val="clear" w:color="auto" w:fill="CCEEFF"/>
            <w:tcMar>
              <w:top w:w="30" w:type="dxa"/>
              <w:left w:w="20" w:type="dxa"/>
              <w:bottom w:w="30" w:type="dxa"/>
              <w:right w:w="20" w:type="dxa"/>
            </w:tcMar>
            <w:vAlign w:val="bottom"/>
            <w:hideMark/>
          </w:tcPr>
          <w:p w14:paraId="4168FD2D" w14:textId="77777777" w:rsidR="00000000" w:rsidRDefault="00EE5306">
            <w:pPr>
              <w:spacing w:after="100"/>
              <w:divId w:val="396786027"/>
              <w:rPr>
                <w:rFonts w:eastAsia="Times New Roman"/>
              </w:rPr>
            </w:pPr>
            <w:r>
              <w:rPr>
                <w:rFonts w:eastAsia="Times New Roman"/>
                <w:color w:val="000000"/>
                <w:sz w:val="20"/>
                <w:szCs w:val="20"/>
              </w:rPr>
              <w:t>Short-term deb</w:t>
            </w:r>
            <w:r>
              <w:rPr>
                <w:rFonts w:eastAsia="Times New Roman"/>
                <w:color w:val="000000"/>
                <w:sz w:val="20"/>
                <w:szCs w:val="20"/>
              </w:rPr>
              <w:t>t</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3C58C3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A06D18"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86399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B2F4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320BE4" w14:textId="77777777" w:rsidR="00000000" w:rsidRDefault="00EE5306">
            <w:pPr>
              <w:spacing w:after="100"/>
              <w:jc w:val="right"/>
              <w:rPr>
                <w:rFonts w:eastAsia="Times New Roman"/>
              </w:rPr>
            </w:pPr>
            <w:r>
              <w:rPr>
                <w:rFonts w:eastAsia="Times New Roman"/>
                <w:color w:val="000000"/>
                <w:sz w:val="20"/>
                <w:szCs w:val="20"/>
              </w:rPr>
              <w:t>(475.0)</w:t>
            </w:r>
          </w:p>
        </w:tc>
        <w:tc>
          <w:tcPr>
            <w:tcW w:w="0" w:type="auto"/>
            <w:shd w:val="clear" w:color="auto" w:fill="CCEEFF"/>
            <w:tcMar>
              <w:top w:w="30" w:type="dxa"/>
              <w:left w:w="0" w:type="dxa"/>
              <w:bottom w:w="30" w:type="dxa"/>
              <w:right w:w="20" w:type="dxa"/>
            </w:tcMar>
            <w:vAlign w:val="bottom"/>
            <w:hideMark/>
          </w:tcPr>
          <w:p w14:paraId="18FEF3C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B243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08FC50" w14:textId="77777777" w:rsidR="00000000" w:rsidRDefault="00EE5306">
            <w:pPr>
              <w:spacing w:after="100"/>
              <w:jc w:val="right"/>
              <w:rPr>
                <w:rFonts w:eastAsia="Times New Roman"/>
              </w:rPr>
            </w:pPr>
            <w:r>
              <w:rPr>
                <w:rFonts w:eastAsia="Times New Roman"/>
                <w:color w:val="000000"/>
                <w:sz w:val="20"/>
                <w:szCs w:val="20"/>
              </w:rPr>
              <w:t>475.0 </w:t>
            </w:r>
          </w:p>
        </w:tc>
        <w:tc>
          <w:tcPr>
            <w:tcW w:w="0" w:type="auto"/>
            <w:shd w:val="clear" w:color="auto" w:fill="CCEEFF"/>
            <w:tcMar>
              <w:top w:w="30" w:type="dxa"/>
              <w:left w:w="0" w:type="dxa"/>
              <w:bottom w:w="30" w:type="dxa"/>
              <w:right w:w="20" w:type="dxa"/>
            </w:tcMar>
            <w:vAlign w:val="bottom"/>
            <w:hideMark/>
          </w:tcPr>
          <w:p w14:paraId="5CC47AF4" w14:textId="77777777" w:rsidR="00000000" w:rsidRDefault="00EE5306">
            <w:pPr>
              <w:spacing w:after="100"/>
              <w:jc w:val="right"/>
              <w:rPr>
                <w:rFonts w:eastAsia="Times New Roman"/>
              </w:rPr>
            </w:pPr>
          </w:p>
        </w:tc>
      </w:tr>
      <w:tr w:rsidR="00000000" w14:paraId="28DBC433" w14:textId="77777777">
        <w:trPr>
          <w:divId w:val="187060077"/>
        </w:trPr>
        <w:tc>
          <w:tcPr>
            <w:tcW w:w="0" w:type="auto"/>
            <w:gridSpan w:val="3"/>
            <w:shd w:val="clear" w:color="auto" w:fill="FFFFFF"/>
            <w:tcMar>
              <w:top w:w="30" w:type="dxa"/>
              <w:left w:w="20" w:type="dxa"/>
              <w:bottom w:w="30" w:type="dxa"/>
              <w:right w:w="20" w:type="dxa"/>
            </w:tcMar>
            <w:vAlign w:val="bottom"/>
            <w:hideMark/>
          </w:tcPr>
          <w:p w14:paraId="3CAE8626" w14:textId="77777777" w:rsidR="00000000" w:rsidRDefault="00EE5306">
            <w:pPr>
              <w:spacing w:after="100"/>
              <w:divId w:val="697465888"/>
              <w:rPr>
                <w:rFonts w:eastAsia="Times New Roman"/>
              </w:rPr>
            </w:pPr>
            <w:r>
              <w:rPr>
                <w:rFonts w:eastAsia="Times New Roman"/>
                <w:color w:val="000000"/>
                <w:sz w:val="20"/>
                <w:szCs w:val="20"/>
              </w:rPr>
              <w:t>Current portion of long-term deb</w:t>
            </w:r>
            <w:r>
              <w:rPr>
                <w:rFonts w:eastAsia="Times New Roman"/>
                <w:color w:val="000000"/>
                <w:sz w:val="20"/>
                <w:szCs w:val="20"/>
              </w:rPr>
              <w:t>t</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E5D335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87CB7A"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95E19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CF2C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FB1669" w14:textId="77777777" w:rsidR="00000000" w:rsidRDefault="00EE5306">
            <w:pPr>
              <w:spacing w:after="100"/>
              <w:jc w:val="right"/>
              <w:rPr>
                <w:rFonts w:eastAsia="Times New Roman"/>
              </w:rPr>
            </w:pPr>
            <w:r>
              <w:rPr>
                <w:rFonts w:eastAsia="Times New Roman"/>
                <w:color w:val="000000"/>
                <w:sz w:val="20"/>
                <w:szCs w:val="20"/>
              </w:rPr>
              <w:t>(299.6)</w:t>
            </w:r>
          </w:p>
        </w:tc>
        <w:tc>
          <w:tcPr>
            <w:tcW w:w="0" w:type="auto"/>
            <w:shd w:val="clear" w:color="auto" w:fill="FFFFFF"/>
            <w:tcMar>
              <w:top w:w="30" w:type="dxa"/>
              <w:left w:w="0" w:type="dxa"/>
              <w:bottom w:w="30" w:type="dxa"/>
              <w:right w:w="20" w:type="dxa"/>
            </w:tcMar>
            <w:vAlign w:val="bottom"/>
            <w:hideMark/>
          </w:tcPr>
          <w:p w14:paraId="71978A9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DAC6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BB1579" w14:textId="77777777" w:rsidR="00000000" w:rsidRDefault="00EE5306">
            <w:pPr>
              <w:spacing w:after="100"/>
              <w:jc w:val="right"/>
              <w:rPr>
                <w:rFonts w:eastAsia="Times New Roman"/>
              </w:rPr>
            </w:pPr>
            <w:r>
              <w:rPr>
                <w:rFonts w:eastAsia="Times New Roman"/>
                <w:color w:val="000000"/>
                <w:sz w:val="20"/>
                <w:szCs w:val="20"/>
              </w:rPr>
              <w:t>299.6 </w:t>
            </w:r>
          </w:p>
        </w:tc>
        <w:tc>
          <w:tcPr>
            <w:tcW w:w="0" w:type="auto"/>
            <w:shd w:val="clear" w:color="auto" w:fill="FFFFFF"/>
            <w:tcMar>
              <w:top w:w="30" w:type="dxa"/>
              <w:left w:w="0" w:type="dxa"/>
              <w:bottom w:w="30" w:type="dxa"/>
              <w:right w:w="20" w:type="dxa"/>
            </w:tcMar>
            <w:vAlign w:val="bottom"/>
            <w:hideMark/>
          </w:tcPr>
          <w:p w14:paraId="2633B60C" w14:textId="77777777" w:rsidR="00000000" w:rsidRDefault="00EE5306">
            <w:pPr>
              <w:spacing w:after="100"/>
              <w:jc w:val="right"/>
              <w:rPr>
                <w:rFonts w:eastAsia="Times New Roman"/>
              </w:rPr>
            </w:pPr>
          </w:p>
        </w:tc>
      </w:tr>
      <w:tr w:rsidR="00000000" w14:paraId="331867BF" w14:textId="77777777">
        <w:trPr>
          <w:divId w:val="187060077"/>
        </w:trPr>
        <w:tc>
          <w:tcPr>
            <w:tcW w:w="0" w:type="auto"/>
            <w:gridSpan w:val="3"/>
            <w:shd w:val="clear" w:color="auto" w:fill="CCEEFF"/>
            <w:tcMar>
              <w:top w:w="30" w:type="dxa"/>
              <w:left w:w="20" w:type="dxa"/>
              <w:bottom w:w="30" w:type="dxa"/>
              <w:right w:w="20" w:type="dxa"/>
            </w:tcMar>
            <w:vAlign w:val="bottom"/>
            <w:hideMark/>
          </w:tcPr>
          <w:p w14:paraId="1202AA34" w14:textId="77777777" w:rsidR="00000000" w:rsidRDefault="00EE5306">
            <w:pPr>
              <w:spacing w:after="100"/>
              <w:divId w:val="229970392"/>
              <w:rPr>
                <w:rFonts w:eastAsia="Times New Roman"/>
              </w:rPr>
            </w:pPr>
            <w:r>
              <w:rPr>
                <w:rFonts w:eastAsia="Times New Roman"/>
                <w:color w:val="000000"/>
                <w:sz w:val="20"/>
                <w:szCs w:val="20"/>
              </w:rPr>
              <w:t>Long-term deb</w:t>
            </w:r>
            <w:r>
              <w:rPr>
                <w:rFonts w:eastAsia="Times New Roman"/>
                <w:color w:val="000000"/>
                <w:sz w:val="20"/>
                <w:szCs w:val="20"/>
              </w:rPr>
              <w:t>t</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B483FE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C8E898" w14:textId="77777777" w:rsidR="00000000" w:rsidRDefault="00EE5306">
            <w:pPr>
              <w:spacing w:after="100"/>
              <w:jc w:val="right"/>
              <w:rPr>
                <w:rFonts w:eastAsia="Times New Roman"/>
              </w:rPr>
            </w:pPr>
            <w:r>
              <w:rPr>
                <w:rFonts w:eastAsia="Times New Roman"/>
                <w:color w:val="000000"/>
                <w:sz w:val="20"/>
                <w:szCs w:val="20"/>
              </w:rPr>
              <w:t>(1,632.9)</w:t>
            </w:r>
          </w:p>
        </w:tc>
        <w:tc>
          <w:tcPr>
            <w:tcW w:w="0" w:type="auto"/>
            <w:shd w:val="clear" w:color="auto" w:fill="CCEEFF"/>
            <w:tcMar>
              <w:top w:w="30" w:type="dxa"/>
              <w:left w:w="0" w:type="dxa"/>
              <w:bottom w:w="30" w:type="dxa"/>
              <w:right w:w="20" w:type="dxa"/>
            </w:tcMar>
            <w:vAlign w:val="bottom"/>
            <w:hideMark/>
          </w:tcPr>
          <w:p w14:paraId="4F90015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00C4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348119" w14:textId="77777777" w:rsidR="00000000" w:rsidRDefault="00EE5306">
            <w:pPr>
              <w:spacing w:after="100"/>
              <w:jc w:val="right"/>
              <w:rPr>
                <w:rFonts w:eastAsia="Times New Roman"/>
              </w:rPr>
            </w:pPr>
            <w:r>
              <w:rPr>
                <w:rFonts w:eastAsia="Times New Roman"/>
                <w:color w:val="000000"/>
                <w:sz w:val="20"/>
                <w:szCs w:val="20"/>
              </w:rPr>
              <w:t>(396.4)</w:t>
            </w:r>
          </w:p>
        </w:tc>
        <w:tc>
          <w:tcPr>
            <w:tcW w:w="0" w:type="auto"/>
            <w:shd w:val="clear" w:color="auto" w:fill="CCEEFF"/>
            <w:tcMar>
              <w:top w:w="30" w:type="dxa"/>
              <w:left w:w="0" w:type="dxa"/>
              <w:bottom w:w="30" w:type="dxa"/>
              <w:right w:w="20" w:type="dxa"/>
            </w:tcMar>
            <w:vAlign w:val="bottom"/>
            <w:hideMark/>
          </w:tcPr>
          <w:p w14:paraId="38496C7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380B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FD40F3" w14:textId="77777777" w:rsidR="00000000" w:rsidRDefault="00EE5306">
            <w:pPr>
              <w:spacing w:after="100"/>
              <w:jc w:val="right"/>
              <w:rPr>
                <w:rFonts w:eastAsia="Times New Roman"/>
              </w:rPr>
            </w:pPr>
            <w:r>
              <w:rPr>
                <w:rFonts w:eastAsia="Times New Roman"/>
                <w:color w:val="000000"/>
                <w:sz w:val="20"/>
                <w:szCs w:val="20"/>
              </w:rPr>
              <w:t>(1,236.5)</w:t>
            </w:r>
          </w:p>
        </w:tc>
        <w:tc>
          <w:tcPr>
            <w:tcW w:w="0" w:type="auto"/>
            <w:shd w:val="clear" w:color="auto" w:fill="CCEEFF"/>
            <w:tcMar>
              <w:top w:w="30" w:type="dxa"/>
              <w:left w:w="0" w:type="dxa"/>
              <w:bottom w:w="30" w:type="dxa"/>
              <w:right w:w="20" w:type="dxa"/>
            </w:tcMar>
            <w:vAlign w:val="bottom"/>
            <w:hideMark/>
          </w:tcPr>
          <w:p w14:paraId="75B16FBC" w14:textId="77777777" w:rsidR="00000000" w:rsidRDefault="00EE5306">
            <w:pPr>
              <w:spacing w:after="100"/>
              <w:jc w:val="right"/>
              <w:rPr>
                <w:rFonts w:eastAsia="Times New Roman"/>
              </w:rPr>
            </w:pPr>
          </w:p>
        </w:tc>
      </w:tr>
      <w:tr w:rsidR="00000000" w14:paraId="7B39B893" w14:textId="77777777">
        <w:trPr>
          <w:divId w:val="187060077"/>
        </w:trPr>
        <w:tc>
          <w:tcPr>
            <w:tcW w:w="0" w:type="auto"/>
            <w:gridSpan w:val="3"/>
            <w:shd w:val="clear" w:color="auto" w:fill="FFFFFF"/>
            <w:tcMar>
              <w:top w:w="30" w:type="dxa"/>
              <w:left w:w="20" w:type="dxa"/>
              <w:bottom w:w="30" w:type="dxa"/>
              <w:right w:w="20" w:type="dxa"/>
            </w:tcMar>
            <w:vAlign w:val="bottom"/>
            <w:hideMark/>
          </w:tcPr>
          <w:p w14:paraId="4A50EC51" w14:textId="77777777" w:rsidR="00000000" w:rsidRDefault="00EE5306">
            <w:pPr>
              <w:spacing w:after="100"/>
              <w:ind w:firstLine="180"/>
              <w:divId w:val="645822781"/>
              <w:rPr>
                <w:rFonts w:eastAsia="Times New Roman"/>
              </w:rPr>
            </w:pPr>
            <w:r>
              <w:rPr>
                <w:rFonts w:eastAsia="Times New Roman"/>
                <w:color w:val="000000"/>
                <w:sz w:val="20"/>
                <w:szCs w:val="20"/>
              </w:rPr>
              <w:t>Net cash and investment</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 </w:t>
            </w:r>
          </w:p>
        </w:tc>
        <w:tc>
          <w:tcPr>
            <w:tcW w:w="0" w:type="auto"/>
            <w:gridSpan w:val="3"/>
            <w:shd w:val="clear" w:color="auto" w:fill="FFFFFF"/>
            <w:tcMar>
              <w:top w:w="0" w:type="dxa"/>
              <w:left w:w="20" w:type="dxa"/>
              <w:bottom w:w="0" w:type="dxa"/>
              <w:right w:w="20" w:type="dxa"/>
            </w:tcMar>
            <w:vAlign w:val="center"/>
            <w:hideMark/>
          </w:tcPr>
          <w:p w14:paraId="1D86C8C7" w14:textId="77777777" w:rsidR="00000000" w:rsidRDefault="00EE5306">
            <w:pPr>
              <w:spacing w:after="100"/>
              <w:ind w:firstLine="18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D13C9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0ED6A2" w14:textId="77777777" w:rsidR="00000000" w:rsidRDefault="00EE5306">
            <w:pPr>
              <w:spacing w:after="100"/>
              <w:jc w:val="right"/>
              <w:rPr>
                <w:rFonts w:eastAsia="Times New Roman"/>
              </w:rPr>
            </w:pPr>
            <w:r>
              <w:rPr>
                <w:rFonts w:eastAsia="Times New Roman"/>
                <w:color w:val="000000"/>
                <w:sz w:val="20"/>
                <w:szCs w:val="20"/>
              </w:rPr>
              <w:t>1,143.6 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4CD3E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A1098"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E0B829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9DBFEE" w14:textId="77777777" w:rsidR="00000000" w:rsidRDefault="00EE5306">
            <w:pPr>
              <w:spacing w:after="100"/>
              <w:jc w:val="right"/>
              <w:rPr>
                <w:rFonts w:eastAsia="Times New Roman"/>
              </w:rPr>
            </w:pPr>
            <w:r>
              <w:rPr>
                <w:rFonts w:eastAsia="Times New Roman"/>
                <w:color w:val="000000"/>
                <w:sz w:val="20"/>
                <w:szCs w:val="20"/>
              </w:rPr>
              <w:t>945.3 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D90EF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EE23A"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D9D17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46A385" w14:textId="77777777" w:rsidR="00000000" w:rsidRDefault="00EE5306">
            <w:pPr>
              <w:spacing w:after="100"/>
              <w:jc w:val="right"/>
              <w:rPr>
                <w:rFonts w:eastAsia="Times New Roman"/>
              </w:rPr>
            </w:pPr>
            <w:r>
              <w:rPr>
                <w:rFonts w:eastAsia="Times New Roman"/>
                <w:color w:val="000000"/>
                <w:sz w:val="20"/>
                <w:szCs w:val="20"/>
              </w:rPr>
              <w:t>198.3 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FBE981" w14:textId="77777777" w:rsidR="00000000" w:rsidRDefault="00EE5306">
            <w:pPr>
              <w:spacing w:after="100"/>
              <w:jc w:val="right"/>
              <w:rPr>
                <w:rFonts w:eastAsia="Times New Roman"/>
              </w:rPr>
            </w:pPr>
          </w:p>
        </w:tc>
      </w:tr>
      <w:tr w:rsidR="00000000" w14:paraId="6E366EE0" w14:textId="77777777">
        <w:trPr>
          <w:divId w:val="187060077"/>
        </w:trPr>
        <w:tc>
          <w:tcPr>
            <w:tcW w:w="0" w:type="auto"/>
            <w:gridSpan w:val="3"/>
            <w:shd w:val="clear" w:color="auto" w:fill="CCEEFF"/>
            <w:tcMar>
              <w:top w:w="30" w:type="dxa"/>
              <w:left w:w="20" w:type="dxa"/>
              <w:bottom w:w="30" w:type="dxa"/>
              <w:right w:w="20" w:type="dxa"/>
            </w:tcMar>
            <w:vAlign w:val="bottom"/>
            <w:hideMark/>
          </w:tcPr>
          <w:p w14:paraId="706AE0E0" w14:textId="77777777" w:rsidR="00000000" w:rsidRDefault="00EE5306">
            <w:pPr>
              <w:spacing w:after="100"/>
              <w:rPr>
                <w:rFonts w:eastAsia="Times New Roman"/>
              </w:rPr>
            </w:pPr>
            <w:r>
              <w:rPr>
                <w:rFonts w:eastAsia="Times New Roman"/>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14:paraId="4F41ECC8" w14:textId="77777777" w:rsidR="00000000" w:rsidRDefault="00EE5306">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F2594C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FC9E4F2" w14:textId="77777777" w:rsidR="00000000" w:rsidRDefault="00EE5306">
            <w:pPr>
              <w:spacing w:after="100"/>
              <w:jc w:val="right"/>
              <w:rPr>
                <w:rFonts w:eastAsia="Times New Roman"/>
              </w:rPr>
            </w:pPr>
            <w:r>
              <w:rPr>
                <w:rFonts w:eastAsia="Times New Roman"/>
                <w:color w:val="000000"/>
                <w:sz w:val="20"/>
                <w:szCs w:val="20"/>
              </w:rPr>
              <w:t>2,604.4 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F60F06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38D1E" w14:textId="77777777" w:rsidR="00000000" w:rsidRDefault="00EE530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E79686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2A618B8" w14:textId="77777777" w:rsidR="00000000" w:rsidRDefault="00EE5306">
            <w:pPr>
              <w:spacing w:after="100"/>
              <w:jc w:val="right"/>
              <w:rPr>
                <w:rFonts w:eastAsia="Times New Roman"/>
              </w:rPr>
            </w:pPr>
            <w:r>
              <w:rPr>
                <w:rFonts w:eastAsia="Times New Roman"/>
                <w:color w:val="000000"/>
                <w:sz w:val="20"/>
                <w:szCs w:val="20"/>
              </w:rPr>
              <w:t>2,693.1 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90F2F9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2CC71" w14:textId="77777777" w:rsidR="00000000" w:rsidRDefault="00EE530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E89D12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82AD282" w14:textId="77777777" w:rsidR="00000000" w:rsidRDefault="00EE5306">
            <w:pPr>
              <w:spacing w:after="100"/>
              <w:jc w:val="right"/>
              <w:rPr>
                <w:rFonts w:eastAsia="Times New Roman"/>
              </w:rPr>
            </w:pPr>
            <w:r>
              <w:rPr>
                <w:rFonts w:eastAsia="Times New Roman"/>
                <w:color w:val="000000"/>
                <w:sz w:val="20"/>
                <w:szCs w:val="20"/>
              </w:rPr>
              <w:t>(88.7)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1DDACEA6"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7B962BD9" w14:textId="77777777">
        <w:tc>
          <w:tcPr>
            <w:tcW w:w="50" w:type="pct"/>
            <w:vAlign w:val="center"/>
            <w:hideMark/>
          </w:tcPr>
          <w:p w14:paraId="39486689" w14:textId="77777777" w:rsidR="00000000" w:rsidRDefault="00EE5306">
            <w:pPr>
              <w:rPr>
                <w:rFonts w:eastAsia="Times New Roman"/>
              </w:rPr>
            </w:pPr>
          </w:p>
        </w:tc>
        <w:tc>
          <w:tcPr>
            <w:tcW w:w="4945" w:type="pct"/>
            <w:vAlign w:val="center"/>
            <w:hideMark/>
          </w:tcPr>
          <w:p w14:paraId="2992639F" w14:textId="77777777" w:rsidR="00000000" w:rsidRDefault="00EE5306">
            <w:pPr>
              <w:spacing w:after="100"/>
              <w:rPr>
                <w:rFonts w:eastAsia="Times New Roman"/>
                <w:sz w:val="20"/>
                <w:szCs w:val="20"/>
              </w:rPr>
            </w:pPr>
          </w:p>
        </w:tc>
        <w:tc>
          <w:tcPr>
            <w:tcW w:w="5" w:type="pct"/>
            <w:vAlign w:val="center"/>
            <w:hideMark/>
          </w:tcPr>
          <w:p w14:paraId="70049A09" w14:textId="77777777" w:rsidR="00000000" w:rsidRDefault="00EE5306">
            <w:pPr>
              <w:spacing w:after="100"/>
              <w:rPr>
                <w:rFonts w:eastAsia="Times New Roman"/>
                <w:sz w:val="20"/>
                <w:szCs w:val="20"/>
              </w:rPr>
            </w:pPr>
          </w:p>
        </w:tc>
      </w:tr>
      <w:tr w:rsidR="00000000" w14:paraId="38C575F7"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4B1D2947" w14:textId="77777777" w:rsidR="00000000" w:rsidRDefault="00EE5306">
            <w:pPr>
              <w:spacing w:after="100"/>
              <w:rPr>
                <w:rFonts w:eastAsia="Times New Roman"/>
                <w:sz w:val="20"/>
                <w:szCs w:val="20"/>
              </w:rPr>
            </w:pPr>
          </w:p>
        </w:tc>
      </w:tr>
    </w:tbl>
    <w:p w14:paraId="0A4B5129" w14:textId="77777777" w:rsidR="00000000" w:rsidRDefault="00EE5306">
      <w:pPr>
        <w:ind w:hanging="360"/>
        <w:jc w:val="both"/>
        <w:divId w:val="322664651"/>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See Note 11 to the accompanying consolidated financial statements for discussion of the carrying values of our debt.</w:t>
      </w:r>
    </w:p>
    <w:p w14:paraId="06754FDD" w14:textId="77777777" w:rsidR="00000000" w:rsidRDefault="00EE5306">
      <w:pPr>
        <w:ind w:hanging="360"/>
        <w:jc w:val="both"/>
        <w:divId w:val="588199347"/>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"Net cash and investments" is defined as cash and cash equivalents, plus investments, less total debt.</w:t>
      </w:r>
    </w:p>
    <w:p w14:paraId="5D858D14" w14:textId="77777777" w:rsidR="00000000" w:rsidRDefault="00EE5306">
      <w:pPr>
        <w:ind w:firstLine="540"/>
        <w:jc w:val="both"/>
        <w:divId w:val="418913325"/>
        <w:rPr>
          <w:rFonts w:eastAsia="Times New Roman"/>
        </w:rPr>
      </w:pPr>
      <w:r>
        <w:rPr>
          <w:rFonts w:eastAsia="Times New Roman"/>
          <w:color w:val="000000"/>
          <w:sz w:val="20"/>
          <w:szCs w:val="20"/>
        </w:rPr>
        <w:t>The increase in our net cash and investments position at March 27, 2021 as compared to March 28, 2020 was primarily due to our operating cash flows of $3</w:t>
      </w:r>
      <w:r>
        <w:rPr>
          <w:rFonts w:eastAsia="Times New Roman"/>
          <w:color w:val="000000"/>
          <w:sz w:val="20"/>
          <w:szCs w:val="20"/>
        </w:rPr>
        <w:t>80.9 million, partially offset by our use of cash to invest in our business through $107.8 million in capital expenditures, to make dividend payments of $49.8 million (which had been previously declared during the fourth quarter of Fiscal 2020), and to sup</w:t>
      </w:r>
      <w:r>
        <w:rPr>
          <w:rFonts w:eastAsia="Times New Roman"/>
          <w:color w:val="000000"/>
          <w:sz w:val="20"/>
          <w:szCs w:val="20"/>
        </w:rPr>
        <w:t>port Class A common stock repurchases of $37.7 million, representing withholdings in satisfaction of tax obligations for stock-based compensation awards.</w:t>
      </w:r>
    </w:p>
    <w:p w14:paraId="67821028" w14:textId="77777777" w:rsidR="00000000" w:rsidRDefault="00EE5306">
      <w:pPr>
        <w:ind w:firstLine="540"/>
        <w:jc w:val="both"/>
        <w:divId w:val="74665630"/>
        <w:rPr>
          <w:rFonts w:eastAsia="Times New Roman"/>
        </w:rPr>
      </w:pPr>
      <w:r>
        <w:rPr>
          <w:rFonts w:eastAsia="Times New Roman"/>
          <w:color w:val="000000"/>
          <w:sz w:val="20"/>
          <w:szCs w:val="20"/>
        </w:rPr>
        <w:t>The decrease in equity was primarily attributable to our comprehensive loss and shares surrendered for</w:t>
      </w:r>
      <w:r>
        <w:rPr>
          <w:rFonts w:eastAsia="Times New Roman"/>
          <w:color w:val="000000"/>
          <w:sz w:val="20"/>
          <w:szCs w:val="20"/>
        </w:rPr>
        <w:t xml:space="preserve"> tax withholdings, partially offset by the impact of stock-based compensation arrangements during Fiscal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026CF0F" w14:textId="77777777">
        <w:trPr>
          <w:divId w:val="237326286"/>
          <w:jc w:val="center"/>
        </w:trPr>
        <w:tc>
          <w:tcPr>
            <w:tcW w:w="50" w:type="pct"/>
            <w:vAlign w:val="center"/>
            <w:hideMark/>
          </w:tcPr>
          <w:p w14:paraId="03B2AAD9" w14:textId="77777777" w:rsidR="00000000" w:rsidRDefault="00EE5306">
            <w:pPr>
              <w:ind w:firstLine="540"/>
              <w:jc w:val="both"/>
              <w:rPr>
                <w:rFonts w:eastAsia="Times New Roman"/>
              </w:rPr>
            </w:pPr>
          </w:p>
        </w:tc>
        <w:tc>
          <w:tcPr>
            <w:tcW w:w="1699" w:type="pct"/>
            <w:vAlign w:val="center"/>
            <w:hideMark/>
          </w:tcPr>
          <w:p w14:paraId="7850F1EA" w14:textId="77777777" w:rsidR="00000000" w:rsidRDefault="00EE5306">
            <w:pPr>
              <w:spacing w:after="100"/>
              <w:rPr>
                <w:rFonts w:eastAsia="Times New Roman"/>
                <w:sz w:val="20"/>
                <w:szCs w:val="20"/>
              </w:rPr>
            </w:pPr>
          </w:p>
        </w:tc>
        <w:tc>
          <w:tcPr>
            <w:tcW w:w="5" w:type="pct"/>
            <w:vAlign w:val="center"/>
            <w:hideMark/>
          </w:tcPr>
          <w:p w14:paraId="545D88DB" w14:textId="77777777" w:rsidR="00000000" w:rsidRDefault="00EE5306">
            <w:pPr>
              <w:spacing w:after="100"/>
              <w:rPr>
                <w:rFonts w:eastAsia="Times New Roman"/>
                <w:sz w:val="20"/>
                <w:szCs w:val="20"/>
              </w:rPr>
            </w:pPr>
          </w:p>
        </w:tc>
        <w:tc>
          <w:tcPr>
            <w:tcW w:w="50" w:type="pct"/>
            <w:vAlign w:val="center"/>
            <w:hideMark/>
          </w:tcPr>
          <w:p w14:paraId="2358144D" w14:textId="77777777" w:rsidR="00000000" w:rsidRDefault="00EE5306">
            <w:pPr>
              <w:spacing w:after="100"/>
              <w:rPr>
                <w:rFonts w:eastAsia="Times New Roman"/>
                <w:sz w:val="20"/>
                <w:szCs w:val="20"/>
              </w:rPr>
            </w:pPr>
          </w:p>
        </w:tc>
        <w:tc>
          <w:tcPr>
            <w:tcW w:w="1436" w:type="pct"/>
            <w:vAlign w:val="center"/>
            <w:hideMark/>
          </w:tcPr>
          <w:p w14:paraId="050F802E" w14:textId="77777777" w:rsidR="00000000" w:rsidRDefault="00EE5306">
            <w:pPr>
              <w:spacing w:after="100"/>
              <w:rPr>
                <w:rFonts w:eastAsia="Times New Roman"/>
                <w:sz w:val="20"/>
                <w:szCs w:val="20"/>
              </w:rPr>
            </w:pPr>
          </w:p>
        </w:tc>
        <w:tc>
          <w:tcPr>
            <w:tcW w:w="5" w:type="pct"/>
            <w:vAlign w:val="center"/>
            <w:hideMark/>
          </w:tcPr>
          <w:p w14:paraId="3EB50CA6" w14:textId="77777777" w:rsidR="00000000" w:rsidRDefault="00EE5306">
            <w:pPr>
              <w:spacing w:after="100"/>
              <w:rPr>
                <w:rFonts w:eastAsia="Times New Roman"/>
                <w:sz w:val="20"/>
                <w:szCs w:val="20"/>
              </w:rPr>
            </w:pPr>
          </w:p>
        </w:tc>
        <w:tc>
          <w:tcPr>
            <w:tcW w:w="50" w:type="pct"/>
            <w:vAlign w:val="center"/>
            <w:hideMark/>
          </w:tcPr>
          <w:p w14:paraId="42B30F07" w14:textId="77777777" w:rsidR="00000000" w:rsidRDefault="00EE5306">
            <w:pPr>
              <w:spacing w:after="100"/>
              <w:rPr>
                <w:rFonts w:eastAsia="Times New Roman"/>
                <w:sz w:val="20"/>
                <w:szCs w:val="20"/>
              </w:rPr>
            </w:pPr>
          </w:p>
        </w:tc>
        <w:tc>
          <w:tcPr>
            <w:tcW w:w="1699" w:type="pct"/>
            <w:vAlign w:val="center"/>
            <w:hideMark/>
          </w:tcPr>
          <w:p w14:paraId="6A544766" w14:textId="77777777" w:rsidR="00000000" w:rsidRDefault="00EE5306">
            <w:pPr>
              <w:spacing w:after="100"/>
              <w:rPr>
                <w:rFonts w:eastAsia="Times New Roman"/>
                <w:sz w:val="20"/>
                <w:szCs w:val="20"/>
              </w:rPr>
            </w:pPr>
          </w:p>
        </w:tc>
        <w:tc>
          <w:tcPr>
            <w:tcW w:w="5" w:type="pct"/>
            <w:vAlign w:val="center"/>
            <w:hideMark/>
          </w:tcPr>
          <w:p w14:paraId="3E43F550" w14:textId="77777777" w:rsidR="00000000" w:rsidRDefault="00EE5306">
            <w:pPr>
              <w:spacing w:after="100"/>
              <w:rPr>
                <w:rFonts w:eastAsia="Times New Roman"/>
                <w:sz w:val="20"/>
                <w:szCs w:val="20"/>
              </w:rPr>
            </w:pPr>
          </w:p>
        </w:tc>
      </w:tr>
      <w:tr w:rsidR="00000000" w14:paraId="3B281D9E" w14:textId="77777777">
        <w:trPr>
          <w:divId w:val="237326286"/>
          <w:jc w:val="center"/>
        </w:trPr>
        <w:tc>
          <w:tcPr>
            <w:tcW w:w="0" w:type="auto"/>
            <w:gridSpan w:val="3"/>
            <w:tcMar>
              <w:top w:w="0" w:type="dxa"/>
              <w:left w:w="20" w:type="dxa"/>
              <w:bottom w:w="0" w:type="dxa"/>
              <w:right w:w="20" w:type="dxa"/>
            </w:tcMar>
            <w:vAlign w:val="center"/>
            <w:hideMark/>
          </w:tcPr>
          <w:p w14:paraId="7BE259D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9DCD26" w14:textId="77777777" w:rsidR="00000000" w:rsidRDefault="00EE5306">
            <w:pPr>
              <w:spacing w:after="100"/>
              <w:jc w:val="center"/>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14:paraId="01D3F344" w14:textId="77777777" w:rsidR="00000000" w:rsidRDefault="00EE5306">
            <w:pPr>
              <w:spacing w:after="100"/>
              <w:jc w:val="center"/>
              <w:rPr>
                <w:rFonts w:eastAsia="Times New Roman"/>
              </w:rPr>
            </w:pPr>
          </w:p>
        </w:tc>
      </w:tr>
    </w:tbl>
    <w:p w14:paraId="0D050CCC" w14:textId="77777777" w:rsidR="00000000" w:rsidRDefault="00EE5306">
      <w:pPr>
        <w:rPr>
          <w:rFonts w:eastAsia="Times New Roman"/>
        </w:rPr>
      </w:pPr>
      <w:r>
        <w:rPr>
          <w:rFonts w:eastAsia="Times New Roman"/>
        </w:rPr>
        <w:pict w14:anchorId="6D46CFB5">
          <v:rect id="_x0000_i1089" style="width:0;height:1.5pt" o:hralign="center" o:hrstd="t" o:hr="t" fillcolor="#a0a0a0" stroked="f"/>
        </w:pict>
      </w:r>
    </w:p>
    <w:p w14:paraId="15C8A2C9" w14:textId="77777777" w:rsidR="00000000" w:rsidRDefault="00EE5306">
      <w:pPr>
        <w:divId w:val="485558698"/>
        <w:rPr>
          <w:rFonts w:eastAsia="Times New Roman"/>
        </w:rPr>
      </w:pPr>
    </w:p>
    <w:p w14:paraId="4D19C718" w14:textId="77777777" w:rsidR="00000000" w:rsidRDefault="00EE5306">
      <w:pPr>
        <w:ind w:firstLine="360"/>
        <w:jc w:val="both"/>
        <w:divId w:val="2105959025"/>
        <w:rPr>
          <w:rFonts w:eastAsia="Times New Roman"/>
        </w:rPr>
      </w:pPr>
      <w:r>
        <w:rPr>
          <w:rFonts w:eastAsia="Times New Roman"/>
          <w:b/>
          <w:bCs/>
          <w:i/>
          <w:iCs/>
          <w:color w:val="000000"/>
          <w:sz w:val="20"/>
          <w:szCs w:val="20"/>
        </w:rPr>
        <w:t>Cash Flows</w:t>
      </w:r>
    </w:p>
    <w:p w14:paraId="70F7C7E5" w14:textId="77777777" w:rsidR="00000000" w:rsidRDefault="00EE5306">
      <w:pPr>
        <w:ind w:firstLine="360"/>
        <w:jc w:val="both"/>
        <w:divId w:val="512452371"/>
        <w:rPr>
          <w:rFonts w:eastAsia="Times New Roman"/>
        </w:rPr>
      </w:pPr>
      <w:r>
        <w:rPr>
          <w:rFonts w:eastAsia="Times New Roman"/>
          <w:i/>
          <w:iCs/>
          <w:color w:val="000000"/>
          <w:sz w:val="20"/>
          <w:szCs w:val="20"/>
        </w:rPr>
        <w:t>Fiscal 2021 Compared to Fiscal 2020</w:t>
      </w:r>
    </w:p>
    <w:tbl>
      <w:tblPr>
        <w:tblW w:w="4714" w:type="pct"/>
        <w:tblCellMar>
          <w:top w:w="15" w:type="dxa"/>
          <w:left w:w="15" w:type="dxa"/>
          <w:bottom w:w="15" w:type="dxa"/>
          <w:right w:w="15" w:type="dxa"/>
        </w:tblCellMar>
        <w:tblLook w:val="04A0" w:firstRow="1" w:lastRow="0" w:firstColumn="1" w:lastColumn="0" w:noHBand="0" w:noVBand="1"/>
      </w:tblPr>
      <w:tblGrid>
        <w:gridCol w:w="39"/>
        <w:gridCol w:w="5128"/>
        <w:gridCol w:w="38"/>
        <w:gridCol w:w="36"/>
        <w:gridCol w:w="36"/>
        <w:gridCol w:w="36"/>
        <w:gridCol w:w="120"/>
        <w:gridCol w:w="600"/>
        <w:gridCol w:w="36"/>
        <w:gridCol w:w="36"/>
        <w:gridCol w:w="36"/>
        <w:gridCol w:w="36"/>
        <w:gridCol w:w="120"/>
        <w:gridCol w:w="650"/>
        <w:gridCol w:w="36"/>
        <w:gridCol w:w="36"/>
        <w:gridCol w:w="36"/>
        <w:gridCol w:w="36"/>
        <w:gridCol w:w="120"/>
        <w:gridCol w:w="584"/>
        <w:gridCol w:w="36"/>
      </w:tblGrid>
      <w:tr w:rsidR="00000000" w14:paraId="476168B9" w14:textId="77777777">
        <w:trPr>
          <w:divId w:val="870072818"/>
        </w:trPr>
        <w:tc>
          <w:tcPr>
            <w:tcW w:w="50" w:type="pct"/>
            <w:vAlign w:val="center"/>
            <w:hideMark/>
          </w:tcPr>
          <w:p w14:paraId="6CBC96C6" w14:textId="77777777" w:rsidR="00000000" w:rsidRDefault="00EE5306">
            <w:pPr>
              <w:ind w:firstLine="360"/>
              <w:jc w:val="both"/>
              <w:rPr>
                <w:rFonts w:eastAsia="Times New Roman"/>
              </w:rPr>
            </w:pPr>
          </w:p>
        </w:tc>
        <w:tc>
          <w:tcPr>
            <w:tcW w:w="3317" w:type="pct"/>
            <w:vAlign w:val="center"/>
            <w:hideMark/>
          </w:tcPr>
          <w:p w14:paraId="19F10A11" w14:textId="77777777" w:rsidR="00000000" w:rsidRDefault="00EE5306">
            <w:pPr>
              <w:spacing w:after="100"/>
              <w:rPr>
                <w:rFonts w:eastAsia="Times New Roman"/>
                <w:sz w:val="20"/>
                <w:szCs w:val="20"/>
              </w:rPr>
            </w:pPr>
          </w:p>
        </w:tc>
        <w:tc>
          <w:tcPr>
            <w:tcW w:w="5" w:type="pct"/>
            <w:vAlign w:val="center"/>
            <w:hideMark/>
          </w:tcPr>
          <w:p w14:paraId="4F1BE373" w14:textId="77777777" w:rsidR="00000000" w:rsidRDefault="00EE5306">
            <w:pPr>
              <w:spacing w:after="100"/>
              <w:rPr>
                <w:rFonts w:eastAsia="Times New Roman"/>
                <w:sz w:val="20"/>
                <w:szCs w:val="20"/>
              </w:rPr>
            </w:pPr>
          </w:p>
        </w:tc>
        <w:tc>
          <w:tcPr>
            <w:tcW w:w="5" w:type="pct"/>
            <w:vAlign w:val="center"/>
            <w:hideMark/>
          </w:tcPr>
          <w:p w14:paraId="7BF1923C" w14:textId="77777777" w:rsidR="00000000" w:rsidRDefault="00EE5306">
            <w:pPr>
              <w:spacing w:after="100"/>
              <w:rPr>
                <w:rFonts w:eastAsia="Times New Roman"/>
                <w:sz w:val="20"/>
                <w:szCs w:val="20"/>
              </w:rPr>
            </w:pPr>
          </w:p>
        </w:tc>
        <w:tc>
          <w:tcPr>
            <w:tcW w:w="28" w:type="pct"/>
            <w:vAlign w:val="center"/>
            <w:hideMark/>
          </w:tcPr>
          <w:p w14:paraId="7D83F15E" w14:textId="77777777" w:rsidR="00000000" w:rsidRDefault="00EE5306">
            <w:pPr>
              <w:spacing w:after="100"/>
              <w:rPr>
                <w:rFonts w:eastAsia="Times New Roman"/>
                <w:sz w:val="20"/>
                <w:szCs w:val="20"/>
              </w:rPr>
            </w:pPr>
          </w:p>
        </w:tc>
        <w:tc>
          <w:tcPr>
            <w:tcW w:w="5" w:type="pct"/>
            <w:vAlign w:val="center"/>
            <w:hideMark/>
          </w:tcPr>
          <w:p w14:paraId="49CFA0CE" w14:textId="77777777" w:rsidR="00000000" w:rsidRDefault="00EE5306">
            <w:pPr>
              <w:spacing w:after="100"/>
              <w:rPr>
                <w:rFonts w:eastAsia="Times New Roman"/>
                <w:sz w:val="20"/>
                <w:szCs w:val="20"/>
              </w:rPr>
            </w:pPr>
          </w:p>
        </w:tc>
        <w:tc>
          <w:tcPr>
            <w:tcW w:w="50" w:type="pct"/>
            <w:vAlign w:val="center"/>
            <w:hideMark/>
          </w:tcPr>
          <w:p w14:paraId="3D58C9D7" w14:textId="77777777" w:rsidR="00000000" w:rsidRDefault="00EE5306">
            <w:pPr>
              <w:spacing w:after="100"/>
              <w:rPr>
                <w:rFonts w:eastAsia="Times New Roman"/>
                <w:sz w:val="20"/>
                <w:szCs w:val="20"/>
              </w:rPr>
            </w:pPr>
          </w:p>
        </w:tc>
        <w:tc>
          <w:tcPr>
            <w:tcW w:w="448" w:type="pct"/>
            <w:vAlign w:val="center"/>
            <w:hideMark/>
          </w:tcPr>
          <w:p w14:paraId="12441021" w14:textId="77777777" w:rsidR="00000000" w:rsidRDefault="00EE5306">
            <w:pPr>
              <w:spacing w:after="100"/>
              <w:rPr>
                <w:rFonts w:eastAsia="Times New Roman"/>
                <w:sz w:val="20"/>
                <w:szCs w:val="20"/>
              </w:rPr>
            </w:pPr>
          </w:p>
        </w:tc>
        <w:tc>
          <w:tcPr>
            <w:tcW w:w="5" w:type="pct"/>
            <w:vAlign w:val="center"/>
            <w:hideMark/>
          </w:tcPr>
          <w:p w14:paraId="582B7F5A" w14:textId="77777777" w:rsidR="00000000" w:rsidRDefault="00EE5306">
            <w:pPr>
              <w:spacing w:after="100"/>
              <w:rPr>
                <w:rFonts w:eastAsia="Times New Roman"/>
                <w:sz w:val="20"/>
                <w:szCs w:val="20"/>
              </w:rPr>
            </w:pPr>
          </w:p>
        </w:tc>
        <w:tc>
          <w:tcPr>
            <w:tcW w:w="5" w:type="pct"/>
            <w:vAlign w:val="center"/>
            <w:hideMark/>
          </w:tcPr>
          <w:p w14:paraId="17C196D6" w14:textId="77777777" w:rsidR="00000000" w:rsidRDefault="00EE5306">
            <w:pPr>
              <w:spacing w:after="100"/>
              <w:rPr>
                <w:rFonts w:eastAsia="Times New Roman"/>
                <w:sz w:val="20"/>
                <w:szCs w:val="20"/>
              </w:rPr>
            </w:pPr>
          </w:p>
        </w:tc>
        <w:tc>
          <w:tcPr>
            <w:tcW w:w="28" w:type="pct"/>
            <w:vAlign w:val="center"/>
            <w:hideMark/>
          </w:tcPr>
          <w:p w14:paraId="78C43BDF" w14:textId="77777777" w:rsidR="00000000" w:rsidRDefault="00EE5306">
            <w:pPr>
              <w:spacing w:after="100"/>
              <w:rPr>
                <w:rFonts w:eastAsia="Times New Roman"/>
                <w:sz w:val="20"/>
                <w:szCs w:val="20"/>
              </w:rPr>
            </w:pPr>
          </w:p>
        </w:tc>
        <w:tc>
          <w:tcPr>
            <w:tcW w:w="5" w:type="pct"/>
            <w:vAlign w:val="center"/>
            <w:hideMark/>
          </w:tcPr>
          <w:p w14:paraId="1B39D9B1" w14:textId="77777777" w:rsidR="00000000" w:rsidRDefault="00EE5306">
            <w:pPr>
              <w:spacing w:after="100"/>
              <w:rPr>
                <w:rFonts w:eastAsia="Times New Roman"/>
                <w:sz w:val="20"/>
                <w:szCs w:val="20"/>
              </w:rPr>
            </w:pPr>
          </w:p>
        </w:tc>
        <w:tc>
          <w:tcPr>
            <w:tcW w:w="50" w:type="pct"/>
            <w:vAlign w:val="center"/>
            <w:hideMark/>
          </w:tcPr>
          <w:p w14:paraId="1561228F" w14:textId="77777777" w:rsidR="00000000" w:rsidRDefault="00EE5306">
            <w:pPr>
              <w:spacing w:after="100"/>
              <w:rPr>
                <w:rFonts w:eastAsia="Times New Roman"/>
                <w:sz w:val="20"/>
                <w:szCs w:val="20"/>
              </w:rPr>
            </w:pPr>
          </w:p>
        </w:tc>
        <w:tc>
          <w:tcPr>
            <w:tcW w:w="448" w:type="pct"/>
            <w:vAlign w:val="center"/>
            <w:hideMark/>
          </w:tcPr>
          <w:p w14:paraId="4A7797D3" w14:textId="77777777" w:rsidR="00000000" w:rsidRDefault="00EE5306">
            <w:pPr>
              <w:spacing w:after="100"/>
              <w:rPr>
                <w:rFonts w:eastAsia="Times New Roman"/>
                <w:sz w:val="20"/>
                <w:szCs w:val="20"/>
              </w:rPr>
            </w:pPr>
          </w:p>
        </w:tc>
        <w:tc>
          <w:tcPr>
            <w:tcW w:w="5" w:type="pct"/>
            <w:vAlign w:val="center"/>
            <w:hideMark/>
          </w:tcPr>
          <w:p w14:paraId="69084541" w14:textId="77777777" w:rsidR="00000000" w:rsidRDefault="00EE5306">
            <w:pPr>
              <w:spacing w:after="100"/>
              <w:rPr>
                <w:rFonts w:eastAsia="Times New Roman"/>
                <w:sz w:val="20"/>
                <w:szCs w:val="20"/>
              </w:rPr>
            </w:pPr>
          </w:p>
        </w:tc>
        <w:tc>
          <w:tcPr>
            <w:tcW w:w="5" w:type="pct"/>
            <w:vAlign w:val="center"/>
            <w:hideMark/>
          </w:tcPr>
          <w:p w14:paraId="7D55B304" w14:textId="77777777" w:rsidR="00000000" w:rsidRDefault="00EE5306">
            <w:pPr>
              <w:spacing w:after="100"/>
              <w:rPr>
                <w:rFonts w:eastAsia="Times New Roman"/>
                <w:sz w:val="20"/>
                <w:szCs w:val="20"/>
              </w:rPr>
            </w:pPr>
          </w:p>
        </w:tc>
        <w:tc>
          <w:tcPr>
            <w:tcW w:w="28" w:type="pct"/>
            <w:vAlign w:val="center"/>
            <w:hideMark/>
          </w:tcPr>
          <w:p w14:paraId="5BC18993" w14:textId="77777777" w:rsidR="00000000" w:rsidRDefault="00EE5306">
            <w:pPr>
              <w:spacing w:after="100"/>
              <w:rPr>
                <w:rFonts w:eastAsia="Times New Roman"/>
                <w:sz w:val="20"/>
                <w:szCs w:val="20"/>
              </w:rPr>
            </w:pPr>
          </w:p>
        </w:tc>
        <w:tc>
          <w:tcPr>
            <w:tcW w:w="5" w:type="pct"/>
            <w:vAlign w:val="center"/>
            <w:hideMark/>
          </w:tcPr>
          <w:p w14:paraId="2AC7C69D" w14:textId="77777777" w:rsidR="00000000" w:rsidRDefault="00EE5306">
            <w:pPr>
              <w:spacing w:after="100"/>
              <w:rPr>
                <w:rFonts w:eastAsia="Times New Roman"/>
                <w:sz w:val="20"/>
                <w:szCs w:val="20"/>
              </w:rPr>
            </w:pPr>
          </w:p>
        </w:tc>
        <w:tc>
          <w:tcPr>
            <w:tcW w:w="50" w:type="pct"/>
            <w:vAlign w:val="center"/>
            <w:hideMark/>
          </w:tcPr>
          <w:p w14:paraId="4D1B3253" w14:textId="77777777" w:rsidR="00000000" w:rsidRDefault="00EE5306">
            <w:pPr>
              <w:spacing w:after="100"/>
              <w:rPr>
                <w:rFonts w:eastAsia="Times New Roman"/>
                <w:sz w:val="20"/>
                <w:szCs w:val="20"/>
              </w:rPr>
            </w:pPr>
          </w:p>
        </w:tc>
        <w:tc>
          <w:tcPr>
            <w:tcW w:w="449" w:type="pct"/>
            <w:vAlign w:val="center"/>
            <w:hideMark/>
          </w:tcPr>
          <w:p w14:paraId="27668A52" w14:textId="77777777" w:rsidR="00000000" w:rsidRDefault="00EE5306">
            <w:pPr>
              <w:spacing w:after="100"/>
              <w:rPr>
                <w:rFonts w:eastAsia="Times New Roman"/>
                <w:sz w:val="20"/>
                <w:szCs w:val="20"/>
              </w:rPr>
            </w:pPr>
          </w:p>
        </w:tc>
        <w:tc>
          <w:tcPr>
            <w:tcW w:w="5" w:type="pct"/>
            <w:vAlign w:val="center"/>
            <w:hideMark/>
          </w:tcPr>
          <w:p w14:paraId="23D54269" w14:textId="77777777" w:rsidR="00000000" w:rsidRDefault="00EE5306">
            <w:pPr>
              <w:spacing w:after="100"/>
              <w:rPr>
                <w:rFonts w:eastAsia="Times New Roman"/>
                <w:sz w:val="20"/>
                <w:szCs w:val="20"/>
              </w:rPr>
            </w:pPr>
          </w:p>
        </w:tc>
      </w:tr>
      <w:tr w:rsidR="00000000" w14:paraId="1C15D720" w14:textId="77777777">
        <w:trPr>
          <w:divId w:val="870072818"/>
        </w:trPr>
        <w:tc>
          <w:tcPr>
            <w:tcW w:w="0" w:type="auto"/>
            <w:gridSpan w:val="3"/>
            <w:tcMar>
              <w:top w:w="30" w:type="dxa"/>
              <w:left w:w="20" w:type="dxa"/>
              <w:bottom w:w="30" w:type="dxa"/>
              <w:right w:w="20" w:type="dxa"/>
            </w:tcMar>
            <w:vAlign w:val="bottom"/>
            <w:hideMark/>
          </w:tcPr>
          <w:p w14:paraId="7EFB4BFB"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99EE708" w14:textId="77777777" w:rsidR="00000000" w:rsidRDefault="00EE5306">
            <w:pPr>
              <w:spacing w:after="100"/>
              <w:rPr>
                <w:rFonts w:eastAsia="Times New Roman"/>
              </w:rPr>
            </w:pPr>
          </w:p>
        </w:tc>
        <w:tc>
          <w:tcPr>
            <w:tcW w:w="0" w:type="auto"/>
            <w:gridSpan w:val="9"/>
            <w:tcMar>
              <w:top w:w="30" w:type="dxa"/>
              <w:left w:w="20" w:type="dxa"/>
              <w:bottom w:w="30" w:type="dxa"/>
              <w:right w:w="20" w:type="dxa"/>
            </w:tcMar>
            <w:vAlign w:val="bottom"/>
            <w:hideMark/>
          </w:tcPr>
          <w:p w14:paraId="3011C159"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343349F3"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A8C838" w14:textId="77777777" w:rsidR="00000000" w:rsidRDefault="00EE5306">
            <w:pPr>
              <w:spacing w:after="100"/>
              <w:rPr>
                <w:rFonts w:eastAsia="Times New Roman"/>
              </w:rPr>
            </w:pPr>
            <w:r>
              <w:rPr>
                <w:rFonts w:eastAsia="Times New Roman"/>
                <w:color w:val="000000"/>
                <w:sz w:val="16"/>
                <w:szCs w:val="16"/>
              </w:rPr>
              <w:t> </w:t>
            </w:r>
          </w:p>
        </w:tc>
      </w:tr>
      <w:tr w:rsidR="00000000" w14:paraId="16B80C62" w14:textId="77777777">
        <w:trPr>
          <w:divId w:val="870072818"/>
        </w:trPr>
        <w:tc>
          <w:tcPr>
            <w:tcW w:w="0" w:type="auto"/>
            <w:gridSpan w:val="3"/>
            <w:tcMar>
              <w:top w:w="30" w:type="dxa"/>
              <w:left w:w="20" w:type="dxa"/>
              <w:bottom w:w="30" w:type="dxa"/>
              <w:right w:w="20" w:type="dxa"/>
            </w:tcMar>
            <w:vAlign w:val="bottom"/>
            <w:hideMark/>
          </w:tcPr>
          <w:p w14:paraId="0CEAA4BE"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0BED6C1"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4179C3"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EE90AE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540A51"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1C1CD3DE"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8F8AAAA" w14:textId="77777777" w:rsidR="00000000" w:rsidRDefault="00EE5306">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r>
      <w:tr w:rsidR="00000000" w14:paraId="65A70538" w14:textId="77777777">
        <w:trPr>
          <w:divId w:val="870072818"/>
        </w:trPr>
        <w:tc>
          <w:tcPr>
            <w:tcW w:w="0" w:type="auto"/>
            <w:gridSpan w:val="3"/>
            <w:tcMar>
              <w:top w:w="30" w:type="dxa"/>
              <w:left w:w="20" w:type="dxa"/>
              <w:bottom w:w="30" w:type="dxa"/>
              <w:right w:w="20" w:type="dxa"/>
            </w:tcMar>
            <w:vAlign w:val="bottom"/>
            <w:hideMark/>
          </w:tcPr>
          <w:p w14:paraId="2DBFD02A"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2A19674"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C15A6A5"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5BA92573" w14:textId="77777777">
        <w:trPr>
          <w:divId w:val="870072818"/>
        </w:trPr>
        <w:tc>
          <w:tcPr>
            <w:tcW w:w="0" w:type="auto"/>
            <w:gridSpan w:val="3"/>
            <w:shd w:val="clear" w:color="auto" w:fill="CCEEFF"/>
            <w:tcMar>
              <w:top w:w="30" w:type="dxa"/>
              <w:left w:w="20" w:type="dxa"/>
              <w:bottom w:w="30" w:type="dxa"/>
              <w:right w:w="20" w:type="dxa"/>
            </w:tcMar>
            <w:vAlign w:val="bottom"/>
            <w:hideMark/>
          </w:tcPr>
          <w:p w14:paraId="53802A28" w14:textId="77777777" w:rsidR="00000000" w:rsidRDefault="00EE5306">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14:paraId="76DE2130"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2AC146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980896" w14:textId="77777777" w:rsidR="00000000" w:rsidRDefault="00EE5306">
            <w:pPr>
              <w:spacing w:after="100"/>
              <w:jc w:val="right"/>
              <w:rPr>
                <w:rFonts w:eastAsia="Times New Roman"/>
              </w:rPr>
            </w:pPr>
            <w:r>
              <w:rPr>
                <w:rFonts w:eastAsia="Times New Roman"/>
                <w:color w:val="000000"/>
                <w:sz w:val="20"/>
                <w:szCs w:val="20"/>
              </w:rPr>
              <w:t>380.9 </w:t>
            </w:r>
          </w:p>
        </w:tc>
        <w:tc>
          <w:tcPr>
            <w:tcW w:w="0" w:type="auto"/>
            <w:shd w:val="clear" w:color="auto" w:fill="CCEEFF"/>
            <w:tcMar>
              <w:top w:w="30" w:type="dxa"/>
              <w:left w:w="0" w:type="dxa"/>
              <w:bottom w:w="30" w:type="dxa"/>
              <w:right w:w="20" w:type="dxa"/>
            </w:tcMar>
            <w:vAlign w:val="bottom"/>
            <w:hideMark/>
          </w:tcPr>
          <w:p w14:paraId="098E59C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707BA"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903BA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4CF0F2" w14:textId="77777777" w:rsidR="00000000" w:rsidRDefault="00EE5306">
            <w:pPr>
              <w:spacing w:after="100"/>
              <w:jc w:val="right"/>
              <w:rPr>
                <w:rFonts w:eastAsia="Times New Roman"/>
              </w:rPr>
            </w:pPr>
            <w:r>
              <w:rPr>
                <w:rFonts w:eastAsia="Times New Roman"/>
                <w:color w:val="000000"/>
                <w:sz w:val="20"/>
                <w:szCs w:val="20"/>
              </w:rPr>
              <w:t>754.6 </w:t>
            </w:r>
          </w:p>
        </w:tc>
        <w:tc>
          <w:tcPr>
            <w:tcW w:w="0" w:type="auto"/>
            <w:shd w:val="clear" w:color="auto" w:fill="CCEEFF"/>
            <w:tcMar>
              <w:top w:w="30" w:type="dxa"/>
              <w:left w:w="0" w:type="dxa"/>
              <w:bottom w:w="30" w:type="dxa"/>
              <w:right w:w="20" w:type="dxa"/>
            </w:tcMar>
            <w:vAlign w:val="bottom"/>
            <w:hideMark/>
          </w:tcPr>
          <w:p w14:paraId="01C4631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AF1ED"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BFF94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C9E92A" w14:textId="77777777" w:rsidR="00000000" w:rsidRDefault="00EE5306">
            <w:pPr>
              <w:spacing w:after="100"/>
              <w:jc w:val="right"/>
              <w:rPr>
                <w:rFonts w:eastAsia="Times New Roman"/>
              </w:rPr>
            </w:pPr>
            <w:r>
              <w:rPr>
                <w:rFonts w:eastAsia="Times New Roman"/>
                <w:color w:val="000000"/>
                <w:sz w:val="20"/>
                <w:szCs w:val="20"/>
              </w:rPr>
              <w:t>(373.7)</w:t>
            </w:r>
          </w:p>
        </w:tc>
        <w:tc>
          <w:tcPr>
            <w:tcW w:w="0" w:type="auto"/>
            <w:shd w:val="clear" w:color="auto" w:fill="CCEEFF"/>
            <w:tcMar>
              <w:top w:w="30" w:type="dxa"/>
              <w:left w:w="0" w:type="dxa"/>
              <w:bottom w:w="30" w:type="dxa"/>
              <w:right w:w="20" w:type="dxa"/>
            </w:tcMar>
            <w:vAlign w:val="bottom"/>
            <w:hideMark/>
          </w:tcPr>
          <w:p w14:paraId="2202ACBA" w14:textId="77777777" w:rsidR="00000000" w:rsidRDefault="00EE5306">
            <w:pPr>
              <w:spacing w:after="100"/>
              <w:jc w:val="right"/>
              <w:rPr>
                <w:rFonts w:eastAsia="Times New Roman"/>
              </w:rPr>
            </w:pPr>
          </w:p>
        </w:tc>
      </w:tr>
      <w:tr w:rsidR="00000000" w14:paraId="73043D57" w14:textId="77777777">
        <w:trPr>
          <w:divId w:val="870072818"/>
        </w:trPr>
        <w:tc>
          <w:tcPr>
            <w:tcW w:w="0" w:type="auto"/>
            <w:gridSpan w:val="3"/>
            <w:shd w:val="clear" w:color="auto" w:fill="FFFFFF"/>
            <w:tcMar>
              <w:top w:w="30" w:type="dxa"/>
              <w:left w:w="20" w:type="dxa"/>
              <w:bottom w:w="30" w:type="dxa"/>
              <w:right w:w="20" w:type="dxa"/>
            </w:tcMar>
            <w:vAlign w:val="bottom"/>
            <w:hideMark/>
          </w:tcPr>
          <w:p w14:paraId="030E8A5E" w14:textId="77777777" w:rsidR="00000000" w:rsidRDefault="00EE5306">
            <w:pPr>
              <w:spacing w:after="100"/>
              <w:rPr>
                <w:rFonts w:eastAsia="Times New Roman"/>
              </w:rPr>
            </w:pPr>
            <w:r>
              <w:rPr>
                <w:rFonts w:eastAsia="Times New Roman"/>
                <w:color w:val="000000"/>
                <w:sz w:val="20"/>
                <w:szCs w:val="20"/>
              </w:rPr>
              <w:t>Net cash provided by investing activities</w:t>
            </w:r>
          </w:p>
        </w:tc>
        <w:tc>
          <w:tcPr>
            <w:tcW w:w="0" w:type="auto"/>
            <w:gridSpan w:val="3"/>
            <w:shd w:val="clear" w:color="auto" w:fill="FFFFFF"/>
            <w:tcMar>
              <w:top w:w="0" w:type="dxa"/>
              <w:left w:w="20" w:type="dxa"/>
              <w:bottom w:w="0" w:type="dxa"/>
              <w:right w:w="20" w:type="dxa"/>
            </w:tcMar>
            <w:vAlign w:val="center"/>
            <w:hideMark/>
          </w:tcPr>
          <w:p w14:paraId="5FDEE69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419378" w14:textId="77777777" w:rsidR="00000000" w:rsidRDefault="00EE5306">
            <w:pPr>
              <w:spacing w:after="100"/>
              <w:jc w:val="right"/>
              <w:rPr>
                <w:rFonts w:eastAsia="Times New Roman"/>
              </w:rPr>
            </w:pPr>
            <w:r>
              <w:rPr>
                <w:rFonts w:eastAsia="Times New Roman"/>
                <w:color w:val="000000"/>
                <w:sz w:val="20"/>
                <w:szCs w:val="20"/>
              </w:rPr>
              <w:t>195.0 </w:t>
            </w:r>
          </w:p>
        </w:tc>
        <w:tc>
          <w:tcPr>
            <w:tcW w:w="0" w:type="auto"/>
            <w:shd w:val="clear" w:color="auto" w:fill="FFFFFF"/>
            <w:tcMar>
              <w:top w:w="30" w:type="dxa"/>
              <w:left w:w="0" w:type="dxa"/>
              <w:bottom w:w="30" w:type="dxa"/>
              <w:right w:w="20" w:type="dxa"/>
            </w:tcMar>
            <w:vAlign w:val="bottom"/>
            <w:hideMark/>
          </w:tcPr>
          <w:p w14:paraId="3FC30DD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6507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78AB08" w14:textId="77777777" w:rsidR="00000000" w:rsidRDefault="00EE5306">
            <w:pPr>
              <w:spacing w:after="100"/>
              <w:jc w:val="right"/>
              <w:rPr>
                <w:rFonts w:eastAsia="Times New Roman"/>
              </w:rPr>
            </w:pPr>
            <w:r>
              <w:rPr>
                <w:rFonts w:eastAsia="Times New Roman"/>
                <w:color w:val="000000"/>
                <w:sz w:val="20"/>
                <w:szCs w:val="20"/>
              </w:rPr>
              <w:t>702.1 </w:t>
            </w:r>
          </w:p>
        </w:tc>
        <w:tc>
          <w:tcPr>
            <w:tcW w:w="0" w:type="auto"/>
            <w:shd w:val="clear" w:color="auto" w:fill="FFFFFF"/>
            <w:tcMar>
              <w:top w:w="30" w:type="dxa"/>
              <w:left w:w="0" w:type="dxa"/>
              <w:bottom w:w="30" w:type="dxa"/>
              <w:right w:w="20" w:type="dxa"/>
            </w:tcMar>
            <w:vAlign w:val="bottom"/>
            <w:hideMark/>
          </w:tcPr>
          <w:p w14:paraId="1C4643A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E06C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77DBF6" w14:textId="77777777" w:rsidR="00000000" w:rsidRDefault="00EE5306">
            <w:pPr>
              <w:spacing w:after="100"/>
              <w:jc w:val="right"/>
              <w:rPr>
                <w:rFonts w:eastAsia="Times New Roman"/>
              </w:rPr>
            </w:pPr>
            <w:r>
              <w:rPr>
                <w:rFonts w:eastAsia="Times New Roman"/>
                <w:color w:val="000000"/>
                <w:sz w:val="20"/>
                <w:szCs w:val="20"/>
              </w:rPr>
              <w:t>(507.1)</w:t>
            </w:r>
          </w:p>
        </w:tc>
        <w:tc>
          <w:tcPr>
            <w:tcW w:w="0" w:type="auto"/>
            <w:shd w:val="clear" w:color="auto" w:fill="FFFFFF"/>
            <w:tcMar>
              <w:top w:w="30" w:type="dxa"/>
              <w:left w:w="0" w:type="dxa"/>
              <w:bottom w:w="30" w:type="dxa"/>
              <w:right w:w="20" w:type="dxa"/>
            </w:tcMar>
            <w:vAlign w:val="bottom"/>
            <w:hideMark/>
          </w:tcPr>
          <w:p w14:paraId="543E3F03" w14:textId="77777777" w:rsidR="00000000" w:rsidRDefault="00EE5306">
            <w:pPr>
              <w:spacing w:after="100"/>
              <w:jc w:val="right"/>
              <w:rPr>
                <w:rFonts w:eastAsia="Times New Roman"/>
              </w:rPr>
            </w:pPr>
          </w:p>
        </w:tc>
      </w:tr>
      <w:tr w:rsidR="00000000" w14:paraId="54305CE8" w14:textId="77777777">
        <w:trPr>
          <w:divId w:val="870072818"/>
        </w:trPr>
        <w:tc>
          <w:tcPr>
            <w:tcW w:w="0" w:type="auto"/>
            <w:gridSpan w:val="3"/>
            <w:shd w:val="clear" w:color="auto" w:fill="CCEEFF"/>
            <w:tcMar>
              <w:top w:w="30" w:type="dxa"/>
              <w:left w:w="20" w:type="dxa"/>
              <w:bottom w:w="30" w:type="dxa"/>
              <w:right w:w="20" w:type="dxa"/>
            </w:tcMar>
            <w:vAlign w:val="bottom"/>
            <w:hideMark/>
          </w:tcPr>
          <w:p w14:paraId="04B217FD" w14:textId="77777777" w:rsidR="00000000" w:rsidRDefault="00EE5306">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14:paraId="3F4EEF3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3D0F6A" w14:textId="77777777" w:rsidR="00000000" w:rsidRDefault="00EE5306">
            <w:pPr>
              <w:spacing w:after="100"/>
              <w:jc w:val="right"/>
              <w:rPr>
                <w:rFonts w:eastAsia="Times New Roman"/>
              </w:rPr>
            </w:pPr>
            <w:r>
              <w:rPr>
                <w:rFonts w:eastAsia="Times New Roman"/>
                <w:color w:val="000000"/>
                <w:sz w:val="20"/>
                <w:szCs w:val="20"/>
              </w:rPr>
              <w:t>356.8 </w:t>
            </w:r>
          </w:p>
        </w:tc>
        <w:tc>
          <w:tcPr>
            <w:tcW w:w="0" w:type="auto"/>
            <w:shd w:val="clear" w:color="auto" w:fill="CCEEFF"/>
            <w:tcMar>
              <w:top w:w="30" w:type="dxa"/>
              <w:left w:w="0" w:type="dxa"/>
              <w:bottom w:w="30" w:type="dxa"/>
              <w:right w:w="20" w:type="dxa"/>
            </w:tcMar>
            <w:vAlign w:val="bottom"/>
            <w:hideMark/>
          </w:tcPr>
          <w:p w14:paraId="0B8532F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034C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F64980" w14:textId="77777777" w:rsidR="00000000" w:rsidRDefault="00EE5306">
            <w:pPr>
              <w:spacing w:after="100"/>
              <w:jc w:val="right"/>
              <w:rPr>
                <w:rFonts w:eastAsia="Times New Roman"/>
              </w:rPr>
            </w:pPr>
            <w:r>
              <w:rPr>
                <w:rFonts w:eastAsia="Times New Roman"/>
                <w:color w:val="000000"/>
                <w:sz w:val="20"/>
                <w:szCs w:val="20"/>
              </w:rPr>
              <w:t>(438.2)</w:t>
            </w:r>
          </w:p>
        </w:tc>
        <w:tc>
          <w:tcPr>
            <w:tcW w:w="0" w:type="auto"/>
            <w:shd w:val="clear" w:color="auto" w:fill="CCEEFF"/>
            <w:tcMar>
              <w:top w:w="30" w:type="dxa"/>
              <w:left w:w="0" w:type="dxa"/>
              <w:bottom w:w="30" w:type="dxa"/>
              <w:right w:w="20" w:type="dxa"/>
            </w:tcMar>
            <w:vAlign w:val="bottom"/>
            <w:hideMark/>
          </w:tcPr>
          <w:p w14:paraId="6D6EBA1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5271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18B1FC" w14:textId="77777777" w:rsidR="00000000" w:rsidRDefault="00EE5306">
            <w:pPr>
              <w:spacing w:after="100"/>
              <w:jc w:val="right"/>
              <w:rPr>
                <w:rFonts w:eastAsia="Times New Roman"/>
              </w:rPr>
            </w:pPr>
            <w:r>
              <w:rPr>
                <w:rFonts w:eastAsia="Times New Roman"/>
                <w:color w:val="000000"/>
                <w:sz w:val="20"/>
                <w:szCs w:val="20"/>
              </w:rPr>
              <w:t>795.0 </w:t>
            </w:r>
          </w:p>
        </w:tc>
        <w:tc>
          <w:tcPr>
            <w:tcW w:w="0" w:type="auto"/>
            <w:shd w:val="clear" w:color="auto" w:fill="CCEEFF"/>
            <w:tcMar>
              <w:top w:w="30" w:type="dxa"/>
              <w:left w:w="0" w:type="dxa"/>
              <w:bottom w:w="30" w:type="dxa"/>
              <w:right w:w="20" w:type="dxa"/>
            </w:tcMar>
            <w:vAlign w:val="bottom"/>
            <w:hideMark/>
          </w:tcPr>
          <w:p w14:paraId="1B70DF39" w14:textId="77777777" w:rsidR="00000000" w:rsidRDefault="00EE5306">
            <w:pPr>
              <w:spacing w:after="100"/>
              <w:jc w:val="right"/>
              <w:rPr>
                <w:rFonts w:eastAsia="Times New Roman"/>
              </w:rPr>
            </w:pPr>
          </w:p>
        </w:tc>
      </w:tr>
      <w:tr w:rsidR="00000000" w14:paraId="270DB332" w14:textId="77777777">
        <w:trPr>
          <w:divId w:val="870072818"/>
        </w:trPr>
        <w:tc>
          <w:tcPr>
            <w:tcW w:w="0" w:type="auto"/>
            <w:gridSpan w:val="3"/>
            <w:shd w:val="clear" w:color="auto" w:fill="FFFFFF"/>
            <w:tcMar>
              <w:top w:w="30" w:type="dxa"/>
              <w:left w:w="20" w:type="dxa"/>
              <w:bottom w:w="30" w:type="dxa"/>
              <w:right w:w="20" w:type="dxa"/>
            </w:tcMar>
            <w:vAlign w:val="bottom"/>
            <w:hideMark/>
          </w:tcPr>
          <w:p w14:paraId="5E6909E5" w14:textId="77777777" w:rsidR="00000000" w:rsidRDefault="00EE5306">
            <w:pPr>
              <w:spacing w:after="100"/>
              <w:ind w:hanging="180"/>
              <w:divId w:val="1538733786"/>
              <w:rPr>
                <w:rFonts w:eastAsia="Times New Roman"/>
              </w:rPr>
            </w:pPr>
            <w:r>
              <w:rPr>
                <w:rFonts w:eastAsia="Times New Roman"/>
                <w:color w:val="000000"/>
                <w:sz w:val="20"/>
                <w:szCs w:val="20"/>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14:paraId="7EAD7951"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14248A" w14:textId="77777777" w:rsidR="00000000" w:rsidRDefault="00EE5306">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14:paraId="7FCAB5B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B44A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7522EB" w14:textId="77777777" w:rsidR="00000000" w:rsidRDefault="00EE5306">
            <w:pPr>
              <w:spacing w:after="100"/>
              <w:jc w:val="right"/>
              <w:rPr>
                <w:rFonts w:eastAsia="Times New Roman"/>
              </w:rPr>
            </w:pPr>
            <w:r>
              <w:rPr>
                <w:rFonts w:eastAsia="Times New Roman"/>
                <w:color w:val="000000"/>
                <w:sz w:val="20"/>
                <w:szCs w:val="20"/>
              </w:rPr>
              <w:t>(15.2)</w:t>
            </w:r>
          </w:p>
        </w:tc>
        <w:tc>
          <w:tcPr>
            <w:tcW w:w="0" w:type="auto"/>
            <w:shd w:val="clear" w:color="auto" w:fill="FFFFFF"/>
            <w:tcMar>
              <w:top w:w="30" w:type="dxa"/>
              <w:left w:w="0" w:type="dxa"/>
              <w:bottom w:w="30" w:type="dxa"/>
              <w:right w:w="20" w:type="dxa"/>
            </w:tcMar>
            <w:vAlign w:val="bottom"/>
            <w:hideMark/>
          </w:tcPr>
          <w:p w14:paraId="47C954F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D0EB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B9BEC0" w14:textId="77777777" w:rsidR="00000000" w:rsidRDefault="00EE5306">
            <w:pPr>
              <w:spacing w:after="100"/>
              <w:jc w:val="right"/>
              <w:rPr>
                <w:rFonts w:eastAsia="Times New Roman"/>
              </w:rPr>
            </w:pPr>
            <w:r>
              <w:rPr>
                <w:rFonts w:eastAsia="Times New Roman"/>
                <w:color w:val="000000"/>
                <w:sz w:val="20"/>
                <w:szCs w:val="20"/>
              </w:rPr>
              <w:t>40.7 </w:t>
            </w:r>
          </w:p>
        </w:tc>
        <w:tc>
          <w:tcPr>
            <w:tcW w:w="0" w:type="auto"/>
            <w:shd w:val="clear" w:color="auto" w:fill="FFFFFF"/>
            <w:tcMar>
              <w:top w:w="30" w:type="dxa"/>
              <w:left w:w="0" w:type="dxa"/>
              <w:bottom w:w="30" w:type="dxa"/>
              <w:right w:w="20" w:type="dxa"/>
            </w:tcMar>
            <w:vAlign w:val="bottom"/>
            <w:hideMark/>
          </w:tcPr>
          <w:p w14:paraId="2AD7776F" w14:textId="77777777" w:rsidR="00000000" w:rsidRDefault="00EE5306">
            <w:pPr>
              <w:spacing w:after="100"/>
              <w:jc w:val="right"/>
              <w:rPr>
                <w:rFonts w:eastAsia="Times New Roman"/>
              </w:rPr>
            </w:pPr>
          </w:p>
        </w:tc>
      </w:tr>
      <w:tr w:rsidR="00000000" w14:paraId="0BB4827C" w14:textId="77777777">
        <w:trPr>
          <w:divId w:val="870072818"/>
        </w:trPr>
        <w:tc>
          <w:tcPr>
            <w:tcW w:w="0" w:type="auto"/>
            <w:gridSpan w:val="3"/>
            <w:shd w:val="clear" w:color="auto" w:fill="CCEEFF"/>
            <w:tcMar>
              <w:top w:w="30" w:type="dxa"/>
              <w:left w:w="335" w:type="dxa"/>
              <w:bottom w:w="30" w:type="dxa"/>
              <w:right w:w="20" w:type="dxa"/>
            </w:tcMar>
            <w:vAlign w:val="bottom"/>
            <w:hideMark/>
          </w:tcPr>
          <w:p w14:paraId="53A055C9" w14:textId="77777777" w:rsidR="00000000" w:rsidRDefault="00EE5306">
            <w:pPr>
              <w:spacing w:after="100"/>
              <w:ind w:hanging="180"/>
              <w:rPr>
                <w:rFonts w:eastAsia="Times New Roman"/>
              </w:rPr>
            </w:pPr>
            <w:r>
              <w:rPr>
                <w:rFonts w:eastAsia="Times New Roman"/>
                <w:color w:val="000000"/>
                <w:sz w:val="20"/>
                <w:szCs w:val="20"/>
              </w:rPr>
              <w:t>Net increase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4907EAF1" w14:textId="77777777" w:rsidR="00000000" w:rsidRDefault="00EE5306">
            <w:pPr>
              <w:spacing w:after="100"/>
              <w:ind w:hanging="18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CD011B"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B055AF" w14:textId="77777777" w:rsidR="00000000" w:rsidRDefault="00EE5306">
            <w:pPr>
              <w:spacing w:after="100"/>
              <w:jc w:val="right"/>
              <w:rPr>
                <w:rFonts w:eastAsia="Times New Roman"/>
              </w:rPr>
            </w:pPr>
            <w:r>
              <w:rPr>
                <w:rFonts w:eastAsia="Times New Roman"/>
                <w:color w:val="000000"/>
                <w:sz w:val="20"/>
                <w:szCs w:val="20"/>
              </w:rPr>
              <w:t>958.2 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D3CB2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47F71"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39CC5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6131F2" w14:textId="77777777" w:rsidR="00000000" w:rsidRDefault="00EE5306">
            <w:pPr>
              <w:spacing w:after="100"/>
              <w:jc w:val="right"/>
              <w:rPr>
                <w:rFonts w:eastAsia="Times New Roman"/>
              </w:rPr>
            </w:pPr>
            <w:r>
              <w:rPr>
                <w:rFonts w:eastAsia="Times New Roman"/>
                <w:color w:val="000000"/>
                <w:sz w:val="20"/>
                <w:szCs w:val="20"/>
              </w:rPr>
              <w:t>1,003.3 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C5F2E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511B1"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84717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02BF79" w14:textId="77777777" w:rsidR="00000000" w:rsidRDefault="00EE5306">
            <w:pPr>
              <w:spacing w:after="100"/>
              <w:jc w:val="right"/>
              <w:rPr>
                <w:rFonts w:eastAsia="Times New Roman"/>
              </w:rPr>
            </w:pPr>
            <w:r>
              <w:rPr>
                <w:rFonts w:eastAsia="Times New Roman"/>
                <w:color w:val="000000"/>
                <w:sz w:val="20"/>
                <w:szCs w:val="20"/>
              </w:rPr>
              <w:t>(45.1)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78507B" w14:textId="77777777" w:rsidR="00000000" w:rsidRDefault="00EE5306">
            <w:pPr>
              <w:spacing w:after="100"/>
              <w:jc w:val="right"/>
              <w:rPr>
                <w:rFonts w:eastAsia="Times New Roman"/>
              </w:rPr>
            </w:pPr>
          </w:p>
        </w:tc>
      </w:tr>
    </w:tbl>
    <w:p w14:paraId="26FE9601" w14:textId="77777777" w:rsidR="00000000" w:rsidRDefault="00EE5306">
      <w:pPr>
        <w:ind w:firstLine="540"/>
        <w:jc w:val="both"/>
        <w:divId w:val="255022238"/>
        <w:rPr>
          <w:rFonts w:eastAsia="Times New Roman"/>
        </w:rPr>
      </w:pPr>
      <w:r>
        <w:rPr>
          <w:rFonts w:eastAsia="Times New Roman"/>
          <w:i/>
          <w:iCs/>
          <w:color w:val="000000"/>
          <w:sz w:val="20"/>
          <w:szCs w:val="20"/>
        </w:rPr>
        <w:t>Net Cash Provided by Operating Activities.</w:t>
      </w:r>
      <w:r>
        <w:rPr>
          <w:rFonts w:eastAsia="Times New Roman"/>
          <w:color w:val="000000"/>
          <w:sz w:val="20"/>
          <w:szCs w:val="20"/>
        </w:rPr>
        <w:t>    Net cash provided by operating activities decreased t</w:t>
      </w:r>
      <w:r>
        <w:rPr>
          <w:rFonts w:eastAsia="Times New Roman"/>
          <w:color w:val="000000"/>
          <w:sz w:val="20"/>
          <w:szCs w:val="20"/>
        </w:rPr>
        <w:t>o $380.9 million during Fiscal 2021, from $754.6 million during Fiscal 2020. The $373.7 million net decline in cash provided by operating activities was due to a decrease in net income before non-cash charges, partially offset by a net favorable change rel</w:t>
      </w:r>
      <w:r>
        <w:rPr>
          <w:rFonts w:eastAsia="Times New Roman"/>
          <w:color w:val="000000"/>
          <w:sz w:val="20"/>
          <w:szCs w:val="20"/>
        </w:rPr>
        <w:t>ated to our operating assets and liabilities, including our working capital, as compared to the prior fiscal year.</w:t>
      </w:r>
    </w:p>
    <w:p w14:paraId="0FCD7EBB" w14:textId="77777777" w:rsidR="00000000" w:rsidRDefault="00EE5306">
      <w:pPr>
        <w:ind w:firstLine="540"/>
        <w:jc w:val="both"/>
        <w:divId w:val="1382631521"/>
        <w:rPr>
          <w:rFonts w:eastAsia="Times New Roman"/>
        </w:rPr>
      </w:pPr>
      <w:r>
        <w:rPr>
          <w:rFonts w:eastAsia="Times New Roman"/>
          <w:color w:val="000000"/>
          <w:sz w:val="20"/>
          <w:szCs w:val="20"/>
        </w:rPr>
        <w:t>The net favorable change related to our operating assets and liabilities, including our working capital, was primarily driven by:</w:t>
      </w:r>
    </w:p>
    <w:p w14:paraId="598381A8" w14:textId="77777777" w:rsidR="00000000" w:rsidRDefault="00EE5306">
      <w:pPr>
        <w:ind w:hanging="360"/>
        <w:jc w:val="both"/>
        <w:divId w:val="1026440998"/>
        <w:rPr>
          <w:rFonts w:eastAsia="Times New Roman"/>
        </w:rPr>
      </w:pPr>
      <w:r>
        <w:rPr>
          <w:rFonts w:eastAsia="Times New Roman"/>
          <w:color w:val="000000"/>
          <w:sz w:val="20"/>
          <w:szCs w:val="20"/>
        </w:rPr>
        <w:t>•a favorabl</w:t>
      </w:r>
      <w:r>
        <w:rPr>
          <w:rFonts w:eastAsia="Times New Roman"/>
          <w:color w:val="000000"/>
          <w:sz w:val="20"/>
          <w:szCs w:val="20"/>
        </w:rPr>
        <w:t>e change in our accrued liabilities, primarily driven by the increase in our restructuring reserve related to charges recorded in connection with the Fiscal 2021 Strategic Realignment Plan; and</w:t>
      </w:r>
    </w:p>
    <w:p w14:paraId="2511ECF0" w14:textId="77777777" w:rsidR="00000000" w:rsidRDefault="00EE5306">
      <w:pPr>
        <w:ind w:hanging="360"/>
        <w:jc w:val="both"/>
        <w:divId w:val="886842709"/>
        <w:rPr>
          <w:rFonts w:eastAsia="Times New Roman"/>
        </w:rPr>
      </w:pPr>
      <w:r>
        <w:rPr>
          <w:rFonts w:eastAsia="Times New Roman"/>
          <w:color w:val="000000"/>
          <w:sz w:val="20"/>
          <w:szCs w:val="20"/>
        </w:rPr>
        <w:t>•a favorable change in our accounts payable, driven by our ext</w:t>
      </w:r>
      <w:r>
        <w:rPr>
          <w:rFonts w:eastAsia="Times New Roman"/>
          <w:color w:val="000000"/>
          <w:sz w:val="20"/>
          <w:szCs w:val="20"/>
        </w:rPr>
        <w:t>ended payment terms.</w:t>
      </w:r>
    </w:p>
    <w:p w14:paraId="3BBB8409" w14:textId="77777777" w:rsidR="00000000" w:rsidRDefault="00EE5306">
      <w:pPr>
        <w:ind w:firstLine="720"/>
        <w:jc w:val="both"/>
        <w:divId w:val="999625216"/>
        <w:rPr>
          <w:rFonts w:eastAsia="Times New Roman"/>
        </w:rPr>
      </w:pPr>
      <w:r>
        <w:rPr>
          <w:rFonts w:eastAsia="Times New Roman"/>
          <w:color w:val="000000"/>
          <w:sz w:val="20"/>
          <w:szCs w:val="20"/>
        </w:rPr>
        <w:t>These increases related to our operating assets and liabilities were partially offset by:</w:t>
      </w:r>
    </w:p>
    <w:p w14:paraId="23C526BC" w14:textId="77777777" w:rsidR="00000000" w:rsidRDefault="00EE5306">
      <w:pPr>
        <w:ind w:hanging="360"/>
        <w:jc w:val="both"/>
        <w:divId w:val="545916522"/>
        <w:rPr>
          <w:rFonts w:eastAsia="Times New Roman"/>
        </w:rPr>
      </w:pPr>
      <w:r>
        <w:rPr>
          <w:rFonts w:eastAsia="Times New Roman"/>
          <w:color w:val="000000"/>
          <w:sz w:val="20"/>
          <w:szCs w:val="20"/>
        </w:rPr>
        <w:t>•an unfavorable change related to our accounts receivable, largely driven by an increase in wholesale revenue during the fourth quarter of Fiscal</w:t>
      </w:r>
      <w:r>
        <w:rPr>
          <w:rFonts w:eastAsia="Times New Roman"/>
          <w:color w:val="000000"/>
          <w:sz w:val="20"/>
          <w:szCs w:val="20"/>
        </w:rPr>
        <w:t xml:space="preserve"> 2021 as compared to the fourth quarter of Fiscal 2020;</w:t>
      </w:r>
    </w:p>
    <w:p w14:paraId="5D6BCF7D" w14:textId="77777777" w:rsidR="00000000" w:rsidRDefault="00EE5306">
      <w:pPr>
        <w:ind w:hanging="360"/>
        <w:jc w:val="both"/>
        <w:divId w:val="375160084"/>
        <w:rPr>
          <w:rFonts w:eastAsia="Times New Roman"/>
        </w:rPr>
      </w:pPr>
      <w:r>
        <w:rPr>
          <w:rFonts w:eastAsia="Times New Roman"/>
          <w:color w:val="000000"/>
          <w:sz w:val="20"/>
          <w:szCs w:val="20"/>
        </w:rPr>
        <w:t>•an unfavorable change in inventory, largely driven by lower COVID-19-related inventory charges recorded in Fiscal 2021 as compared to the prior year period; and</w:t>
      </w:r>
    </w:p>
    <w:p w14:paraId="0C03DC69" w14:textId="77777777" w:rsidR="00000000" w:rsidRDefault="00EE5306">
      <w:pPr>
        <w:ind w:hanging="360"/>
        <w:jc w:val="both"/>
        <w:divId w:val="549464188"/>
        <w:rPr>
          <w:rFonts w:eastAsia="Times New Roman"/>
        </w:rPr>
      </w:pPr>
      <w:r>
        <w:rPr>
          <w:rFonts w:eastAsia="Times New Roman"/>
          <w:color w:val="000000"/>
          <w:sz w:val="20"/>
          <w:szCs w:val="20"/>
        </w:rPr>
        <w:t xml:space="preserve">•an unfavorable change in our prepaid </w:t>
      </w:r>
      <w:r>
        <w:rPr>
          <w:rFonts w:eastAsia="Times New Roman"/>
          <w:color w:val="000000"/>
          <w:sz w:val="20"/>
          <w:szCs w:val="20"/>
        </w:rPr>
        <w:t>expenses and other current assets, primarily driven by the timing of cash payments.</w:t>
      </w:r>
    </w:p>
    <w:p w14:paraId="0B2B4E23" w14:textId="77777777" w:rsidR="00000000" w:rsidRDefault="00EE5306">
      <w:pPr>
        <w:ind w:firstLine="540"/>
        <w:jc w:val="both"/>
        <w:divId w:val="669796451"/>
        <w:rPr>
          <w:rFonts w:eastAsia="Times New Roman"/>
        </w:rPr>
      </w:pPr>
      <w:r>
        <w:rPr>
          <w:rFonts w:eastAsia="Times New Roman"/>
          <w:i/>
          <w:iCs/>
          <w:color w:val="000000"/>
          <w:sz w:val="20"/>
          <w:szCs w:val="20"/>
        </w:rPr>
        <w:t>Net Cash Provided by Investing Activities.    </w:t>
      </w:r>
      <w:r>
        <w:rPr>
          <w:rFonts w:eastAsia="Times New Roman"/>
          <w:color w:val="000000"/>
          <w:sz w:val="20"/>
          <w:szCs w:val="20"/>
        </w:rPr>
        <w:t>Net cash provided by investing activities was $195.0 million during Fiscal 2021, as compared to of $702.1 million during Fiscal 2020. The $507.1 million net decrease in cash provided by investing activities was primarily driven by:</w:t>
      </w:r>
    </w:p>
    <w:p w14:paraId="17614BB7" w14:textId="77777777" w:rsidR="00000000" w:rsidRDefault="00EE5306">
      <w:pPr>
        <w:ind w:hanging="360"/>
        <w:jc w:val="both"/>
        <w:divId w:val="379598203"/>
        <w:rPr>
          <w:rFonts w:eastAsia="Times New Roman"/>
        </w:rPr>
      </w:pPr>
      <w:r>
        <w:rPr>
          <w:rFonts w:eastAsia="Times New Roman"/>
          <w:color w:val="000000"/>
          <w:sz w:val="20"/>
          <w:szCs w:val="20"/>
        </w:rPr>
        <w:t>•a $648.1 million decrea</w:t>
      </w:r>
      <w:r>
        <w:rPr>
          <w:rFonts w:eastAsia="Times New Roman"/>
          <w:color w:val="000000"/>
          <w:sz w:val="20"/>
          <w:szCs w:val="20"/>
        </w:rPr>
        <w:t>se in proceeds from sales and maturities of investments, less purchases of investments. During Fiscal 2021, we received net proceeds from sales and maturities of investments of $302.6 million, as compared to $950.7 million during Fiscal 2020.</w:t>
      </w:r>
    </w:p>
    <w:p w14:paraId="0AA26B66" w14:textId="77777777" w:rsidR="00000000" w:rsidRDefault="00EE5306">
      <w:pPr>
        <w:jc w:val="both"/>
        <w:divId w:val="1095246517"/>
        <w:rPr>
          <w:rFonts w:eastAsia="Times New Roman"/>
        </w:rPr>
      </w:pPr>
      <w:r>
        <w:rPr>
          <w:rFonts w:eastAsia="Times New Roman"/>
          <w:color w:val="000000"/>
          <w:sz w:val="20"/>
          <w:szCs w:val="20"/>
        </w:rPr>
        <w:t>    This decr</w:t>
      </w:r>
      <w:r>
        <w:rPr>
          <w:rFonts w:eastAsia="Times New Roman"/>
          <w:color w:val="000000"/>
          <w:sz w:val="20"/>
          <w:szCs w:val="20"/>
        </w:rPr>
        <w:t>ease in cash provided by investing activities was partially offset by:</w:t>
      </w:r>
    </w:p>
    <w:p w14:paraId="13FED936" w14:textId="77777777" w:rsidR="00000000" w:rsidRDefault="00EE5306">
      <w:pPr>
        <w:ind w:hanging="360"/>
        <w:jc w:val="both"/>
        <w:divId w:val="467666315"/>
        <w:rPr>
          <w:rFonts w:eastAsia="Times New Roman"/>
        </w:rPr>
      </w:pPr>
      <w:r>
        <w:rPr>
          <w:rFonts w:eastAsia="Times New Roman"/>
          <w:color w:val="000000"/>
          <w:sz w:val="20"/>
          <w:szCs w:val="20"/>
        </w:rPr>
        <w:t>•a $162.5 million decrease in capital expenditures. During Fiscal 2021, we spent $107.8 million on capital expenditures, as compared to $270.3 million during Fiscal 2020. This decline r</w:t>
      </w:r>
      <w:r>
        <w:rPr>
          <w:rFonts w:eastAsia="Times New Roman"/>
          <w:color w:val="000000"/>
          <w:sz w:val="20"/>
          <w:szCs w:val="20"/>
        </w:rPr>
        <w:t>eflects the temporary postponement of non-critical capital expenditures as a preemptive action to preserve cash and strengthen our liquidity position in response to business disruptions related to the COVID-19 pandemic. Our capital expenditures during Fisc</w:t>
      </w:r>
      <w:r>
        <w:rPr>
          <w:rFonts w:eastAsia="Times New Roman"/>
          <w:color w:val="000000"/>
          <w:sz w:val="20"/>
          <w:szCs w:val="20"/>
        </w:rPr>
        <w:t>al 2021 primarily related to international store openings and renovations, as well as enhancements to our information technology systems.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C15A66D" w14:textId="77777777">
        <w:trPr>
          <w:divId w:val="1809661820"/>
          <w:jc w:val="center"/>
        </w:trPr>
        <w:tc>
          <w:tcPr>
            <w:tcW w:w="50" w:type="pct"/>
            <w:vAlign w:val="center"/>
            <w:hideMark/>
          </w:tcPr>
          <w:p w14:paraId="32DFA617" w14:textId="77777777" w:rsidR="00000000" w:rsidRDefault="00EE5306">
            <w:pPr>
              <w:ind w:hanging="360"/>
              <w:jc w:val="both"/>
              <w:rPr>
                <w:rFonts w:eastAsia="Times New Roman"/>
              </w:rPr>
            </w:pPr>
          </w:p>
        </w:tc>
        <w:tc>
          <w:tcPr>
            <w:tcW w:w="1699" w:type="pct"/>
            <w:vAlign w:val="center"/>
            <w:hideMark/>
          </w:tcPr>
          <w:p w14:paraId="48F3800B" w14:textId="77777777" w:rsidR="00000000" w:rsidRDefault="00EE5306">
            <w:pPr>
              <w:spacing w:after="100"/>
              <w:rPr>
                <w:rFonts w:eastAsia="Times New Roman"/>
                <w:sz w:val="20"/>
                <w:szCs w:val="20"/>
              </w:rPr>
            </w:pPr>
          </w:p>
        </w:tc>
        <w:tc>
          <w:tcPr>
            <w:tcW w:w="5" w:type="pct"/>
            <w:vAlign w:val="center"/>
            <w:hideMark/>
          </w:tcPr>
          <w:p w14:paraId="40840EF9" w14:textId="77777777" w:rsidR="00000000" w:rsidRDefault="00EE5306">
            <w:pPr>
              <w:spacing w:after="100"/>
              <w:rPr>
                <w:rFonts w:eastAsia="Times New Roman"/>
                <w:sz w:val="20"/>
                <w:szCs w:val="20"/>
              </w:rPr>
            </w:pPr>
          </w:p>
        </w:tc>
        <w:tc>
          <w:tcPr>
            <w:tcW w:w="50" w:type="pct"/>
            <w:vAlign w:val="center"/>
            <w:hideMark/>
          </w:tcPr>
          <w:p w14:paraId="253F2C4B" w14:textId="77777777" w:rsidR="00000000" w:rsidRDefault="00EE5306">
            <w:pPr>
              <w:spacing w:after="100"/>
              <w:rPr>
                <w:rFonts w:eastAsia="Times New Roman"/>
                <w:sz w:val="20"/>
                <w:szCs w:val="20"/>
              </w:rPr>
            </w:pPr>
          </w:p>
        </w:tc>
        <w:tc>
          <w:tcPr>
            <w:tcW w:w="1436" w:type="pct"/>
            <w:vAlign w:val="center"/>
            <w:hideMark/>
          </w:tcPr>
          <w:p w14:paraId="0392F7D1" w14:textId="77777777" w:rsidR="00000000" w:rsidRDefault="00EE5306">
            <w:pPr>
              <w:spacing w:after="100"/>
              <w:rPr>
                <w:rFonts w:eastAsia="Times New Roman"/>
                <w:sz w:val="20"/>
                <w:szCs w:val="20"/>
              </w:rPr>
            </w:pPr>
          </w:p>
        </w:tc>
        <w:tc>
          <w:tcPr>
            <w:tcW w:w="5" w:type="pct"/>
            <w:vAlign w:val="center"/>
            <w:hideMark/>
          </w:tcPr>
          <w:p w14:paraId="3839B3BD" w14:textId="77777777" w:rsidR="00000000" w:rsidRDefault="00EE5306">
            <w:pPr>
              <w:spacing w:after="100"/>
              <w:rPr>
                <w:rFonts w:eastAsia="Times New Roman"/>
                <w:sz w:val="20"/>
                <w:szCs w:val="20"/>
              </w:rPr>
            </w:pPr>
          </w:p>
        </w:tc>
        <w:tc>
          <w:tcPr>
            <w:tcW w:w="50" w:type="pct"/>
            <w:vAlign w:val="center"/>
            <w:hideMark/>
          </w:tcPr>
          <w:p w14:paraId="18B136F3" w14:textId="77777777" w:rsidR="00000000" w:rsidRDefault="00EE5306">
            <w:pPr>
              <w:spacing w:after="100"/>
              <w:rPr>
                <w:rFonts w:eastAsia="Times New Roman"/>
                <w:sz w:val="20"/>
                <w:szCs w:val="20"/>
              </w:rPr>
            </w:pPr>
          </w:p>
        </w:tc>
        <w:tc>
          <w:tcPr>
            <w:tcW w:w="1699" w:type="pct"/>
            <w:vAlign w:val="center"/>
            <w:hideMark/>
          </w:tcPr>
          <w:p w14:paraId="6195C139" w14:textId="77777777" w:rsidR="00000000" w:rsidRDefault="00EE5306">
            <w:pPr>
              <w:spacing w:after="100"/>
              <w:rPr>
                <w:rFonts w:eastAsia="Times New Roman"/>
                <w:sz w:val="20"/>
                <w:szCs w:val="20"/>
              </w:rPr>
            </w:pPr>
          </w:p>
        </w:tc>
        <w:tc>
          <w:tcPr>
            <w:tcW w:w="5" w:type="pct"/>
            <w:vAlign w:val="center"/>
            <w:hideMark/>
          </w:tcPr>
          <w:p w14:paraId="49228358" w14:textId="77777777" w:rsidR="00000000" w:rsidRDefault="00EE5306">
            <w:pPr>
              <w:spacing w:after="100"/>
              <w:rPr>
                <w:rFonts w:eastAsia="Times New Roman"/>
                <w:sz w:val="20"/>
                <w:szCs w:val="20"/>
              </w:rPr>
            </w:pPr>
          </w:p>
        </w:tc>
      </w:tr>
      <w:tr w:rsidR="00000000" w14:paraId="4C2EF95E" w14:textId="77777777">
        <w:trPr>
          <w:divId w:val="1809661820"/>
          <w:jc w:val="center"/>
        </w:trPr>
        <w:tc>
          <w:tcPr>
            <w:tcW w:w="0" w:type="auto"/>
            <w:gridSpan w:val="3"/>
            <w:tcMar>
              <w:top w:w="0" w:type="dxa"/>
              <w:left w:w="20" w:type="dxa"/>
              <w:bottom w:w="0" w:type="dxa"/>
              <w:right w:w="20" w:type="dxa"/>
            </w:tcMar>
            <w:vAlign w:val="center"/>
            <w:hideMark/>
          </w:tcPr>
          <w:p w14:paraId="759E8D2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E9AA833" w14:textId="77777777" w:rsidR="00000000" w:rsidRDefault="00EE5306">
            <w:pPr>
              <w:spacing w:after="100"/>
              <w:jc w:val="center"/>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14:paraId="6E3396D9" w14:textId="77777777" w:rsidR="00000000" w:rsidRDefault="00EE5306">
            <w:pPr>
              <w:spacing w:after="100"/>
              <w:jc w:val="center"/>
              <w:rPr>
                <w:rFonts w:eastAsia="Times New Roman"/>
              </w:rPr>
            </w:pPr>
          </w:p>
        </w:tc>
      </w:tr>
    </w:tbl>
    <w:p w14:paraId="412172C6" w14:textId="77777777" w:rsidR="00000000" w:rsidRDefault="00EE5306">
      <w:pPr>
        <w:rPr>
          <w:rFonts w:eastAsia="Times New Roman"/>
        </w:rPr>
      </w:pPr>
      <w:r>
        <w:rPr>
          <w:rFonts w:eastAsia="Times New Roman"/>
        </w:rPr>
        <w:pict w14:anchorId="509B3895">
          <v:rect id="_x0000_i1090" style="width:0;height:1.5pt" o:hralign="center" o:hrstd="t" o:hr="t" fillcolor="#a0a0a0" stroked="f"/>
        </w:pict>
      </w:r>
    </w:p>
    <w:p w14:paraId="3B3CF7C9" w14:textId="77777777" w:rsidR="00000000" w:rsidRDefault="00EE5306">
      <w:pPr>
        <w:divId w:val="1166238750"/>
        <w:rPr>
          <w:rFonts w:eastAsia="Times New Roman"/>
        </w:rPr>
      </w:pPr>
    </w:p>
    <w:p w14:paraId="2CFABC67" w14:textId="77777777" w:rsidR="00000000" w:rsidRDefault="00EE5306">
      <w:pPr>
        <w:ind w:firstLine="540"/>
        <w:jc w:val="both"/>
        <w:divId w:val="1769888220"/>
        <w:rPr>
          <w:rFonts w:eastAsia="Times New Roman"/>
        </w:rPr>
      </w:pPr>
      <w:r>
        <w:rPr>
          <w:rFonts w:eastAsia="Times New Roman"/>
          <w:color w:val="000000"/>
          <w:sz w:val="20"/>
          <w:szCs w:val="20"/>
        </w:rPr>
        <w:t>In Fiscal 2022, we expect to spend approximately $250 million to $275 million on capital expenditures, in-line with our pre-pandemic levels, primarily related to store openings and renovations, as well as further investment in our digital infrastructure.</w:t>
      </w:r>
    </w:p>
    <w:p w14:paraId="2A1A81DA" w14:textId="77777777" w:rsidR="00000000" w:rsidRDefault="00EE5306">
      <w:pPr>
        <w:ind w:firstLine="540"/>
        <w:jc w:val="both"/>
        <w:divId w:val="1825655357"/>
        <w:rPr>
          <w:rFonts w:eastAsia="Times New Roman"/>
        </w:rPr>
      </w:pPr>
      <w:r>
        <w:rPr>
          <w:rFonts w:eastAsia="Times New Roman"/>
          <w:i/>
          <w:iCs/>
          <w:color w:val="000000"/>
          <w:sz w:val="20"/>
          <w:szCs w:val="20"/>
        </w:rPr>
        <w:t>N</w:t>
      </w:r>
      <w:r>
        <w:rPr>
          <w:rFonts w:eastAsia="Times New Roman"/>
          <w:i/>
          <w:iCs/>
          <w:color w:val="000000"/>
          <w:sz w:val="20"/>
          <w:szCs w:val="20"/>
        </w:rPr>
        <w:t>et Cash Provided by (Used in) Financing Activities.</w:t>
      </w:r>
      <w:r>
        <w:rPr>
          <w:rFonts w:eastAsia="Times New Roman"/>
          <w:color w:val="000000"/>
          <w:sz w:val="20"/>
          <w:szCs w:val="20"/>
        </w:rPr>
        <w:t>    Net cash provided by financing activities was $356.8 million during Fiscal 2021, as compared to net cash used in financing activities of $438.2 million during Fiscal 2020. The $795.0 million net increa</w:t>
      </w:r>
      <w:r>
        <w:rPr>
          <w:rFonts w:eastAsia="Times New Roman"/>
          <w:color w:val="000000"/>
          <w:sz w:val="20"/>
          <w:szCs w:val="20"/>
        </w:rPr>
        <w:t>se in cash provided by financing activities was primarily driven by:</w:t>
      </w:r>
    </w:p>
    <w:p w14:paraId="55F45825" w14:textId="77777777" w:rsidR="00000000" w:rsidRDefault="00EE5306">
      <w:pPr>
        <w:ind w:hanging="360"/>
        <w:jc w:val="both"/>
        <w:divId w:val="481387532"/>
        <w:rPr>
          <w:rFonts w:eastAsia="Times New Roman"/>
        </w:rPr>
      </w:pPr>
      <w:r>
        <w:rPr>
          <w:rFonts w:eastAsia="Times New Roman"/>
          <w:color w:val="000000"/>
          <w:sz w:val="20"/>
          <w:szCs w:val="20"/>
        </w:rPr>
        <w:t xml:space="preserve">•a $657.1 million decrease in cash used to repurchase shares of our Class A common stock. During Fiscal 2021, $37.7 million in shares of Class A common stock were surrendered or withheld </w:t>
      </w:r>
      <w:r>
        <w:rPr>
          <w:rFonts w:eastAsia="Times New Roman"/>
          <w:color w:val="000000"/>
          <w:sz w:val="20"/>
          <w:szCs w:val="20"/>
        </w:rPr>
        <w:t>in satisfaction of withholding taxes in connection with the vesting of awards under our long-term stock incentive plans and no shares of Class A common stock were repurchased pursuant to our common stock repurchase program, which we have temporarily suspen</w:t>
      </w:r>
      <w:r>
        <w:rPr>
          <w:rFonts w:eastAsia="Times New Roman"/>
          <w:color w:val="000000"/>
          <w:sz w:val="20"/>
          <w:szCs w:val="20"/>
        </w:rPr>
        <w:t>ded as a preemptive action to preserve cash and strengthen our liquidity position in response to business disruptions related to the COVID-19 pandemic. On a comparative basis, during Fiscal 2020, $650.3 million in shares of Class A common stock were repurc</w:t>
      </w:r>
      <w:r>
        <w:rPr>
          <w:rFonts w:eastAsia="Times New Roman"/>
          <w:color w:val="000000"/>
          <w:sz w:val="20"/>
          <w:szCs w:val="20"/>
        </w:rPr>
        <w:t>hased and $44.5 million in shares of Class A common stock were surrendered or withheld for taxes; and</w:t>
      </w:r>
    </w:p>
    <w:p w14:paraId="19E65604" w14:textId="77777777" w:rsidR="00000000" w:rsidRDefault="00EE5306">
      <w:pPr>
        <w:ind w:hanging="360"/>
        <w:jc w:val="both"/>
        <w:divId w:val="1040738938"/>
        <w:rPr>
          <w:rFonts w:eastAsia="Times New Roman"/>
        </w:rPr>
      </w:pPr>
      <w:r>
        <w:rPr>
          <w:rFonts w:eastAsia="Times New Roman"/>
          <w:color w:val="000000"/>
          <w:sz w:val="20"/>
          <w:szCs w:val="20"/>
        </w:rPr>
        <w:t>•a $154.1 million decrease in payments of dividends, driven by the temporary suspension of our quarterly cash dividend program as a preemptive action to p</w:t>
      </w:r>
      <w:r>
        <w:rPr>
          <w:rFonts w:eastAsia="Times New Roman"/>
          <w:color w:val="000000"/>
          <w:sz w:val="20"/>
          <w:szCs w:val="20"/>
        </w:rPr>
        <w:t>reserve cash and strengthen our liquidity position, as discussed in "</w:t>
      </w:r>
      <w:r>
        <w:rPr>
          <w:rFonts w:eastAsia="Times New Roman"/>
          <w:i/>
          <w:iCs/>
          <w:color w:val="000000"/>
          <w:sz w:val="20"/>
          <w:szCs w:val="20"/>
        </w:rPr>
        <w:t>Dividends</w:t>
      </w:r>
      <w:r>
        <w:rPr>
          <w:rFonts w:eastAsia="Times New Roman"/>
          <w:color w:val="000000"/>
          <w:sz w:val="20"/>
          <w:szCs w:val="20"/>
        </w:rPr>
        <w:t>" below.</w:t>
      </w:r>
    </w:p>
    <w:p w14:paraId="347E9160" w14:textId="77777777" w:rsidR="00000000" w:rsidRDefault="00EE5306">
      <w:pPr>
        <w:ind w:firstLine="720"/>
        <w:jc w:val="both"/>
        <w:divId w:val="8072309"/>
        <w:rPr>
          <w:rFonts w:eastAsia="Times New Roman"/>
        </w:rPr>
      </w:pPr>
      <w:r>
        <w:rPr>
          <w:rFonts w:eastAsia="Times New Roman"/>
          <w:color w:val="000000"/>
          <w:sz w:val="20"/>
          <w:szCs w:val="20"/>
        </w:rPr>
        <w:t>These increases in cash provided by financing activities were partially offset by:</w:t>
      </w:r>
    </w:p>
    <w:p w14:paraId="769BD302" w14:textId="77777777" w:rsidR="00000000" w:rsidRDefault="00EE5306">
      <w:pPr>
        <w:ind w:hanging="360"/>
        <w:jc w:val="both"/>
        <w:divId w:val="299769642"/>
        <w:rPr>
          <w:rFonts w:eastAsia="Times New Roman"/>
        </w:rPr>
      </w:pPr>
      <w:r>
        <w:rPr>
          <w:rFonts w:eastAsia="Times New Roman"/>
          <w:color w:val="000000"/>
          <w:sz w:val="20"/>
          <w:szCs w:val="20"/>
        </w:rPr>
        <w:t>•</w:t>
      </w:r>
      <w:r>
        <w:rPr>
          <w:rFonts w:eastAsia="Times New Roman"/>
          <w:color w:val="000000"/>
          <w:sz w:val="20"/>
          <w:szCs w:val="20"/>
        </w:rPr>
        <w:t>an $8.1 million decrease in cash proceeds from the issuance of debt, less debt repayments. During Fiscal 2021, we received $1.242 billion in proceeds from our issuance of 1.700% unsecured notes and 2.950% unsecured senior notes, a portion of which was used</w:t>
      </w:r>
      <w:r>
        <w:rPr>
          <w:rFonts w:eastAsia="Times New Roman"/>
          <w:color w:val="000000"/>
          <w:sz w:val="20"/>
          <w:szCs w:val="20"/>
        </w:rPr>
        <w:t xml:space="preserve"> to repay $475 million of borrowings previously outstanding under our credit facilities and our previously outstanding $300 million principal amount of unsecured 2.625% senior notes that matured in August 2020. On a comparative basis, during Fiscal 2020 we</w:t>
      </w:r>
      <w:r>
        <w:rPr>
          <w:rFonts w:eastAsia="Times New Roman"/>
          <w:color w:val="000000"/>
          <w:sz w:val="20"/>
          <w:szCs w:val="20"/>
        </w:rPr>
        <w:t xml:space="preserve"> borrowed $475 million under our credit facilities as a preemptive action to preserve cash and strengthen our liquidity in response to the COVID-19 pandemic.</w:t>
      </w:r>
    </w:p>
    <w:p w14:paraId="52FAEA56" w14:textId="77777777" w:rsidR="00000000" w:rsidRDefault="00EE5306">
      <w:pPr>
        <w:ind w:firstLine="360"/>
        <w:jc w:val="both"/>
        <w:divId w:val="348527623"/>
        <w:rPr>
          <w:rFonts w:eastAsia="Times New Roman"/>
        </w:rPr>
      </w:pPr>
      <w:r>
        <w:rPr>
          <w:rFonts w:eastAsia="Times New Roman"/>
          <w:i/>
          <w:iCs/>
          <w:color w:val="000000"/>
          <w:sz w:val="20"/>
          <w:szCs w:val="20"/>
        </w:rPr>
        <w:t>Fiscal 2020 Compared to Fiscal 2019</w:t>
      </w:r>
    </w:p>
    <w:tbl>
      <w:tblPr>
        <w:tblW w:w="4714" w:type="pct"/>
        <w:tblCellMar>
          <w:top w:w="15" w:type="dxa"/>
          <w:left w:w="15" w:type="dxa"/>
          <w:bottom w:w="15" w:type="dxa"/>
          <w:right w:w="15" w:type="dxa"/>
        </w:tblCellMar>
        <w:tblLook w:val="04A0" w:firstRow="1" w:lastRow="0" w:firstColumn="1" w:lastColumn="0" w:noHBand="0" w:noVBand="1"/>
      </w:tblPr>
      <w:tblGrid>
        <w:gridCol w:w="38"/>
        <w:gridCol w:w="5080"/>
        <w:gridCol w:w="37"/>
        <w:gridCol w:w="36"/>
        <w:gridCol w:w="36"/>
        <w:gridCol w:w="36"/>
        <w:gridCol w:w="120"/>
        <w:gridCol w:w="650"/>
        <w:gridCol w:w="36"/>
        <w:gridCol w:w="36"/>
        <w:gridCol w:w="36"/>
        <w:gridCol w:w="36"/>
        <w:gridCol w:w="120"/>
        <w:gridCol w:w="584"/>
        <w:gridCol w:w="36"/>
        <w:gridCol w:w="36"/>
        <w:gridCol w:w="36"/>
        <w:gridCol w:w="36"/>
        <w:gridCol w:w="120"/>
        <w:gridCol w:w="650"/>
        <w:gridCol w:w="36"/>
      </w:tblGrid>
      <w:tr w:rsidR="00000000" w14:paraId="0E302E92" w14:textId="77777777">
        <w:trPr>
          <w:divId w:val="2053577799"/>
        </w:trPr>
        <w:tc>
          <w:tcPr>
            <w:tcW w:w="50" w:type="pct"/>
            <w:vAlign w:val="center"/>
            <w:hideMark/>
          </w:tcPr>
          <w:p w14:paraId="7EFCD3C2" w14:textId="77777777" w:rsidR="00000000" w:rsidRDefault="00EE5306">
            <w:pPr>
              <w:ind w:firstLine="360"/>
              <w:jc w:val="both"/>
              <w:rPr>
                <w:rFonts w:eastAsia="Times New Roman"/>
              </w:rPr>
            </w:pPr>
          </w:p>
        </w:tc>
        <w:tc>
          <w:tcPr>
            <w:tcW w:w="3317" w:type="pct"/>
            <w:vAlign w:val="center"/>
            <w:hideMark/>
          </w:tcPr>
          <w:p w14:paraId="4454B69B" w14:textId="77777777" w:rsidR="00000000" w:rsidRDefault="00EE5306">
            <w:pPr>
              <w:spacing w:after="100"/>
              <w:rPr>
                <w:rFonts w:eastAsia="Times New Roman"/>
                <w:sz w:val="20"/>
                <w:szCs w:val="20"/>
              </w:rPr>
            </w:pPr>
          </w:p>
        </w:tc>
        <w:tc>
          <w:tcPr>
            <w:tcW w:w="5" w:type="pct"/>
            <w:vAlign w:val="center"/>
            <w:hideMark/>
          </w:tcPr>
          <w:p w14:paraId="00EE3F57" w14:textId="77777777" w:rsidR="00000000" w:rsidRDefault="00EE5306">
            <w:pPr>
              <w:spacing w:after="100"/>
              <w:rPr>
                <w:rFonts w:eastAsia="Times New Roman"/>
                <w:sz w:val="20"/>
                <w:szCs w:val="20"/>
              </w:rPr>
            </w:pPr>
          </w:p>
        </w:tc>
        <w:tc>
          <w:tcPr>
            <w:tcW w:w="5" w:type="pct"/>
            <w:vAlign w:val="center"/>
            <w:hideMark/>
          </w:tcPr>
          <w:p w14:paraId="4F0096B7" w14:textId="77777777" w:rsidR="00000000" w:rsidRDefault="00EE5306">
            <w:pPr>
              <w:spacing w:after="100"/>
              <w:rPr>
                <w:rFonts w:eastAsia="Times New Roman"/>
                <w:sz w:val="20"/>
                <w:szCs w:val="20"/>
              </w:rPr>
            </w:pPr>
          </w:p>
        </w:tc>
        <w:tc>
          <w:tcPr>
            <w:tcW w:w="28" w:type="pct"/>
            <w:vAlign w:val="center"/>
            <w:hideMark/>
          </w:tcPr>
          <w:p w14:paraId="64A2C777" w14:textId="77777777" w:rsidR="00000000" w:rsidRDefault="00EE5306">
            <w:pPr>
              <w:spacing w:after="100"/>
              <w:rPr>
                <w:rFonts w:eastAsia="Times New Roman"/>
                <w:sz w:val="20"/>
                <w:szCs w:val="20"/>
              </w:rPr>
            </w:pPr>
          </w:p>
        </w:tc>
        <w:tc>
          <w:tcPr>
            <w:tcW w:w="5" w:type="pct"/>
            <w:vAlign w:val="center"/>
            <w:hideMark/>
          </w:tcPr>
          <w:p w14:paraId="53CB157E" w14:textId="77777777" w:rsidR="00000000" w:rsidRDefault="00EE5306">
            <w:pPr>
              <w:spacing w:after="100"/>
              <w:rPr>
                <w:rFonts w:eastAsia="Times New Roman"/>
                <w:sz w:val="20"/>
                <w:szCs w:val="20"/>
              </w:rPr>
            </w:pPr>
          </w:p>
        </w:tc>
        <w:tc>
          <w:tcPr>
            <w:tcW w:w="50" w:type="pct"/>
            <w:vAlign w:val="center"/>
            <w:hideMark/>
          </w:tcPr>
          <w:p w14:paraId="310466E1" w14:textId="77777777" w:rsidR="00000000" w:rsidRDefault="00EE5306">
            <w:pPr>
              <w:spacing w:after="100"/>
              <w:rPr>
                <w:rFonts w:eastAsia="Times New Roman"/>
                <w:sz w:val="20"/>
                <w:szCs w:val="20"/>
              </w:rPr>
            </w:pPr>
          </w:p>
        </w:tc>
        <w:tc>
          <w:tcPr>
            <w:tcW w:w="448" w:type="pct"/>
            <w:vAlign w:val="center"/>
            <w:hideMark/>
          </w:tcPr>
          <w:p w14:paraId="10EB92FE" w14:textId="77777777" w:rsidR="00000000" w:rsidRDefault="00EE5306">
            <w:pPr>
              <w:spacing w:after="100"/>
              <w:rPr>
                <w:rFonts w:eastAsia="Times New Roman"/>
                <w:sz w:val="20"/>
                <w:szCs w:val="20"/>
              </w:rPr>
            </w:pPr>
          </w:p>
        </w:tc>
        <w:tc>
          <w:tcPr>
            <w:tcW w:w="5" w:type="pct"/>
            <w:vAlign w:val="center"/>
            <w:hideMark/>
          </w:tcPr>
          <w:p w14:paraId="3872D82A" w14:textId="77777777" w:rsidR="00000000" w:rsidRDefault="00EE5306">
            <w:pPr>
              <w:spacing w:after="100"/>
              <w:rPr>
                <w:rFonts w:eastAsia="Times New Roman"/>
                <w:sz w:val="20"/>
                <w:szCs w:val="20"/>
              </w:rPr>
            </w:pPr>
          </w:p>
        </w:tc>
        <w:tc>
          <w:tcPr>
            <w:tcW w:w="5" w:type="pct"/>
            <w:vAlign w:val="center"/>
            <w:hideMark/>
          </w:tcPr>
          <w:p w14:paraId="28DB9E73" w14:textId="77777777" w:rsidR="00000000" w:rsidRDefault="00EE5306">
            <w:pPr>
              <w:spacing w:after="100"/>
              <w:rPr>
                <w:rFonts w:eastAsia="Times New Roman"/>
                <w:sz w:val="20"/>
                <w:szCs w:val="20"/>
              </w:rPr>
            </w:pPr>
          </w:p>
        </w:tc>
        <w:tc>
          <w:tcPr>
            <w:tcW w:w="28" w:type="pct"/>
            <w:vAlign w:val="center"/>
            <w:hideMark/>
          </w:tcPr>
          <w:p w14:paraId="0C5A576E" w14:textId="77777777" w:rsidR="00000000" w:rsidRDefault="00EE5306">
            <w:pPr>
              <w:spacing w:after="100"/>
              <w:rPr>
                <w:rFonts w:eastAsia="Times New Roman"/>
                <w:sz w:val="20"/>
                <w:szCs w:val="20"/>
              </w:rPr>
            </w:pPr>
          </w:p>
        </w:tc>
        <w:tc>
          <w:tcPr>
            <w:tcW w:w="5" w:type="pct"/>
            <w:vAlign w:val="center"/>
            <w:hideMark/>
          </w:tcPr>
          <w:p w14:paraId="00D8CC8A" w14:textId="77777777" w:rsidR="00000000" w:rsidRDefault="00EE5306">
            <w:pPr>
              <w:spacing w:after="100"/>
              <w:rPr>
                <w:rFonts w:eastAsia="Times New Roman"/>
                <w:sz w:val="20"/>
                <w:szCs w:val="20"/>
              </w:rPr>
            </w:pPr>
          </w:p>
        </w:tc>
        <w:tc>
          <w:tcPr>
            <w:tcW w:w="50" w:type="pct"/>
            <w:vAlign w:val="center"/>
            <w:hideMark/>
          </w:tcPr>
          <w:p w14:paraId="182B78BE" w14:textId="77777777" w:rsidR="00000000" w:rsidRDefault="00EE5306">
            <w:pPr>
              <w:spacing w:after="100"/>
              <w:rPr>
                <w:rFonts w:eastAsia="Times New Roman"/>
                <w:sz w:val="20"/>
                <w:szCs w:val="20"/>
              </w:rPr>
            </w:pPr>
          </w:p>
        </w:tc>
        <w:tc>
          <w:tcPr>
            <w:tcW w:w="448" w:type="pct"/>
            <w:vAlign w:val="center"/>
            <w:hideMark/>
          </w:tcPr>
          <w:p w14:paraId="56C3C3C0" w14:textId="77777777" w:rsidR="00000000" w:rsidRDefault="00EE5306">
            <w:pPr>
              <w:spacing w:after="100"/>
              <w:rPr>
                <w:rFonts w:eastAsia="Times New Roman"/>
                <w:sz w:val="20"/>
                <w:szCs w:val="20"/>
              </w:rPr>
            </w:pPr>
          </w:p>
        </w:tc>
        <w:tc>
          <w:tcPr>
            <w:tcW w:w="5" w:type="pct"/>
            <w:vAlign w:val="center"/>
            <w:hideMark/>
          </w:tcPr>
          <w:p w14:paraId="2F3980F8" w14:textId="77777777" w:rsidR="00000000" w:rsidRDefault="00EE5306">
            <w:pPr>
              <w:spacing w:after="100"/>
              <w:rPr>
                <w:rFonts w:eastAsia="Times New Roman"/>
                <w:sz w:val="20"/>
                <w:szCs w:val="20"/>
              </w:rPr>
            </w:pPr>
          </w:p>
        </w:tc>
        <w:tc>
          <w:tcPr>
            <w:tcW w:w="5" w:type="pct"/>
            <w:vAlign w:val="center"/>
            <w:hideMark/>
          </w:tcPr>
          <w:p w14:paraId="4C156E94" w14:textId="77777777" w:rsidR="00000000" w:rsidRDefault="00EE5306">
            <w:pPr>
              <w:spacing w:after="100"/>
              <w:rPr>
                <w:rFonts w:eastAsia="Times New Roman"/>
                <w:sz w:val="20"/>
                <w:szCs w:val="20"/>
              </w:rPr>
            </w:pPr>
          </w:p>
        </w:tc>
        <w:tc>
          <w:tcPr>
            <w:tcW w:w="28" w:type="pct"/>
            <w:vAlign w:val="center"/>
            <w:hideMark/>
          </w:tcPr>
          <w:p w14:paraId="6D3FFE5A" w14:textId="77777777" w:rsidR="00000000" w:rsidRDefault="00EE5306">
            <w:pPr>
              <w:spacing w:after="100"/>
              <w:rPr>
                <w:rFonts w:eastAsia="Times New Roman"/>
                <w:sz w:val="20"/>
                <w:szCs w:val="20"/>
              </w:rPr>
            </w:pPr>
          </w:p>
        </w:tc>
        <w:tc>
          <w:tcPr>
            <w:tcW w:w="5" w:type="pct"/>
            <w:vAlign w:val="center"/>
            <w:hideMark/>
          </w:tcPr>
          <w:p w14:paraId="4B0DB3B0" w14:textId="77777777" w:rsidR="00000000" w:rsidRDefault="00EE5306">
            <w:pPr>
              <w:spacing w:after="100"/>
              <w:rPr>
                <w:rFonts w:eastAsia="Times New Roman"/>
                <w:sz w:val="20"/>
                <w:szCs w:val="20"/>
              </w:rPr>
            </w:pPr>
          </w:p>
        </w:tc>
        <w:tc>
          <w:tcPr>
            <w:tcW w:w="50" w:type="pct"/>
            <w:vAlign w:val="center"/>
            <w:hideMark/>
          </w:tcPr>
          <w:p w14:paraId="67B33D7A" w14:textId="77777777" w:rsidR="00000000" w:rsidRDefault="00EE5306">
            <w:pPr>
              <w:spacing w:after="100"/>
              <w:rPr>
                <w:rFonts w:eastAsia="Times New Roman"/>
                <w:sz w:val="20"/>
                <w:szCs w:val="20"/>
              </w:rPr>
            </w:pPr>
          </w:p>
        </w:tc>
        <w:tc>
          <w:tcPr>
            <w:tcW w:w="449" w:type="pct"/>
            <w:vAlign w:val="center"/>
            <w:hideMark/>
          </w:tcPr>
          <w:p w14:paraId="624A69A7" w14:textId="77777777" w:rsidR="00000000" w:rsidRDefault="00EE5306">
            <w:pPr>
              <w:spacing w:after="100"/>
              <w:rPr>
                <w:rFonts w:eastAsia="Times New Roman"/>
                <w:sz w:val="20"/>
                <w:szCs w:val="20"/>
              </w:rPr>
            </w:pPr>
          </w:p>
        </w:tc>
        <w:tc>
          <w:tcPr>
            <w:tcW w:w="5" w:type="pct"/>
            <w:vAlign w:val="center"/>
            <w:hideMark/>
          </w:tcPr>
          <w:p w14:paraId="5BC420EE" w14:textId="77777777" w:rsidR="00000000" w:rsidRDefault="00EE5306">
            <w:pPr>
              <w:spacing w:after="100"/>
              <w:rPr>
                <w:rFonts w:eastAsia="Times New Roman"/>
                <w:sz w:val="20"/>
                <w:szCs w:val="20"/>
              </w:rPr>
            </w:pPr>
          </w:p>
        </w:tc>
      </w:tr>
      <w:tr w:rsidR="00000000" w14:paraId="4220F8ED" w14:textId="77777777">
        <w:trPr>
          <w:divId w:val="2053577799"/>
        </w:trPr>
        <w:tc>
          <w:tcPr>
            <w:tcW w:w="0" w:type="auto"/>
            <w:gridSpan w:val="3"/>
            <w:tcMar>
              <w:top w:w="30" w:type="dxa"/>
              <w:left w:w="20" w:type="dxa"/>
              <w:bottom w:w="30" w:type="dxa"/>
              <w:right w:w="20" w:type="dxa"/>
            </w:tcMar>
            <w:vAlign w:val="bottom"/>
            <w:hideMark/>
          </w:tcPr>
          <w:p w14:paraId="69773DED"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E8F915B" w14:textId="77777777" w:rsidR="00000000" w:rsidRDefault="00EE5306">
            <w:pPr>
              <w:spacing w:after="100"/>
              <w:rPr>
                <w:rFonts w:eastAsia="Times New Roman"/>
              </w:rPr>
            </w:pPr>
          </w:p>
        </w:tc>
        <w:tc>
          <w:tcPr>
            <w:tcW w:w="0" w:type="auto"/>
            <w:gridSpan w:val="9"/>
            <w:tcMar>
              <w:top w:w="30" w:type="dxa"/>
              <w:left w:w="20" w:type="dxa"/>
              <w:bottom w:w="30" w:type="dxa"/>
              <w:right w:w="20" w:type="dxa"/>
            </w:tcMar>
            <w:vAlign w:val="bottom"/>
            <w:hideMark/>
          </w:tcPr>
          <w:p w14:paraId="04C804E3"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08702E1E"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2A5EA79" w14:textId="77777777" w:rsidR="00000000" w:rsidRDefault="00EE5306">
            <w:pPr>
              <w:spacing w:after="100"/>
              <w:rPr>
                <w:rFonts w:eastAsia="Times New Roman"/>
              </w:rPr>
            </w:pPr>
            <w:r>
              <w:rPr>
                <w:rFonts w:eastAsia="Times New Roman"/>
                <w:color w:val="000000"/>
                <w:sz w:val="16"/>
                <w:szCs w:val="16"/>
              </w:rPr>
              <w:t> </w:t>
            </w:r>
          </w:p>
        </w:tc>
      </w:tr>
      <w:tr w:rsidR="00000000" w14:paraId="7E71D402" w14:textId="77777777">
        <w:trPr>
          <w:divId w:val="2053577799"/>
        </w:trPr>
        <w:tc>
          <w:tcPr>
            <w:tcW w:w="0" w:type="auto"/>
            <w:gridSpan w:val="3"/>
            <w:tcMar>
              <w:top w:w="30" w:type="dxa"/>
              <w:left w:w="20" w:type="dxa"/>
              <w:bottom w:w="30" w:type="dxa"/>
              <w:right w:w="20" w:type="dxa"/>
            </w:tcMar>
            <w:vAlign w:val="bottom"/>
            <w:hideMark/>
          </w:tcPr>
          <w:p w14:paraId="05FA753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46E8B26"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DD3367"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409E755"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AFC9DD1"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083F312C"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B4E1B14" w14:textId="77777777" w:rsidR="00000000" w:rsidRDefault="00EE5306">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r>
      <w:tr w:rsidR="00000000" w14:paraId="4C6401F0" w14:textId="77777777">
        <w:trPr>
          <w:divId w:val="2053577799"/>
        </w:trPr>
        <w:tc>
          <w:tcPr>
            <w:tcW w:w="0" w:type="auto"/>
            <w:gridSpan w:val="3"/>
            <w:tcMar>
              <w:top w:w="30" w:type="dxa"/>
              <w:left w:w="20" w:type="dxa"/>
              <w:bottom w:w="30" w:type="dxa"/>
              <w:right w:w="20" w:type="dxa"/>
            </w:tcMar>
            <w:vAlign w:val="bottom"/>
            <w:hideMark/>
          </w:tcPr>
          <w:p w14:paraId="6FDF59C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683BCF2"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6F47CC8"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426BC169" w14:textId="77777777">
        <w:trPr>
          <w:divId w:val="2053577799"/>
        </w:trPr>
        <w:tc>
          <w:tcPr>
            <w:tcW w:w="0" w:type="auto"/>
            <w:gridSpan w:val="3"/>
            <w:shd w:val="clear" w:color="auto" w:fill="CCEEFF"/>
            <w:tcMar>
              <w:top w:w="30" w:type="dxa"/>
              <w:left w:w="20" w:type="dxa"/>
              <w:bottom w:w="30" w:type="dxa"/>
              <w:right w:w="20" w:type="dxa"/>
            </w:tcMar>
            <w:vAlign w:val="bottom"/>
            <w:hideMark/>
          </w:tcPr>
          <w:p w14:paraId="33AB22A3" w14:textId="77777777" w:rsidR="00000000" w:rsidRDefault="00EE5306">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14:paraId="475CA7DF"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8A0FBF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EFFAEA" w14:textId="77777777" w:rsidR="00000000" w:rsidRDefault="00EE5306">
            <w:pPr>
              <w:spacing w:after="100"/>
              <w:jc w:val="right"/>
              <w:rPr>
                <w:rFonts w:eastAsia="Times New Roman"/>
              </w:rPr>
            </w:pPr>
            <w:r>
              <w:rPr>
                <w:rFonts w:eastAsia="Times New Roman"/>
                <w:color w:val="000000"/>
                <w:sz w:val="20"/>
                <w:szCs w:val="20"/>
              </w:rPr>
              <w:t>754.6 </w:t>
            </w:r>
          </w:p>
        </w:tc>
        <w:tc>
          <w:tcPr>
            <w:tcW w:w="0" w:type="auto"/>
            <w:shd w:val="clear" w:color="auto" w:fill="CCEEFF"/>
            <w:tcMar>
              <w:top w:w="30" w:type="dxa"/>
              <w:left w:w="0" w:type="dxa"/>
              <w:bottom w:w="30" w:type="dxa"/>
              <w:right w:w="20" w:type="dxa"/>
            </w:tcMar>
            <w:vAlign w:val="bottom"/>
            <w:hideMark/>
          </w:tcPr>
          <w:p w14:paraId="2B79D35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CFBB4"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411F7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B6070BD" w14:textId="77777777" w:rsidR="00000000" w:rsidRDefault="00EE5306">
            <w:pPr>
              <w:spacing w:after="100"/>
              <w:jc w:val="right"/>
              <w:rPr>
                <w:rFonts w:eastAsia="Times New Roman"/>
              </w:rPr>
            </w:pPr>
            <w:r>
              <w:rPr>
                <w:rFonts w:eastAsia="Times New Roman"/>
                <w:color w:val="000000"/>
                <w:sz w:val="20"/>
                <w:szCs w:val="20"/>
              </w:rPr>
              <w:t>783.8 </w:t>
            </w:r>
          </w:p>
        </w:tc>
        <w:tc>
          <w:tcPr>
            <w:tcW w:w="0" w:type="auto"/>
            <w:shd w:val="clear" w:color="auto" w:fill="CCEEFF"/>
            <w:tcMar>
              <w:top w:w="30" w:type="dxa"/>
              <w:left w:w="0" w:type="dxa"/>
              <w:bottom w:w="30" w:type="dxa"/>
              <w:right w:w="20" w:type="dxa"/>
            </w:tcMar>
            <w:vAlign w:val="bottom"/>
            <w:hideMark/>
          </w:tcPr>
          <w:p w14:paraId="3DD20D6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9F7B9"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8147F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B31E82" w14:textId="77777777" w:rsidR="00000000" w:rsidRDefault="00EE5306">
            <w:pPr>
              <w:spacing w:after="100"/>
              <w:jc w:val="right"/>
              <w:rPr>
                <w:rFonts w:eastAsia="Times New Roman"/>
              </w:rPr>
            </w:pPr>
            <w:r>
              <w:rPr>
                <w:rFonts w:eastAsia="Times New Roman"/>
                <w:color w:val="000000"/>
                <w:sz w:val="20"/>
                <w:szCs w:val="20"/>
              </w:rPr>
              <w:t>(29.2)</w:t>
            </w:r>
          </w:p>
        </w:tc>
        <w:tc>
          <w:tcPr>
            <w:tcW w:w="0" w:type="auto"/>
            <w:shd w:val="clear" w:color="auto" w:fill="CCEEFF"/>
            <w:tcMar>
              <w:top w:w="30" w:type="dxa"/>
              <w:left w:w="0" w:type="dxa"/>
              <w:bottom w:w="30" w:type="dxa"/>
              <w:right w:w="20" w:type="dxa"/>
            </w:tcMar>
            <w:vAlign w:val="bottom"/>
            <w:hideMark/>
          </w:tcPr>
          <w:p w14:paraId="40A62F27" w14:textId="77777777" w:rsidR="00000000" w:rsidRDefault="00EE5306">
            <w:pPr>
              <w:spacing w:after="100"/>
              <w:jc w:val="right"/>
              <w:rPr>
                <w:rFonts w:eastAsia="Times New Roman"/>
              </w:rPr>
            </w:pPr>
          </w:p>
        </w:tc>
      </w:tr>
      <w:tr w:rsidR="00000000" w14:paraId="3A361369" w14:textId="77777777">
        <w:trPr>
          <w:divId w:val="2053577799"/>
        </w:trPr>
        <w:tc>
          <w:tcPr>
            <w:tcW w:w="0" w:type="auto"/>
            <w:gridSpan w:val="3"/>
            <w:shd w:val="clear" w:color="auto" w:fill="FFFFFF"/>
            <w:tcMar>
              <w:top w:w="30" w:type="dxa"/>
              <w:left w:w="20" w:type="dxa"/>
              <w:bottom w:w="30" w:type="dxa"/>
              <w:right w:w="20" w:type="dxa"/>
            </w:tcMar>
            <w:vAlign w:val="bottom"/>
            <w:hideMark/>
          </w:tcPr>
          <w:p w14:paraId="3AE7B59B" w14:textId="77777777" w:rsidR="00000000" w:rsidRDefault="00EE5306">
            <w:pPr>
              <w:spacing w:after="100"/>
              <w:rPr>
                <w:rFonts w:eastAsia="Times New Roman"/>
              </w:rPr>
            </w:pPr>
            <w:r>
              <w:rPr>
                <w:rFonts w:eastAsia="Times New Roman"/>
                <w:color w:val="000000"/>
                <w:sz w:val="20"/>
                <w:szCs w:val="20"/>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14:paraId="662EDAB1"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889AE8" w14:textId="77777777" w:rsidR="00000000" w:rsidRDefault="00EE5306">
            <w:pPr>
              <w:spacing w:after="100"/>
              <w:jc w:val="right"/>
              <w:rPr>
                <w:rFonts w:eastAsia="Times New Roman"/>
              </w:rPr>
            </w:pPr>
            <w:r>
              <w:rPr>
                <w:rFonts w:eastAsia="Times New Roman"/>
                <w:color w:val="000000"/>
                <w:sz w:val="20"/>
                <w:szCs w:val="20"/>
              </w:rPr>
              <w:t>702.1 </w:t>
            </w:r>
          </w:p>
        </w:tc>
        <w:tc>
          <w:tcPr>
            <w:tcW w:w="0" w:type="auto"/>
            <w:shd w:val="clear" w:color="auto" w:fill="FFFFFF"/>
            <w:tcMar>
              <w:top w:w="30" w:type="dxa"/>
              <w:left w:w="0" w:type="dxa"/>
              <w:bottom w:w="30" w:type="dxa"/>
              <w:right w:w="20" w:type="dxa"/>
            </w:tcMar>
            <w:vAlign w:val="bottom"/>
            <w:hideMark/>
          </w:tcPr>
          <w:p w14:paraId="49AB919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E445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0DE08" w14:textId="77777777" w:rsidR="00000000" w:rsidRDefault="00EE5306">
            <w:pPr>
              <w:spacing w:after="100"/>
              <w:jc w:val="right"/>
              <w:rPr>
                <w:rFonts w:eastAsia="Times New Roman"/>
              </w:rPr>
            </w:pPr>
            <w:r>
              <w:rPr>
                <w:rFonts w:eastAsia="Times New Roman"/>
                <w:color w:val="000000"/>
                <w:sz w:val="20"/>
                <w:szCs w:val="20"/>
              </w:rPr>
              <w:t>(879.3)</w:t>
            </w:r>
          </w:p>
        </w:tc>
        <w:tc>
          <w:tcPr>
            <w:tcW w:w="0" w:type="auto"/>
            <w:shd w:val="clear" w:color="auto" w:fill="FFFFFF"/>
            <w:tcMar>
              <w:top w:w="30" w:type="dxa"/>
              <w:left w:w="0" w:type="dxa"/>
              <w:bottom w:w="30" w:type="dxa"/>
              <w:right w:w="20" w:type="dxa"/>
            </w:tcMar>
            <w:vAlign w:val="bottom"/>
            <w:hideMark/>
          </w:tcPr>
          <w:p w14:paraId="4EA2884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2446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165FD6" w14:textId="77777777" w:rsidR="00000000" w:rsidRDefault="00EE5306">
            <w:pPr>
              <w:spacing w:after="100"/>
              <w:jc w:val="right"/>
              <w:rPr>
                <w:rFonts w:eastAsia="Times New Roman"/>
              </w:rPr>
            </w:pPr>
            <w:r>
              <w:rPr>
                <w:rFonts w:eastAsia="Times New Roman"/>
                <w:color w:val="000000"/>
                <w:sz w:val="20"/>
                <w:szCs w:val="20"/>
              </w:rPr>
              <w:t>1,581.4 </w:t>
            </w:r>
          </w:p>
        </w:tc>
        <w:tc>
          <w:tcPr>
            <w:tcW w:w="0" w:type="auto"/>
            <w:shd w:val="clear" w:color="auto" w:fill="FFFFFF"/>
            <w:tcMar>
              <w:top w:w="30" w:type="dxa"/>
              <w:left w:w="0" w:type="dxa"/>
              <w:bottom w:w="30" w:type="dxa"/>
              <w:right w:w="20" w:type="dxa"/>
            </w:tcMar>
            <w:vAlign w:val="bottom"/>
            <w:hideMark/>
          </w:tcPr>
          <w:p w14:paraId="74674E5C" w14:textId="77777777" w:rsidR="00000000" w:rsidRDefault="00EE5306">
            <w:pPr>
              <w:spacing w:after="100"/>
              <w:jc w:val="right"/>
              <w:rPr>
                <w:rFonts w:eastAsia="Times New Roman"/>
              </w:rPr>
            </w:pPr>
          </w:p>
        </w:tc>
      </w:tr>
      <w:tr w:rsidR="00000000" w14:paraId="373F9665" w14:textId="77777777">
        <w:trPr>
          <w:divId w:val="2053577799"/>
        </w:trPr>
        <w:tc>
          <w:tcPr>
            <w:tcW w:w="0" w:type="auto"/>
            <w:gridSpan w:val="3"/>
            <w:shd w:val="clear" w:color="auto" w:fill="CCEEFF"/>
            <w:tcMar>
              <w:top w:w="30" w:type="dxa"/>
              <w:left w:w="20" w:type="dxa"/>
              <w:bottom w:w="30" w:type="dxa"/>
              <w:right w:w="20" w:type="dxa"/>
            </w:tcMar>
            <w:vAlign w:val="bottom"/>
            <w:hideMark/>
          </w:tcPr>
          <w:p w14:paraId="479383E0" w14:textId="77777777" w:rsidR="00000000" w:rsidRDefault="00EE5306">
            <w:pPr>
              <w:spacing w:after="100"/>
              <w:rPr>
                <w:rFonts w:eastAsia="Times New Roman"/>
              </w:rPr>
            </w:pPr>
            <w:r>
              <w:rPr>
                <w:rFonts w:eastAsia="Times New Roman"/>
                <w:color w:val="000000"/>
                <w:sz w:val="20"/>
                <w:szCs w:val="20"/>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0137155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39C8AD" w14:textId="77777777" w:rsidR="00000000" w:rsidRDefault="00EE5306">
            <w:pPr>
              <w:spacing w:after="100"/>
              <w:jc w:val="right"/>
              <w:rPr>
                <w:rFonts w:eastAsia="Times New Roman"/>
              </w:rPr>
            </w:pPr>
            <w:r>
              <w:rPr>
                <w:rFonts w:eastAsia="Times New Roman"/>
                <w:color w:val="000000"/>
                <w:sz w:val="20"/>
                <w:szCs w:val="20"/>
              </w:rPr>
              <w:t>(438.2)</w:t>
            </w:r>
          </w:p>
        </w:tc>
        <w:tc>
          <w:tcPr>
            <w:tcW w:w="0" w:type="auto"/>
            <w:shd w:val="clear" w:color="auto" w:fill="CCEEFF"/>
            <w:tcMar>
              <w:top w:w="30" w:type="dxa"/>
              <w:left w:w="0" w:type="dxa"/>
              <w:bottom w:w="30" w:type="dxa"/>
              <w:right w:w="20" w:type="dxa"/>
            </w:tcMar>
            <w:vAlign w:val="bottom"/>
            <w:hideMark/>
          </w:tcPr>
          <w:p w14:paraId="78D45F2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42DD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6F91E8" w14:textId="77777777" w:rsidR="00000000" w:rsidRDefault="00EE5306">
            <w:pPr>
              <w:spacing w:after="100"/>
              <w:jc w:val="right"/>
              <w:rPr>
                <w:rFonts w:eastAsia="Times New Roman"/>
              </w:rPr>
            </w:pPr>
            <w:r>
              <w:rPr>
                <w:rFonts w:eastAsia="Times New Roman"/>
                <w:color w:val="000000"/>
                <w:sz w:val="20"/>
                <w:szCs w:val="20"/>
              </w:rPr>
              <w:t>(605.7)</w:t>
            </w:r>
          </w:p>
        </w:tc>
        <w:tc>
          <w:tcPr>
            <w:tcW w:w="0" w:type="auto"/>
            <w:shd w:val="clear" w:color="auto" w:fill="CCEEFF"/>
            <w:tcMar>
              <w:top w:w="30" w:type="dxa"/>
              <w:left w:w="0" w:type="dxa"/>
              <w:bottom w:w="30" w:type="dxa"/>
              <w:right w:w="20" w:type="dxa"/>
            </w:tcMar>
            <w:vAlign w:val="bottom"/>
            <w:hideMark/>
          </w:tcPr>
          <w:p w14:paraId="613D545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9460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604BC5" w14:textId="77777777" w:rsidR="00000000" w:rsidRDefault="00EE5306">
            <w:pPr>
              <w:spacing w:after="100"/>
              <w:jc w:val="right"/>
              <w:rPr>
                <w:rFonts w:eastAsia="Times New Roman"/>
              </w:rPr>
            </w:pPr>
            <w:r>
              <w:rPr>
                <w:rFonts w:eastAsia="Times New Roman"/>
                <w:color w:val="000000"/>
                <w:sz w:val="20"/>
                <w:szCs w:val="20"/>
              </w:rPr>
              <w:t>167.5 </w:t>
            </w:r>
          </w:p>
        </w:tc>
        <w:tc>
          <w:tcPr>
            <w:tcW w:w="0" w:type="auto"/>
            <w:shd w:val="clear" w:color="auto" w:fill="CCEEFF"/>
            <w:tcMar>
              <w:top w:w="30" w:type="dxa"/>
              <w:left w:w="0" w:type="dxa"/>
              <w:bottom w:w="30" w:type="dxa"/>
              <w:right w:w="20" w:type="dxa"/>
            </w:tcMar>
            <w:vAlign w:val="bottom"/>
            <w:hideMark/>
          </w:tcPr>
          <w:p w14:paraId="13477426" w14:textId="77777777" w:rsidR="00000000" w:rsidRDefault="00EE5306">
            <w:pPr>
              <w:spacing w:after="100"/>
              <w:jc w:val="right"/>
              <w:rPr>
                <w:rFonts w:eastAsia="Times New Roman"/>
              </w:rPr>
            </w:pPr>
          </w:p>
        </w:tc>
      </w:tr>
      <w:tr w:rsidR="00000000" w14:paraId="3658AD10" w14:textId="77777777">
        <w:trPr>
          <w:divId w:val="2053577799"/>
        </w:trPr>
        <w:tc>
          <w:tcPr>
            <w:tcW w:w="0" w:type="auto"/>
            <w:gridSpan w:val="3"/>
            <w:shd w:val="clear" w:color="auto" w:fill="FFFFFF"/>
            <w:tcMar>
              <w:top w:w="30" w:type="dxa"/>
              <w:left w:w="20" w:type="dxa"/>
              <w:bottom w:w="30" w:type="dxa"/>
              <w:right w:w="20" w:type="dxa"/>
            </w:tcMar>
            <w:vAlign w:val="bottom"/>
            <w:hideMark/>
          </w:tcPr>
          <w:p w14:paraId="1D796A33" w14:textId="77777777" w:rsidR="00000000" w:rsidRDefault="00EE5306">
            <w:pPr>
              <w:spacing w:after="100"/>
              <w:ind w:hanging="180"/>
              <w:divId w:val="1380400446"/>
              <w:rPr>
                <w:rFonts w:eastAsia="Times New Roman"/>
              </w:rPr>
            </w:pPr>
            <w:r>
              <w:rPr>
                <w:rFonts w:eastAsia="Times New Roman"/>
                <w:color w:val="000000"/>
                <w:sz w:val="20"/>
                <w:szCs w:val="20"/>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14:paraId="55EBE145"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2DFD7D" w14:textId="77777777" w:rsidR="00000000" w:rsidRDefault="00EE5306">
            <w:pPr>
              <w:spacing w:after="100"/>
              <w:jc w:val="right"/>
              <w:rPr>
                <w:rFonts w:eastAsia="Times New Roman"/>
              </w:rPr>
            </w:pPr>
            <w:r>
              <w:rPr>
                <w:rFonts w:eastAsia="Times New Roman"/>
                <w:color w:val="000000"/>
                <w:sz w:val="20"/>
                <w:szCs w:val="20"/>
              </w:rPr>
              <w:t>(15.2)</w:t>
            </w:r>
          </w:p>
        </w:tc>
        <w:tc>
          <w:tcPr>
            <w:tcW w:w="0" w:type="auto"/>
            <w:shd w:val="clear" w:color="auto" w:fill="FFFFFF"/>
            <w:tcMar>
              <w:top w:w="30" w:type="dxa"/>
              <w:left w:w="0" w:type="dxa"/>
              <w:bottom w:w="30" w:type="dxa"/>
              <w:right w:w="20" w:type="dxa"/>
            </w:tcMar>
            <w:vAlign w:val="bottom"/>
            <w:hideMark/>
          </w:tcPr>
          <w:p w14:paraId="6062940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6A94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294B50" w14:textId="77777777" w:rsidR="00000000" w:rsidRDefault="00EE5306">
            <w:pPr>
              <w:spacing w:after="100"/>
              <w:jc w:val="right"/>
              <w:rPr>
                <w:rFonts w:eastAsia="Times New Roman"/>
              </w:rPr>
            </w:pPr>
            <w:r>
              <w:rPr>
                <w:rFonts w:eastAsia="Times New Roman"/>
                <w:color w:val="000000"/>
                <w:sz w:val="20"/>
                <w:szCs w:val="20"/>
              </w:rPr>
              <w:t>(27.8)</w:t>
            </w:r>
          </w:p>
        </w:tc>
        <w:tc>
          <w:tcPr>
            <w:tcW w:w="0" w:type="auto"/>
            <w:shd w:val="clear" w:color="auto" w:fill="FFFFFF"/>
            <w:tcMar>
              <w:top w:w="30" w:type="dxa"/>
              <w:left w:w="0" w:type="dxa"/>
              <w:bottom w:w="30" w:type="dxa"/>
              <w:right w:w="20" w:type="dxa"/>
            </w:tcMar>
            <w:vAlign w:val="bottom"/>
            <w:hideMark/>
          </w:tcPr>
          <w:p w14:paraId="793ADDD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DF15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FE42E" w14:textId="77777777" w:rsidR="00000000" w:rsidRDefault="00EE5306">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14:paraId="1BE18930" w14:textId="77777777" w:rsidR="00000000" w:rsidRDefault="00EE5306">
            <w:pPr>
              <w:spacing w:after="100"/>
              <w:jc w:val="right"/>
              <w:rPr>
                <w:rFonts w:eastAsia="Times New Roman"/>
              </w:rPr>
            </w:pPr>
          </w:p>
        </w:tc>
      </w:tr>
      <w:tr w:rsidR="00000000" w14:paraId="323D43D3" w14:textId="77777777">
        <w:trPr>
          <w:divId w:val="2053577799"/>
        </w:trPr>
        <w:tc>
          <w:tcPr>
            <w:tcW w:w="0" w:type="auto"/>
            <w:gridSpan w:val="3"/>
            <w:shd w:val="clear" w:color="auto" w:fill="CCEEFF"/>
            <w:tcMar>
              <w:top w:w="30" w:type="dxa"/>
              <w:left w:w="20" w:type="dxa"/>
              <w:bottom w:w="30" w:type="dxa"/>
              <w:right w:w="20" w:type="dxa"/>
            </w:tcMar>
            <w:vAlign w:val="bottom"/>
            <w:hideMark/>
          </w:tcPr>
          <w:p w14:paraId="02F40241" w14:textId="77777777" w:rsidR="00000000" w:rsidRDefault="00EE5306">
            <w:pPr>
              <w:spacing w:after="100"/>
              <w:ind w:hanging="180"/>
              <w:divId w:val="69665965"/>
              <w:rPr>
                <w:rFonts w:eastAsia="Times New Roman"/>
              </w:rPr>
            </w:pPr>
            <w:r>
              <w:rPr>
                <w:rFonts w:eastAsia="Times New Roman"/>
                <w:color w:val="000000"/>
                <w:sz w:val="20"/>
                <w:szCs w:val="20"/>
              </w:rPr>
              <w:t>Net increase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66071702" w14:textId="77777777" w:rsidR="00000000" w:rsidRDefault="00EE5306">
            <w:pPr>
              <w:spacing w:after="100"/>
              <w:ind w:hanging="18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0A85B1"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B7993C" w14:textId="77777777" w:rsidR="00000000" w:rsidRDefault="00EE5306">
            <w:pPr>
              <w:spacing w:after="100"/>
              <w:jc w:val="right"/>
              <w:rPr>
                <w:rFonts w:eastAsia="Times New Roman"/>
              </w:rPr>
            </w:pPr>
            <w:r>
              <w:rPr>
                <w:rFonts w:eastAsia="Times New Roman"/>
                <w:color w:val="000000"/>
                <w:sz w:val="20"/>
                <w:szCs w:val="20"/>
              </w:rPr>
              <w:t>1,003.3 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7E8D0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44305"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BBE09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A50A61" w14:textId="77777777" w:rsidR="00000000" w:rsidRDefault="00EE5306">
            <w:pPr>
              <w:spacing w:after="100"/>
              <w:jc w:val="right"/>
              <w:rPr>
                <w:rFonts w:eastAsia="Times New Roman"/>
              </w:rPr>
            </w:pPr>
            <w:r>
              <w:rPr>
                <w:rFonts w:eastAsia="Times New Roman"/>
                <w:color w:val="000000"/>
                <w:sz w:val="20"/>
                <w:szCs w:val="20"/>
              </w:rPr>
              <w:t>(729.0)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8C042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9237E"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2356E5"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C9328F" w14:textId="77777777" w:rsidR="00000000" w:rsidRDefault="00EE5306">
            <w:pPr>
              <w:spacing w:after="100"/>
              <w:jc w:val="right"/>
              <w:rPr>
                <w:rFonts w:eastAsia="Times New Roman"/>
              </w:rPr>
            </w:pPr>
            <w:r>
              <w:rPr>
                <w:rFonts w:eastAsia="Times New Roman"/>
                <w:color w:val="000000"/>
                <w:sz w:val="20"/>
                <w:szCs w:val="20"/>
              </w:rPr>
              <w:t>1,732.3 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A57318" w14:textId="77777777" w:rsidR="00000000" w:rsidRDefault="00EE5306">
            <w:pPr>
              <w:spacing w:after="100"/>
              <w:jc w:val="right"/>
              <w:rPr>
                <w:rFonts w:eastAsia="Times New Roman"/>
              </w:rPr>
            </w:pPr>
          </w:p>
        </w:tc>
      </w:tr>
    </w:tbl>
    <w:p w14:paraId="735FC2E7" w14:textId="77777777" w:rsidR="00000000" w:rsidRDefault="00EE5306">
      <w:pPr>
        <w:ind w:firstLine="540"/>
        <w:jc w:val="both"/>
        <w:divId w:val="1493715586"/>
        <w:rPr>
          <w:rFonts w:eastAsia="Times New Roman"/>
        </w:rPr>
      </w:pPr>
      <w:r>
        <w:rPr>
          <w:rFonts w:eastAsia="Times New Roman"/>
          <w:i/>
          <w:iCs/>
          <w:color w:val="000000"/>
          <w:sz w:val="20"/>
          <w:szCs w:val="20"/>
        </w:rPr>
        <w:t>Net Cash Provided by Operating Activities.</w:t>
      </w:r>
      <w:r>
        <w:rPr>
          <w:rFonts w:eastAsia="Times New Roman"/>
          <w:color w:val="000000"/>
          <w:sz w:val="20"/>
          <w:szCs w:val="20"/>
        </w:rPr>
        <w:t>    Net cash provided by operating activities decreased to $7</w:t>
      </w:r>
      <w:r>
        <w:rPr>
          <w:rFonts w:eastAsia="Times New Roman"/>
          <w:color w:val="000000"/>
          <w:sz w:val="20"/>
          <w:szCs w:val="20"/>
        </w:rPr>
        <w:t xml:space="preserve">54.6 million during Fiscal 2020, from $783.8 million during Fiscal 2019. The $29.2 million net decline in cash provided by operating activities was due to a decrease in net income before non-cash charges, partially offset by a net favorable change related </w:t>
      </w:r>
      <w:r>
        <w:rPr>
          <w:rFonts w:eastAsia="Times New Roman"/>
          <w:color w:val="000000"/>
          <w:sz w:val="20"/>
          <w:szCs w:val="20"/>
        </w:rPr>
        <w:t>to our operating assets and liabilities, including our working capital, as compared to the prior fiscal year. The net favorable change related to our operating assets and liabilities, including our working capital, was primarily driven by:</w:t>
      </w:r>
    </w:p>
    <w:p w14:paraId="3BC4FC2C" w14:textId="77777777" w:rsidR="00000000" w:rsidRDefault="00EE5306">
      <w:pPr>
        <w:ind w:hanging="360"/>
        <w:jc w:val="both"/>
        <w:divId w:val="1774668157"/>
        <w:rPr>
          <w:rFonts w:eastAsia="Times New Roman"/>
        </w:rPr>
      </w:pPr>
      <w:r>
        <w:rPr>
          <w:rFonts w:eastAsia="Times New Roman"/>
          <w:color w:val="000000"/>
          <w:sz w:val="20"/>
          <w:szCs w:val="20"/>
        </w:rPr>
        <w:t>•a favorable cha</w:t>
      </w:r>
      <w:r>
        <w:rPr>
          <w:rFonts w:eastAsia="Times New Roman"/>
          <w:color w:val="000000"/>
          <w:sz w:val="20"/>
          <w:szCs w:val="20"/>
        </w:rPr>
        <w:t>nge related to our inventories, largely driven by higher inventory charges primarily related to adverse impacts associated with COVID-19 business disruptions;</w:t>
      </w:r>
    </w:p>
    <w:p w14:paraId="0F0AFF53" w14:textId="77777777" w:rsidR="00000000" w:rsidRDefault="00EE5306">
      <w:pPr>
        <w:ind w:hanging="360"/>
        <w:jc w:val="both"/>
        <w:divId w:val="1551457153"/>
        <w:rPr>
          <w:rFonts w:eastAsia="Times New Roman"/>
        </w:rPr>
      </w:pPr>
      <w:r>
        <w:rPr>
          <w:rFonts w:eastAsia="Times New Roman"/>
          <w:color w:val="000000"/>
          <w:sz w:val="20"/>
          <w:szCs w:val="20"/>
        </w:rPr>
        <w:t>•a favorable change related to our prepaid expenses and other current assets, largely driven by t</w:t>
      </w:r>
      <w:r>
        <w:rPr>
          <w:rFonts w:eastAsia="Times New Roman"/>
          <w:color w:val="000000"/>
          <w:sz w:val="20"/>
          <w:szCs w:val="20"/>
        </w:rPr>
        <w:t>he timing of cash payments; and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15FA381" w14:textId="77777777">
        <w:trPr>
          <w:divId w:val="1694574823"/>
          <w:jc w:val="center"/>
        </w:trPr>
        <w:tc>
          <w:tcPr>
            <w:tcW w:w="50" w:type="pct"/>
            <w:vAlign w:val="center"/>
            <w:hideMark/>
          </w:tcPr>
          <w:p w14:paraId="33F1D6BD" w14:textId="77777777" w:rsidR="00000000" w:rsidRDefault="00EE5306">
            <w:pPr>
              <w:ind w:hanging="360"/>
              <w:jc w:val="both"/>
              <w:rPr>
                <w:rFonts w:eastAsia="Times New Roman"/>
              </w:rPr>
            </w:pPr>
          </w:p>
        </w:tc>
        <w:tc>
          <w:tcPr>
            <w:tcW w:w="1699" w:type="pct"/>
            <w:vAlign w:val="center"/>
            <w:hideMark/>
          </w:tcPr>
          <w:p w14:paraId="5FC7E45A" w14:textId="77777777" w:rsidR="00000000" w:rsidRDefault="00EE5306">
            <w:pPr>
              <w:spacing w:after="100"/>
              <w:rPr>
                <w:rFonts w:eastAsia="Times New Roman"/>
                <w:sz w:val="20"/>
                <w:szCs w:val="20"/>
              </w:rPr>
            </w:pPr>
          </w:p>
        </w:tc>
        <w:tc>
          <w:tcPr>
            <w:tcW w:w="5" w:type="pct"/>
            <w:vAlign w:val="center"/>
            <w:hideMark/>
          </w:tcPr>
          <w:p w14:paraId="12904CC8" w14:textId="77777777" w:rsidR="00000000" w:rsidRDefault="00EE5306">
            <w:pPr>
              <w:spacing w:after="100"/>
              <w:rPr>
                <w:rFonts w:eastAsia="Times New Roman"/>
                <w:sz w:val="20"/>
                <w:szCs w:val="20"/>
              </w:rPr>
            </w:pPr>
          </w:p>
        </w:tc>
        <w:tc>
          <w:tcPr>
            <w:tcW w:w="50" w:type="pct"/>
            <w:vAlign w:val="center"/>
            <w:hideMark/>
          </w:tcPr>
          <w:p w14:paraId="44DE4057" w14:textId="77777777" w:rsidR="00000000" w:rsidRDefault="00EE5306">
            <w:pPr>
              <w:spacing w:after="100"/>
              <w:rPr>
                <w:rFonts w:eastAsia="Times New Roman"/>
                <w:sz w:val="20"/>
                <w:szCs w:val="20"/>
              </w:rPr>
            </w:pPr>
          </w:p>
        </w:tc>
        <w:tc>
          <w:tcPr>
            <w:tcW w:w="1436" w:type="pct"/>
            <w:vAlign w:val="center"/>
            <w:hideMark/>
          </w:tcPr>
          <w:p w14:paraId="1D571F7A" w14:textId="77777777" w:rsidR="00000000" w:rsidRDefault="00EE5306">
            <w:pPr>
              <w:spacing w:after="100"/>
              <w:rPr>
                <w:rFonts w:eastAsia="Times New Roman"/>
                <w:sz w:val="20"/>
                <w:szCs w:val="20"/>
              </w:rPr>
            </w:pPr>
          </w:p>
        </w:tc>
        <w:tc>
          <w:tcPr>
            <w:tcW w:w="5" w:type="pct"/>
            <w:vAlign w:val="center"/>
            <w:hideMark/>
          </w:tcPr>
          <w:p w14:paraId="325F44F1" w14:textId="77777777" w:rsidR="00000000" w:rsidRDefault="00EE5306">
            <w:pPr>
              <w:spacing w:after="100"/>
              <w:rPr>
                <w:rFonts w:eastAsia="Times New Roman"/>
                <w:sz w:val="20"/>
                <w:szCs w:val="20"/>
              </w:rPr>
            </w:pPr>
          </w:p>
        </w:tc>
        <w:tc>
          <w:tcPr>
            <w:tcW w:w="50" w:type="pct"/>
            <w:vAlign w:val="center"/>
            <w:hideMark/>
          </w:tcPr>
          <w:p w14:paraId="0BE49F2E" w14:textId="77777777" w:rsidR="00000000" w:rsidRDefault="00EE5306">
            <w:pPr>
              <w:spacing w:after="100"/>
              <w:rPr>
                <w:rFonts w:eastAsia="Times New Roman"/>
                <w:sz w:val="20"/>
                <w:szCs w:val="20"/>
              </w:rPr>
            </w:pPr>
          </w:p>
        </w:tc>
        <w:tc>
          <w:tcPr>
            <w:tcW w:w="1699" w:type="pct"/>
            <w:vAlign w:val="center"/>
            <w:hideMark/>
          </w:tcPr>
          <w:p w14:paraId="5CBB6214" w14:textId="77777777" w:rsidR="00000000" w:rsidRDefault="00EE5306">
            <w:pPr>
              <w:spacing w:after="100"/>
              <w:rPr>
                <w:rFonts w:eastAsia="Times New Roman"/>
                <w:sz w:val="20"/>
                <w:szCs w:val="20"/>
              </w:rPr>
            </w:pPr>
          </w:p>
        </w:tc>
        <w:tc>
          <w:tcPr>
            <w:tcW w:w="5" w:type="pct"/>
            <w:vAlign w:val="center"/>
            <w:hideMark/>
          </w:tcPr>
          <w:p w14:paraId="1BAE8637" w14:textId="77777777" w:rsidR="00000000" w:rsidRDefault="00EE5306">
            <w:pPr>
              <w:spacing w:after="100"/>
              <w:rPr>
                <w:rFonts w:eastAsia="Times New Roman"/>
                <w:sz w:val="20"/>
                <w:szCs w:val="20"/>
              </w:rPr>
            </w:pPr>
          </w:p>
        </w:tc>
      </w:tr>
      <w:tr w:rsidR="00000000" w14:paraId="4F9AFE24" w14:textId="77777777">
        <w:trPr>
          <w:divId w:val="1694574823"/>
          <w:jc w:val="center"/>
        </w:trPr>
        <w:tc>
          <w:tcPr>
            <w:tcW w:w="0" w:type="auto"/>
            <w:gridSpan w:val="3"/>
            <w:tcMar>
              <w:top w:w="0" w:type="dxa"/>
              <w:left w:w="20" w:type="dxa"/>
              <w:bottom w:w="0" w:type="dxa"/>
              <w:right w:w="20" w:type="dxa"/>
            </w:tcMar>
            <w:vAlign w:val="center"/>
            <w:hideMark/>
          </w:tcPr>
          <w:p w14:paraId="1D10563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6C776D6" w14:textId="77777777" w:rsidR="00000000" w:rsidRDefault="00EE5306">
            <w:pPr>
              <w:spacing w:after="100"/>
              <w:jc w:val="center"/>
              <w:rPr>
                <w:rFonts w:eastAsia="Times New Roman"/>
              </w:rPr>
            </w:pPr>
            <w:r>
              <w:rPr>
                <w:rFonts w:eastAsia="Times New Roman"/>
                <w:color w:val="000000"/>
                <w:sz w:val="20"/>
                <w:szCs w:val="20"/>
              </w:rPr>
              <w:t>64</w:t>
            </w:r>
          </w:p>
        </w:tc>
        <w:tc>
          <w:tcPr>
            <w:tcW w:w="0" w:type="auto"/>
            <w:gridSpan w:val="3"/>
            <w:tcMar>
              <w:top w:w="0" w:type="dxa"/>
              <w:left w:w="20" w:type="dxa"/>
              <w:bottom w:w="0" w:type="dxa"/>
              <w:right w:w="20" w:type="dxa"/>
            </w:tcMar>
            <w:vAlign w:val="center"/>
            <w:hideMark/>
          </w:tcPr>
          <w:p w14:paraId="7D26ABD5" w14:textId="77777777" w:rsidR="00000000" w:rsidRDefault="00EE5306">
            <w:pPr>
              <w:spacing w:after="100"/>
              <w:jc w:val="center"/>
              <w:rPr>
                <w:rFonts w:eastAsia="Times New Roman"/>
              </w:rPr>
            </w:pPr>
          </w:p>
        </w:tc>
      </w:tr>
    </w:tbl>
    <w:p w14:paraId="08149D59" w14:textId="77777777" w:rsidR="00000000" w:rsidRDefault="00EE5306">
      <w:pPr>
        <w:rPr>
          <w:rFonts w:eastAsia="Times New Roman"/>
        </w:rPr>
      </w:pPr>
      <w:r>
        <w:rPr>
          <w:rFonts w:eastAsia="Times New Roman"/>
        </w:rPr>
        <w:pict w14:anchorId="6DD68045">
          <v:rect id="_x0000_i1091" style="width:0;height:1.5pt" o:hralign="center" o:hrstd="t" o:hr="t" fillcolor="#a0a0a0" stroked="f"/>
        </w:pict>
      </w:r>
    </w:p>
    <w:p w14:paraId="19E512E3" w14:textId="77777777" w:rsidR="00000000" w:rsidRDefault="00EE5306">
      <w:pPr>
        <w:divId w:val="2142570732"/>
        <w:rPr>
          <w:rFonts w:eastAsia="Times New Roman"/>
        </w:rPr>
      </w:pPr>
    </w:p>
    <w:p w14:paraId="041240BF" w14:textId="77777777" w:rsidR="00000000" w:rsidRDefault="00EE5306">
      <w:pPr>
        <w:ind w:hanging="360"/>
        <w:jc w:val="both"/>
        <w:divId w:val="147131633"/>
        <w:rPr>
          <w:rFonts w:eastAsia="Times New Roman"/>
        </w:rPr>
      </w:pPr>
      <w:r>
        <w:rPr>
          <w:rFonts w:eastAsia="Times New Roman"/>
          <w:color w:val="000000"/>
          <w:sz w:val="20"/>
          <w:szCs w:val="20"/>
        </w:rPr>
        <w:t xml:space="preserve">•a favorable change related to our accounts receivable, largely driven by lower wholesale sales during the fourth quarter of Fiscal 2020 as compared to the prior fiscal year driven by COVID-19 business disruptions, as </w:t>
      </w:r>
      <w:r>
        <w:rPr>
          <w:rFonts w:eastAsia="Times New Roman"/>
          <w:color w:val="000000"/>
          <w:sz w:val="20"/>
          <w:szCs w:val="20"/>
        </w:rPr>
        <w:t>well as the timing of cash receipts.</w:t>
      </w:r>
    </w:p>
    <w:p w14:paraId="4B4A8E4B" w14:textId="77777777" w:rsidR="00000000" w:rsidRDefault="00EE5306">
      <w:pPr>
        <w:jc w:val="both"/>
        <w:divId w:val="1920366072"/>
        <w:rPr>
          <w:rFonts w:eastAsia="Times New Roman"/>
        </w:rPr>
      </w:pPr>
      <w:r>
        <w:rPr>
          <w:rFonts w:eastAsia="Times New Roman"/>
          <w:color w:val="000000"/>
          <w:sz w:val="20"/>
          <w:szCs w:val="20"/>
        </w:rPr>
        <w:t>    These increases related to our operating assets and liabilities were partially offset by:</w:t>
      </w:r>
    </w:p>
    <w:p w14:paraId="0641A1DA" w14:textId="77777777" w:rsidR="00000000" w:rsidRDefault="00EE5306">
      <w:pPr>
        <w:ind w:hanging="360"/>
        <w:jc w:val="both"/>
        <w:divId w:val="1637030380"/>
        <w:rPr>
          <w:rFonts w:eastAsia="Times New Roman"/>
        </w:rPr>
      </w:pPr>
      <w:r>
        <w:rPr>
          <w:rFonts w:eastAsia="Times New Roman"/>
          <w:color w:val="000000"/>
          <w:sz w:val="20"/>
          <w:szCs w:val="20"/>
        </w:rPr>
        <w:t>•an unfavorable change related to our income tax receivables and payables, largely as a result of the absence of charges reco</w:t>
      </w:r>
      <w:r>
        <w:rPr>
          <w:rFonts w:eastAsia="Times New Roman"/>
          <w:color w:val="000000"/>
          <w:sz w:val="20"/>
          <w:szCs w:val="20"/>
        </w:rPr>
        <w:t>rded during the prior fiscal year in connection with the TCJA's mandatory transition tax; and</w:t>
      </w:r>
    </w:p>
    <w:p w14:paraId="1EEACA11" w14:textId="77777777" w:rsidR="00000000" w:rsidRDefault="00EE5306">
      <w:pPr>
        <w:ind w:hanging="360"/>
        <w:jc w:val="both"/>
        <w:divId w:val="2084913009"/>
        <w:rPr>
          <w:rFonts w:eastAsia="Times New Roman"/>
        </w:rPr>
      </w:pPr>
      <w:r>
        <w:rPr>
          <w:rFonts w:eastAsia="Times New Roman"/>
          <w:color w:val="000000"/>
          <w:sz w:val="20"/>
          <w:szCs w:val="20"/>
        </w:rPr>
        <w:t>•an unfavorable change related to our accrued liabilities driven by larger decreases in our bonus accrual and restructuring reserves as compared to the prior fisc</w:t>
      </w:r>
      <w:r>
        <w:rPr>
          <w:rFonts w:eastAsia="Times New Roman"/>
          <w:color w:val="000000"/>
          <w:sz w:val="20"/>
          <w:szCs w:val="20"/>
        </w:rPr>
        <w:t>al year, as well as the timing of cash payments.</w:t>
      </w:r>
    </w:p>
    <w:p w14:paraId="3056A58D" w14:textId="77777777" w:rsidR="00000000" w:rsidRDefault="00EE5306">
      <w:pPr>
        <w:ind w:firstLine="540"/>
        <w:jc w:val="both"/>
        <w:divId w:val="1612781638"/>
        <w:rPr>
          <w:rFonts w:eastAsia="Times New Roman"/>
        </w:rPr>
      </w:pPr>
      <w:r>
        <w:rPr>
          <w:rFonts w:eastAsia="Times New Roman"/>
          <w:i/>
          <w:iCs/>
          <w:color w:val="000000"/>
          <w:sz w:val="20"/>
          <w:szCs w:val="20"/>
        </w:rPr>
        <w:t>Net Cash Provided by (Used in) Investing Activities.    </w:t>
      </w:r>
      <w:r>
        <w:rPr>
          <w:rFonts w:eastAsia="Times New Roman"/>
          <w:color w:val="000000"/>
          <w:sz w:val="20"/>
          <w:szCs w:val="20"/>
        </w:rPr>
        <w:t>Net cash provided by investing activities was $702.1 million during Fiscal 2020, as compared to net cash used in investing activities of $879.3 million</w:t>
      </w:r>
      <w:r>
        <w:rPr>
          <w:rFonts w:eastAsia="Times New Roman"/>
          <w:color w:val="000000"/>
          <w:sz w:val="20"/>
          <w:szCs w:val="20"/>
        </w:rPr>
        <w:t xml:space="preserve"> during Fiscal 2019. The $1.581 billion net increase in cash provided by investing activities was primarily driven by:</w:t>
      </w:r>
    </w:p>
    <w:p w14:paraId="0719CE9E" w14:textId="77777777" w:rsidR="00000000" w:rsidRDefault="00EE5306">
      <w:pPr>
        <w:ind w:hanging="360"/>
        <w:jc w:val="both"/>
        <w:divId w:val="1316838615"/>
        <w:rPr>
          <w:rFonts w:eastAsia="Times New Roman"/>
        </w:rPr>
      </w:pPr>
      <w:r>
        <w:rPr>
          <w:rFonts w:eastAsia="Times New Roman"/>
          <w:color w:val="000000"/>
          <w:sz w:val="20"/>
          <w:szCs w:val="20"/>
        </w:rPr>
        <w:t>•a $1.624 billion increase in proceeds from sales and maturities of investments, less purchases of investments. During Fiscal 2020, we re</w:t>
      </w:r>
      <w:r>
        <w:rPr>
          <w:rFonts w:eastAsia="Times New Roman"/>
          <w:color w:val="000000"/>
          <w:sz w:val="20"/>
          <w:szCs w:val="20"/>
        </w:rPr>
        <w:t>ceived net proceeds from sales and maturities of investments of $950.7 million, as compared to making net investment purchases of $673.3 million during Fiscal 2019; and</w:t>
      </w:r>
    </w:p>
    <w:p w14:paraId="04184650" w14:textId="77777777" w:rsidR="00000000" w:rsidRDefault="00EE5306">
      <w:pPr>
        <w:ind w:hanging="360"/>
        <w:jc w:val="both"/>
        <w:divId w:val="1506020402"/>
        <w:rPr>
          <w:rFonts w:eastAsia="Times New Roman"/>
        </w:rPr>
      </w:pPr>
      <w:r>
        <w:rPr>
          <w:rFonts w:eastAsia="Times New Roman"/>
          <w:color w:val="000000"/>
          <w:sz w:val="20"/>
          <w:szCs w:val="20"/>
        </w:rPr>
        <w:t>•a $23.8 million decrease in payments made to settle net investment hedges.</w:t>
      </w:r>
    </w:p>
    <w:p w14:paraId="324E2668" w14:textId="77777777" w:rsidR="00000000" w:rsidRDefault="00EE5306">
      <w:pPr>
        <w:jc w:val="both"/>
        <w:divId w:val="1413699607"/>
        <w:rPr>
          <w:rFonts w:eastAsia="Times New Roman"/>
        </w:rPr>
      </w:pPr>
      <w:r>
        <w:rPr>
          <w:rFonts w:eastAsia="Times New Roman"/>
          <w:color w:val="000000"/>
          <w:sz w:val="20"/>
          <w:szCs w:val="20"/>
        </w:rPr>
        <w:t>    These i</w:t>
      </w:r>
      <w:r>
        <w:rPr>
          <w:rFonts w:eastAsia="Times New Roman"/>
          <w:color w:val="000000"/>
          <w:sz w:val="20"/>
          <w:szCs w:val="20"/>
        </w:rPr>
        <w:t>ncreases in cash provided by investing activities were partially offset by:</w:t>
      </w:r>
    </w:p>
    <w:p w14:paraId="7B243839" w14:textId="77777777" w:rsidR="00000000" w:rsidRDefault="00EE5306">
      <w:pPr>
        <w:ind w:hanging="360"/>
        <w:jc w:val="both"/>
        <w:divId w:val="417793914"/>
        <w:rPr>
          <w:rFonts w:eastAsia="Times New Roman"/>
        </w:rPr>
      </w:pPr>
      <w:r>
        <w:rPr>
          <w:rFonts w:eastAsia="Times New Roman"/>
          <w:color w:val="000000"/>
          <w:sz w:val="20"/>
          <w:szCs w:val="20"/>
        </w:rPr>
        <w:t>•a $72.6 million increase in capital expenditures. During Fiscal 2020, we spent $270.3 million on capital expenditures, as compared to $197.7 million during Fiscal 2019. Our capita</w:t>
      </w:r>
      <w:r>
        <w:rPr>
          <w:rFonts w:eastAsia="Times New Roman"/>
          <w:color w:val="000000"/>
          <w:sz w:val="20"/>
          <w:szCs w:val="20"/>
        </w:rPr>
        <w:t>l expenditures during Fiscal 2020 primarily related to new store openings, retail and department store renovations, enhancements to our information technology systems, and the consolidation of our corporate office footprint.</w:t>
      </w:r>
    </w:p>
    <w:p w14:paraId="378DD7BF" w14:textId="77777777" w:rsidR="00000000" w:rsidRDefault="00EE5306">
      <w:pPr>
        <w:ind w:firstLine="540"/>
        <w:jc w:val="both"/>
        <w:divId w:val="1470440148"/>
        <w:rPr>
          <w:rFonts w:eastAsia="Times New Roman"/>
        </w:rPr>
      </w:pPr>
      <w:r>
        <w:rPr>
          <w:rFonts w:eastAsia="Times New Roman"/>
          <w:i/>
          <w:iCs/>
          <w:color w:val="000000"/>
          <w:sz w:val="20"/>
          <w:szCs w:val="20"/>
        </w:rPr>
        <w:t>Net Cash Used in Financing Acti</w:t>
      </w:r>
      <w:r>
        <w:rPr>
          <w:rFonts w:eastAsia="Times New Roman"/>
          <w:i/>
          <w:iCs/>
          <w:color w:val="000000"/>
          <w:sz w:val="20"/>
          <w:szCs w:val="20"/>
        </w:rPr>
        <w:t>vities.</w:t>
      </w:r>
      <w:r>
        <w:rPr>
          <w:rFonts w:eastAsia="Times New Roman"/>
          <w:color w:val="000000"/>
          <w:sz w:val="20"/>
          <w:szCs w:val="20"/>
        </w:rPr>
        <w:t>    Net cash used in financing activities was $438.2 million during Fiscal 2020, as compared to $605.7 million during Fiscal 2019. The $167.5 million net decrease in cash used in financing activities was primarily driven by:</w:t>
      </w:r>
    </w:p>
    <w:p w14:paraId="579A89BC" w14:textId="77777777" w:rsidR="00000000" w:rsidRDefault="00EE5306">
      <w:pPr>
        <w:ind w:hanging="360"/>
        <w:jc w:val="both"/>
        <w:divId w:val="1081292632"/>
        <w:rPr>
          <w:rFonts w:eastAsia="Times New Roman"/>
        </w:rPr>
      </w:pPr>
      <w:r>
        <w:rPr>
          <w:rFonts w:eastAsia="Times New Roman"/>
          <w:color w:val="000000"/>
          <w:sz w:val="20"/>
          <w:szCs w:val="20"/>
        </w:rPr>
        <w:t>•a $386.8 million increa</w:t>
      </w:r>
      <w:r>
        <w:rPr>
          <w:rFonts w:eastAsia="Times New Roman"/>
          <w:color w:val="000000"/>
          <w:sz w:val="20"/>
          <w:szCs w:val="20"/>
        </w:rPr>
        <w:t xml:space="preserve">se in cash proceeds from the issuance of debt, less debt repayments. During Fiscal 2020, we borrowed $475 million under our credit facilities as a preemptive action to preserve cash and strengthen our liquidity in response to the COVID-19 pandemic. During </w:t>
      </w:r>
      <w:r>
        <w:rPr>
          <w:rFonts w:eastAsia="Times New Roman"/>
          <w:color w:val="000000"/>
          <w:sz w:val="20"/>
          <w:szCs w:val="20"/>
        </w:rPr>
        <w:t>Fiscal 2019, we received $398.1 million in proceeds from our issuance of 3.750% unsecured senior notes in August 2018, a portion of which was used to repay our previously outstanding $300 million principal amount of unsecured 2.125% senior notes that matur</w:t>
      </w:r>
      <w:r>
        <w:rPr>
          <w:rFonts w:eastAsia="Times New Roman"/>
          <w:color w:val="000000"/>
          <w:sz w:val="20"/>
          <w:szCs w:val="20"/>
        </w:rPr>
        <w:t>ed in September 2018. Additionally, during Fiscal 2019 we repaid approximately $10 million that had been borrowed under our credit facilities during Fiscal 2018.</w:t>
      </w:r>
    </w:p>
    <w:p w14:paraId="5EA2D8D9" w14:textId="77777777" w:rsidR="00000000" w:rsidRDefault="00EE5306">
      <w:pPr>
        <w:ind w:firstLine="540"/>
        <w:jc w:val="both"/>
        <w:divId w:val="932543368"/>
        <w:rPr>
          <w:rFonts w:eastAsia="Times New Roman"/>
        </w:rPr>
      </w:pPr>
      <w:r>
        <w:rPr>
          <w:rFonts w:eastAsia="Times New Roman"/>
          <w:color w:val="000000"/>
          <w:sz w:val="20"/>
          <w:szCs w:val="20"/>
        </w:rPr>
        <w:t>This decrease in cash used in financing activities was partially offset by:</w:t>
      </w:r>
    </w:p>
    <w:p w14:paraId="2865D7B9" w14:textId="77777777" w:rsidR="00000000" w:rsidRDefault="00EE5306">
      <w:pPr>
        <w:ind w:hanging="360"/>
        <w:jc w:val="both"/>
        <w:divId w:val="1122187439"/>
        <w:rPr>
          <w:rFonts w:eastAsia="Times New Roman"/>
        </w:rPr>
      </w:pPr>
      <w:r>
        <w:rPr>
          <w:rFonts w:eastAsia="Times New Roman"/>
          <w:color w:val="000000"/>
          <w:sz w:val="20"/>
          <w:szCs w:val="20"/>
        </w:rPr>
        <w:t xml:space="preserve">•a $192.2 million </w:t>
      </w:r>
      <w:r>
        <w:rPr>
          <w:rFonts w:eastAsia="Times New Roman"/>
          <w:color w:val="000000"/>
          <w:sz w:val="20"/>
          <w:szCs w:val="20"/>
        </w:rPr>
        <w:t>increase in cash used to repurchase shares of our Class A common stock. During Fiscal 2020, we used $650.3 million to repurchase shares of Class A common stock pursuant to our common stock repurchase program, and an additional $44.5 million in shares of Cl</w:t>
      </w:r>
      <w:r>
        <w:rPr>
          <w:rFonts w:eastAsia="Times New Roman"/>
          <w:color w:val="000000"/>
          <w:sz w:val="20"/>
          <w:szCs w:val="20"/>
        </w:rPr>
        <w:t xml:space="preserve">ass A common stock were surrendered or withheld in satisfaction of withholding taxes in connection with the vesting of awards under our long-term stock incentive plans. On a comparative basis, during Fiscal 2019, $470.0 million in shares of Class A common </w:t>
      </w:r>
      <w:r>
        <w:rPr>
          <w:rFonts w:eastAsia="Times New Roman"/>
          <w:color w:val="000000"/>
          <w:sz w:val="20"/>
          <w:szCs w:val="20"/>
        </w:rPr>
        <w:t>stock were repurchased and $32.6 million in shares of Class A common stock were surrendered or withheld for taxes;</w:t>
      </w:r>
    </w:p>
    <w:p w14:paraId="66119458" w14:textId="77777777" w:rsidR="00000000" w:rsidRDefault="00EE5306">
      <w:pPr>
        <w:ind w:hanging="360"/>
        <w:jc w:val="both"/>
        <w:divId w:val="710689580"/>
        <w:rPr>
          <w:rFonts w:eastAsia="Times New Roman"/>
        </w:rPr>
      </w:pPr>
      <w:r>
        <w:rPr>
          <w:rFonts w:eastAsia="Times New Roman"/>
          <w:color w:val="000000"/>
          <w:sz w:val="20"/>
          <w:szCs w:val="20"/>
        </w:rPr>
        <w:t>•</w:t>
      </w:r>
      <w:r>
        <w:rPr>
          <w:rFonts w:eastAsia="Times New Roman"/>
          <w:color w:val="000000"/>
          <w:sz w:val="20"/>
          <w:szCs w:val="20"/>
        </w:rPr>
        <w:t>a $21.8 million decrease in proceeds from exercise of stock options; and</w:t>
      </w:r>
    </w:p>
    <w:p w14:paraId="4B74E064" w14:textId="77777777" w:rsidR="00000000" w:rsidRDefault="00EE5306">
      <w:pPr>
        <w:ind w:hanging="360"/>
        <w:jc w:val="both"/>
        <w:divId w:val="22904689"/>
        <w:rPr>
          <w:rFonts w:eastAsia="Times New Roman"/>
        </w:rPr>
      </w:pPr>
      <w:r>
        <w:rPr>
          <w:rFonts w:eastAsia="Times New Roman"/>
          <w:color w:val="000000"/>
          <w:sz w:val="20"/>
          <w:szCs w:val="20"/>
        </w:rPr>
        <w:t>•</w:t>
      </w:r>
      <w:r>
        <w:rPr>
          <w:rFonts w:eastAsia="Times New Roman"/>
          <w:color w:val="000000"/>
          <w:sz w:val="20"/>
          <w:szCs w:val="20"/>
        </w:rPr>
        <w:t>a $13.2 million increase in payments of dividends, driven by an increase to the quarterly cash dividend per share (as discussed within "</w:t>
      </w:r>
      <w:r>
        <w:rPr>
          <w:rFonts w:eastAsia="Times New Roman"/>
          <w:i/>
          <w:iCs/>
          <w:color w:val="000000"/>
          <w:sz w:val="20"/>
          <w:szCs w:val="20"/>
        </w:rPr>
        <w:t>Dividends</w:t>
      </w:r>
      <w:r>
        <w:rPr>
          <w:rFonts w:eastAsia="Times New Roman"/>
          <w:color w:val="000000"/>
          <w:sz w:val="20"/>
          <w:szCs w:val="20"/>
        </w:rPr>
        <w:t>" below). Dividends paid amounted to $203.9 million and $190.7 million during Fiscal 2020 and Fiscal 2019, resp</w:t>
      </w:r>
      <w:r>
        <w:rPr>
          <w:rFonts w:eastAsia="Times New Roman"/>
          <w:color w:val="000000"/>
          <w:sz w:val="20"/>
          <w:szCs w:val="20"/>
        </w:rPr>
        <w:t>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48D6B43" w14:textId="77777777">
        <w:trPr>
          <w:divId w:val="655570751"/>
          <w:jc w:val="center"/>
        </w:trPr>
        <w:tc>
          <w:tcPr>
            <w:tcW w:w="50" w:type="pct"/>
            <w:vAlign w:val="center"/>
            <w:hideMark/>
          </w:tcPr>
          <w:p w14:paraId="5DD12FCC" w14:textId="77777777" w:rsidR="00000000" w:rsidRDefault="00EE5306">
            <w:pPr>
              <w:ind w:hanging="360"/>
              <w:jc w:val="both"/>
              <w:rPr>
                <w:rFonts w:eastAsia="Times New Roman"/>
              </w:rPr>
            </w:pPr>
          </w:p>
        </w:tc>
        <w:tc>
          <w:tcPr>
            <w:tcW w:w="1699" w:type="pct"/>
            <w:vAlign w:val="center"/>
            <w:hideMark/>
          </w:tcPr>
          <w:p w14:paraId="3D238C49" w14:textId="77777777" w:rsidR="00000000" w:rsidRDefault="00EE5306">
            <w:pPr>
              <w:spacing w:after="100"/>
              <w:rPr>
                <w:rFonts w:eastAsia="Times New Roman"/>
                <w:sz w:val="20"/>
                <w:szCs w:val="20"/>
              </w:rPr>
            </w:pPr>
          </w:p>
        </w:tc>
        <w:tc>
          <w:tcPr>
            <w:tcW w:w="5" w:type="pct"/>
            <w:vAlign w:val="center"/>
            <w:hideMark/>
          </w:tcPr>
          <w:p w14:paraId="17C9AAEF" w14:textId="77777777" w:rsidR="00000000" w:rsidRDefault="00EE5306">
            <w:pPr>
              <w:spacing w:after="100"/>
              <w:rPr>
                <w:rFonts w:eastAsia="Times New Roman"/>
                <w:sz w:val="20"/>
                <w:szCs w:val="20"/>
              </w:rPr>
            </w:pPr>
          </w:p>
        </w:tc>
        <w:tc>
          <w:tcPr>
            <w:tcW w:w="50" w:type="pct"/>
            <w:vAlign w:val="center"/>
            <w:hideMark/>
          </w:tcPr>
          <w:p w14:paraId="2EAF4135" w14:textId="77777777" w:rsidR="00000000" w:rsidRDefault="00EE5306">
            <w:pPr>
              <w:spacing w:after="100"/>
              <w:rPr>
                <w:rFonts w:eastAsia="Times New Roman"/>
                <w:sz w:val="20"/>
                <w:szCs w:val="20"/>
              </w:rPr>
            </w:pPr>
          </w:p>
        </w:tc>
        <w:tc>
          <w:tcPr>
            <w:tcW w:w="1436" w:type="pct"/>
            <w:vAlign w:val="center"/>
            <w:hideMark/>
          </w:tcPr>
          <w:p w14:paraId="14655271" w14:textId="77777777" w:rsidR="00000000" w:rsidRDefault="00EE5306">
            <w:pPr>
              <w:spacing w:after="100"/>
              <w:rPr>
                <w:rFonts w:eastAsia="Times New Roman"/>
                <w:sz w:val="20"/>
                <w:szCs w:val="20"/>
              </w:rPr>
            </w:pPr>
          </w:p>
        </w:tc>
        <w:tc>
          <w:tcPr>
            <w:tcW w:w="5" w:type="pct"/>
            <w:vAlign w:val="center"/>
            <w:hideMark/>
          </w:tcPr>
          <w:p w14:paraId="0E1877C5" w14:textId="77777777" w:rsidR="00000000" w:rsidRDefault="00EE5306">
            <w:pPr>
              <w:spacing w:after="100"/>
              <w:rPr>
                <w:rFonts w:eastAsia="Times New Roman"/>
                <w:sz w:val="20"/>
                <w:szCs w:val="20"/>
              </w:rPr>
            </w:pPr>
          </w:p>
        </w:tc>
        <w:tc>
          <w:tcPr>
            <w:tcW w:w="50" w:type="pct"/>
            <w:vAlign w:val="center"/>
            <w:hideMark/>
          </w:tcPr>
          <w:p w14:paraId="5BB77551" w14:textId="77777777" w:rsidR="00000000" w:rsidRDefault="00EE5306">
            <w:pPr>
              <w:spacing w:after="100"/>
              <w:rPr>
                <w:rFonts w:eastAsia="Times New Roman"/>
                <w:sz w:val="20"/>
                <w:szCs w:val="20"/>
              </w:rPr>
            </w:pPr>
          </w:p>
        </w:tc>
        <w:tc>
          <w:tcPr>
            <w:tcW w:w="1699" w:type="pct"/>
            <w:vAlign w:val="center"/>
            <w:hideMark/>
          </w:tcPr>
          <w:p w14:paraId="281C7979" w14:textId="77777777" w:rsidR="00000000" w:rsidRDefault="00EE5306">
            <w:pPr>
              <w:spacing w:after="100"/>
              <w:rPr>
                <w:rFonts w:eastAsia="Times New Roman"/>
                <w:sz w:val="20"/>
                <w:szCs w:val="20"/>
              </w:rPr>
            </w:pPr>
          </w:p>
        </w:tc>
        <w:tc>
          <w:tcPr>
            <w:tcW w:w="5" w:type="pct"/>
            <w:vAlign w:val="center"/>
            <w:hideMark/>
          </w:tcPr>
          <w:p w14:paraId="676CD0A6" w14:textId="77777777" w:rsidR="00000000" w:rsidRDefault="00EE5306">
            <w:pPr>
              <w:spacing w:after="100"/>
              <w:rPr>
                <w:rFonts w:eastAsia="Times New Roman"/>
                <w:sz w:val="20"/>
                <w:szCs w:val="20"/>
              </w:rPr>
            </w:pPr>
          </w:p>
        </w:tc>
      </w:tr>
      <w:tr w:rsidR="00000000" w14:paraId="41569327" w14:textId="77777777">
        <w:trPr>
          <w:divId w:val="655570751"/>
          <w:jc w:val="center"/>
        </w:trPr>
        <w:tc>
          <w:tcPr>
            <w:tcW w:w="0" w:type="auto"/>
            <w:gridSpan w:val="3"/>
            <w:tcMar>
              <w:top w:w="0" w:type="dxa"/>
              <w:left w:w="20" w:type="dxa"/>
              <w:bottom w:w="0" w:type="dxa"/>
              <w:right w:w="20" w:type="dxa"/>
            </w:tcMar>
            <w:vAlign w:val="center"/>
            <w:hideMark/>
          </w:tcPr>
          <w:p w14:paraId="5058C5F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8AEE898" w14:textId="77777777" w:rsidR="00000000" w:rsidRDefault="00EE5306">
            <w:pPr>
              <w:spacing w:after="100"/>
              <w:jc w:val="center"/>
              <w:rPr>
                <w:rFonts w:eastAsia="Times New Roman"/>
              </w:rPr>
            </w:pPr>
            <w:r>
              <w:rPr>
                <w:rFonts w:eastAsia="Times New Roman"/>
                <w:color w:val="000000"/>
                <w:sz w:val="20"/>
                <w:szCs w:val="20"/>
              </w:rPr>
              <w:t>65</w:t>
            </w:r>
          </w:p>
        </w:tc>
        <w:tc>
          <w:tcPr>
            <w:tcW w:w="0" w:type="auto"/>
            <w:gridSpan w:val="3"/>
            <w:tcMar>
              <w:top w:w="0" w:type="dxa"/>
              <w:left w:w="20" w:type="dxa"/>
              <w:bottom w:w="0" w:type="dxa"/>
              <w:right w:w="20" w:type="dxa"/>
            </w:tcMar>
            <w:vAlign w:val="center"/>
            <w:hideMark/>
          </w:tcPr>
          <w:p w14:paraId="691E0FF2" w14:textId="77777777" w:rsidR="00000000" w:rsidRDefault="00EE5306">
            <w:pPr>
              <w:spacing w:after="100"/>
              <w:jc w:val="center"/>
              <w:rPr>
                <w:rFonts w:eastAsia="Times New Roman"/>
              </w:rPr>
            </w:pPr>
          </w:p>
        </w:tc>
      </w:tr>
    </w:tbl>
    <w:p w14:paraId="315809A6" w14:textId="77777777" w:rsidR="00000000" w:rsidRDefault="00EE5306">
      <w:pPr>
        <w:rPr>
          <w:rFonts w:eastAsia="Times New Roman"/>
        </w:rPr>
      </w:pPr>
      <w:r>
        <w:rPr>
          <w:rFonts w:eastAsia="Times New Roman"/>
        </w:rPr>
        <w:pict w14:anchorId="5903D698">
          <v:rect id="_x0000_i1092" style="width:0;height:1.5pt" o:hralign="center" o:hrstd="t" o:hr="t" fillcolor="#a0a0a0" stroked="f"/>
        </w:pict>
      </w:r>
    </w:p>
    <w:p w14:paraId="1976EDEA" w14:textId="77777777" w:rsidR="00000000" w:rsidRDefault="00EE5306">
      <w:pPr>
        <w:divId w:val="127477266"/>
        <w:rPr>
          <w:rFonts w:eastAsia="Times New Roman"/>
        </w:rPr>
      </w:pPr>
    </w:p>
    <w:p w14:paraId="0291DDDD" w14:textId="77777777" w:rsidR="00000000" w:rsidRDefault="00EE5306">
      <w:pPr>
        <w:ind w:firstLine="360"/>
        <w:jc w:val="both"/>
        <w:divId w:val="1319764654"/>
        <w:rPr>
          <w:rFonts w:eastAsia="Times New Roman"/>
        </w:rPr>
      </w:pPr>
      <w:r>
        <w:rPr>
          <w:rFonts w:eastAsia="Times New Roman"/>
          <w:b/>
          <w:bCs/>
          <w:i/>
          <w:iCs/>
          <w:color w:val="000000"/>
          <w:sz w:val="20"/>
          <w:szCs w:val="20"/>
        </w:rPr>
        <w:t>Sources of Liquidity</w:t>
      </w:r>
    </w:p>
    <w:p w14:paraId="30F90F13" w14:textId="77777777" w:rsidR="00000000" w:rsidRDefault="00EE5306">
      <w:pPr>
        <w:ind w:firstLine="540"/>
        <w:jc w:val="both"/>
        <w:divId w:val="1123571322"/>
        <w:rPr>
          <w:rFonts w:eastAsia="Times New Roman"/>
        </w:rPr>
      </w:pPr>
      <w:r>
        <w:rPr>
          <w:rFonts w:eastAsia="Times New Roman"/>
          <w:color w:val="000000"/>
          <w:sz w:val="20"/>
          <w:szCs w:val="20"/>
        </w:rPr>
        <w:t>Our primary sources of liquidity are the cash flows generated from our operations, our available cash and cash equivalents and short-term investments, availability under our credit and overdraft fa</w:t>
      </w:r>
      <w:r>
        <w:rPr>
          <w:rFonts w:eastAsia="Times New Roman"/>
          <w:color w:val="000000"/>
          <w:sz w:val="20"/>
          <w:szCs w:val="20"/>
        </w:rPr>
        <w:t>cilities and commercial paper program, and other available financing options.</w:t>
      </w:r>
    </w:p>
    <w:p w14:paraId="5DC410B0" w14:textId="77777777" w:rsidR="00000000" w:rsidRDefault="00EE5306">
      <w:pPr>
        <w:ind w:firstLine="540"/>
        <w:jc w:val="both"/>
        <w:divId w:val="971981204"/>
        <w:rPr>
          <w:rFonts w:eastAsia="Times New Roman"/>
        </w:rPr>
      </w:pPr>
      <w:r>
        <w:rPr>
          <w:rFonts w:eastAsia="Times New Roman"/>
          <w:color w:val="000000"/>
          <w:sz w:val="20"/>
          <w:szCs w:val="20"/>
        </w:rPr>
        <w:t>During Fiscal 2021, we generated $380.9 million of net cash flows from our operations. As of March 27, 2021, we had $2.777 billion in cash, cash equivalents, and short-term inves</w:t>
      </w:r>
      <w:r>
        <w:rPr>
          <w:rFonts w:eastAsia="Times New Roman"/>
          <w:color w:val="000000"/>
          <w:sz w:val="20"/>
          <w:szCs w:val="20"/>
        </w:rPr>
        <w:t xml:space="preserve">tments, of which $904.6 million were held by our subsidiaries domiciled outside the U.S. We are not dependent on foreign cash to fund our domestic operations. Undistributed foreign earnings that were subject to the TCJA's one-time mandatory transition tax </w:t>
      </w:r>
      <w:r>
        <w:rPr>
          <w:rFonts w:eastAsia="Times New Roman"/>
          <w:color w:val="000000"/>
          <w:sz w:val="20"/>
          <w:szCs w:val="20"/>
        </w:rPr>
        <w:t xml:space="preserve">as of December 31, 2017 are not considered to be permanently reinvested and may be repatriated to the U.S. in the future with minimal or no additional U.S. taxation. We intend to permanently reinvest undistributed foreign earnings generated after December </w:t>
      </w:r>
      <w:r>
        <w:rPr>
          <w:rFonts w:eastAsia="Times New Roman"/>
          <w:color w:val="000000"/>
          <w:sz w:val="20"/>
          <w:szCs w:val="20"/>
        </w:rPr>
        <w:t>31, 2017 that were not subject to the one-time mandatory transition tax. However, if our plans change and we choose to repatriate post-2017 earnings to the U.S. in the future, we would be subject to applicable U.S. and foreign taxes.</w:t>
      </w:r>
    </w:p>
    <w:p w14:paraId="45C1170A" w14:textId="77777777" w:rsidR="00000000" w:rsidRDefault="00EE5306">
      <w:pPr>
        <w:ind w:firstLine="540"/>
        <w:jc w:val="both"/>
        <w:divId w:val="2002849989"/>
        <w:rPr>
          <w:rFonts w:eastAsia="Times New Roman"/>
        </w:rPr>
      </w:pPr>
      <w:r>
        <w:rPr>
          <w:rFonts w:eastAsia="Times New Roman"/>
          <w:color w:val="000000"/>
          <w:sz w:val="20"/>
          <w:szCs w:val="20"/>
        </w:rPr>
        <w:t>The following table pr</w:t>
      </w:r>
      <w:r>
        <w:rPr>
          <w:rFonts w:eastAsia="Times New Roman"/>
          <w:color w:val="000000"/>
          <w:sz w:val="20"/>
          <w:szCs w:val="20"/>
        </w:rPr>
        <w:t>esents our total availability, borrowings outstanding, and remaining availability under our credit and overdraft facilities and Commercial Paper Program as of March 27, 2021:</w:t>
      </w:r>
    </w:p>
    <w:tbl>
      <w:tblPr>
        <w:tblW w:w="4641" w:type="pct"/>
        <w:jc w:val="center"/>
        <w:tblCellMar>
          <w:top w:w="15" w:type="dxa"/>
          <w:left w:w="15" w:type="dxa"/>
          <w:bottom w:w="15" w:type="dxa"/>
          <w:right w:w="15" w:type="dxa"/>
        </w:tblCellMar>
        <w:tblLook w:val="04A0" w:firstRow="1" w:lastRow="0" w:firstColumn="1" w:lastColumn="0" w:noHBand="0" w:noVBand="1"/>
      </w:tblPr>
      <w:tblGrid>
        <w:gridCol w:w="41"/>
        <w:gridCol w:w="3949"/>
        <w:gridCol w:w="36"/>
        <w:gridCol w:w="36"/>
        <w:gridCol w:w="36"/>
        <w:gridCol w:w="36"/>
        <w:gridCol w:w="121"/>
        <w:gridCol w:w="884"/>
        <w:gridCol w:w="36"/>
        <w:gridCol w:w="41"/>
        <w:gridCol w:w="121"/>
        <w:gridCol w:w="36"/>
        <w:gridCol w:w="121"/>
        <w:gridCol w:w="911"/>
        <w:gridCol w:w="36"/>
        <w:gridCol w:w="59"/>
        <w:gridCol w:w="121"/>
        <w:gridCol w:w="36"/>
        <w:gridCol w:w="121"/>
        <w:gridCol w:w="896"/>
        <w:gridCol w:w="36"/>
      </w:tblGrid>
      <w:tr w:rsidR="00000000" w14:paraId="22A23AFE" w14:textId="77777777">
        <w:trPr>
          <w:divId w:val="1472482124"/>
          <w:jc w:val="center"/>
        </w:trPr>
        <w:tc>
          <w:tcPr>
            <w:tcW w:w="50" w:type="pct"/>
            <w:vAlign w:val="center"/>
            <w:hideMark/>
          </w:tcPr>
          <w:p w14:paraId="1B9DB214" w14:textId="77777777" w:rsidR="00000000" w:rsidRDefault="00EE5306">
            <w:pPr>
              <w:ind w:firstLine="540"/>
              <w:jc w:val="both"/>
              <w:rPr>
                <w:rFonts w:eastAsia="Times New Roman"/>
              </w:rPr>
            </w:pPr>
          </w:p>
        </w:tc>
        <w:tc>
          <w:tcPr>
            <w:tcW w:w="2582" w:type="pct"/>
            <w:vAlign w:val="center"/>
            <w:hideMark/>
          </w:tcPr>
          <w:p w14:paraId="0BC55BC5" w14:textId="77777777" w:rsidR="00000000" w:rsidRDefault="00EE5306">
            <w:pPr>
              <w:spacing w:after="100"/>
              <w:rPr>
                <w:rFonts w:eastAsia="Times New Roman"/>
                <w:sz w:val="20"/>
                <w:szCs w:val="20"/>
              </w:rPr>
            </w:pPr>
          </w:p>
        </w:tc>
        <w:tc>
          <w:tcPr>
            <w:tcW w:w="5" w:type="pct"/>
            <w:vAlign w:val="center"/>
            <w:hideMark/>
          </w:tcPr>
          <w:p w14:paraId="2D5E5861" w14:textId="77777777" w:rsidR="00000000" w:rsidRDefault="00EE5306">
            <w:pPr>
              <w:spacing w:after="100"/>
              <w:rPr>
                <w:rFonts w:eastAsia="Times New Roman"/>
                <w:sz w:val="20"/>
                <w:szCs w:val="20"/>
              </w:rPr>
            </w:pPr>
          </w:p>
        </w:tc>
        <w:tc>
          <w:tcPr>
            <w:tcW w:w="5" w:type="pct"/>
            <w:vAlign w:val="center"/>
            <w:hideMark/>
          </w:tcPr>
          <w:p w14:paraId="1771437A" w14:textId="77777777" w:rsidR="00000000" w:rsidRDefault="00EE5306">
            <w:pPr>
              <w:spacing w:after="100"/>
              <w:rPr>
                <w:rFonts w:eastAsia="Times New Roman"/>
                <w:sz w:val="20"/>
                <w:szCs w:val="20"/>
              </w:rPr>
            </w:pPr>
          </w:p>
        </w:tc>
        <w:tc>
          <w:tcPr>
            <w:tcW w:w="29" w:type="pct"/>
            <w:vAlign w:val="center"/>
            <w:hideMark/>
          </w:tcPr>
          <w:p w14:paraId="6F3668AC" w14:textId="77777777" w:rsidR="00000000" w:rsidRDefault="00EE5306">
            <w:pPr>
              <w:spacing w:after="100"/>
              <w:rPr>
                <w:rFonts w:eastAsia="Times New Roman"/>
                <w:sz w:val="20"/>
                <w:szCs w:val="20"/>
              </w:rPr>
            </w:pPr>
          </w:p>
        </w:tc>
        <w:tc>
          <w:tcPr>
            <w:tcW w:w="5" w:type="pct"/>
            <w:vAlign w:val="center"/>
            <w:hideMark/>
          </w:tcPr>
          <w:p w14:paraId="155A8805" w14:textId="77777777" w:rsidR="00000000" w:rsidRDefault="00EE5306">
            <w:pPr>
              <w:spacing w:after="100"/>
              <w:rPr>
                <w:rFonts w:eastAsia="Times New Roman"/>
                <w:sz w:val="20"/>
                <w:szCs w:val="20"/>
              </w:rPr>
            </w:pPr>
          </w:p>
        </w:tc>
        <w:tc>
          <w:tcPr>
            <w:tcW w:w="50" w:type="pct"/>
            <w:vAlign w:val="center"/>
            <w:hideMark/>
          </w:tcPr>
          <w:p w14:paraId="4D20F345" w14:textId="77777777" w:rsidR="00000000" w:rsidRDefault="00EE5306">
            <w:pPr>
              <w:spacing w:after="100"/>
              <w:rPr>
                <w:rFonts w:eastAsia="Times New Roman"/>
                <w:sz w:val="20"/>
                <w:szCs w:val="20"/>
              </w:rPr>
            </w:pPr>
          </w:p>
        </w:tc>
        <w:tc>
          <w:tcPr>
            <w:tcW w:w="614" w:type="pct"/>
            <w:vAlign w:val="center"/>
            <w:hideMark/>
          </w:tcPr>
          <w:p w14:paraId="0421748A" w14:textId="77777777" w:rsidR="00000000" w:rsidRDefault="00EE5306">
            <w:pPr>
              <w:spacing w:after="100"/>
              <w:rPr>
                <w:rFonts w:eastAsia="Times New Roman"/>
                <w:sz w:val="20"/>
                <w:szCs w:val="20"/>
              </w:rPr>
            </w:pPr>
          </w:p>
        </w:tc>
        <w:tc>
          <w:tcPr>
            <w:tcW w:w="5" w:type="pct"/>
            <w:vAlign w:val="center"/>
            <w:hideMark/>
          </w:tcPr>
          <w:p w14:paraId="128076C7" w14:textId="77777777" w:rsidR="00000000" w:rsidRDefault="00EE5306">
            <w:pPr>
              <w:spacing w:after="100"/>
              <w:rPr>
                <w:rFonts w:eastAsia="Times New Roman"/>
                <w:sz w:val="20"/>
                <w:szCs w:val="20"/>
              </w:rPr>
            </w:pPr>
          </w:p>
        </w:tc>
        <w:tc>
          <w:tcPr>
            <w:tcW w:w="50" w:type="pct"/>
            <w:vAlign w:val="center"/>
            <w:hideMark/>
          </w:tcPr>
          <w:p w14:paraId="65595CF3" w14:textId="77777777" w:rsidR="00000000" w:rsidRDefault="00EE5306">
            <w:pPr>
              <w:spacing w:after="100"/>
              <w:rPr>
                <w:rFonts w:eastAsia="Times New Roman"/>
                <w:sz w:val="20"/>
                <w:szCs w:val="20"/>
              </w:rPr>
            </w:pPr>
          </w:p>
        </w:tc>
        <w:tc>
          <w:tcPr>
            <w:tcW w:w="102" w:type="pct"/>
            <w:vAlign w:val="center"/>
            <w:hideMark/>
          </w:tcPr>
          <w:p w14:paraId="304FBA02" w14:textId="77777777" w:rsidR="00000000" w:rsidRDefault="00EE5306">
            <w:pPr>
              <w:spacing w:after="100"/>
              <w:rPr>
                <w:rFonts w:eastAsia="Times New Roman"/>
                <w:sz w:val="20"/>
                <w:szCs w:val="20"/>
              </w:rPr>
            </w:pPr>
          </w:p>
        </w:tc>
        <w:tc>
          <w:tcPr>
            <w:tcW w:w="5" w:type="pct"/>
            <w:vAlign w:val="center"/>
            <w:hideMark/>
          </w:tcPr>
          <w:p w14:paraId="7D9FAF7F" w14:textId="77777777" w:rsidR="00000000" w:rsidRDefault="00EE5306">
            <w:pPr>
              <w:spacing w:after="100"/>
              <w:rPr>
                <w:rFonts w:eastAsia="Times New Roman"/>
                <w:sz w:val="20"/>
                <w:szCs w:val="20"/>
              </w:rPr>
            </w:pPr>
          </w:p>
        </w:tc>
        <w:tc>
          <w:tcPr>
            <w:tcW w:w="50" w:type="pct"/>
            <w:vAlign w:val="center"/>
            <w:hideMark/>
          </w:tcPr>
          <w:p w14:paraId="721C93FE" w14:textId="77777777" w:rsidR="00000000" w:rsidRDefault="00EE5306">
            <w:pPr>
              <w:spacing w:after="100"/>
              <w:rPr>
                <w:rFonts w:eastAsia="Times New Roman"/>
                <w:sz w:val="20"/>
                <w:szCs w:val="20"/>
              </w:rPr>
            </w:pPr>
          </w:p>
        </w:tc>
        <w:tc>
          <w:tcPr>
            <w:tcW w:w="614" w:type="pct"/>
            <w:vAlign w:val="center"/>
            <w:hideMark/>
          </w:tcPr>
          <w:p w14:paraId="4D667707" w14:textId="77777777" w:rsidR="00000000" w:rsidRDefault="00EE5306">
            <w:pPr>
              <w:spacing w:after="100"/>
              <w:rPr>
                <w:rFonts w:eastAsia="Times New Roman"/>
                <w:sz w:val="20"/>
                <w:szCs w:val="20"/>
              </w:rPr>
            </w:pPr>
          </w:p>
        </w:tc>
        <w:tc>
          <w:tcPr>
            <w:tcW w:w="5" w:type="pct"/>
            <w:vAlign w:val="center"/>
            <w:hideMark/>
          </w:tcPr>
          <w:p w14:paraId="6EF115D7" w14:textId="77777777" w:rsidR="00000000" w:rsidRDefault="00EE5306">
            <w:pPr>
              <w:spacing w:after="100"/>
              <w:rPr>
                <w:rFonts w:eastAsia="Times New Roman"/>
                <w:sz w:val="20"/>
                <w:szCs w:val="20"/>
              </w:rPr>
            </w:pPr>
          </w:p>
        </w:tc>
        <w:tc>
          <w:tcPr>
            <w:tcW w:w="50" w:type="pct"/>
            <w:vAlign w:val="center"/>
            <w:hideMark/>
          </w:tcPr>
          <w:p w14:paraId="31DFD231" w14:textId="77777777" w:rsidR="00000000" w:rsidRDefault="00EE5306">
            <w:pPr>
              <w:spacing w:after="100"/>
              <w:rPr>
                <w:rFonts w:eastAsia="Times New Roman"/>
                <w:sz w:val="20"/>
                <w:szCs w:val="20"/>
              </w:rPr>
            </w:pPr>
          </w:p>
        </w:tc>
        <w:tc>
          <w:tcPr>
            <w:tcW w:w="102" w:type="pct"/>
            <w:vAlign w:val="center"/>
            <w:hideMark/>
          </w:tcPr>
          <w:p w14:paraId="728F69A7" w14:textId="77777777" w:rsidR="00000000" w:rsidRDefault="00EE5306">
            <w:pPr>
              <w:spacing w:after="100"/>
              <w:rPr>
                <w:rFonts w:eastAsia="Times New Roman"/>
                <w:sz w:val="20"/>
                <w:szCs w:val="20"/>
              </w:rPr>
            </w:pPr>
          </w:p>
        </w:tc>
        <w:tc>
          <w:tcPr>
            <w:tcW w:w="5" w:type="pct"/>
            <w:vAlign w:val="center"/>
            <w:hideMark/>
          </w:tcPr>
          <w:p w14:paraId="02D5334B" w14:textId="77777777" w:rsidR="00000000" w:rsidRDefault="00EE5306">
            <w:pPr>
              <w:spacing w:after="100"/>
              <w:rPr>
                <w:rFonts w:eastAsia="Times New Roman"/>
                <w:sz w:val="20"/>
                <w:szCs w:val="20"/>
              </w:rPr>
            </w:pPr>
          </w:p>
        </w:tc>
        <w:tc>
          <w:tcPr>
            <w:tcW w:w="50" w:type="pct"/>
            <w:vAlign w:val="center"/>
            <w:hideMark/>
          </w:tcPr>
          <w:p w14:paraId="481D6F08" w14:textId="77777777" w:rsidR="00000000" w:rsidRDefault="00EE5306">
            <w:pPr>
              <w:spacing w:after="100"/>
              <w:rPr>
                <w:rFonts w:eastAsia="Times New Roman"/>
                <w:sz w:val="20"/>
                <w:szCs w:val="20"/>
              </w:rPr>
            </w:pPr>
          </w:p>
        </w:tc>
        <w:tc>
          <w:tcPr>
            <w:tcW w:w="614" w:type="pct"/>
            <w:vAlign w:val="center"/>
            <w:hideMark/>
          </w:tcPr>
          <w:p w14:paraId="2C3954E2" w14:textId="77777777" w:rsidR="00000000" w:rsidRDefault="00EE5306">
            <w:pPr>
              <w:spacing w:after="100"/>
              <w:rPr>
                <w:rFonts w:eastAsia="Times New Roman"/>
                <w:sz w:val="20"/>
                <w:szCs w:val="20"/>
              </w:rPr>
            </w:pPr>
          </w:p>
        </w:tc>
        <w:tc>
          <w:tcPr>
            <w:tcW w:w="5" w:type="pct"/>
            <w:vAlign w:val="center"/>
            <w:hideMark/>
          </w:tcPr>
          <w:p w14:paraId="2E7A3DD1" w14:textId="77777777" w:rsidR="00000000" w:rsidRDefault="00EE5306">
            <w:pPr>
              <w:spacing w:after="100"/>
              <w:rPr>
                <w:rFonts w:eastAsia="Times New Roman"/>
                <w:sz w:val="20"/>
                <w:szCs w:val="20"/>
              </w:rPr>
            </w:pPr>
          </w:p>
        </w:tc>
      </w:tr>
      <w:tr w:rsidR="00000000" w14:paraId="2954F7C8" w14:textId="77777777">
        <w:trPr>
          <w:divId w:val="1472482124"/>
          <w:jc w:val="center"/>
        </w:trPr>
        <w:tc>
          <w:tcPr>
            <w:tcW w:w="0" w:type="auto"/>
            <w:gridSpan w:val="3"/>
            <w:tcMar>
              <w:top w:w="30" w:type="dxa"/>
              <w:left w:w="20" w:type="dxa"/>
              <w:bottom w:w="30" w:type="dxa"/>
              <w:right w:w="20" w:type="dxa"/>
            </w:tcMar>
            <w:vAlign w:val="bottom"/>
            <w:hideMark/>
          </w:tcPr>
          <w:p w14:paraId="44BDE15D"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37B8460"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74923DAC" w14:textId="77777777" w:rsidR="00000000" w:rsidRDefault="00EE5306">
            <w:pPr>
              <w:spacing w:after="100"/>
              <w:jc w:val="center"/>
              <w:rPr>
                <w:rFonts w:eastAsia="Times New Roman"/>
              </w:rPr>
            </w:pPr>
            <w:r>
              <w:rPr>
                <w:rFonts w:eastAsia="Times New Roman"/>
                <w:b/>
                <w:bCs/>
                <w:color w:val="000000"/>
                <w:sz w:val="16"/>
                <w:szCs w:val="16"/>
              </w:rPr>
              <w:t>March 27, 2021</w:t>
            </w:r>
          </w:p>
        </w:tc>
      </w:tr>
      <w:tr w:rsidR="00000000" w14:paraId="4D22A133" w14:textId="77777777">
        <w:trPr>
          <w:divId w:val="1472482124"/>
          <w:jc w:val="center"/>
        </w:trPr>
        <w:tc>
          <w:tcPr>
            <w:tcW w:w="0" w:type="auto"/>
            <w:gridSpan w:val="3"/>
            <w:tcMar>
              <w:top w:w="30" w:type="dxa"/>
              <w:left w:w="20" w:type="dxa"/>
              <w:bottom w:w="30" w:type="dxa"/>
              <w:right w:w="20" w:type="dxa"/>
            </w:tcMar>
            <w:vAlign w:val="bottom"/>
            <w:hideMark/>
          </w:tcPr>
          <w:p w14:paraId="3BB276B8" w14:textId="77777777" w:rsidR="00000000" w:rsidRDefault="00EE5306">
            <w:pPr>
              <w:spacing w:after="100"/>
              <w:divId w:val="1526871596"/>
              <w:rPr>
                <w:rFonts w:eastAsia="Times New Roman"/>
              </w:rPr>
            </w:pPr>
            <w:r>
              <w:rPr>
                <w:rFonts w:eastAsia="Times New Roman"/>
                <w:b/>
                <w:bCs/>
                <w:color w:val="000000"/>
                <w:sz w:val="16"/>
                <w:szCs w:val="16"/>
                <w:u w:val="single"/>
              </w:rPr>
              <w:t>Descriptio</w:t>
            </w:r>
            <w:r>
              <w:rPr>
                <w:rFonts w:eastAsia="Times New Roman"/>
                <w:b/>
                <w:bCs/>
                <w:color w:val="000000"/>
                <w:sz w:val="16"/>
                <w:szCs w:val="16"/>
                <w:u w:val="single"/>
              </w:rPr>
              <w:t>n</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48813A20"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9FA9D4" w14:textId="77777777" w:rsidR="00000000" w:rsidRDefault="00EE5306">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Availability</w:t>
            </w:r>
          </w:p>
        </w:tc>
        <w:tc>
          <w:tcPr>
            <w:tcW w:w="0" w:type="auto"/>
            <w:gridSpan w:val="3"/>
            <w:tcBorders>
              <w:top w:val="single" w:sz="8" w:space="0" w:color="000000"/>
            </w:tcBorders>
            <w:tcMar>
              <w:top w:w="0" w:type="dxa"/>
              <w:left w:w="20" w:type="dxa"/>
              <w:bottom w:w="0" w:type="dxa"/>
              <w:right w:w="20" w:type="dxa"/>
            </w:tcMar>
            <w:vAlign w:val="center"/>
            <w:hideMark/>
          </w:tcPr>
          <w:p w14:paraId="2842F971"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682C35" w14:textId="77777777" w:rsidR="00000000" w:rsidRDefault="00EE5306">
            <w:pPr>
              <w:spacing w:after="100"/>
              <w:jc w:val="center"/>
              <w:rPr>
                <w:rFonts w:eastAsia="Times New Roman"/>
              </w:rPr>
            </w:pPr>
            <w:r>
              <w:rPr>
                <w:rFonts w:eastAsia="Times New Roman"/>
                <w:b/>
                <w:bCs/>
                <w:color w:val="000000"/>
                <w:sz w:val="16"/>
                <w:szCs w:val="16"/>
              </w:rPr>
              <w:t>Borrowings</w:t>
            </w:r>
            <w:r>
              <w:rPr>
                <w:rFonts w:eastAsia="Times New Roman"/>
                <w:b/>
                <w:bCs/>
                <w:color w:val="000000"/>
                <w:sz w:val="16"/>
                <w:szCs w:val="16"/>
              </w:rPr>
              <w:br/>
              <w:t>Outstanding</w:t>
            </w:r>
          </w:p>
        </w:tc>
        <w:tc>
          <w:tcPr>
            <w:tcW w:w="0" w:type="auto"/>
            <w:gridSpan w:val="3"/>
            <w:tcBorders>
              <w:top w:val="single" w:sz="8" w:space="0" w:color="000000"/>
            </w:tcBorders>
            <w:tcMar>
              <w:top w:w="0" w:type="dxa"/>
              <w:left w:w="20" w:type="dxa"/>
              <w:bottom w:w="0" w:type="dxa"/>
              <w:right w:w="20" w:type="dxa"/>
            </w:tcMar>
            <w:vAlign w:val="center"/>
            <w:hideMark/>
          </w:tcPr>
          <w:p w14:paraId="3374C40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90DAB2" w14:textId="77777777" w:rsidR="00000000" w:rsidRDefault="00EE5306">
            <w:pPr>
              <w:spacing w:after="100"/>
              <w:jc w:val="center"/>
              <w:rPr>
                <w:rFonts w:eastAsia="Times New Roman"/>
              </w:rPr>
            </w:pPr>
            <w:r>
              <w:rPr>
                <w:rFonts w:eastAsia="Times New Roman"/>
                <w:b/>
                <w:bCs/>
                <w:color w:val="000000"/>
                <w:sz w:val="16"/>
                <w:szCs w:val="16"/>
              </w:rPr>
              <w:t>Remaining</w:t>
            </w:r>
            <w:r>
              <w:rPr>
                <w:rFonts w:eastAsia="Times New Roman"/>
                <w:b/>
                <w:bCs/>
                <w:color w:val="000000"/>
                <w:sz w:val="16"/>
                <w:szCs w:val="16"/>
              </w:rPr>
              <w:br/>
              <w:t>Availability</w:t>
            </w:r>
          </w:p>
        </w:tc>
      </w:tr>
      <w:tr w:rsidR="00000000" w14:paraId="6D233341" w14:textId="77777777">
        <w:trPr>
          <w:divId w:val="1472482124"/>
          <w:jc w:val="center"/>
        </w:trPr>
        <w:tc>
          <w:tcPr>
            <w:tcW w:w="0" w:type="auto"/>
            <w:gridSpan w:val="3"/>
            <w:tcMar>
              <w:top w:w="30" w:type="dxa"/>
              <w:left w:w="20" w:type="dxa"/>
              <w:bottom w:w="30" w:type="dxa"/>
              <w:right w:w="20" w:type="dxa"/>
            </w:tcMar>
            <w:vAlign w:val="bottom"/>
            <w:hideMark/>
          </w:tcPr>
          <w:p w14:paraId="448F06C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E03032A"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49D2F10"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658859BB" w14:textId="77777777">
        <w:trPr>
          <w:divId w:val="1472482124"/>
          <w:jc w:val="center"/>
        </w:trPr>
        <w:tc>
          <w:tcPr>
            <w:tcW w:w="0" w:type="auto"/>
            <w:gridSpan w:val="3"/>
            <w:shd w:val="clear" w:color="auto" w:fill="CCEEFF"/>
            <w:tcMar>
              <w:top w:w="30" w:type="dxa"/>
              <w:left w:w="20" w:type="dxa"/>
              <w:bottom w:w="30" w:type="dxa"/>
              <w:right w:w="20" w:type="dxa"/>
            </w:tcMar>
            <w:vAlign w:val="bottom"/>
            <w:hideMark/>
          </w:tcPr>
          <w:p w14:paraId="7A723886" w14:textId="77777777" w:rsidR="00000000" w:rsidRDefault="00EE5306">
            <w:pPr>
              <w:spacing w:after="100"/>
              <w:divId w:val="1177234558"/>
              <w:rPr>
                <w:rFonts w:eastAsia="Times New Roman"/>
              </w:rPr>
            </w:pPr>
            <w:r>
              <w:rPr>
                <w:rFonts w:eastAsia="Times New Roman"/>
                <w:color w:val="000000"/>
                <w:sz w:val="20"/>
                <w:szCs w:val="20"/>
              </w:rPr>
              <w:t>Global Credit Facility and Commercial Paper Progra</w:t>
            </w:r>
            <w:r>
              <w:rPr>
                <w:rFonts w:eastAsia="Times New Roman"/>
                <w:color w:val="000000"/>
                <w:sz w:val="20"/>
                <w:szCs w:val="20"/>
              </w:rPr>
              <w:t>m</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AEF6CE3"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E30EBD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D4C430" w14:textId="77777777" w:rsidR="00000000" w:rsidRDefault="00EE5306">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14:paraId="5E7755E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77169"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36919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7C8D39" w14:textId="77777777" w:rsidR="00000000" w:rsidRDefault="00EE5306">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40429A1A" w14:textId="77777777" w:rsidR="00000000" w:rsidRDefault="00EE530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61E9B7B" w14:textId="77777777" w:rsidR="00000000" w:rsidRDefault="00EE5306">
            <w:pPr>
              <w:spacing w:after="100"/>
              <w:divId w:val="1763449969"/>
              <w:rPr>
                <w:rFonts w:eastAsia="Times New Roman"/>
              </w:rPr>
            </w:pPr>
            <w:r>
              <w:rPr>
                <w:rFonts w:eastAsia="Times New Roman"/>
                <w:b/>
                <w:bCs/>
                <w:color w:val="000000"/>
                <w:sz w:val="13"/>
                <w:szCs w:val="13"/>
              </w:rPr>
              <w:t>(c</w:t>
            </w:r>
            <w:r>
              <w:rPr>
                <w:rFonts w:eastAsia="Times New Roman"/>
                <w:b/>
                <w:bCs/>
                <w:color w:val="000000"/>
                <w:sz w:val="13"/>
                <w:szCs w:val="13"/>
              </w:rPr>
              <w:t>)</w:t>
            </w:r>
          </w:p>
        </w:tc>
        <w:tc>
          <w:tcPr>
            <w:tcW w:w="0" w:type="auto"/>
            <w:shd w:val="clear" w:color="auto" w:fill="CCEEFF"/>
            <w:tcMar>
              <w:top w:w="30" w:type="dxa"/>
              <w:left w:w="20" w:type="dxa"/>
              <w:bottom w:w="30" w:type="dxa"/>
              <w:right w:w="0" w:type="dxa"/>
            </w:tcMar>
            <w:vAlign w:val="bottom"/>
            <w:hideMark/>
          </w:tcPr>
          <w:p w14:paraId="6F3F94D3"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3D4601" w14:textId="77777777" w:rsidR="00000000" w:rsidRDefault="00EE5306">
            <w:pPr>
              <w:spacing w:after="100"/>
              <w:jc w:val="right"/>
              <w:rPr>
                <w:rFonts w:eastAsia="Times New Roman"/>
              </w:rPr>
            </w:pPr>
            <w:r>
              <w:rPr>
                <w:rFonts w:eastAsia="Times New Roman"/>
                <w:color w:val="000000"/>
                <w:sz w:val="20"/>
                <w:szCs w:val="20"/>
              </w:rPr>
              <w:t>491 </w:t>
            </w:r>
          </w:p>
        </w:tc>
        <w:tc>
          <w:tcPr>
            <w:tcW w:w="0" w:type="auto"/>
            <w:shd w:val="clear" w:color="auto" w:fill="CCEEFF"/>
            <w:tcMar>
              <w:top w:w="30" w:type="dxa"/>
              <w:left w:w="0" w:type="dxa"/>
              <w:bottom w:w="30" w:type="dxa"/>
              <w:right w:w="20" w:type="dxa"/>
            </w:tcMar>
            <w:vAlign w:val="bottom"/>
            <w:hideMark/>
          </w:tcPr>
          <w:p w14:paraId="4AB38F2C" w14:textId="77777777" w:rsidR="00000000" w:rsidRDefault="00EE5306">
            <w:pPr>
              <w:spacing w:after="100"/>
              <w:jc w:val="right"/>
              <w:rPr>
                <w:rFonts w:eastAsia="Times New Roman"/>
              </w:rPr>
            </w:pPr>
          </w:p>
        </w:tc>
      </w:tr>
      <w:tr w:rsidR="00000000" w14:paraId="4085146B" w14:textId="77777777">
        <w:trPr>
          <w:divId w:val="1472482124"/>
          <w:jc w:val="center"/>
        </w:trPr>
        <w:tc>
          <w:tcPr>
            <w:tcW w:w="0" w:type="auto"/>
            <w:gridSpan w:val="3"/>
            <w:shd w:val="clear" w:color="auto" w:fill="FFFFFF"/>
            <w:tcMar>
              <w:top w:w="30" w:type="dxa"/>
              <w:left w:w="20" w:type="dxa"/>
              <w:bottom w:w="30" w:type="dxa"/>
              <w:right w:w="20" w:type="dxa"/>
            </w:tcMar>
            <w:vAlign w:val="bottom"/>
            <w:hideMark/>
          </w:tcPr>
          <w:p w14:paraId="3AE75777" w14:textId="77777777" w:rsidR="00000000" w:rsidRDefault="00EE5306">
            <w:pPr>
              <w:spacing w:after="100"/>
              <w:rPr>
                <w:rFonts w:eastAsia="Times New Roman"/>
              </w:rPr>
            </w:pPr>
            <w:r>
              <w:rPr>
                <w:rFonts w:eastAsia="Times New Roman"/>
                <w:color w:val="000000"/>
                <w:sz w:val="20"/>
                <w:szCs w:val="20"/>
              </w:rPr>
              <w:t>Pan-Asia Credit Facilities</w:t>
            </w:r>
          </w:p>
        </w:tc>
        <w:tc>
          <w:tcPr>
            <w:tcW w:w="0" w:type="auto"/>
            <w:gridSpan w:val="3"/>
            <w:shd w:val="clear" w:color="auto" w:fill="FFFFFF"/>
            <w:tcMar>
              <w:top w:w="0" w:type="dxa"/>
              <w:left w:w="20" w:type="dxa"/>
              <w:bottom w:w="0" w:type="dxa"/>
              <w:right w:w="20" w:type="dxa"/>
            </w:tcMar>
            <w:vAlign w:val="center"/>
            <w:hideMark/>
          </w:tcPr>
          <w:p w14:paraId="581345B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66ADB5" w14:textId="77777777" w:rsidR="00000000" w:rsidRDefault="00EE5306">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5C23015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7924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B319DD"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F400F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D6AB3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7478B6" w14:textId="77777777" w:rsidR="00000000" w:rsidRDefault="00EE5306">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4A47D361" w14:textId="77777777" w:rsidR="00000000" w:rsidRDefault="00EE5306">
            <w:pPr>
              <w:spacing w:after="100"/>
              <w:jc w:val="right"/>
              <w:rPr>
                <w:rFonts w:eastAsia="Times New Roman"/>
              </w:rPr>
            </w:pPr>
          </w:p>
        </w:tc>
      </w:tr>
      <w:tr w:rsidR="00000000" w14:paraId="6B2BDA19" w14:textId="77777777">
        <w:trPr>
          <w:divId w:val="1472482124"/>
          <w:jc w:val="center"/>
        </w:trPr>
        <w:tc>
          <w:tcPr>
            <w:tcW w:w="0" w:type="auto"/>
            <w:gridSpan w:val="3"/>
            <w:shd w:val="clear" w:color="auto" w:fill="CCEEFF"/>
            <w:tcMar>
              <w:top w:w="30" w:type="dxa"/>
              <w:left w:w="20" w:type="dxa"/>
              <w:bottom w:w="30" w:type="dxa"/>
              <w:right w:w="20" w:type="dxa"/>
            </w:tcMar>
            <w:vAlign w:val="bottom"/>
            <w:hideMark/>
          </w:tcPr>
          <w:p w14:paraId="4C6D2117" w14:textId="77777777" w:rsidR="00000000" w:rsidRDefault="00EE5306">
            <w:pPr>
              <w:spacing w:after="100"/>
              <w:rPr>
                <w:rFonts w:eastAsia="Times New Roman"/>
              </w:rPr>
            </w:pPr>
            <w:r>
              <w:rPr>
                <w:rFonts w:eastAsia="Times New Roman"/>
                <w:color w:val="000000"/>
                <w:sz w:val="20"/>
                <w:szCs w:val="20"/>
              </w:rPr>
              <w:t>Japan Overdraft Facility</w:t>
            </w:r>
          </w:p>
        </w:tc>
        <w:tc>
          <w:tcPr>
            <w:tcW w:w="0" w:type="auto"/>
            <w:gridSpan w:val="3"/>
            <w:shd w:val="clear" w:color="auto" w:fill="CCEEFF"/>
            <w:tcMar>
              <w:top w:w="0" w:type="dxa"/>
              <w:left w:w="20" w:type="dxa"/>
              <w:bottom w:w="0" w:type="dxa"/>
              <w:right w:w="20" w:type="dxa"/>
            </w:tcMar>
            <w:vAlign w:val="center"/>
            <w:hideMark/>
          </w:tcPr>
          <w:p w14:paraId="119B4F7E"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4549FA" w14:textId="77777777" w:rsidR="00000000" w:rsidRDefault="00EE5306">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1333ADF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50A9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94D984"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69646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EDB1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685A0C" w14:textId="77777777" w:rsidR="00000000" w:rsidRDefault="00EE5306">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055363E4"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677280C6" w14:textId="77777777">
        <w:tc>
          <w:tcPr>
            <w:tcW w:w="50" w:type="pct"/>
            <w:vAlign w:val="center"/>
            <w:hideMark/>
          </w:tcPr>
          <w:p w14:paraId="0C5ADABC" w14:textId="77777777" w:rsidR="00000000" w:rsidRDefault="00EE5306">
            <w:pPr>
              <w:ind w:firstLine="540"/>
              <w:jc w:val="center"/>
              <w:rPr>
                <w:rFonts w:eastAsia="Times New Roman"/>
              </w:rPr>
            </w:pPr>
          </w:p>
        </w:tc>
        <w:tc>
          <w:tcPr>
            <w:tcW w:w="4945" w:type="pct"/>
            <w:vAlign w:val="center"/>
            <w:hideMark/>
          </w:tcPr>
          <w:p w14:paraId="14861645" w14:textId="77777777" w:rsidR="00000000" w:rsidRDefault="00EE5306">
            <w:pPr>
              <w:spacing w:after="100"/>
              <w:rPr>
                <w:rFonts w:eastAsia="Times New Roman"/>
                <w:sz w:val="20"/>
                <w:szCs w:val="20"/>
              </w:rPr>
            </w:pPr>
          </w:p>
        </w:tc>
        <w:tc>
          <w:tcPr>
            <w:tcW w:w="5" w:type="pct"/>
            <w:vAlign w:val="center"/>
            <w:hideMark/>
          </w:tcPr>
          <w:p w14:paraId="771122D7" w14:textId="77777777" w:rsidR="00000000" w:rsidRDefault="00EE5306">
            <w:pPr>
              <w:spacing w:after="100"/>
              <w:rPr>
                <w:rFonts w:eastAsia="Times New Roman"/>
                <w:sz w:val="20"/>
                <w:szCs w:val="20"/>
              </w:rPr>
            </w:pPr>
          </w:p>
        </w:tc>
      </w:tr>
      <w:tr w:rsidR="00000000" w14:paraId="0C64D55C"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2EC310B6" w14:textId="77777777" w:rsidR="00000000" w:rsidRDefault="00EE5306">
            <w:pPr>
              <w:spacing w:after="100"/>
              <w:rPr>
                <w:rFonts w:eastAsia="Times New Roman"/>
                <w:sz w:val="20"/>
                <w:szCs w:val="20"/>
              </w:rPr>
            </w:pPr>
          </w:p>
        </w:tc>
      </w:tr>
    </w:tbl>
    <w:p w14:paraId="1359E997" w14:textId="77777777" w:rsidR="00000000" w:rsidRDefault="00EE5306">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As defined in Note 11 to the accompanying consolidated financial statements.</w:t>
      </w:r>
    </w:p>
    <w:p w14:paraId="7B62FE0C" w14:textId="77777777" w:rsidR="00000000" w:rsidRDefault="00EE5306">
      <w:pPr>
        <w:ind w:hanging="360"/>
        <w:jc w:val="both"/>
        <w:divId w:val="298921652"/>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Borrowings under the Commercial Paper Program are supported by the Global Credit Facility. Accordingly, we do not expect combined borrowings outstanding under the Commercial Paper Program and the Global Credit Facility to exceed $500 million.</w:t>
      </w:r>
    </w:p>
    <w:p w14:paraId="1FB91B68" w14:textId="77777777" w:rsidR="00000000" w:rsidRDefault="00EE5306">
      <w:pPr>
        <w:ind w:hanging="360"/>
        <w:jc w:val="both"/>
        <w:divId w:val="1215387242"/>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Represents</w:t>
      </w:r>
      <w:r>
        <w:rPr>
          <w:rFonts w:eastAsia="Times New Roman"/>
          <w:color w:val="000000"/>
          <w:sz w:val="20"/>
          <w:szCs w:val="20"/>
        </w:rPr>
        <w:t xml:space="preserve"> outstanding letters of credit for which we were contingently liable under the Global Credit Facility as of March 27, 2021.</w:t>
      </w:r>
    </w:p>
    <w:p w14:paraId="1B5D20CD" w14:textId="77777777" w:rsidR="00000000" w:rsidRDefault="00EE5306">
      <w:pPr>
        <w:ind w:firstLine="540"/>
        <w:jc w:val="both"/>
        <w:divId w:val="1120681122"/>
        <w:rPr>
          <w:rFonts w:eastAsia="Times New Roman"/>
        </w:rPr>
      </w:pPr>
      <w:r>
        <w:rPr>
          <w:rFonts w:eastAsia="Times New Roman"/>
          <w:color w:val="000000"/>
          <w:sz w:val="20"/>
          <w:szCs w:val="20"/>
        </w:rPr>
        <w:t>We believe that the Global Credit Facility is adequately diversified with no undue concentration in any one financial institution. I</w:t>
      </w:r>
      <w:r>
        <w:rPr>
          <w:rFonts w:eastAsia="Times New Roman"/>
          <w:color w:val="000000"/>
          <w:sz w:val="20"/>
          <w:szCs w:val="20"/>
        </w:rPr>
        <w:t>n particular, as of March 27, 2021, there were eight financial institutions participating in the Global Credit Facility, with no one participant maintaining a maximum commitment percentage in excess of 20%. In accordance with the terms of the agreement, we</w:t>
      </w:r>
      <w:r>
        <w:rPr>
          <w:rFonts w:eastAsia="Times New Roman"/>
          <w:color w:val="000000"/>
          <w:sz w:val="20"/>
          <w:szCs w:val="20"/>
        </w:rPr>
        <w:t xml:space="preserve"> have the ability to expand our borrowing availability under the Global Credit Facility to $1 billion through the full term of the facility, subject to the agreement of one or more new or existing lenders under the facility to increase their commitments. </w:t>
      </w:r>
    </w:p>
    <w:p w14:paraId="5EC01EE7" w14:textId="77777777" w:rsidR="00000000" w:rsidRDefault="00EE5306">
      <w:pPr>
        <w:ind w:firstLine="540"/>
        <w:jc w:val="both"/>
        <w:divId w:val="530412010"/>
        <w:rPr>
          <w:rFonts w:eastAsia="Times New Roman"/>
        </w:rPr>
      </w:pPr>
      <w:r>
        <w:rPr>
          <w:rFonts w:eastAsia="Times New Roman"/>
          <w:color w:val="000000"/>
          <w:sz w:val="20"/>
          <w:szCs w:val="20"/>
        </w:rPr>
        <w:t>Borrowings under the Pan-Asia Credit Facilities and Japan Overdraft Facility (collectively, the "Pan-Asia Borrowing Facilities") are guaranteed by the parent company and are granted at the sole discretion of the participating banks (as described within Not</w:t>
      </w:r>
      <w:r>
        <w:rPr>
          <w:rFonts w:eastAsia="Times New Roman"/>
          <w:color w:val="000000"/>
          <w:sz w:val="20"/>
          <w:szCs w:val="20"/>
        </w:rPr>
        <w:t>e 11 to the accompanying consolidated financial statements), subject to availability of the respective banks' funds and satisfaction of certain regulatory requirements. We have no reason to believe that the participating institutions will be unable to fulf</w:t>
      </w:r>
      <w:r>
        <w:rPr>
          <w:rFonts w:eastAsia="Times New Roman"/>
          <w:color w:val="000000"/>
          <w:sz w:val="20"/>
          <w:szCs w:val="20"/>
        </w:rPr>
        <w:t>ill their obligations to provide financing in accordance with the terms of the Global Credit Facility and the Pan-Asia Borrowing Facilities in the event of our election to draw additional funds in the foreseeable future.</w:t>
      </w:r>
    </w:p>
    <w:p w14:paraId="0B6E7A3C" w14:textId="77777777" w:rsidR="00000000" w:rsidRDefault="00EE5306">
      <w:pPr>
        <w:ind w:firstLine="540"/>
        <w:jc w:val="both"/>
        <w:divId w:val="1424835182"/>
        <w:rPr>
          <w:rFonts w:eastAsia="Times New Roman"/>
        </w:rPr>
      </w:pPr>
      <w:r>
        <w:rPr>
          <w:rFonts w:eastAsia="Times New Roman"/>
          <w:color w:val="000000"/>
          <w:sz w:val="20"/>
          <w:szCs w:val="20"/>
        </w:rPr>
        <w:t>Our sources of liquidity are used t</w:t>
      </w:r>
      <w:r>
        <w:rPr>
          <w:rFonts w:eastAsia="Times New Roman"/>
          <w:color w:val="000000"/>
          <w:sz w:val="20"/>
          <w:szCs w:val="20"/>
        </w:rPr>
        <w:t>o fund our ongoing cash requirements, including working capital requirements, global retail store and digital commerce expansion, construction and renovation of shop-within-shops, investment in infrastructure, including technology, acquisitions, joint vent</w:t>
      </w:r>
      <w:r>
        <w:rPr>
          <w:rFonts w:eastAsia="Times New Roman"/>
          <w:color w:val="000000"/>
          <w:sz w:val="20"/>
          <w:szCs w:val="20"/>
        </w:rPr>
        <w:t>ures, payment of dividends, debt repayments, Class A common stock repurchases, settlement of contingent liabilities (including uncertain tax positions), and other corporate activities, including our restructuring actions. We believe that our existing sourc</w:t>
      </w:r>
      <w:r>
        <w:rPr>
          <w:rFonts w:eastAsia="Times New Roman"/>
          <w:color w:val="000000"/>
          <w:sz w:val="20"/>
          <w:szCs w:val="20"/>
        </w:rPr>
        <w:t>es of cash, the availability under our credit facilities, and our ability to access capital markets will be sufficient to support our operating, capital, and debt service requirements for the foreseeable future, the ongoing development of our businesses, a</w:t>
      </w:r>
      <w:r>
        <w:rPr>
          <w:rFonts w:eastAsia="Times New Roman"/>
          <w:color w:val="000000"/>
          <w:sz w:val="20"/>
          <w:szCs w:val="20"/>
        </w:rPr>
        <w:t xml:space="preserve">nd our plans for further business expansion. However, prolonged periods of adverse economic conditions or business disruptions in any of our key regions, or a combination thereof, such as those resulting from the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8236C92" w14:textId="77777777">
        <w:trPr>
          <w:divId w:val="338237456"/>
          <w:jc w:val="center"/>
        </w:trPr>
        <w:tc>
          <w:tcPr>
            <w:tcW w:w="50" w:type="pct"/>
            <w:vAlign w:val="center"/>
            <w:hideMark/>
          </w:tcPr>
          <w:p w14:paraId="2853FC02" w14:textId="77777777" w:rsidR="00000000" w:rsidRDefault="00EE5306">
            <w:pPr>
              <w:ind w:firstLine="540"/>
              <w:jc w:val="both"/>
              <w:rPr>
                <w:rFonts w:eastAsia="Times New Roman"/>
              </w:rPr>
            </w:pPr>
          </w:p>
        </w:tc>
        <w:tc>
          <w:tcPr>
            <w:tcW w:w="1699" w:type="pct"/>
            <w:vAlign w:val="center"/>
            <w:hideMark/>
          </w:tcPr>
          <w:p w14:paraId="38F792A6" w14:textId="77777777" w:rsidR="00000000" w:rsidRDefault="00EE5306">
            <w:pPr>
              <w:spacing w:after="100"/>
              <w:rPr>
                <w:rFonts w:eastAsia="Times New Roman"/>
                <w:sz w:val="20"/>
                <w:szCs w:val="20"/>
              </w:rPr>
            </w:pPr>
          </w:p>
        </w:tc>
        <w:tc>
          <w:tcPr>
            <w:tcW w:w="5" w:type="pct"/>
            <w:vAlign w:val="center"/>
            <w:hideMark/>
          </w:tcPr>
          <w:p w14:paraId="0CC1AD72" w14:textId="77777777" w:rsidR="00000000" w:rsidRDefault="00EE5306">
            <w:pPr>
              <w:spacing w:after="100"/>
              <w:rPr>
                <w:rFonts w:eastAsia="Times New Roman"/>
                <w:sz w:val="20"/>
                <w:szCs w:val="20"/>
              </w:rPr>
            </w:pPr>
          </w:p>
        </w:tc>
        <w:tc>
          <w:tcPr>
            <w:tcW w:w="50" w:type="pct"/>
            <w:vAlign w:val="center"/>
            <w:hideMark/>
          </w:tcPr>
          <w:p w14:paraId="7D27984C" w14:textId="77777777" w:rsidR="00000000" w:rsidRDefault="00EE5306">
            <w:pPr>
              <w:spacing w:after="100"/>
              <w:rPr>
                <w:rFonts w:eastAsia="Times New Roman"/>
                <w:sz w:val="20"/>
                <w:szCs w:val="20"/>
              </w:rPr>
            </w:pPr>
          </w:p>
        </w:tc>
        <w:tc>
          <w:tcPr>
            <w:tcW w:w="1436" w:type="pct"/>
            <w:vAlign w:val="center"/>
            <w:hideMark/>
          </w:tcPr>
          <w:p w14:paraId="730A8A0D" w14:textId="77777777" w:rsidR="00000000" w:rsidRDefault="00EE5306">
            <w:pPr>
              <w:spacing w:after="100"/>
              <w:rPr>
                <w:rFonts w:eastAsia="Times New Roman"/>
                <w:sz w:val="20"/>
                <w:szCs w:val="20"/>
              </w:rPr>
            </w:pPr>
          </w:p>
        </w:tc>
        <w:tc>
          <w:tcPr>
            <w:tcW w:w="5" w:type="pct"/>
            <w:vAlign w:val="center"/>
            <w:hideMark/>
          </w:tcPr>
          <w:p w14:paraId="765F0B08" w14:textId="77777777" w:rsidR="00000000" w:rsidRDefault="00EE5306">
            <w:pPr>
              <w:spacing w:after="100"/>
              <w:rPr>
                <w:rFonts w:eastAsia="Times New Roman"/>
                <w:sz w:val="20"/>
                <w:szCs w:val="20"/>
              </w:rPr>
            </w:pPr>
          </w:p>
        </w:tc>
        <w:tc>
          <w:tcPr>
            <w:tcW w:w="50" w:type="pct"/>
            <w:vAlign w:val="center"/>
            <w:hideMark/>
          </w:tcPr>
          <w:p w14:paraId="37372AEB" w14:textId="77777777" w:rsidR="00000000" w:rsidRDefault="00EE5306">
            <w:pPr>
              <w:spacing w:after="100"/>
              <w:rPr>
                <w:rFonts w:eastAsia="Times New Roman"/>
                <w:sz w:val="20"/>
                <w:szCs w:val="20"/>
              </w:rPr>
            </w:pPr>
          </w:p>
        </w:tc>
        <w:tc>
          <w:tcPr>
            <w:tcW w:w="1699" w:type="pct"/>
            <w:vAlign w:val="center"/>
            <w:hideMark/>
          </w:tcPr>
          <w:p w14:paraId="5A763A55" w14:textId="77777777" w:rsidR="00000000" w:rsidRDefault="00EE5306">
            <w:pPr>
              <w:spacing w:after="100"/>
              <w:rPr>
                <w:rFonts w:eastAsia="Times New Roman"/>
                <w:sz w:val="20"/>
                <w:szCs w:val="20"/>
              </w:rPr>
            </w:pPr>
          </w:p>
        </w:tc>
        <w:tc>
          <w:tcPr>
            <w:tcW w:w="5" w:type="pct"/>
            <w:vAlign w:val="center"/>
            <w:hideMark/>
          </w:tcPr>
          <w:p w14:paraId="04A8BB3B" w14:textId="77777777" w:rsidR="00000000" w:rsidRDefault="00EE5306">
            <w:pPr>
              <w:spacing w:after="100"/>
              <w:rPr>
                <w:rFonts w:eastAsia="Times New Roman"/>
                <w:sz w:val="20"/>
                <w:szCs w:val="20"/>
              </w:rPr>
            </w:pPr>
          </w:p>
        </w:tc>
      </w:tr>
      <w:tr w:rsidR="00000000" w14:paraId="4921D53D" w14:textId="77777777">
        <w:trPr>
          <w:divId w:val="338237456"/>
          <w:jc w:val="center"/>
        </w:trPr>
        <w:tc>
          <w:tcPr>
            <w:tcW w:w="0" w:type="auto"/>
            <w:gridSpan w:val="3"/>
            <w:tcMar>
              <w:top w:w="0" w:type="dxa"/>
              <w:left w:w="20" w:type="dxa"/>
              <w:bottom w:w="0" w:type="dxa"/>
              <w:right w:w="20" w:type="dxa"/>
            </w:tcMar>
            <w:vAlign w:val="center"/>
            <w:hideMark/>
          </w:tcPr>
          <w:p w14:paraId="6209085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F91A948" w14:textId="77777777" w:rsidR="00000000" w:rsidRDefault="00EE5306">
            <w:pPr>
              <w:spacing w:after="100"/>
              <w:jc w:val="center"/>
              <w:rPr>
                <w:rFonts w:eastAsia="Times New Roman"/>
              </w:rPr>
            </w:pPr>
            <w:r>
              <w:rPr>
                <w:rFonts w:eastAsia="Times New Roman"/>
                <w:color w:val="000000"/>
                <w:sz w:val="20"/>
                <w:szCs w:val="20"/>
              </w:rPr>
              <w:t>66</w:t>
            </w:r>
          </w:p>
        </w:tc>
        <w:tc>
          <w:tcPr>
            <w:tcW w:w="0" w:type="auto"/>
            <w:gridSpan w:val="3"/>
            <w:tcMar>
              <w:top w:w="0" w:type="dxa"/>
              <w:left w:w="20" w:type="dxa"/>
              <w:bottom w:w="0" w:type="dxa"/>
              <w:right w:w="20" w:type="dxa"/>
            </w:tcMar>
            <w:vAlign w:val="center"/>
            <w:hideMark/>
          </w:tcPr>
          <w:p w14:paraId="6217E10F" w14:textId="77777777" w:rsidR="00000000" w:rsidRDefault="00EE5306">
            <w:pPr>
              <w:spacing w:after="100"/>
              <w:jc w:val="center"/>
              <w:rPr>
                <w:rFonts w:eastAsia="Times New Roman"/>
              </w:rPr>
            </w:pPr>
          </w:p>
        </w:tc>
      </w:tr>
    </w:tbl>
    <w:p w14:paraId="31FE685E" w14:textId="77777777" w:rsidR="00000000" w:rsidRDefault="00EE5306">
      <w:pPr>
        <w:rPr>
          <w:rFonts w:eastAsia="Times New Roman"/>
        </w:rPr>
      </w:pPr>
      <w:r>
        <w:rPr>
          <w:rFonts w:eastAsia="Times New Roman"/>
        </w:rPr>
        <w:pict w14:anchorId="034C650E">
          <v:rect id="_x0000_i1093" style="width:0;height:1.5pt" o:hralign="center" o:hrstd="t" o:hr="t" fillcolor="#a0a0a0" stroked="f"/>
        </w:pict>
      </w:r>
    </w:p>
    <w:p w14:paraId="07F6A483" w14:textId="77777777" w:rsidR="00000000" w:rsidRDefault="00EE5306">
      <w:pPr>
        <w:divId w:val="1819809262"/>
        <w:rPr>
          <w:rFonts w:eastAsia="Times New Roman"/>
        </w:rPr>
      </w:pPr>
    </w:p>
    <w:p w14:paraId="1C11D836" w14:textId="77777777" w:rsidR="00000000" w:rsidRDefault="00EE5306">
      <w:pPr>
        <w:jc w:val="both"/>
        <w:divId w:val="982077681"/>
        <w:rPr>
          <w:rFonts w:eastAsia="Times New Roman"/>
        </w:rPr>
      </w:pPr>
      <w:r>
        <w:rPr>
          <w:rFonts w:eastAsia="Times New Roman"/>
          <w:color w:val="000000"/>
          <w:sz w:val="20"/>
          <w:szCs w:val="20"/>
        </w:rPr>
        <w:t>COVID-19 pandemic, could impede our ability to pay our obligations as they become due or return value to our shareholders, as well as delay previously planned expenditures related to our operations.</w:t>
      </w:r>
    </w:p>
    <w:p w14:paraId="73A03FF1" w14:textId="77777777" w:rsidR="00000000" w:rsidRDefault="00EE5306">
      <w:pPr>
        <w:ind w:firstLine="540"/>
        <w:jc w:val="both"/>
        <w:divId w:val="1544948109"/>
        <w:rPr>
          <w:rFonts w:eastAsia="Times New Roman"/>
        </w:rPr>
      </w:pPr>
      <w:r>
        <w:rPr>
          <w:rFonts w:eastAsia="Times New Roman"/>
          <w:color w:val="000000"/>
          <w:sz w:val="20"/>
          <w:szCs w:val="20"/>
        </w:rPr>
        <w:t xml:space="preserve">See Note 11 to the </w:t>
      </w:r>
      <w:r>
        <w:rPr>
          <w:rFonts w:eastAsia="Times New Roman"/>
          <w:color w:val="000000"/>
          <w:sz w:val="20"/>
          <w:szCs w:val="20"/>
        </w:rPr>
        <w:t>accompanying consolidated financial statements for additional information relating to our credit facilities.</w:t>
      </w:r>
    </w:p>
    <w:p w14:paraId="65C206D2" w14:textId="77777777" w:rsidR="00000000" w:rsidRDefault="00EE5306">
      <w:pPr>
        <w:ind w:firstLine="360"/>
        <w:jc w:val="both"/>
        <w:divId w:val="1619143904"/>
        <w:rPr>
          <w:rFonts w:eastAsia="Times New Roman"/>
        </w:rPr>
      </w:pPr>
      <w:r>
        <w:rPr>
          <w:rFonts w:eastAsia="Times New Roman"/>
          <w:b/>
          <w:bCs/>
          <w:i/>
          <w:iCs/>
          <w:color w:val="000000"/>
          <w:sz w:val="20"/>
          <w:szCs w:val="20"/>
        </w:rPr>
        <w:t>Debt and Covenant Compliance</w:t>
      </w:r>
    </w:p>
    <w:p w14:paraId="5F8C934F" w14:textId="77777777" w:rsidR="00000000" w:rsidRDefault="00EE5306">
      <w:pPr>
        <w:ind w:firstLine="540"/>
        <w:jc w:val="both"/>
        <w:divId w:val="552884387"/>
        <w:rPr>
          <w:rFonts w:eastAsia="Times New Roman"/>
        </w:rPr>
      </w:pPr>
      <w:r>
        <w:rPr>
          <w:rFonts w:eastAsia="Times New Roman"/>
          <w:color w:val="000000"/>
          <w:sz w:val="20"/>
          <w:szCs w:val="20"/>
        </w:rPr>
        <w:t>In August 2018, we completed a registered public debt offering and issued $400 million aggregate principal amount of u</w:t>
      </w:r>
      <w:r>
        <w:rPr>
          <w:rFonts w:eastAsia="Times New Roman"/>
          <w:color w:val="000000"/>
          <w:sz w:val="20"/>
          <w:szCs w:val="20"/>
        </w:rPr>
        <w:t>nsecured senior notes due September 15, 2025, which bear interest at a fixed rate of 3.750%, payable semi-annually (the "3.750% Senior Notes"). In June 2020, we completed another registered public debt offering and issued an additional $500 million aggrega</w:t>
      </w:r>
      <w:r>
        <w:rPr>
          <w:rFonts w:eastAsia="Times New Roman"/>
          <w:color w:val="000000"/>
          <w:sz w:val="20"/>
          <w:szCs w:val="20"/>
        </w:rPr>
        <w:t>te principal amount of unsecured senior notes due June 15, 2022, which bear interest at a fixed rate of 1.700%, payable semi-annually (the "1.700% Senior Notes"), and $750 million aggregate principal amount of unsecured senior notes due June 15, 2030, whic</w:t>
      </w:r>
      <w:r>
        <w:rPr>
          <w:rFonts w:eastAsia="Times New Roman"/>
          <w:color w:val="000000"/>
          <w:sz w:val="20"/>
          <w:szCs w:val="20"/>
        </w:rPr>
        <w:t>h bear interest at a fixed rate of 2.950%, payable semi-annually (the "2.950% Senior Notes").</w:t>
      </w:r>
    </w:p>
    <w:p w14:paraId="2EFC228E" w14:textId="77777777" w:rsidR="00000000" w:rsidRDefault="00EE5306">
      <w:pPr>
        <w:ind w:firstLine="540"/>
        <w:jc w:val="both"/>
        <w:divId w:val="396636036"/>
        <w:rPr>
          <w:rFonts w:eastAsia="Times New Roman"/>
        </w:rPr>
      </w:pPr>
      <w:r>
        <w:rPr>
          <w:rFonts w:eastAsia="Times New Roman"/>
          <w:color w:val="000000"/>
          <w:sz w:val="20"/>
          <w:szCs w:val="20"/>
        </w:rPr>
        <w:t>The indenture and supplemental indentures governing the 3.750% Senior Notes, 1.700% Senior Notes, and 2.950% Senior Notes (as supplemented, the "Indenture") conta</w:t>
      </w:r>
      <w:r>
        <w:rPr>
          <w:rFonts w:eastAsia="Times New Roman"/>
          <w:color w:val="000000"/>
          <w:sz w:val="20"/>
          <w:szCs w:val="20"/>
        </w:rPr>
        <w:t>in certain covenants that restrict our ability, subject to specified exceptions, to incur certain liens; enter into sale and leaseback transactions; consolidate or merge with another party; or sell, lease, or convey all or substantially all of our property</w:t>
      </w:r>
      <w:r>
        <w:rPr>
          <w:rFonts w:eastAsia="Times New Roman"/>
          <w:color w:val="000000"/>
          <w:sz w:val="20"/>
          <w:szCs w:val="20"/>
        </w:rPr>
        <w:t xml:space="preserve"> or assets to another party. However, the Indenture does not contain any financial covenants.</w:t>
      </w:r>
    </w:p>
    <w:p w14:paraId="19C667CC" w14:textId="77777777" w:rsidR="00000000" w:rsidRDefault="00EE5306">
      <w:pPr>
        <w:ind w:firstLine="540"/>
        <w:jc w:val="both"/>
        <w:divId w:val="2013408906"/>
        <w:rPr>
          <w:rFonts w:eastAsia="Times New Roman"/>
        </w:rPr>
      </w:pPr>
      <w:r>
        <w:rPr>
          <w:rFonts w:eastAsia="Times New Roman"/>
          <w:color w:val="000000"/>
          <w:sz w:val="20"/>
          <w:szCs w:val="20"/>
        </w:rPr>
        <w:t>We have a credit facility that provides for a $500 million senior unsecured revolving line of credit through August 12, 2024, which is also used to support the issuance of letters of credit and the maintenance of the Commercial Paper Program (the "Global C</w:t>
      </w:r>
      <w:r>
        <w:rPr>
          <w:rFonts w:eastAsia="Times New Roman"/>
          <w:color w:val="000000"/>
          <w:sz w:val="20"/>
          <w:szCs w:val="20"/>
        </w:rPr>
        <w:t>redit Facility"). Borrowings under the Global Credit Facility may be denominated in U.S. Dollars and other currencies, including Euros, Hong Kong Dollars, and Japanese Yen. We have the ability to expand the borrowing availability under the Global Credit Fa</w:t>
      </w:r>
      <w:r>
        <w:rPr>
          <w:rFonts w:eastAsia="Times New Roman"/>
          <w:color w:val="000000"/>
          <w:sz w:val="20"/>
          <w:szCs w:val="20"/>
        </w:rPr>
        <w:t>cility to $1 billion, subject to the agreement of one or more new or existing lenders under the facility to increase their commitments. There are no mandatory reductions in borrowing ability throughout the term of the Global Credit Facility.</w:t>
      </w:r>
    </w:p>
    <w:p w14:paraId="6B88B827" w14:textId="77777777" w:rsidR="00000000" w:rsidRDefault="00EE5306">
      <w:pPr>
        <w:ind w:firstLine="540"/>
        <w:jc w:val="both"/>
        <w:divId w:val="194395247"/>
        <w:rPr>
          <w:rFonts w:eastAsia="Times New Roman"/>
        </w:rPr>
      </w:pPr>
      <w:r>
        <w:rPr>
          <w:rFonts w:eastAsia="Times New Roman"/>
          <w:color w:val="000000"/>
          <w:sz w:val="20"/>
          <w:szCs w:val="20"/>
        </w:rPr>
        <w:t>In March 2020,</w:t>
      </w:r>
      <w:r>
        <w:rPr>
          <w:rFonts w:eastAsia="Times New Roman"/>
          <w:color w:val="000000"/>
          <w:sz w:val="20"/>
          <w:szCs w:val="20"/>
        </w:rPr>
        <w:t xml:space="preserve"> we borrowed $475.0 million under the Global Credit Facility as a preemptive action to preserve cash and strengthen our liquidity position in response to the COVID-19 pandemic, which was subsequently repaid in June 2020.</w:t>
      </w:r>
    </w:p>
    <w:p w14:paraId="770D8F19" w14:textId="77777777" w:rsidR="00000000" w:rsidRDefault="00EE5306">
      <w:pPr>
        <w:ind w:firstLine="540"/>
        <w:jc w:val="both"/>
        <w:divId w:val="17631098"/>
        <w:rPr>
          <w:rFonts w:eastAsia="Times New Roman"/>
        </w:rPr>
      </w:pPr>
      <w:r>
        <w:rPr>
          <w:rFonts w:eastAsia="Times New Roman"/>
          <w:color w:val="000000"/>
          <w:sz w:val="20"/>
          <w:szCs w:val="20"/>
        </w:rPr>
        <w:t>The Global Credit Facility contains</w:t>
      </w:r>
      <w:r>
        <w:rPr>
          <w:rFonts w:eastAsia="Times New Roman"/>
          <w:color w:val="000000"/>
          <w:sz w:val="20"/>
          <w:szCs w:val="20"/>
        </w:rPr>
        <w:t xml:space="preserve"> a number of covenants, as described in Note 11 to the accompanying consolidated financial statements. As of March 27, 2021, no Event of Default (as such term is defined pursuant to the Global Credit Facility) has occurred under our Global Credit Facility.</w:t>
      </w:r>
      <w:r>
        <w:rPr>
          <w:rFonts w:eastAsia="Times New Roman"/>
          <w:color w:val="000000"/>
          <w:sz w:val="20"/>
          <w:szCs w:val="20"/>
        </w:rPr>
        <w:t xml:space="preserve"> The Pan-Asia Borrowing Facilities do not contain any financial covenants.</w:t>
      </w:r>
    </w:p>
    <w:p w14:paraId="5E37B7AD" w14:textId="77777777" w:rsidR="00000000" w:rsidRDefault="00EE5306">
      <w:pPr>
        <w:ind w:firstLine="450"/>
        <w:jc w:val="both"/>
        <w:divId w:val="1315985625"/>
        <w:rPr>
          <w:rFonts w:eastAsia="Times New Roman"/>
        </w:rPr>
      </w:pPr>
      <w:r>
        <w:rPr>
          <w:rFonts w:eastAsia="Times New Roman"/>
          <w:color w:val="000000"/>
          <w:sz w:val="20"/>
          <w:szCs w:val="20"/>
        </w:rPr>
        <w:t>See Note 11 to the accompanying consolidated financial statements for additional information relating to our debt and covenant compliance.</w:t>
      </w:r>
    </w:p>
    <w:p w14:paraId="1A8E62F5" w14:textId="77777777" w:rsidR="00000000" w:rsidRDefault="00EE5306">
      <w:pPr>
        <w:ind w:firstLine="360"/>
        <w:jc w:val="both"/>
        <w:divId w:val="252591858"/>
        <w:rPr>
          <w:rFonts w:eastAsia="Times New Roman"/>
        </w:rPr>
      </w:pPr>
      <w:r>
        <w:rPr>
          <w:rFonts w:eastAsia="Times New Roman"/>
          <w:b/>
          <w:bCs/>
          <w:i/>
          <w:iCs/>
          <w:color w:val="000000"/>
          <w:sz w:val="20"/>
          <w:szCs w:val="20"/>
        </w:rPr>
        <w:t>Common Stock Repurchase Program</w:t>
      </w:r>
    </w:p>
    <w:p w14:paraId="63771530" w14:textId="77777777" w:rsidR="00000000" w:rsidRDefault="00EE5306">
      <w:pPr>
        <w:ind w:firstLine="540"/>
        <w:jc w:val="both"/>
        <w:divId w:val="1800760333"/>
        <w:rPr>
          <w:rFonts w:eastAsia="Times New Roman"/>
        </w:rPr>
      </w:pPr>
      <w:r>
        <w:rPr>
          <w:rFonts w:eastAsia="Times New Roman"/>
          <w:color w:val="000000"/>
          <w:sz w:val="20"/>
          <w:szCs w:val="20"/>
        </w:rPr>
        <w:t>On May 13,</w:t>
      </w:r>
      <w:r>
        <w:rPr>
          <w:rFonts w:eastAsia="Times New Roman"/>
          <w:color w:val="000000"/>
          <w:sz w:val="20"/>
          <w:szCs w:val="20"/>
        </w:rPr>
        <w:t xml:space="preserve"> 2019, our Board of Directors approved an expansion of our existing common stock repurchase program that allowed us to repurchase up to an additional $600 million of Class A common stock. As of March 27, 2021, the remaining availability under our Class A c</w:t>
      </w:r>
      <w:r>
        <w:rPr>
          <w:rFonts w:eastAsia="Times New Roman"/>
          <w:color w:val="000000"/>
          <w:sz w:val="20"/>
          <w:szCs w:val="20"/>
        </w:rPr>
        <w:t>ommon stock repurchase program was approximately $580 million. Repurchases of shares of Class A common stock are subject to certain restrictions under our Global Credit Facility and more generally overall business and market conditions. Accordingly, as a r</w:t>
      </w:r>
      <w:r>
        <w:rPr>
          <w:rFonts w:eastAsia="Times New Roman"/>
          <w:color w:val="000000"/>
          <w:sz w:val="20"/>
          <w:szCs w:val="20"/>
        </w:rPr>
        <w:t>esult of business disruptions related to the COVID-19 pandemic, effective beginning in the first quarter of Fiscal 2021 we temporarily suspended our common stock repurchase program as a preemptive action to preserve cash and strengthen our liquidity positi</w:t>
      </w:r>
      <w:r>
        <w:rPr>
          <w:rFonts w:eastAsia="Times New Roman"/>
          <w:color w:val="000000"/>
          <w:sz w:val="20"/>
          <w:szCs w:val="20"/>
        </w:rPr>
        <w:t>on.</w:t>
      </w:r>
    </w:p>
    <w:p w14:paraId="6A74B783" w14:textId="77777777" w:rsidR="00000000" w:rsidRDefault="00EE5306">
      <w:pPr>
        <w:ind w:firstLine="450"/>
        <w:jc w:val="both"/>
        <w:divId w:val="1543706171"/>
        <w:rPr>
          <w:rFonts w:eastAsia="Times New Roman"/>
        </w:rPr>
      </w:pPr>
      <w:r>
        <w:rPr>
          <w:rFonts w:eastAsia="Times New Roman"/>
          <w:color w:val="000000"/>
          <w:sz w:val="20"/>
          <w:szCs w:val="20"/>
        </w:rPr>
        <w:t xml:space="preserve">See Note 16 to the accompanying consolidated financial statements for additional information relating to our Class A common stock repurchase program.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9437FE1" w14:textId="77777777">
        <w:trPr>
          <w:divId w:val="828132665"/>
          <w:jc w:val="center"/>
        </w:trPr>
        <w:tc>
          <w:tcPr>
            <w:tcW w:w="50" w:type="pct"/>
            <w:vAlign w:val="center"/>
            <w:hideMark/>
          </w:tcPr>
          <w:p w14:paraId="1AB11E12" w14:textId="77777777" w:rsidR="00000000" w:rsidRDefault="00EE5306">
            <w:pPr>
              <w:ind w:firstLine="450"/>
              <w:jc w:val="both"/>
              <w:rPr>
                <w:rFonts w:eastAsia="Times New Roman"/>
              </w:rPr>
            </w:pPr>
          </w:p>
        </w:tc>
        <w:tc>
          <w:tcPr>
            <w:tcW w:w="1699" w:type="pct"/>
            <w:vAlign w:val="center"/>
            <w:hideMark/>
          </w:tcPr>
          <w:p w14:paraId="17DB4739" w14:textId="77777777" w:rsidR="00000000" w:rsidRDefault="00EE5306">
            <w:pPr>
              <w:spacing w:after="100"/>
              <w:rPr>
                <w:rFonts w:eastAsia="Times New Roman"/>
                <w:sz w:val="20"/>
                <w:szCs w:val="20"/>
              </w:rPr>
            </w:pPr>
          </w:p>
        </w:tc>
        <w:tc>
          <w:tcPr>
            <w:tcW w:w="5" w:type="pct"/>
            <w:vAlign w:val="center"/>
            <w:hideMark/>
          </w:tcPr>
          <w:p w14:paraId="52480F67" w14:textId="77777777" w:rsidR="00000000" w:rsidRDefault="00EE5306">
            <w:pPr>
              <w:spacing w:after="100"/>
              <w:rPr>
                <w:rFonts w:eastAsia="Times New Roman"/>
                <w:sz w:val="20"/>
                <w:szCs w:val="20"/>
              </w:rPr>
            </w:pPr>
          </w:p>
        </w:tc>
        <w:tc>
          <w:tcPr>
            <w:tcW w:w="50" w:type="pct"/>
            <w:vAlign w:val="center"/>
            <w:hideMark/>
          </w:tcPr>
          <w:p w14:paraId="3183B703" w14:textId="77777777" w:rsidR="00000000" w:rsidRDefault="00EE5306">
            <w:pPr>
              <w:spacing w:after="100"/>
              <w:rPr>
                <w:rFonts w:eastAsia="Times New Roman"/>
                <w:sz w:val="20"/>
                <w:szCs w:val="20"/>
              </w:rPr>
            </w:pPr>
          </w:p>
        </w:tc>
        <w:tc>
          <w:tcPr>
            <w:tcW w:w="1436" w:type="pct"/>
            <w:vAlign w:val="center"/>
            <w:hideMark/>
          </w:tcPr>
          <w:p w14:paraId="2510CAB4" w14:textId="77777777" w:rsidR="00000000" w:rsidRDefault="00EE5306">
            <w:pPr>
              <w:spacing w:after="100"/>
              <w:rPr>
                <w:rFonts w:eastAsia="Times New Roman"/>
                <w:sz w:val="20"/>
                <w:szCs w:val="20"/>
              </w:rPr>
            </w:pPr>
          </w:p>
        </w:tc>
        <w:tc>
          <w:tcPr>
            <w:tcW w:w="5" w:type="pct"/>
            <w:vAlign w:val="center"/>
            <w:hideMark/>
          </w:tcPr>
          <w:p w14:paraId="103D225A" w14:textId="77777777" w:rsidR="00000000" w:rsidRDefault="00EE5306">
            <w:pPr>
              <w:spacing w:after="100"/>
              <w:rPr>
                <w:rFonts w:eastAsia="Times New Roman"/>
                <w:sz w:val="20"/>
                <w:szCs w:val="20"/>
              </w:rPr>
            </w:pPr>
          </w:p>
        </w:tc>
        <w:tc>
          <w:tcPr>
            <w:tcW w:w="50" w:type="pct"/>
            <w:vAlign w:val="center"/>
            <w:hideMark/>
          </w:tcPr>
          <w:p w14:paraId="145B8AB3" w14:textId="77777777" w:rsidR="00000000" w:rsidRDefault="00EE5306">
            <w:pPr>
              <w:spacing w:after="100"/>
              <w:rPr>
                <w:rFonts w:eastAsia="Times New Roman"/>
                <w:sz w:val="20"/>
                <w:szCs w:val="20"/>
              </w:rPr>
            </w:pPr>
          </w:p>
        </w:tc>
        <w:tc>
          <w:tcPr>
            <w:tcW w:w="1699" w:type="pct"/>
            <w:vAlign w:val="center"/>
            <w:hideMark/>
          </w:tcPr>
          <w:p w14:paraId="16E4AAC1" w14:textId="77777777" w:rsidR="00000000" w:rsidRDefault="00EE5306">
            <w:pPr>
              <w:spacing w:after="100"/>
              <w:rPr>
                <w:rFonts w:eastAsia="Times New Roman"/>
                <w:sz w:val="20"/>
                <w:szCs w:val="20"/>
              </w:rPr>
            </w:pPr>
          </w:p>
        </w:tc>
        <w:tc>
          <w:tcPr>
            <w:tcW w:w="5" w:type="pct"/>
            <w:vAlign w:val="center"/>
            <w:hideMark/>
          </w:tcPr>
          <w:p w14:paraId="5D776AA7" w14:textId="77777777" w:rsidR="00000000" w:rsidRDefault="00EE5306">
            <w:pPr>
              <w:spacing w:after="100"/>
              <w:rPr>
                <w:rFonts w:eastAsia="Times New Roman"/>
                <w:sz w:val="20"/>
                <w:szCs w:val="20"/>
              </w:rPr>
            </w:pPr>
          </w:p>
        </w:tc>
      </w:tr>
      <w:tr w:rsidR="00000000" w14:paraId="7483D17A" w14:textId="77777777">
        <w:trPr>
          <w:divId w:val="828132665"/>
          <w:jc w:val="center"/>
        </w:trPr>
        <w:tc>
          <w:tcPr>
            <w:tcW w:w="0" w:type="auto"/>
            <w:gridSpan w:val="3"/>
            <w:tcMar>
              <w:top w:w="0" w:type="dxa"/>
              <w:left w:w="20" w:type="dxa"/>
              <w:bottom w:w="0" w:type="dxa"/>
              <w:right w:w="20" w:type="dxa"/>
            </w:tcMar>
            <w:vAlign w:val="center"/>
            <w:hideMark/>
          </w:tcPr>
          <w:p w14:paraId="3D8DB43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0470417" w14:textId="77777777" w:rsidR="00000000" w:rsidRDefault="00EE5306">
            <w:pPr>
              <w:spacing w:after="100"/>
              <w:jc w:val="center"/>
              <w:rPr>
                <w:rFonts w:eastAsia="Times New Roman"/>
              </w:rPr>
            </w:pPr>
            <w:r>
              <w:rPr>
                <w:rFonts w:eastAsia="Times New Roman"/>
                <w:color w:val="000000"/>
                <w:sz w:val="20"/>
                <w:szCs w:val="20"/>
              </w:rPr>
              <w:t>67</w:t>
            </w:r>
          </w:p>
        </w:tc>
        <w:tc>
          <w:tcPr>
            <w:tcW w:w="0" w:type="auto"/>
            <w:gridSpan w:val="3"/>
            <w:tcMar>
              <w:top w:w="0" w:type="dxa"/>
              <w:left w:w="20" w:type="dxa"/>
              <w:bottom w:w="0" w:type="dxa"/>
              <w:right w:w="20" w:type="dxa"/>
            </w:tcMar>
            <w:vAlign w:val="center"/>
            <w:hideMark/>
          </w:tcPr>
          <w:p w14:paraId="3F7487A0" w14:textId="77777777" w:rsidR="00000000" w:rsidRDefault="00EE5306">
            <w:pPr>
              <w:spacing w:after="100"/>
              <w:jc w:val="center"/>
              <w:rPr>
                <w:rFonts w:eastAsia="Times New Roman"/>
              </w:rPr>
            </w:pPr>
          </w:p>
        </w:tc>
      </w:tr>
    </w:tbl>
    <w:p w14:paraId="00082112" w14:textId="77777777" w:rsidR="00000000" w:rsidRDefault="00EE5306">
      <w:pPr>
        <w:rPr>
          <w:rFonts w:eastAsia="Times New Roman"/>
        </w:rPr>
      </w:pPr>
      <w:r>
        <w:rPr>
          <w:rFonts w:eastAsia="Times New Roman"/>
        </w:rPr>
        <w:pict w14:anchorId="24CD89C7">
          <v:rect id="_x0000_i1094" style="width:0;height:1.5pt" o:hralign="center" o:hrstd="t" o:hr="t" fillcolor="#a0a0a0" stroked="f"/>
        </w:pict>
      </w:r>
    </w:p>
    <w:p w14:paraId="52E96ACE" w14:textId="77777777" w:rsidR="00000000" w:rsidRDefault="00EE5306">
      <w:pPr>
        <w:divId w:val="49034491"/>
        <w:rPr>
          <w:rFonts w:eastAsia="Times New Roman"/>
        </w:rPr>
      </w:pPr>
    </w:p>
    <w:p w14:paraId="5FB354AD" w14:textId="77777777" w:rsidR="00000000" w:rsidRDefault="00EE5306">
      <w:pPr>
        <w:ind w:firstLine="360"/>
        <w:jc w:val="both"/>
        <w:divId w:val="1393308047"/>
        <w:rPr>
          <w:rFonts w:eastAsia="Times New Roman"/>
        </w:rPr>
      </w:pPr>
      <w:r>
        <w:rPr>
          <w:rFonts w:eastAsia="Times New Roman"/>
          <w:b/>
          <w:bCs/>
          <w:i/>
          <w:iCs/>
          <w:color w:val="000000"/>
          <w:sz w:val="20"/>
          <w:szCs w:val="20"/>
        </w:rPr>
        <w:t>Dividends</w:t>
      </w:r>
    </w:p>
    <w:p w14:paraId="7DC45147" w14:textId="77777777" w:rsidR="00000000" w:rsidRDefault="00EE5306">
      <w:pPr>
        <w:ind w:firstLine="540"/>
        <w:jc w:val="both"/>
        <w:divId w:val="1600983716"/>
        <w:rPr>
          <w:rFonts w:eastAsia="Times New Roman"/>
        </w:rPr>
      </w:pPr>
      <w:r>
        <w:rPr>
          <w:rFonts w:eastAsia="Times New Roman"/>
          <w:color w:val="000000"/>
          <w:sz w:val="20"/>
          <w:szCs w:val="20"/>
        </w:rPr>
        <w:t>Except as discussed below, we have maintained a regular quarterly cash dividend program on our common stock since 2003. On May 13, 2019, our Board of Directors approved an increase to the quarterly cash divid</w:t>
      </w:r>
      <w:r>
        <w:rPr>
          <w:rFonts w:eastAsia="Times New Roman"/>
          <w:color w:val="000000"/>
          <w:sz w:val="20"/>
          <w:szCs w:val="20"/>
        </w:rPr>
        <w:t>end on our common stock from $0.625 to $0.6875 per share.</w:t>
      </w:r>
    </w:p>
    <w:p w14:paraId="6F6F083A" w14:textId="77777777" w:rsidR="00000000" w:rsidRDefault="00EE5306">
      <w:pPr>
        <w:ind w:firstLine="540"/>
        <w:jc w:val="both"/>
        <w:divId w:val="719522342"/>
        <w:rPr>
          <w:rFonts w:eastAsia="Times New Roman"/>
        </w:rPr>
      </w:pPr>
      <w:r>
        <w:rPr>
          <w:rFonts w:eastAsia="Times New Roman"/>
          <w:color w:val="000000"/>
          <w:sz w:val="20"/>
          <w:szCs w:val="20"/>
        </w:rPr>
        <w:t>As a result of business disruptions related to the COVID-19 pandemic, effective beginning in the first quarter of Fiscal 2021 we temporarily suspended our quarterly cash dividend program as a preemp</w:t>
      </w:r>
      <w:r>
        <w:rPr>
          <w:rFonts w:eastAsia="Times New Roman"/>
          <w:color w:val="000000"/>
          <w:sz w:val="20"/>
          <w:szCs w:val="20"/>
        </w:rPr>
        <w:t>tive action to preserve cash and strengthen our liquidity position. On May 19, 2021, our Board of Directors approved the reinstatement of our quarterly cash dividend program at the pre-pandemic amount of $0.6875 per share. The first quarterly dividend sinc</w:t>
      </w:r>
      <w:r>
        <w:rPr>
          <w:rFonts w:eastAsia="Times New Roman"/>
          <w:color w:val="000000"/>
          <w:sz w:val="20"/>
          <w:szCs w:val="20"/>
        </w:rPr>
        <w:t>e such reinstatement will be payable to shareholders of record at the close of business on June 25, 2021, and will be paid on July 9, 2021.</w:t>
      </w:r>
    </w:p>
    <w:p w14:paraId="119B8798" w14:textId="77777777" w:rsidR="00000000" w:rsidRDefault="00EE5306">
      <w:pPr>
        <w:ind w:firstLine="540"/>
        <w:jc w:val="both"/>
        <w:divId w:val="1754400247"/>
        <w:rPr>
          <w:rFonts w:eastAsia="Times New Roman"/>
        </w:rPr>
      </w:pPr>
      <w:r>
        <w:rPr>
          <w:rFonts w:eastAsia="Times New Roman"/>
          <w:color w:val="000000"/>
          <w:sz w:val="20"/>
          <w:szCs w:val="20"/>
        </w:rPr>
        <w:t>We intend to continue to pay regular dividends on our outstanding common stock. However, any decision to declare and</w:t>
      </w:r>
      <w:r>
        <w:rPr>
          <w:rFonts w:eastAsia="Times New Roman"/>
          <w:color w:val="000000"/>
          <w:sz w:val="20"/>
          <w:szCs w:val="20"/>
        </w:rPr>
        <w:t xml:space="preserve"> pay dividends in the future will be made at the discretion of our Board of Directors and will depend on our results of operations, cash requirements, financial condition, and other factors that the Board of Directors may deem relevant, including economic </w:t>
      </w:r>
      <w:r>
        <w:rPr>
          <w:rFonts w:eastAsia="Times New Roman"/>
          <w:color w:val="000000"/>
          <w:sz w:val="20"/>
          <w:szCs w:val="20"/>
        </w:rPr>
        <w:t>and market conditions.</w:t>
      </w:r>
    </w:p>
    <w:p w14:paraId="16AD82B3" w14:textId="77777777" w:rsidR="00000000" w:rsidRDefault="00EE5306">
      <w:pPr>
        <w:ind w:firstLine="360"/>
        <w:jc w:val="both"/>
        <w:divId w:val="1570000902"/>
        <w:rPr>
          <w:rFonts w:eastAsia="Times New Roman"/>
        </w:rPr>
      </w:pPr>
      <w:r>
        <w:rPr>
          <w:rFonts w:eastAsia="Times New Roman"/>
          <w:b/>
          <w:bCs/>
          <w:i/>
          <w:iCs/>
          <w:color w:val="000000"/>
          <w:sz w:val="20"/>
          <w:szCs w:val="20"/>
        </w:rPr>
        <w:t>Contractual and Other Obligations</w:t>
      </w:r>
    </w:p>
    <w:p w14:paraId="197BD483" w14:textId="77777777" w:rsidR="00000000" w:rsidRDefault="00EE5306">
      <w:pPr>
        <w:ind w:firstLine="360"/>
        <w:jc w:val="both"/>
        <w:divId w:val="580138318"/>
        <w:rPr>
          <w:rFonts w:eastAsia="Times New Roman"/>
        </w:rPr>
      </w:pPr>
      <w:r>
        <w:rPr>
          <w:rFonts w:eastAsia="Times New Roman"/>
          <w:i/>
          <w:iCs/>
          <w:color w:val="000000"/>
          <w:sz w:val="20"/>
          <w:szCs w:val="20"/>
        </w:rPr>
        <w:t>Firm Commitments</w:t>
      </w:r>
    </w:p>
    <w:p w14:paraId="3E946401" w14:textId="77777777" w:rsidR="00000000" w:rsidRDefault="00EE5306">
      <w:pPr>
        <w:ind w:firstLine="540"/>
        <w:jc w:val="both"/>
        <w:divId w:val="134374614"/>
        <w:rPr>
          <w:rFonts w:eastAsia="Times New Roman"/>
        </w:rPr>
      </w:pPr>
      <w:r>
        <w:rPr>
          <w:rFonts w:eastAsia="Times New Roman"/>
          <w:color w:val="000000"/>
          <w:sz w:val="20"/>
          <w:szCs w:val="20"/>
        </w:rPr>
        <w:t>The following table summarizes certain of our aggregate contractual obligations as of March 27, 2021, and the estimated timing and effect that such obligations are expected to have o</w:t>
      </w:r>
      <w:r>
        <w:rPr>
          <w:rFonts w:eastAsia="Times New Roman"/>
          <w:color w:val="000000"/>
          <w:sz w:val="20"/>
          <w:szCs w:val="20"/>
        </w:rPr>
        <w:t xml:space="preserve">n our liquidity and cash flows in future periods. We expect to fund these firm commitments with operating cash flows generated in the normal course of business and, if necessary, through availability under our credit facilities or other accessible sources </w:t>
      </w:r>
      <w:r>
        <w:rPr>
          <w:rFonts w:eastAsia="Times New Roman"/>
          <w:color w:val="000000"/>
          <w:sz w:val="20"/>
          <w:szCs w:val="20"/>
        </w:rPr>
        <w:t>of financing.</w:t>
      </w:r>
    </w:p>
    <w:tbl>
      <w:tblPr>
        <w:tblW w:w="4707" w:type="pct"/>
        <w:tblCellMar>
          <w:top w:w="15" w:type="dxa"/>
          <w:left w:w="15" w:type="dxa"/>
          <w:bottom w:w="15" w:type="dxa"/>
          <w:right w:w="15" w:type="dxa"/>
        </w:tblCellMar>
        <w:tblLook w:val="04A0" w:firstRow="1" w:lastRow="0" w:firstColumn="1" w:lastColumn="0" w:noHBand="0" w:noVBand="1"/>
      </w:tblPr>
      <w:tblGrid>
        <w:gridCol w:w="39"/>
        <w:gridCol w:w="2564"/>
        <w:gridCol w:w="38"/>
        <w:gridCol w:w="36"/>
        <w:gridCol w:w="36"/>
        <w:gridCol w:w="36"/>
        <w:gridCol w:w="120"/>
        <w:gridCol w:w="770"/>
        <w:gridCol w:w="36"/>
        <w:gridCol w:w="36"/>
        <w:gridCol w:w="36"/>
        <w:gridCol w:w="36"/>
        <w:gridCol w:w="120"/>
        <w:gridCol w:w="772"/>
        <w:gridCol w:w="36"/>
        <w:gridCol w:w="36"/>
        <w:gridCol w:w="36"/>
        <w:gridCol w:w="36"/>
        <w:gridCol w:w="120"/>
        <w:gridCol w:w="772"/>
        <w:gridCol w:w="36"/>
        <w:gridCol w:w="36"/>
        <w:gridCol w:w="36"/>
        <w:gridCol w:w="36"/>
        <w:gridCol w:w="120"/>
        <w:gridCol w:w="772"/>
        <w:gridCol w:w="36"/>
        <w:gridCol w:w="36"/>
        <w:gridCol w:w="36"/>
        <w:gridCol w:w="36"/>
        <w:gridCol w:w="120"/>
        <w:gridCol w:w="772"/>
        <w:gridCol w:w="36"/>
      </w:tblGrid>
      <w:tr w:rsidR="00000000" w14:paraId="7E9FB562" w14:textId="77777777">
        <w:trPr>
          <w:divId w:val="1287659606"/>
        </w:trPr>
        <w:tc>
          <w:tcPr>
            <w:tcW w:w="50" w:type="pct"/>
            <w:vAlign w:val="center"/>
            <w:hideMark/>
          </w:tcPr>
          <w:p w14:paraId="5DCD5FF7" w14:textId="77777777" w:rsidR="00000000" w:rsidRDefault="00EE5306">
            <w:pPr>
              <w:ind w:firstLine="540"/>
              <w:jc w:val="both"/>
              <w:rPr>
                <w:rFonts w:eastAsia="Times New Roman"/>
              </w:rPr>
            </w:pPr>
          </w:p>
        </w:tc>
        <w:tc>
          <w:tcPr>
            <w:tcW w:w="1684" w:type="pct"/>
            <w:vAlign w:val="center"/>
            <w:hideMark/>
          </w:tcPr>
          <w:p w14:paraId="2AE76C43" w14:textId="77777777" w:rsidR="00000000" w:rsidRDefault="00EE5306">
            <w:pPr>
              <w:spacing w:after="100"/>
              <w:rPr>
                <w:rFonts w:eastAsia="Times New Roman"/>
                <w:sz w:val="20"/>
                <w:szCs w:val="20"/>
              </w:rPr>
            </w:pPr>
          </w:p>
        </w:tc>
        <w:tc>
          <w:tcPr>
            <w:tcW w:w="5" w:type="pct"/>
            <w:vAlign w:val="center"/>
            <w:hideMark/>
          </w:tcPr>
          <w:p w14:paraId="0B30FE8A" w14:textId="77777777" w:rsidR="00000000" w:rsidRDefault="00EE5306">
            <w:pPr>
              <w:spacing w:after="100"/>
              <w:rPr>
                <w:rFonts w:eastAsia="Times New Roman"/>
                <w:sz w:val="20"/>
                <w:szCs w:val="20"/>
              </w:rPr>
            </w:pPr>
          </w:p>
        </w:tc>
        <w:tc>
          <w:tcPr>
            <w:tcW w:w="5" w:type="pct"/>
            <w:vAlign w:val="center"/>
            <w:hideMark/>
          </w:tcPr>
          <w:p w14:paraId="71A1B073" w14:textId="77777777" w:rsidR="00000000" w:rsidRDefault="00EE5306">
            <w:pPr>
              <w:spacing w:after="100"/>
              <w:rPr>
                <w:rFonts w:eastAsia="Times New Roman"/>
                <w:sz w:val="20"/>
                <w:szCs w:val="20"/>
              </w:rPr>
            </w:pPr>
          </w:p>
        </w:tc>
        <w:tc>
          <w:tcPr>
            <w:tcW w:w="28" w:type="pct"/>
            <w:vAlign w:val="center"/>
            <w:hideMark/>
          </w:tcPr>
          <w:p w14:paraId="62FB0E15" w14:textId="77777777" w:rsidR="00000000" w:rsidRDefault="00EE5306">
            <w:pPr>
              <w:spacing w:after="100"/>
              <w:rPr>
                <w:rFonts w:eastAsia="Times New Roman"/>
                <w:sz w:val="20"/>
                <w:szCs w:val="20"/>
              </w:rPr>
            </w:pPr>
          </w:p>
        </w:tc>
        <w:tc>
          <w:tcPr>
            <w:tcW w:w="5" w:type="pct"/>
            <w:vAlign w:val="center"/>
            <w:hideMark/>
          </w:tcPr>
          <w:p w14:paraId="54582175" w14:textId="77777777" w:rsidR="00000000" w:rsidRDefault="00EE5306">
            <w:pPr>
              <w:spacing w:after="100"/>
              <w:rPr>
                <w:rFonts w:eastAsia="Times New Roman"/>
                <w:sz w:val="20"/>
                <w:szCs w:val="20"/>
              </w:rPr>
            </w:pPr>
          </w:p>
        </w:tc>
        <w:tc>
          <w:tcPr>
            <w:tcW w:w="50" w:type="pct"/>
            <w:vAlign w:val="center"/>
            <w:hideMark/>
          </w:tcPr>
          <w:p w14:paraId="54085993" w14:textId="77777777" w:rsidR="00000000" w:rsidRDefault="00EE5306">
            <w:pPr>
              <w:spacing w:after="100"/>
              <w:rPr>
                <w:rFonts w:eastAsia="Times New Roman"/>
                <w:sz w:val="20"/>
                <w:szCs w:val="20"/>
              </w:rPr>
            </w:pPr>
          </w:p>
        </w:tc>
        <w:tc>
          <w:tcPr>
            <w:tcW w:w="558" w:type="pct"/>
            <w:vAlign w:val="center"/>
            <w:hideMark/>
          </w:tcPr>
          <w:p w14:paraId="5F612E99" w14:textId="77777777" w:rsidR="00000000" w:rsidRDefault="00EE5306">
            <w:pPr>
              <w:spacing w:after="100"/>
              <w:rPr>
                <w:rFonts w:eastAsia="Times New Roman"/>
                <w:sz w:val="20"/>
                <w:szCs w:val="20"/>
              </w:rPr>
            </w:pPr>
          </w:p>
        </w:tc>
        <w:tc>
          <w:tcPr>
            <w:tcW w:w="5" w:type="pct"/>
            <w:vAlign w:val="center"/>
            <w:hideMark/>
          </w:tcPr>
          <w:p w14:paraId="2E458763" w14:textId="77777777" w:rsidR="00000000" w:rsidRDefault="00EE5306">
            <w:pPr>
              <w:spacing w:after="100"/>
              <w:rPr>
                <w:rFonts w:eastAsia="Times New Roman"/>
                <w:sz w:val="20"/>
                <w:szCs w:val="20"/>
              </w:rPr>
            </w:pPr>
          </w:p>
        </w:tc>
        <w:tc>
          <w:tcPr>
            <w:tcW w:w="5" w:type="pct"/>
            <w:vAlign w:val="center"/>
            <w:hideMark/>
          </w:tcPr>
          <w:p w14:paraId="3C67B8B5" w14:textId="77777777" w:rsidR="00000000" w:rsidRDefault="00EE5306">
            <w:pPr>
              <w:spacing w:after="100"/>
              <w:rPr>
                <w:rFonts w:eastAsia="Times New Roman"/>
                <w:sz w:val="20"/>
                <w:szCs w:val="20"/>
              </w:rPr>
            </w:pPr>
          </w:p>
        </w:tc>
        <w:tc>
          <w:tcPr>
            <w:tcW w:w="28" w:type="pct"/>
            <w:vAlign w:val="center"/>
            <w:hideMark/>
          </w:tcPr>
          <w:p w14:paraId="7225C620" w14:textId="77777777" w:rsidR="00000000" w:rsidRDefault="00EE5306">
            <w:pPr>
              <w:spacing w:after="100"/>
              <w:rPr>
                <w:rFonts w:eastAsia="Times New Roman"/>
                <w:sz w:val="20"/>
                <w:szCs w:val="20"/>
              </w:rPr>
            </w:pPr>
          </w:p>
        </w:tc>
        <w:tc>
          <w:tcPr>
            <w:tcW w:w="5" w:type="pct"/>
            <w:vAlign w:val="center"/>
            <w:hideMark/>
          </w:tcPr>
          <w:p w14:paraId="2E2EB9AE" w14:textId="77777777" w:rsidR="00000000" w:rsidRDefault="00EE5306">
            <w:pPr>
              <w:spacing w:after="100"/>
              <w:rPr>
                <w:rFonts w:eastAsia="Times New Roman"/>
                <w:sz w:val="20"/>
                <w:szCs w:val="20"/>
              </w:rPr>
            </w:pPr>
          </w:p>
        </w:tc>
        <w:tc>
          <w:tcPr>
            <w:tcW w:w="50" w:type="pct"/>
            <w:vAlign w:val="center"/>
            <w:hideMark/>
          </w:tcPr>
          <w:p w14:paraId="51960C05" w14:textId="77777777" w:rsidR="00000000" w:rsidRDefault="00EE5306">
            <w:pPr>
              <w:spacing w:after="100"/>
              <w:rPr>
                <w:rFonts w:eastAsia="Times New Roman"/>
                <w:sz w:val="20"/>
                <w:szCs w:val="20"/>
              </w:rPr>
            </w:pPr>
          </w:p>
        </w:tc>
        <w:tc>
          <w:tcPr>
            <w:tcW w:w="558" w:type="pct"/>
            <w:vAlign w:val="center"/>
            <w:hideMark/>
          </w:tcPr>
          <w:p w14:paraId="0458046C" w14:textId="77777777" w:rsidR="00000000" w:rsidRDefault="00EE5306">
            <w:pPr>
              <w:spacing w:after="100"/>
              <w:rPr>
                <w:rFonts w:eastAsia="Times New Roman"/>
                <w:sz w:val="20"/>
                <w:szCs w:val="20"/>
              </w:rPr>
            </w:pPr>
          </w:p>
        </w:tc>
        <w:tc>
          <w:tcPr>
            <w:tcW w:w="5" w:type="pct"/>
            <w:vAlign w:val="center"/>
            <w:hideMark/>
          </w:tcPr>
          <w:p w14:paraId="3FAE463A" w14:textId="77777777" w:rsidR="00000000" w:rsidRDefault="00EE5306">
            <w:pPr>
              <w:spacing w:after="100"/>
              <w:rPr>
                <w:rFonts w:eastAsia="Times New Roman"/>
                <w:sz w:val="20"/>
                <w:szCs w:val="20"/>
              </w:rPr>
            </w:pPr>
          </w:p>
        </w:tc>
        <w:tc>
          <w:tcPr>
            <w:tcW w:w="5" w:type="pct"/>
            <w:vAlign w:val="center"/>
            <w:hideMark/>
          </w:tcPr>
          <w:p w14:paraId="1BC8F23E" w14:textId="77777777" w:rsidR="00000000" w:rsidRDefault="00EE5306">
            <w:pPr>
              <w:spacing w:after="100"/>
              <w:rPr>
                <w:rFonts w:eastAsia="Times New Roman"/>
                <w:sz w:val="20"/>
                <w:szCs w:val="20"/>
              </w:rPr>
            </w:pPr>
          </w:p>
        </w:tc>
        <w:tc>
          <w:tcPr>
            <w:tcW w:w="28" w:type="pct"/>
            <w:vAlign w:val="center"/>
            <w:hideMark/>
          </w:tcPr>
          <w:p w14:paraId="0701FFD5" w14:textId="77777777" w:rsidR="00000000" w:rsidRDefault="00EE5306">
            <w:pPr>
              <w:spacing w:after="100"/>
              <w:rPr>
                <w:rFonts w:eastAsia="Times New Roman"/>
                <w:sz w:val="20"/>
                <w:szCs w:val="20"/>
              </w:rPr>
            </w:pPr>
          </w:p>
        </w:tc>
        <w:tc>
          <w:tcPr>
            <w:tcW w:w="5" w:type="pct"/>
            <w:vAlign w:val="center"/>
            <w:hideMark/>
          </w:tcPr>
          <w:p w14:paraId="72C0308B" w14:textId="77777777" w:rsidR="00000000" w:rsidRDefault="00EE5306">
            <w:pPr>
              <w:spacing w:after="100"/>
              <w:rPr>
                <w:rFonts w:eastAsia="Times New Roman"/>
                <w:sz w:val="20"/>
                <w:szCs w:val="20"/>
              </w:rPr>
            </w:pPr>
          </w:p>
        </w:tc>
        <w:tc>
          <w:tcPr>
            <w:tcW w:w="50" w:type="pct"/>
            <w:vAlign w:val="center"/>
            <w:hideMark/>
          </w:tcPr>
          <w:p w14:paraId="52133E1B" w14:textId="77777777" w:rsidR="00000000" w:rsidRDefault="00EE5306">
            <w:pPr>
              <w:spacing w:after="100"/>
              <w:rPr>
                <w:rFonts w:eastAsia="Times New Roman"/>
                <w:sz w:val="20"/>
                <w:szCs w:val="20"/>
              </w:rPr>
            </w:pPr>
          </w:p>
        </w:tc>
        <w:tc>
          <w:tcPr>
            <w:tcW w:w="558" w:type="pct"/>
            <w:vAlign w:val="center"/>
            <w:hideMark/>
          </w:tcPr>
          <w:p w14:paraId="47426428" w14:textId="77777777" w:rsidR="00000000" w:rsidRDefault="00EE5306">
            <w:pPr>
              <w:spacing w:after="100"/>
              <w:rPr>
                <w:rFonts w:eastAsia="Times New Roman"/>
                <w:sz w:val="20"/>
                <w:szCs w:val="20"/>
              </w:rPr>
            </w:pPr>
          </w:p>
        </w:tc>
        <w:tc>
          <w:tcPr>
            <w:tcW w:w="5" w:type="pct"/>
            <w:vAlign w:val="center"/>
            <w:hideMark/>
          </w:tcPr>
          <w:p w14:paraId="59091DE8" w14:textId="77777777" w:rsidR="00000000" w:rsidRDefault="00EE5306">
            <w:pPr>
              <w:spacing w:after="100"/>
              <w:rPr>
                <w:rFonts w:eastAsia="Times New Roman"/>
                <w:sz w:val="20"/>
                <w:szCs w:val="20"/>
              </w:rPr>
            </w:pPr>
          </w:p>
        </w:tc>
        <w:tc>
          <w:tcPr>
            <w:tcW w:w="5" w:type="pct"/>
            <w:vAlign w:val="center"/>
            <w:hideMark/>
          </w:tcPr>
          <w:p w14:paraId="4DCD4325" w14:textId="77777777" w:rsidR="00000000" w:rsidRDefault="00EE5306">
            <w:pPr>
              <w:spacing w:after="100"/>
              <w:rPr>
                <w:rFonts w:eastAsia="Times New Roman"/>
                <w:sz w:val="20"/>
                <w:szCs w:val="20"/>
              </w:rPr>
            </w:pPr>
          </w:p>
        </w:tc>
        <w:tc>
          <w:tcPr>
            <w:tcW w:w="28" w:type="pct"/>
            <w:vAlign w:val="center"/>
            <w:hideMark/>
          </w:tcPr>
          <w:p w14:paraId="5695B191" w14:textId="77777777" w:rsidR="00000000" w:rsidRDefault="00EE5306">
            <w:pPr>
              <w:spacing w:after="100"/>
              <w:rPr>
                <w:rFonts w:eastAsia="Times New Roman"/>
                <w:sz w:val="20"/>
                <w:szCs w:val="20"/>
              </w:rPr>
            </w:pPr>
          </w:p>
        </w:tc>
        <w:tc>
          <w:tcPr>
            <w:tcW w:w="5" w:type="pct"/>
            <w:vAlign w:val="center"/>
            <w:hideMark/>
          </w:tcPr>
          <w:p w14:paraId="47C9DA52" w14:textId="77777777" w:rsidR="00000000" w:rsidRDefault="00EE5306">
            <w:pPr>
              <w:spacing w:after="100"/>
              <w:rPr>
                <w:rFonts w:eastAsia="Times New Roman"/>
                <w:sz w:val="20"/>
                <w:szCs w:val="20"/>
              </w:rPr>
            </w:pPr>
          </w:p>
        </w:tc>
        <w:tc>
          <w:tcPr>
            <w:tcW w:w="50" w:type="pct"/>
            <w:vAlign w:val="center"/>
            <w:hideMark/>
          </w:tcPr>
          <w:p w14:paraId="25C9630B" w14:textId="77777777" w:rsidR="00000000" w:rsidRDefault="00EE5306">
            <w:pPr>
              <w:spacing w:after="100"/>
              <w:rPr>
                <w:rFonts w:eastAsia="Times New Roman"/>
                <w:sz w:val="20"/>
                <w:szCs w:val="20"/>
              </w:rPr>
            </w:pPr>
          </w:p>
        </w:tc>
        <w:tc>
          <w:tcPr>
            <w:tcW w:w="558" w:type="pct"/>
            <w:vAlign w:val="center"/>
            <w:hideMark/>
          </w:tcPr>
          <w:p w14:paraId="39E95C03" w14:textId="77777777" w:rsidR="00000000" w:rsidRDefault="00EE5306">
            <w:pPr>
              <w:spacing w:after="100"/>
              <w:rPr>
                <w:rFonts w:eastAsia="Times New Roman"/>
                <w:sz w:val="20"/>
                <w:szCs w:val="20"/>
              </w:rPr>
            </w:pPr>
          </w:p>
        </w:tc>
        <w:tc>
          <w:tcPr>
            <w:tcW w:w="5" w:type="pct"/>
            <w:vAlign w:val="center"/>
            <w:hideMark/>
          </w:tcPr>
          <w:p w14:paraId="487BAFB6" w14:textId="77777777" w:rsidR="00000000" w:rsidRDefault="00EE5306">
            <w:pPr>
              <w:spacing w:after="100"/>
              <w:rPr>
                <w:rFonts w:eastAsia="Times New Roman"/>
                <w:sz w:val="20"/>
                <w:szCs w:val="20"/>
              </w:rPr>
            </w:pPr>
          </w:p>
        </w:tc>
        <w:tc>
          <w:tcPr>
            <w:tcW w:w="5" w:type="pct"/>
            <w:vAlign w:val="center"/>
            <w:hideMark/>
          </w:tcPr>
          <w:p w14:paraId="4C10C40A" w14:textId="77777777" w:rsidR="00000000" w:rsidRDefault="00EE5306">
            <w:pPr>
              <w:spacing w:after="100"/>
              <w:rPr>
                <w:rFonts w:eastAsia="Times New Roman"/>
                <w:sz w:val="20"/>
                <w:szCs w:val="20"/>
              </w:rPr>
            </w:pPr>
          </w:p>
        </w:tc>
        <w:tc>
          <w:tcPr>
            <w:tcW w:w="28" w:type="pct"/>
            <w:vAlign w:val="center"/>
            <w:hideMark/>
          </w:tcPr>
          <w:p w14:paraId="3A3D9531" w14:textId="77777777" w:rsidR="00000000" w:rsidRDefault="00EE5306">
            <w:pPr>
              <w:spacing w:after="100"/>
              <w:rPr>
                <w:rFonts w:eastAsia="Times New Roman"/>
                <w:sz w:val="20"/>
                <w:szCs w:val="20"/>
              </w:rPr>
            </w:pPr>
          </w:p>
        </w:tc>
        <w:tc>
          <w:tcPr>
            <w:tcW w:w="5" w:type="pct"/>
            <w:vAlign w:val="center"/>
            <w:hideMark/>
          </w:tcPr>
          <w:p w14:paraId="67913F4E" w14:textId="77777777" w:rsidR="00000000" w:rsidRDefault="00EE5306">
            <w:pPr>
              <w:spacing w:after="100"/>
              <w:rPr>
                <w:rFonts w:eastAsia="Times New Roman"/>
                <w:sz w:val="20"/>
                <w:szCs w:val="20"/>
              </w:rPr>
            </w:pPr>
          </w:p>
        </w:tc>
        <w:tc>
          <w:tcPr>
            <w:tcW w:w="50" w:type="pct"/>
            <w:vAlign w:val="center"/>
            <w:hideMark/>
          </w:tcPr>
          <w:p w14:paraId="4A36909E" w14:textId="77777777" w:rsidR="00000000" w:rsidRDefault="00EE5306">
            <w:pPr>
              <w:spacing w:after="100"/>
              <w:rPr>
                <w:rFonts w:eastAsia="Times New Roman"/>
                <w:sz w:val="20"/>
                <w:szCs w:val="20"/>
              </w:rPr>
            </w:pPr>
          </w:p>
        </w:tc>
        <w:tc>
          <w:tcPr>
            <w:tcW w:w="558" w:type="pct"/>
            <w:vAlign w:val="center"/>
            <w:hideMark/>
          </w:tcPr>
          <w:p w14:paraId="2A56CBDA" w14:textId="77777777" w:rsidR="00000000" w:rsidRDefault="00EE5306">
            <w:pPr>
              <w:spacing w:after="100"/>
              <w:rPr>
                <w:rFonts w:eastAsia="Times New Roman"/>
                <w:sz w:val="20"/>
                <w:szCs w:val="20"/>
              </w:rPr>
            </w:pPr>
          </w:p>
        </w:tc>
        <w:tc>
          <w:tcPr>
            <w:tcW w:w="5" w:type="pct"/>
            <w:vAlign w:val="center"/>
            <w:hideMark/>
          </w:tcPr>
          <w:p w14:paraId="5ED7247D" w14:textId="77777777" w:rsidR="00000000" w:rsidRDefault="00EE5306">
            <w:pPr>
              <w:spacing w:after="100"/>
              <w:rPr>
                <w:rFonts w:eastAsia="Times New Roman"/>
                <w:sz w:val="20"/>
                <w:szCs w:val="20"/>
              </w:rPr>
            </w:pPr>
          </w:p>
        </w:tc>
      </w:tr>
      <w:tr w:rsidR="00000000" w14:paraId="17EA3073" w14:textId="77777777">
        <w:trPr>
          <w:divId w:val="1287659606"/>
        </w:trPr>
        <w:tc>
          <w:tcPr>
            <w:tcW w:w="0" w:type="auto"/>
            <w:gridSpan w:val="3"/>
            <w:tcMar>
              <w:top w:w="0" w:type="dxa"/>
              <w:left w:w="20" w:type="dxa"/>
              <w:bottom w:w="0" w:type="dxa"/>
              <w:right w:w="20" w:type="dxa"/>
            </w:tcMar>
            <w:vAlign w:val="center"/>
            <w:hideMark/>
          </w:tcPr>
          <w:p w14:paraId="4FFE78F8"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73B26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1904AB3" w14:textId="77777777" w:rsidR="00000000" w:rsidRDefault="00EE5306">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378E85E0"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1B2BBD6" w14:textId="77777777" w:rsidR="00000000" w:rsidRDefault="00EE5306">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2023-2024</w:t>
            </w:r>
          </w:p>
        </w:tc>
        <w:tc>
          <w:tcPr>
            <w:tcW w:w="0" w:type="auto"/>
            <w:gridSpan w:val="3"/>
            <w:tcMar>
              <w:top w:w="0" w:type="dxa"/>
              <w:left w:w="20" w:type="dxa"/>
              <w:bottom w:w="0" w:type="dxa"/>
              <w:right w:w="20" w:type="dxa"/>
            </w:tcMar>
            <w:vAlign w:val="center"/>
            <w:hideMark/>
          </w:tcPr>
          <w:p w14:paraId="70DCFC4C"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8C7DDAD" w14:textId="77777777" w:rsidR="00000000" w:rsidRDefault="00EE5306">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2025-2026</w:t>
            </w:r>
          </w:p>
        </w:tc>
        <w:tc>
          <w:tcPr>
            <w:tcW w:w="0" w:type="auto"/>
            <w:gridSpan w:val="3"/>
            <w:tcMar>
              <w:top w:w="0" w:type="dxa"/>
              <w:left w:w="20" w:type="dxa"/>
              <w:bottom w:w="0" w:type="dxa"/>
              <w:right w:w="20" w:type="dxa"/>
            </w:tcMar>
            <w:vAlign w:val="center"/>
            <w:hideMark/>
          </w:tcPr>
          <w:p w14:paraId="56902F9B"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47F2D83" w14:textId="77777777" w:rsidR="00000000" w:rsidRDefault="00EE5306">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2027 and</w:t>
            </w:r>
            <w:r>
              <w:rPr>
                <w:rFonts w:eastAsia="Times New Roman"/>
                <w:b/>
                <w:bCs/>
                <w:color w:val="000000"/>
                <w:sz w:val="16"/>
                <w:szCs w:val="16"/>
              </w:rPr>
              <w:br/>
              <w:t>Thereafter</w:t>
            </w:r>
          </w:p>
        </w:tc>
        <w:tc>
          <w:tcPr>
            <w:tcW w:w="0" w:type="auto"/>
            <w:gridSpan w:val="3"/>
            <w:tcMar>
              <w:top w:w="0" w:type="dxa"/>
              <w:left w:w="20" w:type="dxa"/>
              <w:bottom w:w="0" w:type="dxa"/>
              <w:right w:w="20" w:type="dxa"/>
            </w:tcMar>
            <w:vAlign w:val="center"/>
            <w:hideMark/>
          </w:tcPr>
          <w:p w14:paraId="4E02037C"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E4C807E" w14:textId="77777777" w:rsidR="00000000" w:rsidRDefault="00EE5306">
            <w:pPr>
              <w:spacing w:after="100"/>
              <w:jc w:val="center"/>
              <w:rPr>
                <w:rFonts w:eastAsia="Times New Roman"/>
              </w:rPr>
            </w:pPr>
            <w:r>
              <w:rPr>
                <w:rFonts w:eastAsia="Times New Roman"/>
                <w:b/>
                <w:bCs/>
                <w:color w:val="000000"/>
                <w:sz w:val="16"/>
                <w:szCs w:val="16"/>
              </w:rPr>
              <w:t>Total</w:t>
            </w:r>
          </w:p>
        </w:tc>
      </w:tr>
      <w:tr w:rsidR="00000000" w14:paraId="030DCAE6" w14:textId="77777777">
        <w:trPr>
          <w:divId w:val="1287659606"/>
        </w:trPr>
        <w:tc>
          <w:tcPr>
            <w:tcW w:w="0" w:type="auto"/>
            <w:gridSpan w:val="3"/>
            <w:tcMar>
              <w:top w:w="30" w:type="dxa"/>
              <w:left w:w="20" w:type="dxa"/>
              <w:bottom w:w="30" w:type="dxa"/>
              <w:right w:w="20" w:type="dxa"/>
            </w:tcMar>
            <w:vAlign w:val="bottom"/>
            <w:hideMark/>
          </w:tcPr>
          <w:p w14:paraId="0E517AFB"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6E7A26F" w14:textId="77777777" w:rsidR="00000000" w:rsidRDefault="00EE5306">
            <w:pPr>
              <w:spacing w:after="100"/>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14:paraId="5F4F5F74"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29AF41A8" w14:textId="77777777">
        <w:trPr>
          <w:divId w:val="1287659606"/>
        </w:trPr>
        <w:tc>
          <w:tcPr>
            <w:tcW w:w="0" w:type="auto"/>
            <w:gridSpan w:val="3"/>
            <w:shd w:val="clear" w:color="auto" w:fill="CCEEFF"/>
            <w:tcMar>
              <w:top w:w="30" w:type="dxa"/>
              <w:left w:w="20" w:type="dxa"/>
              <w:bottom w:w="30" w:type="dxa"/>
              <w:right w:w="20" w:type="dxa"/>
            </w:tcMar>
            <w:hideMark/>
          </w:tcPr>
          <w:p w14:paraId="432D804B" w14:textId="77777777" w:rsidR="00000000" w:rsidRDefault="00EE5306">
            <w:pPr>
              <w:spacing w:after="100"/>
              <w:rPr>
                <w:rFonts w:eastAsia="Times New Roman"/>
              </w:rPr>
            </w:pPr>
            <w:r>
              <w:rPr>
                <w:rFonts w:eastAsia="Times New Roman"/>
                <w:color w:val="000000"/>
                <w:sz w:val="20"/>
                <w:szCs w:val="20"/>
              </w:rPr>
              <w:t>Senior Notes</w:t>
            </w:r>
          </w:p>
        </w:tc>
        <w:tc>
          <w:tcPr>
            <w:tcW w:w="0" w:type="auto"/>
            <w:gridSpan w:val="3"/>
            <w:shd w:val="clear" w:color="auto" w:fill="CCEEFF"/>
            <w:tcMar>
              <w:top w:w="0" w:type="dxa"/>
              <w:left w:w="20" w:type="dxa"/>
              <w:bottom w:w="0" w:type="dxa"/>
              <w:right w:w="20" w:type="dxa"/>
            </w:tcMar>
            <w:vAlign w:val="center"/>
            <w:hideMark/>
          </w:tcPr>
          <w:p w14:paraId="439F9391"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BECF5B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9C7296"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E4A1F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52591"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1EFA0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6B9E6A" w14:textId="77777777" w:rsidR="00000000" w:rsidRDefault="00EE5306">
            <w:pPr>
              <w:spacing w:after="100"/>
              <w:jc w:val="right"/>
              <w:rPr>
                <w:rFonts w:eastAsia="Times New Roman"/>
              </w:rPr>
            </w:pPr>
            <w:r>
              <w:rPr>
                <w:rFonts w:eastAsia="Times New Roman"/>
                <w:color w:val="000000"/>
                <w:sz w:val="20"/>
                <w:szCs w:val="20"/>
              </w:rPr>
              <w:t>500.0 </w:t>
            </w:r>
          </w:p>
        </w:tc>
        <w:tc>
          <w:tcPr>
            <w:tcW w:w="0" w:type="auto"/>
            <w:shd w:val="clear" w:color="auto" w:fill="CCEEFF"/>
            <w:tcMar>
              <w:top w:w="30" w:type="dxa"/>
              <w:left w:w="0" w:type="dxa"/>
              <w:bottom w:w="30" w:type="dxa"/>
              <w:right w:w="20" w:type="dxa"/>
            </w:tcMar>
            <w:vAlign w:val="bottom"/>
            <w:hideMark/>
          </w:tcPr>
          <w:p w14:paraId="08A90C3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7882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3F340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BB0386" w14:textId="77777777" w:rsidR="00000000" w:rsidRDefault="00EE5306">
            <w:pPr>
              <w:spacing w:after="100"/>
              <w:jc w:val="right"/>
              <w:rPr>
                <w:rFonts w:eastAsia="Times New Roman"/>
              </w:rPr>
            </w:pPr>
            <w:r>
              <w:rPr>
                <w:rFonts w:eastAsia="Times New Roman"/>
                <w:color w:val="000000"/>
                <w:sz w:val="20"/>
                <w:szCs w:val="20"/>
              </w:rPr>
              <w:t>400.0 </w:t>
            </w:r>
          </w:p>
        </w:tc>
        <w:tc>
          <w:tcPr>
            <w:tcW w:w="0" w:type="auto"/>
            <w:shd w:val="clear" w:color="auto" w:fill="CCEEFF"/>
            <w:tcMar>
              <w:top w:w="30" w:type="dxa"/>
              <w:left w:w="0" w:type="dxa"/>
              <w:bottom w:w="30" w:type="dxa"/>
              <w:right w:w="20" w:type="dxa"/>
            </w:tcMar>
            <w:vAlign w:val="bottom"/>
            <w:hideMark/>
          </w:tcPr>
          <w:p w14:paraId="6B82FA8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10400"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93457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DC1143" w14:textId="77777777" w:rsidR="00000000" w:rsidRDefault="00EE5306">
            <w:pPr>
              <w:spacing w:after="100"/>
              <w:jc w:val="right"/>
              <w:rPr>
                <w:rFonts w:eastAsia="Times New Roman"/>
              </w:rPr>
            </w:pPr>
            <w:r>
              <w:rPr>
                <w:rFonts w:eastAsia="Times New Roman"/>
                <w:color w:val="000000"/>
                <w:sz w:val="20"/>
                <w:szCs w:val="20"/>
              </w:rPr>
              <w:t>750.0 </w:t>
            </w:r>
          </w:p>
        </w:tc>
        <w:tc>
          <w:tcPr>
            <w:tcW w:w="0" w:type="auto"/>
            <w:shd w:val="clear" w:color="auto" w:fill="CCEEFF"/>
            <w:tcMar>
              <w:top w:w="30" w:type="dxa"/>
              <w:left w:w="0" w:type="dxa"/>
              <w:bottom w:w="30" w:type="dxa"/>
              <w:right w:w="20" w:type="dxa"/>
            </w:tcMar>
            <w:vAlign w:val="bottom"/>
            <w:hideMark/>
          </w:tcPr>
          <w:p w14:paraId="288F11E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FA218"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EA22E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49A386" w14:textId="77777777" w:rsidR="00000000" w:rsidRDefault="00EE5306">
            <w:pPr>
              <w:spacing w:after="100"/>
              <w:jc w:val="right"/>
              <w:rPr>
                <w:rFonts w:eastAsia="Times New Roman"/>
              </w:rPr>
            </w:pPr>
            <w:r>
              <w:rPr>
                <w:rFonts w:eastAsia="Times New Roman"/>
                <w:color w:val="000000"/>
                <w:sz w:val="20"/>
                <w:szCs w:val="20"/>
              </w:rPr>
              <w:t>1,650.0 </w:t>
            </w:r>
          </w:p>
        </w:tc>
        <w:tc>
          <w:tcPr>
            <w:tcW w:w="0" w:type="auto"/>
            <w:shd w:val="clear" w:color="auto" w:fill="CCEEFF"/>
            <w:tcMar>
              <w:top w:w="30" w:type="dxa"/>
              <w:left w:w="0" w:type="dxa"/>
              <w:bottom w:w="30" w:type="dxa"/>
              <w:right w:w="20" w:type="dxa"/>
            </w:tcMar>
            <w:vAlign w:val="bottom"/>
            <w:hideMark/>
          </w:tcPr>
          <w:p w14:paraId="1C1340F2" w14:textId="77777777" w:rsidR="00000000" w:rsidRDefault="00EE5306">
            <w:pPr>
              <w:spacing w:after="100"/>
              <w:jc w:val="right"/>
              <w:rPr>
                <w:rFonts w:eastAsia="Times New Roman"/>
              </w:rPr>
            </w:pPr>
          </w:p>
        </w:tc>
      </w:tr>
      <w:tr w:rsidR="00000000" w14:paraId="486293D2" w14:textId="77777777">
        <w:trPr>
          <w:divId w:val="1287659606"/>
        </w:trPr>
        <w:tc>
          <w:tcPr>
            <w:tcW w:w="0" w:type="auto"/>
            <w:gridSpan w:val="3"/>
            <w:shd w:val="clear" w:color="auto" w:fill="FFFFFF"/>
            <w:tcMar>
              <w:top w:w="30" w:type="dxa"/>
              <w:left w:w="20" w:type="dxa"/>
              <w:bottom w:w="30" w:type="dxa"/>
              <w:right w:w="20" w:type="dxa"/>
            </w:tcMar>
            <w:hideMark/>
          </w:tcPr>
          <w:p w14:paraId="43769748" w14:textId="77777777" w:rsidR="00000000" w:rsidRDefault="00EE5306">
            <w:pPr>
              <w:spacing w:after="100"/>
              <w:rPr>
                <w:rFonts w:eastAsia="Times New Roman"/>
              </w:rPr>
            </w:pPr>
            <w:r>
              <w:rPr>
                <w:rFonts w:eastAsia="Times New Roman"/>
                <w:color w:val="000000"/>
                <w:sz w:val="20"/>
                <w:szCs w:val="20"/>
              </w:rPr>
              <w:t>Interest payments on debt</w:t>
            </w:r>
          </w:p>
        </w:tc>
        <w:tc>
          <w:tcPr>
            <w:tcW w:w="0" w:type="auto"/>
            <w:gridSpan w:val="3"/>
            <w:shd w:val="clear" w:color="auto" w:fill="FFFFFF"/>
            <w:tcMar>
              <w:top w:w="0" w:type="dxa"/>
              <w:left w:w="20" w:type="dxa"/>
              <w:bottom w:w="0" w:type="dxa"/>
              <w:right w:w="20" w:type="dxa"/>
            </w:tcMar>
            <w:vAlign w:val="center"/>
            <w:hideMark/>
          </w:tcPr>
          <w:p w14:paraId="3796896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225C56" w14:textId="77777777" w:rsidR="00000000" w:rsidRDefault="00EE5306">
            <w:pPr>
              <w:spacing w:after="100"/>
              <w:jc w:val="right"/>
              <w:rPr>
                <w:rFonts w:eastAsia="Times New Roman"/>
              </w:rPr>
            </w:pPr>
            <w:r>
              <w:rPr>
                <w:rFonts w:eastAsia="Times New Roman"/>
                <w:color w:val="000000"/>
                <w:sz w:val="20"/>
                <w:szCs w:val="20"/>
              </w:rPr>
              <w:t>45.6 </w:t>
            </w:r>
          </w:p>
        </w:tc>
        <w:tc>
          <w:tcPr>
            <w:tcW w:w="0" w:type="auto"/>
            <w:shd w:val="clear" w:color="auto" w:fill="FFFFFF"/>
            <w:tcMar>
              <w:top w:w="30" w:type="dxa"/>
              <w:left w:w="0" w:type="dxa"/>
              <w:bottom w:w="30" w:type="dxa"/>
              <w:right w:w="20" w:type="dxa"/>
            </w:tcMar>
            <w:vAlign w:val="bottom"/>
            <w:hideMark/>
          </w:tcPr>
          <w:p w14:paraId="323D04E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17AC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FF862B" w14:textId="77777777" w:rsidR="00000000" w:rsidRDefault="00EE5306">
            <w:pPr>
              <w:spacing w:after="100"/>
              <w:jc w:val="right"/>
              <w:rPr>
                <w:rFonts w:eastAsia="Times New Roman"/>
              </w:rPr>
            </w:pPr>
            <w:r>
              <w:rPr>
                <w:rFonts w:eastAsia="Times New Roman"/>
                <w:color w:val="000000"/>
                <w:sz w:val="20"/>
                <w:szCs w:val="20"/>
              </w:rPr>
              <w:t>78.5 </w:t>
            </w:r>
          </w:p>
        </w:tc>
        <w:tc>
          <w:tcPr>
            <w:tcW w:w="0" w:type="auto"/>
            <w:shd w:val="clear" w:color="auto" w:fill="FFFFFF"/>
            <w:tcMar>
              <w:top w:w="30" w:type="dxa"/>
              <w:left w:w="0" w:type="dxa"/>
              <w:bottom w:w="30" w:type="dxa"/>
              <w:right w:w="20" w:type="dxa"/>
            </w:tcMar>
            <w:vAlign w:val="bottom"/>
            <w:hideMark/>
          </w:tcPr>
          <w:p w14:paraId="38CB1F1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3F4B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7F0D81" w14:textId="77777777" w:rsidR="00000000" w:rsidRDefault="00EE5306">
            <w:pPr>
              <w:spacing w:after="100"/>
              <w:jc w:val="right"/>
              <w:rPr>
                <w:rFonts w:eastAsia="Times New Roman"/>
              </w:rPr>
            </w:pPr>
            <w:r>
              <w:rPr>
                <w:rFonts w:eastAsia="Times New Roman"/>
                <w:color w:val="000000"/>
                <w:sz w:val="20"/>
                <w:szCs w:val="20"/>
              </w:rPr>
              <w:t>64.3 </w:t>
            </w:r>
          </w:p>
        </w:tc>
        <w:tc>
          <w:tcPr>
            <w:tcW w:w="0" w:type="auto"/>
            <w:shd w:val="clear" w:color="auto" w:fill="FFFFFF"/>
            <w:tcMar>
              <w:top w:w="30" w:type="dxa"/>
              <w:left w:w="0" w:type="dxa"/>
              <w:bottom w:w="30" w:type="dxa"/>
              <w:right w:w="20" w:type="dxa"/>
            </w:tcMar>
            <w:vAlign w:val="bottom"/>
            <w:hideMark/>
          </w:tcPr>
          <w:p w14:paraId="0F35FA9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B158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D67986" w14:textId="77777777" w:rsidR="00000000" w:rsidRDefault="00EE5306">
            <w:pPr>
              <w:spacing w:after="100"/>
              <w:jc w:val="right"/>
              <w:rPr>
                <w:rFonts w:eastAsia="Times New Roman"/>
              </w:rPr>
            </w:pPr>
            <w:r>
              <w:rPr>
                <w:rFonts w:eastAsia="Times New Roman"/>
                <w:color w:val="000000"/>
                <w:sz w:val="20"/>
                <w:szCs w:val="20"/>
              </w:rPr>
              <w:t>94.0 </w:t>
            </w:r>
          </w:p>
        </w:tc>
        <w:tc>
          <w:tcPr>
            <w:tcW w:w="0" w:type="auto"/>
            <w:shd w:val="clear" w:color="auto" w:fill="FFFFFF"/>
            <w:tcMar>
              <w:top w:w="30" w:type="dxa"/>
              <w:left w:w="0" w:type="dxa"/>
              <w:bottom w:w="30" w:type="dxa"/>
              <w:right w:w="20" w:type="dxa"/>
            </w:tcMar>
            <w:vAlign w:val="bottom"/>
            <w:hideMark/>
          </w:tcPr>
          <w:p w14:paraId="5600BF1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035D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E5A71" w14:textId="77777777" w:rsidR="00000000" w:rsidRDefault="00EE5306">
            <w:pPr>
              <w:spacing w:after="100"/>
              <w:jc w:val="right"/>
              <w:rPr>
                <w:rFonts w:eastAsia="Times New Roman"/>
              </w:rPr>
            </w:pPr>
            <w:r>
              <w:rPr>
                <w:rFonts w:eastAsia="Times New Roman"/>
                <w:color w:val="000000"/>
                <w:sz w:val="20"/>
                <w:szCs w:val="20"/>
              </w:rPr>
              <w:t>282.4 </w:t>
            </w:r>
          </w:p>
        </w:tc>
        <w:tc>
          <w:tcPr>
            <w:tcW w:w="0" w:type="auto"/>
            <w:shd w:val="clear" w:color="auto" w:fill="FFFFFF"/>
            <w:tcMar>
              <w:top w:w="30" w:type="dxa"/>
              <w:left w:w="0" w:type="dxa"/>
              <w:bottom w:w="30" w:type="dxa"/>
              <w:right w:w="20" w:type="dxa"/>
            </w:tcMar>
            <w:vAlign w:val="bottom"/>
            <w:hideMark/>
          </w:tcPr>
          <w:p w14:paraId="35B052BB" w14:textId="77777777" w:rsidR="00000000" w:rsidRDefault="00EE5306">
            <w:pPr>
              <w:spacing w:after="100"/>
              <w:jc w:val="right"/>
              <w:rPr>
                <w:rFonts w:eastAsia="Times New Roman"/>
              </w:rPr>
            </w:pPr>
          </w:p>
        </w:tc>
      </w:tr>
      <w:tr w:rsidR="00000000" w14:paraId="7C399F16" w14:textId="77777777">
        <w:trPr>
          <w:divId w:val="1287659606"/>
        </w:trPr>
        <w:tc>
          <w:tcPr>
            <w:tcW w:w="0" w:type="auto"/>
            <w:gridSpan w:val="3"/>
            <w:shd w:val="clear" w:color="auto" w:fill="CCEEFF"/>
            <w:tcMar>
              <w:top w:w="30" w:type="dxa"/>
              <w:left w:w="20" w:type="dxa"/>
              <w:bottom w:w="30" w:type="dxa"/>
              <w:right w:w="20" w:type="dxa"/>
            </w:tcMar>
            <w:hideMark/>
          </w:tcPr>
          <w:p w14:paraId="08CDA87F" w14:textId="77777777" w:rsidR="00000000" w:rsidRDefault="00EE5306">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14:paraId="54C5D55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97710F" w14:textId="77777777" w:rsidR="00000000" w:rsidRDefault="00EE5306">
            <w:pPr>
              <w:spacing w:after="100"/>
              <w:jc w:val="right"/>
              <w:rPr>
                <w:rFonts w:eastAsia="Times New Roman"/>
              </w:rPr>
            </w:pPr>
            <w:r>
              <w:rPr>
                <w:rFonts w:eastAsia="Times New Roman"/>
                <w:color w:val="000000"/>
                <w:sz w:val="20"/>
                <w:szCs w:val="20"/>
              </w:rPr>
              <w:t>332.7 </w:t>
            </w:r>
          </w:p>
        </w:tc>
        <w:tc>
          <w:tcPr>
            <w:tcW w:w="0" w:type="auto"/>
            <w:shd w:val="clear" w:color="auto" w:fill="CCEEFF"/>
            <w:tcMar>
              <w:top w:w="30" w:type="dxa"/>
              <w:left w:w="0" w:type="dxa"/>
              <w:bottom w:w="30" w:type="dxa"/>
              <w:right w:w="20" w:type="dxa"/>
            </w:tcMar>
            <w:vAlign w:val="bottom"/>
            <w:hideMark/>
          </w:tcPr>
          <w:p w14:paraId="00D9143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9F5B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848F55" w14:textId="77777777" w:rsidR="00000000" w:rsidRDefault="00EE5306">
            <w:pPr>
              <w:spacing w:after="100"/>
              <w:jc w:val="right"/>
              <w:rPr>
                <w:rFonts w:eastAsia="Times New Roman"/>
              </w:rPr>
            </w:pPr>
            <w:r>
              <w:rPr>
                <w:rFonts w:eastAsia="Times New Roman"/>
                <w:color w:val="000000"/>
                <w:sz w:val="20"/>
                <w:szCs w:val="20"/>
              </w:rPr>
              <w:t>570.5 </w:t>
            </w:r>
          </w:p>
        </w:tc>
        <w:tc>
          <w:tcPr>
            <w:tcW w:w="0" w:type="auto"/>
            <w:shd w:val="clear" w:color="auto" w:fill="CCEEFF"/>
            <w:tcMar>
              <w:top w:w="30" w:type="dxa"/>
              <w:left w:w="0" w:type="dxa"/>
              <w:bottom w:w="30" w:type="dxa"/>
              <w:right w:w="20" w:type="dxa"/>
            </w:tcMar>
            <w:vAlign w:val="bottom"/>
            <w:hideMark/>
          </w:tcPr>
          <w:p w14:paraId="6C7B55A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2D35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C24150" w14:textId="77777777" w:rsidR="00000000" w:rsidRDefault="00EE5306">
            <w:pPr>
              <w:spacing w:after="100"/>
              <w:jc w:val="right"/>
              <w:rPr>
                <w:rFonts w:eastAsia="Times New Roman"/>
              </w:rPr>
            </w:pPr>
            <w:r>
              <w:rPr>
                <w:rFonts w:eastAsia="Times New Roman"/>
                <w:color w:val="000000"/>
                <w:sz w:val="20"/>
                <w:szCs w:val="20"/>
              </w:rPr>
              <w:t>362.5 </w:t>
            </w:r>
          </w:p>
        </w:tc>
        <w:tc>
          <w:tcPr>
            <w:tcW w:w="0" w:type="auto"/>
            <w:shd w:val="clear" w:color="auto" w:fill="CCEEFF"/>
            <w:tcMar>
              <w:top w:w="30" w:type="dxa"/>
              <w:left w:w="0" w:type="dxa"/>
              <w:bottom w:w="30" w:type="dxa"/>
              <w:right w:w="20" w:type="dxa"/>
            </w:tcMar>
            <w:vAlign w:val="bottom"/>
            <w:hideMark/>
          </w:tcPr>
          <w:p w14:paraId="6850874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3B51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2739EE" w14:textId="77777777" w:rsidR="00000000" w:rsidRDefault="00EE5306">
            <w:pPr>
              <w:spacing w:after="100"/>
              <w:jc w:val="right"/>
              <w:rPr>
                <w:rFonts w:eastAsia="Times New Roman"/>
              </w:rPr>
            </w:pPr>
            <w:r>
              <w:rPr>
                <w:rFonts w:eastAsia="Times New Roman"/>
                <w:color w:val="000000"/>
                <w:sz w:val="20"/>
                <w:szCs w:val="20"/>
              </w:rPr>
              <w:t>458.4 </w:t>
            </w:r>
          </w:p>
        </w:tc>
        <w:tc>
          <w:tcPr>
            <w:tcW w:w="0" w:type="auto"/>
            <w:shd w:val="clear" w:color="auto" w:fill="CCEEFF"/>
            <w:tcMar>
              <w:top w:w="30" w:type="dxa"/>
              <w:left w:w="0" w:type="dxa"/>
              <w:bottom w:w="30" w:type="dxa"/>
              <w:right w:w="20" w:type="dxa"/>
            </w:tcMar>
            <w:vAlign w:val="bottom"/>
            <w:hideMark/>
          </w:tcPr>
          <w:p w14:paraId="6BE61BA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EC3D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6C96C7" w14:textId="77777777" w:rsidR="00000000" w:rsidRDefault="00EE5306">
            <w:pPr>
              <w:spacing w:after="100"/>
              <w:jc w:val="right"/>
              <w:rPr>
                <w:rFonts w:eastAsia="Times New Roman"/>
              </w:rPr>
            </w:pPr>
            <w:r>
              <w:rPr>
                <w:rFonts w:eastAsia="Times New Roman"/>
                <w:color w:val="000000"/>
                <w:sz w:val="20"/>
                <w:szCs w:val="20"/>
              </w:rPr>
              <w:t>1,724.1 </w:t>
            </w:r>
          </w:p>
        </w:tc>
        <w:tc>
          <w:tcPr>
            <w:tcW w:w="0" w:type="auto"/>
            <w:shd w:val="clear" w:color="auto" w:fill="CCEEFF"/>
            <w:tcMar>
              <w:top w:w="30" w:type="dxa"/>
              <w:left w:w="0" w:type="dxa"/>
              <w:bottom w:w="30" w:type="dxa"/>
              <w:right w:w="20" w:type="dxa"/>
            </w:tcMar>
            <w:vAlign w:val="bottom"/>
            <w:hideMark/>
          </w:tcPr>
          <w:p w14:paraId="0AE131A1" w14:textId="77777777" w:rsidR="00000000" w:rsidRDefault="00EE5306">
            <w:pPr>
              <w:spacing w:after="100"/>
              <w:jc w:val="right"/>
              <w:rPr>
                <w:rFonts w:eastAsia="Times New Roman"/>
              </w:rPr>
            </w:pPr>
          </w:p>
        </w:tc>
      </w:tr>
      <w:tr w:rsidR="00000000" w14:paraId="50759BD3" w14:textId="77777777">
        <w:trPr>
          <w:divId w:val="1287659606"/>
        </w:trPr>
        <w:tc>
          <w:tcPr>
            <w:tcW w:w="0" w:type="auto"/>
            <w:gridSpan w:val="3"/>
            <w:shd w:val="clear" w:color="auto" w:fill="FFFFFF"/>
            <w:tcMar>
              <w:top w:w="30" w:type="dxa"/>
              <w:left w:w="20" w:type="dxa"/>
              <w:bottom w:w="30" w:type="dxa"/>
              <w:right w:w="20" w:type="dxa"/>
            </w:tcMar>
            <w:hideMark/>
          </w:tcPr>
          <w:p w14:paraId="499918A3" w14:textId="77777777" w:rsidR="00000000" w:rsidRDefault="00EE5306">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1152F29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32633A" w14:textId="77777777" w:rsidR="00000000" w:rsidRDefault="00EE5306">
            <w:pPr>
              <w:spacing w:after="100"/>
              <w:jc w:val="right"/>
              <w:rPr>
                <w:rFonts w:eastAsia="Times New Roman"/>
              </w:rPr>
            </w:pPr>
            <w:r>
              <w:rPr>
                <w:rFonts w:eastAsia="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14:paraId="46157B0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1D253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2983E1" w14:textId="77777777" w:rsidR="00000000" w:rsidRDefault="00EE5306">
            <w:pPr>
              <w:spacing w:after="100"/>
              <w:jc w:val="right"/>
              <w:rPr>
                <w:rFonts w:eastAsia="Times New Roman"/>
              </w:rPr>
            </w:pPr>
            <w:r>
              <w:rPr>
                <w:rFonts w:eastAsia="Times New Roman"/>
                <w:color w:val="000000"/>
                <w:sz w:val="20"/>
                <w:szCs w:val="20"/>
              </w:rPr>
              <w:t>70.7 </w:t>
            </w:r>
          </w:p>
        </w:tc>
        <w:tc>
          <w:tcPr>
            <w:tcW w:w="0" w:type="auto"/>
            <w:shd w:val="clear" w:color="auto" w:fill="FFFFFF"/>
            <w:tcMar>
              <w:top w:w="30" w:type="dxa"/>
              <w:left w:w="0" w:type="dxa"/>
              <w:bottom w:w="30" w:type="dxa"/>
              <w:right w:w="20" w:type="dxa"/>
            </w:tcMar>
            <w:vAlign w:val="bottom"/>
            <w:hideMark/>
          </w:tcPr>
          <w:p w14:paraId="51B4FA7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AB6F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4A4A51" w14:textId="77777777" w:rsidR="00000000" w:rsidRDefault="00EE5306">
            <w:pPr>
              <w:spacing w:after="100"/>
              <w:jc w:val="right"/>
              <w:rPr>
                <w:rFonts w:eastAsia="Times New Roman"/>
              </w:rPr>
            </w:pPr>
            <w:r>
              <w:rPr>
                <w:rFonts w:eastAsia="Times New Roman"/>
                <w:color w:val="000000"/>
                <w:sz w:val="20"/>
                <w:szCs w:val="20"/>
              </w:rPr>
              <w:t>72.1 </w:t>
            </w:r>
          </w:p>
        </w:tc>
        <w:tc>
          <w:tcPr>
            <w:tcW w:w="0" w:type="auto"/>
            <w:shd w:val="clear" w:color="auto" w:fill="FFFFFF"/>
            <w:tcMar>
              <w:top w:w="30" w:type="dxa"/>
              <w:left w:w="0" w:type="dxa"/>
              <w:bottom w:w="30" w:type="dxa"/>
              <w:right w:w="20" w:type="dxa"/>
            </w:tcMar>
            <w:vAlign w:val="bottom"/>
            <w:hideMark/>
          </w:tcPr>
          <w:p w14:paraId="6C11F9C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897A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CF5A81" w14:textId="77777777" w:rsidR="00000000" w:rsidRDefault="00EE5306">
            <w:pPr>
              <w:spacing w:after="100"/>
              <w:jc w:val="right"/>
              <w:rPr>
                <w:rFonts w:eastAsia="Times New Roman"/>
              </w:rPr>
            </w:pPr>
            <w:r>
              <w:rPr>
                <w:rFonts w:eastAsia="Times New Roman"/>
                <w:color w:val="000000"/>
                <w:sz w:val="20"/>
                <w:szCs w:val="20"/>
              </w:rPr>
              <w:t>312.7 </w:t>
            </w:r>
          </w:p>
        </w:tc>
        <w:tc>
          <w:tcPr>
            <w:tcW w:w="0" w:type="auto"/>
            <w:shd w:val="clear" w:color="auto" w:fill="FFFFFF"/>
            <w:tcMar>
              <w:top w:w="30" w:type="dxa"/>
              <w:left w:w="0" w:type="dxa"/>
              <w:bottom w:w="30" w:type="dxa"/>
              <w:right w:w="20" w:type="dxa"/>
            </w:tcMar>
            <w:vAlign w:val="bottom"/>
            <w:hideMark/>
          </w:tcPr>
          <w:p w14:paraId="1BCFE97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3C7BE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6B4369" w14:textId="77777777" w:rsidR="00000000" w:rsidRDefault="00EE5306">
            <w:pPr>
              <w:spacing w:after="100"/>
              <w:jc w:val="right"/>
              <w:rPr>
                <w:rFonts w:eastAsia="Times New Roman"/>
              </w:rPr>
            </w:pPr>
            <w:r>
              <w:rPr>
                <w:rFonts w:eastAsia="Times New Roman"/>
                <w:color w:val="000000"/>
                <w:sz w:val="20"/>
                <w:szCs w:val="20"/>
              </w:rPr>
              <w:t>489.2 </w:t>
            </w:r>
          </w:p>
        </w:tc>
        <w:tc>
          <w:tcPr>
            <w:tcW w:w="0" w:type="auto"/>
            <w:shd w:val="clear" w:color="auto" w:fill="FFFFFF"/>
            <w:tcMar>
              <w:top w:w="30" w:type="dxa"/>
              <w:left w:w="0" w:type="dxa"/>
              <w:bottom w:w="30" w:type="dxa"/>
              <w:right w:w="20" w:type="dxa"/>
            </w:tcMar>
            <w:vAlign w:val="bottom"/>
            <w:hideMark/>
          </w:tcPr>
          <w:p w14:paraId="6F05E6D6" w14:textId="77777777" w:rsidR="00000000" w:rsidRDefault="00EE5306">
            <w:pPr>
              <w:spacing w:after="100"/>
              <w:jc w:val="right"/>
              <w:rPr>
                <w:rFonts w:eastAsia="Times New Roman"/>
              </w:rPr>
            </w:pPr>
          </w:p>
        </w:tc>
      </w:tr>
      <w:tr w:rsidR="00000000" w14:paraId="53281670" w14:textId="77777777">
        <w:trPr>
          <w:divId w:val="1287659606"/>
        </w:trPr>
        <w:tc>
          <w:tcPr>
            <w:tcW w:w="0" w:type="auto"/>
            <w:gridSpan w:val="3"/>
            <w:shd w:val="clear" w:color="auto" w:fill="CCEEFF"/>
            <w:tcMar>
              <w:top w:w="30" w:type="dxa"/>
              <w:left w:w="20" w:type="dxa"/>
              <w:bottom w:w="30" w:type="dxa"/>
              <w:right w:w="20" w:type="dxa"/>
            </w:tcMar>
            <w:hideMark/>
          </w:tcPr>
          <w:p w14:paraId="4AE7BFB3" w14:textId="77777777" w:rsidR="00000000" w:rsidRDefault="00EE5306">
            <w:pPr>
              <w:spacing w:after="100"/>
              <w:rPr>
                <w:rFonts w:eastAsia="Times New Roman"/>
              </w:rPr>
            </w:pPr>
            <w:r>
              <w:rPr>
                <w:rFonts w:eastAsia="Times New Roman"/>
                <w:color w:val="000000"/>
                <w:sz w:val="20"/>
                <w:szCs w:val="20"/>
              </w:rPr>
              <w:t>Other lease commitments</w:t>
            </w:r>
          </w:p>
        </w:tc>
        <w:tc>
          <w:tcPr>
            <w:tcW w:w="0" w:type="auto"/>
            <w:gridSpan w:val="3"/>
            <w:shd w:val="clear" w:color="auto" w:fill="CCEEFF"/>
            <w:tcMar>
              <w:top w:w="0" w:type="dxa"/>
              <w:left w:w="20" w:type="dxa"/>
              <w:bottom w:w="0" w:type="dxa"/>
              <w:right w:w="20" w:type="dxa"/>
            </w:tcMar>
            <w:vAlign w:val="center"/>
            <w:hideMark/>
          </w:tcPr>
          <w:p w14:paraId="37B20BE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7F302D" w14:textId="77777777" w:rsidR="00000000" w:rsidRDefault="00EE5306">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14:paraId="5E67FBF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A603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8FE63" w14:textId="77777777" w:rsidR="00000000" w:rsidRDefault="00EE5306">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bottom"/>
            <w:hideMark/>
          </w:tcPr>
          <w:p w14:paraId="5A93D37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52CB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322FB1" w14:textId="77777777" w:rsidR="00000000" w:rsidRDefault="00EE5306">
            <w:pPr>
              <w:spacing w:after="100"/>
              <w:jc w:val="right"/>
              <w:rPr>
                <w:rFonts w:eastAsia="Times New Roman"/>
              </w:rPr>
            </w:pPr>
            <w:r>
              <w:rPr>
                <w:rFonts w:eastAsia="Times New Roman"/>
                <w:color w:val="000000"/>
                <w:sz w:val="20"/>
                <w:szCs w:val="20"/>
              </w:rPr>
              <w:t>25.6 </w:t>
            </w:r>
          </w:p>
        </w:tc>
        <w:tc>
          <w:tcPr>
            <w:tcW w:w="0" w:type="auto"/>
            <w:shd w:val="clear" w:color="auto" w:fill="CCEEFF"/>
            <w:tcMar>
              <w:top w:w="30" w:type="dxa"/>
              <w:left w:w="0" w:type="dxa"/>
              <w:bottom w:w="30" w:type="dxa"/>
              <w:right w:w="20" w:type="dxa"/>
            </w:tcMar>
            <w:vAlign w:val="bottom"/>
            <w:hideMark/>
          </w:tcPr>
          <w:p w14:paraId="0D5C7BD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76EC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08375" w14:textId="77777777" w:rsidR="00000000" w:rsidRDefault="00EE5306">
            <w:pPr>
              <w:spacing w:after="100"/>
              <w:jc w:val="right"/>
              <w:rPr>
                <w:rFonts w:eastAsia="Times New Roman"/>
              </w:rPr>
            </w:pPr>
            <w:r>
              <w:rPr>
                <w:rFonts w:eastAsia="Times New Roman"/>
                <w:color w:val="000000"/>
                <w:sz w:val="20"/>
                <w:szCs w:val="20"/>
              </w:rPr>
              <w:t>49.5 </w:t>
            </w:r>
          </w:p>
        </w:tc>
        <w:tc>
          <w:tcPr>
            <w:tcW w:w="0" w:type="auto"/>
            <w:shd w:val="clear" w:color="auto" w:fill="CCEEFF"/>
            <w:tcMar>
              <w:top w:w="30" w:type="dxa"/>
              <w:left w:w="0" w:type="dxa"/>
              <w:bottom w:w="30" w:type="dxa"/>
              <w:right w:w="20" w:type="dxa"/>
            </w:tcMar>
            <w:vAlign w:val="bottom"/>
            <w:hideMark/>
          </w:tcPr>
          <w:p w14:paraId="682FF2D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8361E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4F4E7B" w14:textId="77777777" w:rsidR="00000000" w:rsidRDefault="00EE5306">
            <w:pPr>
              <w:spacing w:after="100"/>
              <w:jc w:val="right"/>
              <w:rPr>
                <w:rFonts w:eastAsia="Times New Roman"/>
              </w:rPr>
            </w:pPr>
            <w:r>
              <w:rPr>
                <w:rFonts w:eastAsia="Times New Roman"/>
                <w:color w:val="000000"/>
                <w:sz w:val="20"/>
                <w:szCs w:val="20"/>
              </w:rPr>
              <w:t>107.4 </w:t>
            </w:r>
          </w:p>
        </w:tc>
        <w:tc>
          <w:tcPr>
            <w:tcW w:w="0" w:type="auto"/>
            <w:shd w:val="clear" w:color="auto" w:fill="CCEEFF"/>
            <w:tcMar>
              <w:top w:w="30" w:type="dxa"/>
              <w:left w:w="0" w:type="dxa"/>
              <w:bottom w:w="30" w:type="dxa"/>
              <w:right w:w="20" w:type="dxa"/>
            </w:tcMar>
            <w:vAlign w:val="bottom"/>
            <w:hideMark/>
          </w:tcPr>
          <w:p w14:paraId="5E8298AD" w14:textId="77777777" w:rsidR="00000000" w:rsidRDefault="00EE5306">
            <w:pPr>
              <w:spacing w:after="100"/>
              <w:jc w:val="right"/>
              <w:rPr>
                <w:rFonts w:eastAsia="Times New Roman"/>
              </w:rPr>
            </w:pPr>
          </w:p>
        </w:tc>
      </w:tr>
      <w:tr w:rsidR="00000000" w14:paraId="5029FDCC" w14:textId="77777777">
        <w:trPr>
          <w:divId w:val="1287659606"/>
        </w:trPr>
        <w:tc>
          <w:tcPr>
            <w:tcW w:w="0" w:type="auto"/>
            <w:gridSpan w:val="3"/>
            <w:shd w:val="clear" w:color="auto" w:fill="FFFFFF"/>
            <w:tcMar>
              <w:top w:w="30" w:type="dxa"/>
              <w:left w:w="20" w:type="dxa"/>
              <w:bottom w:w="30" w:type="dxa"/>
              <w:right w:w="20" w:type="dxa"/>
            </w:tcMar>
            <w:hideMark/>
          </w:tcPr>
          <w:p w14:paraId="43F1AE9D" w14:textId="77777777" w:rsidR="00000000" w:rsidRDefault="00EE5306">
            <w:pPr>
              <w:spacing w:after="100"/>
              <w:rPr>
                <w:rFonts w:eastAsia="Times New Roman"/>
              </w:rPr>
            </w:pPr>
            <w:r>
              <w:rPr>
                <w:rFonts w:eastAsia="Times New Roman"/>
                <w:color w:val="000000"/>
                <w:sz w:val="20"/>
                <w:szCs w:val="20"/>
              </w:rPr>
              <w:t>Inventory purchase commitments</w:t>
            </w:r>
          </w:p>
        </w:tc>
        <w:tc>
          <w:tcPr>
            <w:tcW w:w="0" w:type="auto"/>
            <w:gridSpan w:val="3"/>
            <w:shd w:val="clear" w:color="auto" w:fill="FFFFFF"/>
            <w:tcMar>
              <w:top w:w="0" w:type="dxa"/>
              <w:left w:w="20" w:type="dxa"/>
              <w:bottom w:w="0" w:type="dxa"/>
              <w:right w:w="20" w:type="dxa"/>
            </w:tcMar>
            <w:vAlign w:val="center"/>
            <w:hideMark/>
          </w:tcPr>
          <w:p w14:paraId="29C4946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7E0550" w14:textId="77777777" w:rsidR="00000000" w:rsidRDefault="00EE5306">
            <w:pPr>
              <w:spacing w:after="100"/>
              <w:jc w:val="right"/>
              <w:rPr>
                <w:rFonts w:eastAsia="Times New Roman"/>
              </w:rPr>
            </w:pPr>
            <w:r>
              <w:rPr>
                <w:rFonts w:eastAsia="Times New Roman"/>
                <w:color w:val="000000"/>
                <w:sz w:val="20"/>
                <w:szCs w:val="20"/>
              </w:rPr>
              <w:t>713.7 </w:t>
            </w:r>
          </w:p>
        </w:tc>
        <w:tc>
          <w:tcPr>
            <w:tcW w:w="0" w:type="auto"/>
            <w:shd w:val="clear" w:color="auto" w:fill="FFFFFF"/>
            <w:tcMar>
              <w:top w:w="30" w:type="dxa"/>
              <w:left w:w="0" w:type="dxa"/>
              <w:bottom w:w="30" w:type="dxa"/>
              <w:right w:w="20" w:type="dxa"/>
            </w:tcMar>
            <w:vAlign w:val="bottom"/>
            <w:hideMark/>
          </w:tcPr>
          <w:p w14:paraId="7E9EBC5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CD74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BD879"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3C625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568E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E6B399"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884BF4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AB310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84CDC2"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D65AC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4585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9D93E3" w14:textId="77777777" w:rsidR="00000000" w:rsidRDefault="00EE5306">
            <w:pPr>
              <w:spacing w:after="100"/>
              <w:jc w:val="right"/>
              <w:rPr>
                <w:rFonts w:eastAsia="Times New Roman"/>
              </w:rPr>
            </w:pPr>
            <w:r>
              <w:rPr>
                <w:rFonts w:eastAsia="Times New Roman"/>
                <w:color w:val="000000"/>
                <w:sz w:val="20"/>
                <w:szCs w:val="20"/>
              </w:rPr>
              <w:t>713.7 </w:t>
            </w:r>
          </w:p>
        </w:tc>
        <w:tc>
          <w:tcPr>
            <w:tcW w:w="0" w:type="auto"/>
            <w:shd w:val="clear" w:color="auto" w:fill="FFFFFF"/>
            <w:tcMar>
              <w:top w:w="30" w:type="dxa"/>
              <w:left w:w="0" w:type="dxa"/>
              <w:bottom w:w="30" w:type="dxa"/>
              <w:right w:w="20" w:type="dxa"/>
            </w:tcMar>
            <w:vAlign w:val="bottom"/>
            <w:hideMark/>
          </w:tcPr>
          <w:p w14:paraId="183F5198" w14:textId="77777777" w:rsidR="00000000" w:rsidRDefault="00EE5306">
            <w:pPr>
              <w:spacing w:after="100"/>
              <w:jc w:val="right"/>
              <w:rPr>
                <w:rFonts w:eastAsia="Times New Roman"/>
              </w:rPr>
            </w:pPr>
          </w:p>
        </w:tc>
      </w:tr>
      <w:tr w:rsidR="00000000" w14:paraId="7B99F9CA" w14:textId="77777777">
        <w:trPr>
          <w:divId w:val="1287659606"/>
        </w:trPr>
        <w:tc>
          <w:tcPr>
            <w:tcW w:w="0" w:type="auto"/>
            <w:gridSpan w:val="3"/>
            <w:shd w:val="clear" w:color="auto" w:fill="CCEEFF"/>
            <w:tcMar>
              <w:top w:w="30" w:type="dxa"/>
              <w:left w:w="20" w:type="dxa"/>
              <w:bottom w:w="30" w:type="dxa"/>
              <w:right w:w="20" w:type="dxa"/>
            </w:tcMar>
            <w:hideMark/>
          </w:tcPr>
          <w:p w14:paraId="75FA632F" w14:textId="77777777" w:rsidR="00000000" w:rsidRDefault="00EE5306">
            <w:pPr>
              <w:spacing w:after="100"/>
              <w:rPr>
                <w:rFonts w:eastAsia="Times New Roman"/>
              </w:rPr>
            </w:pPr>
            <w:r>
              <w:rPr>
                <w:rFonts w:eastAsia="Times New Roman"/>
                <w:color w:val="000000"/>
                <w:sz w:val="20"/>
                <w:szCs w:val="20"/>
              </w:rPr>
              <w:t>Mandatory transition tax payments</w:t>
            </w:r>
          </w:p>
        </w:tc>
        <w:tc>
          <w:tcPr>
            <w:tcW w:w="0" w:type="auto"/>
            <w:gridSpan w:val="3"/>
            <w:shd w:val="clear" w:color="auto" w:fill="CCEEFF"/>
            <w:tcMar>
              <w:top w:w="0" w:type="dxa"/>
              <w:left w:w="20" w:type="dxa"/>
              <w:bottom w:w="0" w:type="dxa"/>
              <w:right w:w="20" w:type="dxa"/>
            </w:tcMar>
            <w:vAlign w:val="center"/>
            <w:hideMark/>
          </w:tcPr>
          <w:p w14:paraId="21BBE76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A83DE5" w14:textId="77777777" w:rsidR="00000000" w:rsidRDefault="00EE5306">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14:paraId="115B42E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1463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EB632" w14:textId="77777777" w:rsidR="00000000" w:rsidRDefault="00EE5306">
            <w:pPr>
              <w:spacing w:after="100"/>
              <w:jc w:val="right"/>
              <w:rPr>
                <w:rFonts w:eastAsia="Times New Roman"/>
              </w:rPr>
            </w:pPr>
            <w:r>
              <w:rPr>
                <w:rFonts w:eastAsia="Times New Roman"/>
                <w:color w:val="000000"/>
                <w:sz w:val="20"/>
                <w:szCs w:val="20"/>
              </w:rPr>
              <w:t>40.2 </w:t>
            </w:r>
          </w:p>
        </w:tc>
        <w:tc>
          <w:tcPr>
            <w:tcW w:w="0" w:type="auto"/>
            <w:shd w:val="clear" w:color="auto" w:fill="CCEEFF"/>
            <w:tcMar>
              <w:top w:w="30" w:type="dxa"/>
              <w:left w:w="0" w:type="dxa"/>
              <w:bottom w:w="30" w:type="dxa"/>
              <w:right w:w="20" w:type="dxa"/>
            </w:tcMar>
            <w:vAlign w:val="bottom"/>
            <w:hideMark/>
          </w:tcPr>
          <w:p w14:paraId="35F0615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279B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94C6D6" w14:textId="77777777" w:rsidR="00000000" w:rsidRDefault="00EE5306">
            <w:pPr>
              <w:spacing w:after="100"/>
              <w:jc w:val="right"/>
              <w:rPr>
                <w:rFonts w:eastAsia="Times New Roman"/>
              </w:rPr>
            </w:pPr>
            <w:r>
              <w:rPr>
                <w:rFonts w:eastAsia="Times New Roman"/>
                <w:color w:val="000000"/>
                <w:sz w:val="20"/>
                <w:szCs w:val="20"/>
              </w:rPr>
              <w:t>78.5 </w:t>
            </w:r>
          </w:p>
        </w:tc>
        <w:tc>
          <w:tcPr>
            <w:tcW w:w="0" w:type="auto"/>
            <w:shd w:val="clear" w:color="auto" w:fill="CCEEFF"/>
            <w:tcMar>
              <w:top w:w="30" w:type="dxa"/>
              <w:left w:w="0" w:type="dxa"/>
              <w:bottom w:w="30" w:type="dxa"/>
              <w:right w:w="20" w:type="dxa"/>
            </w:tcMar>
            <w:vAlign w:val="bottom"/>
            <w:hideMark/>
          </w:tcPr>
          <w:p w14:paraId="009CD9A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6DAA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0FCDC1"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553F3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6F7E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410101" w14:textId="77777777" w:rsidR="00000000" w:rsidRDefault="00EE5306">
            <w:pPr>
              <w:spacing w:after="100"/>
              <w:jc w:val="right"/>
              <w:rPr>
                <w:rFonts w:eastAsia="Times New Roman"/>
              </w:rPr>
            </w:pPr>
            <w:r>
              <w:rPr>
                <w:rFonts w:eastAsia="Times New Roman"/>
                <w:color w:val="000000"/>
                <w:sz w:val="20"/>
                <w:szCs w:val="20"/>
              </w:rPr>
              <w:t>132.7 </w:t>
            </w:r>
          </w:p>
        </w:tc>
        <w:tc>
          <w:tcPr>
            <w:tcW w:w="0" w:type="auto"/>
            <w:shd w:val="clear" w:color="auto" w:fill="CCEEFF"/>
            <w:tcMar>
              <w:top w:w="30" w:type="dxa"/>
              <w:left w:w="0" w:type="dxa"/>
              <w:bottom w:w="30" w:type="dxa"/>
              <w:right w:w="20" w:type="dxa"/>
            </w:tcMar>
            <w:vAlign w:val="bottom"/>
            <w:hideMark/>
          </w:tcPr>
          <w:p w14:paraId="5ED06405" w14:textId="77777777" w:rsidR="00000000" w:rsidRDefault="00EE5306">
            <w:pPr>
              <w:spacing w:after="100"/>
              <w:jc w:val="right"/>
              <w:rPr>
                <w:rFonts w:eastAsia="Times New Roman"/>
              </w:rPr>
            </w:pPr>
          </w:p>
        </w:tc>
      </w:tr>
      <w:tr w:rsidR="00000000" w14:paraId="377910A0" w14:textId="77777777">
        <w:trPr>
          <w:divId w:val="1287659606"/>
        </w:trPr>
        <w:tc>
          <w:tcPr>
            <w:tcW w:w="0" w:type="auto"/>
            <w:gridSpan w:val="3"/>
            <w:shd w:val="clear" w:color="auto" w:fill="FFFFFF"/>
            <w:tcMar>
              <w:top w:w="30" w:type="dxa"/>
              <w:left w:w="20" w:type="dxa"/>
              <w:bottom w:w="30" w:type="dxa"/>
              <w:right w:w="20" w:type="dxa"/>
            </w:tcMar>
            <w:hideMark/>
          </w:tcPr>
          <w:p w14:paraId="5D10C2C0" w14:textId="77777777" w:rsidR="00000000" w:rsidRDefault="00EE5306">
            <w:pPr>
              <w:spacing w:after="100"/>
              <w:rPr>
                <w:rFonts w:eastAsia="Times New Roman"/>
              </w:rPr>
            </w:pPr>
            <w:r>
              <w:rPr>
                <w:rFonts w:eastAsia="Times New Roman"/>
                <w:color w:val="000000"/>
                <w:sz w:val="20"/>
                <w:szCs w:val="20"/>
              </w:rPr>
              <w:t>Other commitments</w:t>
            </w:r>
          </w:p>
        </w:tc>
        <w:tc>
          <w:tcPr>
            <w:tcW w:w="0" w:type="auto"/>
            <w:gridSpan w:val="3"/>
            <w:shd w:val="clear" w:color="auto" w:fill="FFFFFF"/>
            <w:tcMar>
              <w:top w:w="0" w:type="dxa"/>
              <w:left w:w="20" w:type="dxa"/>
              <w:bottom w:w="0" w:type="dxa"/>
              <w:right w:w="20" w:type="dxa"/>
            </w:tcMar>
            <w:vAlign w:val="center"/>
            <w:hideMark/>
          </w:tcPr>
          <w:p w14:paraId="670C3011"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9CE0BA" w14:textId="77777777" w:rsidR="00000000" w:rsidRDefault="00EE5306">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14:paraId="726636A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AB06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5D56AD" w14:textId="77777777" w:rsidR="00000000" w:rsidRDefault="00EE5306">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14:paraId="39D2F1B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0665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B284B8" w14:textId="77777777" w:rsidR="00000000" w:rsidRDefault="00EE5306">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14:paraId="2D9A8FB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91A1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BB4C7C" w14:textId="77777777" w:rsidR="00000000" w:rsidRDefault="00EE5306">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14:paraId="3F72003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804A8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B6F3A1" w14:textId="77777777" w:rsidR="00000000" w:rsidRDefault="00EE5306">
            <w:pPr>
              <w:spacing w:after="100"/>
              <w:jc w:val="right"/>
              <w:rPr>
                <w:rFonts w:eastAsia="Times New Roman"/>
              </w:rPr>
            </w:pPr>
            <w:r>
              <w:rPr>
                <w:rFonts w:eastAsia="Times New Roman"/>
                <w:color w:val="000000"/>
                <w:sz w:val="20"/>
                <w:szCs w:val="20"/>
              </w:rPr>
              <w:t>77.2 </w:t>
            </w:r>
          </w:p>
        </w:tc>
        <w:tc>
          <w:tcPr>
            <w:tcW w:w="0" w:type="auto"/>
            <w:shd w:val="clear" w:color="auto" w:fill="FFFFFF"/>
            <w:tcMar>
              <w:top w:w="30" w:type="dxa"/>
              <w:left w:w="0" w:type="dxa"/>
              <w:bottom w:w="30" w:type="dxa"/>
              <w:right w:w="20" w:type="dxa"/>
            </w:tcMar>
            <w:vAlign w:val="bottom"/>
            <w:hideMark/>
          </w:tcPr>
          <w:p w14:paraId="74AD4D3D" w14:textId="77777777" w:rsidR="00000000" w:rsidRDefault="00EE5306">
            <w:pPr>
              <w:spacing w:after="100"/>
              <w:jc w:val="right"/>
              <w:rPr>
                <w:rFonts w:eastAsia="Times New Roman"/>
              </w:rPr>
            </w:pPr>
          </w:p>
        </w:tc>
      </w:tr>
      <w:tr w:rsidR="00000000" w14:paraId="156A4E15" w14:textId="77777777">
        <w:trPr>
          <w:divId w:val="1287659606"/>
        </w:trPr>
        <w:tc>
          <w:tcPr>
            <w:tcW w:w="0" w:type="auto"/>
            <w:gridSpan w:val="3"/>
            <w:shd w:val="clear" w:color="auto" w:fill="CCEEFF"/>
            <w:tcMar>
              <w:top w:w="30" w:type="dxa"/>
              <w:left w:w="245" w:type="dxa"/>
              <w:bottom w:w="30" w:type="dxa"/>
              <w:right w:w="20" w:type="dxa"/>
            </w:tcMar>
            <w:hideMark/>
          </w:tcPr>
          <w:p w14:paraId="3A7FA085" w14:textId="77777777" w:rsidR="00000000" w:rsidRDefault="00EE530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4D3DD25A"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BB9DD6"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A2FE19" w14:textId="77777777" w:rsidR="00000000" w:rsidRDefault="00EE5306">
            <w:pPr>
              <w:spacing w:after="100"/>
              <w:jc w:val="right"/>
              <w:rPr>
                <w:rFonts w:eastAsia="Times New Roman"/>
              </w:rPr>
            </w:pPr>
            <w:r>
              <w:rPr>
                <w:rFonts w:eastAsia="Times New Roman"/>
                <w:color w:val="000000"/>
                <w:sz w:val="20"/>
                <w:szCs w:val="20"/>
              </w:rPr>
              <w:t>1,178.0 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FAD96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21EF9"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1B3442"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B0C735" w14:textId="77777777" w:rsidR="00000000" w:rsidRDefault="00EE5306">
            <w:pPr>
              <w:spacing w:after="100"/>
              <w:jc w:val="right"/>
              <w:rPr>
                <w:rFonts w:eastAsia="Times New Roman"/>
              </w:rPr>
            </w:pPr>
            <w:r>
              <w:rPr>
                <w:rFonts w:eastAsia="Times New Roman"/>
                <w:color w:val="000000"/>
                <w:sz w:val="20"/>
                <w:szCs w:val="20"/>
              </w:rPr>
              <w:t>1,294.1 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D7003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00E28"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9BD5CB"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565AE9A" w14:textId="77777777" w:rsidR="00000000" w:rsidRDefault="00EE5306">
            <w:pPr>
              <w:spacing w:after="100"/>
              <w:jc w:val="right"/>
              <w:rPr>
                <w:rFonts w:eastAsia="Times New Roman"/>
              </w:rPr>
            </w:pPr>
            <w:r>
              <w:rPr>
                <w:rFonts w:eastAsia="Times New Roman"/>
                <w:color w:val="000000"/>
                <w:sz w:val="20"/>
                <w:szCs w:val="20"/>
              </w:rPr>
              <w:t>1,016.7 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E82C5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F958F3"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D6323B"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51ADA5" w14:textId="77777777" w:rsidR="00000000" w:rsidRDefault="00EE5306">
            <w:pPr>
              <w:spacing w:after="100"/>
              <w:jc w:val="right"/>
              <w:rPr>
                <w:rFonts w:eastAsia="Times New Roman"/>
              </w:rPr>
            </w:pPr>
            <w:r>
              <w:rPr>
                <w:rFonts w:eastAsia="Times New Roman"/>
                <w:color w:val="000000"/>
                <w:sz w:val="20"/>
                <w:szCs w:val="20"/>
              </w:rPr>
              <w:t>1,687.9 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7F4CD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B4946C"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AEE0C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F221B6" w14:textId="77777777" w:rsidR="00000000" w:rsidRDefault="00EE5306">
            <w:pPr>
              <w:spacing w:after="100"/>
              <w:jc w:val="right"/>
              <w:rPr>
                <w:rFonts w:eastAsia="Times New Roman"/>
              </w:rPr>
            </w:pPr>
            <w:r>
              <w:rPr>
                <w:rFonts w:eastAsia="Times New Roman"/>
                <w:color w:val="000000"/>
                <w:sz w:val="20"/>
                <w:szCs w:val="20"/>
              </w:rPr>
              <w:t>5,176.7 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0420C8" w14:textId="77777777" w:rsidR="00000000" w:rsidRDefault="00EE5306">
            <w:pPr>
              <w:spacing w:after="100"/>
              <w:jc w:val="right"/>
              <w:rPr>
                <w:rFonts w:eastAsia="Times New Roman"/>
              </w:rPr>
            </w:pPr>
          </w:p>
        </w:tc>
      </w:tr>
    </w:tbl>
    <w:p w14:paraId="2A4242AA" w14:textId="77777777" w:rsidR="00000000" w:rsidRDefault="00EE5306">
      <w:pPr>
        <w:ind w:firstLine="540"/>
        <w:jc w:val="both"/>
        <w:divId w:val="272980399"/>
        <w:rPr>
          <w:rFonts w:eastAsia="Times New Roman"/>
        </w:rPr>
      </w:pPr>
      <w:r>
        <w:rPr>
          <w:rFonts w:eastAsia="Times New Roman"/>
          <w:color w:val="000000"/>
          <w:sz w:val="20"/>
          <w:szCs w:val="20"/>
        </w:rPr>
        <w:t>The following is a description of our material, firmly committed obligations as of March 27, 2021:</w:t>
      </w:r>
    </w:p>
    <w:p w14:paraId="4B042EBA" w14:textId="77777777" w:rsidR="00000000" w:rsidRDefault="00EE5306">
      <w:pPr>
        <w:ind w:hanging="360"/>
        <w:jc w:val="both"/>
        <w:divId w:val="859703644"/>
        <w:rPr>
          <w:rFonts w:eastAsia="Times New Roman"/>
        </w:rPr>
      </w:pPr>
      <w:r>
        <w:rPr>
          <w:rFonts w:eastAsia="Times New Roman"/>
          <w:color w:val="000000"/>
          <w:sz w:val="20"/>
          <w:szCs w:val="20"/>
        </w:rPr>
        <w:t>•</w:t>
      </w:r>
      <w:r>
        <w:rPr>
          <w:rFonts w:eastAsia="Times New Roman"/>
          <w:i/>
          <w:iCs/>
          <w:color w:val="000000"/>
          <w:sz w:val="20"/>
          <w:szCs w:val="20"/>
        </w:rPr>
        <w:t>Senior Notes</w:t>
      </w:r>
      <w:r>
        <w:rPr>
          <w:rFonts w:eastAsia="Times New Roman"/>
          <w:color w:val="000000"/>
          <w:sz w:val="20"/>
          <w:szCs w:val="20"/>
        </w:rPr>
        <w:t xml:space="preserve"> r</w:t>
      </w:r>
      <w:r>
        <w:rPr>
          <w:rFonts w:eastAsia="Times New Roman"/>
          <w:color w:val="000000"/>
          <w:sz w:val="20"/>
          <w:szCs w:val="20"/>
        </w:rPr>
        <w:t>epresent the principal amount of our outstanding 3.750% Senior Notes, 1.700% Senior Notes, and 2.950% Senior Notes. Amounts do not include any fair value adjustments, call premiums, unamortized debt issuance costs, or interest payments (see below);</w:t>
      </w:r>
    </w:p>
    <w:p w14:paraId="7A816D88" w14:textId="77777777" w:rsidR="00000000" w:rsidRDefault="00EE5306">
      <w:pPr>
        <w:ind w:hanging="360"/>
        <w:jc w:val="both"/>
        <w:divId w:val="723023477"/>
        <w:rPr>
          <w:rFonts w:eastAsia="Times New Roman"/>
        </w:rPr>
      </w:pPr>
      <w:r>
        <w:rPr>
          <w:rFonts w:eastAsia="Times New Roman"/>
          <w:color w:val="000000"/>
          <w:sz w:val="20"/>
          <w:szCs w:val="20"/>
        </w:rPr>
        <w:t>•</w:t>
      </w:r>
      <w:r>
        <w:rPr>
          <w:rFonts w:eastAsia="Times New Roman"/>
          <w:i/>
          <w:iCs/>
          <w:color w:val="000000"/>
          <w:sz w:val="20"/>
          <w:szCs w:val="20"/>
        </w:rPr>
        <w:t>Interest payments on debt</w:t>
      </w:r>
      <w:r>
        <w:rPr>
          <w:rFonts w:eastAsia="Times New Roman"/>
          <w:color w:val="000000"/>
          <w:sz w:val="20"/>
          <w:szCs w:val="20"/>
        </w:rPr>
        <w:t xml:space="preserve"> represent the semi-annual contractual interest payments due on our 3.750% Senior Notes, 1.700% Senior Notes, and 2.950% Senior Notes. Amounts do not include the impact of potential cash flows underlying our related swap contracts </w:t>
      </w:r>
      <w:r>
        <w:rPr>
          <w:rFonts w:eastAsia="Times New Roman"/>
          <w:color w:val="000000"/>
          <w:sz w:val="20"/>
          <w:szCs w:val="20"/>
        </w:rPr>
        <w:t>(see Note 13 to the accompanying consolidated financial statements for discussion of our swap contracts);</w:t>
      </w:r>
    </w:p>
    <w:p w14:paraId="5254040C" w14:textId="77777777" w:rsidR="00000000" w:rsidRDefault="00EE5306">
      <w:pPr>
        <w:ind w:hanging="360"/>
        <w:jc w:val="both"/>
        <w:divId w:val="408429907"/>
        <w:rPr>
          <w:rFonts w:eastAsia="Times New Roman"/>
        </w:rPr>
      </w:pPr>
      <w:r>
        <w:rPr>
          <w:rFonts w:eastAsia="Times New Roman"/>
          <w:color w:val="000000"/>
          <w:sz w:val="20"/>
          <w:szCs w:val="20"/>
        </w:rPr>
        <w:t>•</w:t>
      </w:r>
      <w:r>
        <w:rPr>
          <w:rFonts w:eastAsia="Times New Roman"/>
          <w:i/>
          <w:iCs/>
          <w:color w:val="000000"/>
          <w:sz w:val="20"/>
          <w:szCs w:val="20"/>
        </w:rPr>
        <w:t>Lease obligations</w:t>
      </w:r>
      <w:r>
        <w:rPr>
          <w:rFonts w:eastAsia="Times New Roman"/>
          <w:color w:val="000000"/>
          <w:sz w:val="20"/>
          <w:szCs w:val="20"/>
        </w:rPr>
        <w:t xml:space="preserve"> </w:t>
      </w:r>
      <w:r>
        <w:rPr>
          <w:rFonts w:eastAsia="Times New Roman"/>
          <w:color w:val="000000"/>
          <w:sz w:val="20"/>
          <w:szCs w:val="20"/>
        </w:rPr>
        <w:t>represent fixed payments due over the lease term of our noncancelable leases of real estate and operating equipment, including rent, real estate taxes, insurance, common area maintenance fees, and/or certain other costs. For lease terms that have commenced</w:t>
      </w:r>
      <w:r>
        <w:rPr>
          <w:rFonts w:eastAsia="Times New Roman"/>
          <w:color w:val="000000"/>
          <w:sz w:val="20"/>
          <w:szCs w:val="20"/>
        </w:rPr>
        <w:t>, information has been presented separately for operating and finance leases. Other lease commitments relate to executed lease agreements for which the related lease terms have not yet commenced as of March 27,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88549E3" w14:textId="77777777">
        <w:trPr>
          <w:divId w:val="491995212"/>
          <w:jc w:val="center"/>
        </w:trPr>
        <w:tc>
          <w:tcPr>
            <w:tcW w:w="50" w:type="pct"/>
            <w:vAlign w:val="center"/>
            <w:hideMark/>
          </w:tcPr>
          <w:p w14:paraId="7C2C341F" w14:textId="77777777" w:rsidR="00000000" w:rsidRDefault="00EE5306">
            <w:pPr>
              <w:ind w:hanging="360"/>
              <w:jc w:val="both"/>
              <w:rPr>
                <w:rFonts w:eastAsia="Times New Roman"/>
              </w:rPr>
            </w:pPr>
          </w:p>
        </w:tc>
        <w:tc>
          <w:tcPr>
            <w:tcW w:w="1699" w:type="pct"/>
            <w:vAlign w:val="center"/>
            <w:hideMark/>
          </w:tcPr>
          <w:p w14:paraId="46D87B74" w14:textId="77777777" w:rsidR="00000000" w:rsidRDefault="00EE5306">
            <w:pPr>
              <w:spacing w:after="100"/>
              <w:rPr>
                <w:rFonts w:eastAsia="Times New Roman"/>
                <w:sz w:val="20"/>
                <w:szCs w:val="20"/>
              </w:rPr>
            </w:pPr>
          </w:p>
        </w:tc>
        <w:tc>
          <w:tcPr>
            <w:tcW w:w="5" w:type="pct"/>
            <w:vAlign w:val="center"/>
            <w:hideMark/>
          </w:tcPr>
          <w:p w14:paraId="7A04E415" w14:textId="77777777" w:rsidR="00000000" w:rsidRDefault="00EE5306">
            <w:pPr>
              <w:spacing w:after="100"/>
              <w:rPr>
                <w:rFonts w:eastAsia="Times New Roman"/>
                <w:sz w:val="20"/>
                <w:szCs w:val="20"/>
              </w:rPr>
            </w:pPr>
          </w:p>
        </w:tc>
        <w:tc>
          <w:tcPr>
            <w:tcW w:w="50" w:type="pct"/>
            <w:vAlign w:val="center"/>
            <w:hideMark/>
          </w:tcPr>
          <w:p w14:paraId="28AEFCC1" w14:textId="77777777" w:rsidR="00000000" w:rsidRDefault="00EE5306">
            <w:pPr>
              <w:spacing w:after="100"/>
              <w:rPr>
                <w:rFonts w:eastAsia="Times New Roman"/>
                <w:sz w:val="20"/>
                <w:szCs w:val="20"/>
              </w:rPr>
            </w:pPr>
          </w:p>
        </w:tc>
        <w:tc>
          <w:tcPr>
            <w:tcW w:w="1436" w:type="pct"/>
            <w:vAlign w:val="center"/>
            <w:hideMark/>
          </w:tcPr>
          <w:p w14:paraId="5C234D28" w14:textId="77777777" w:rsidR="00000000" w:rsidRDefault="00EE5306">
            <w:pPr>
              <w:spacing w:after="100"/>
              <w:rPr>
                <w:rFonts w:eastAsia="Times New Roman"/>
                <w:sz w:val="20"/>
                <w:szCs w:val="20"/>
              </w:rPr>
            </w:pPr>
          </w:p>
        </w:tc>
        <w:tc>
          <w:tcPr>
            <w:tcW w:w="5" w:type="pct"/>
            <w:vAlign w:val="center"/>
            <w:hideMark/>
          </w:tcPr>
          <w:p w14:paraId="5153D797" w14:textId="77777777" w:rsidR="00000000" w:rsidRDefault="00EE5306">
            <w:pPr>
              <w:spacing w:after="100"/>
              <w:rPr>
                <w:rFonts w:eastAsia="Times New Roman"/>
                <w:sz w:val="20"/>
                <w:szCs w:val="20"/>
              </w:rPr>
            </w:pPr>
          </w:p>
        </w:tc>
        <w:tc>
          <w:tcPr>
            <w:tcW w:w="50" w:type="pct"/>
            <w:vAlign w:val="center"/>
            <w:hideMark/>
          </w:tcPr>
          <w:p w14:paraId="18829074" w14:textId="77777777" w:rsidR="00000000" w:rsidRDefault="00EE5306">
            <w:pPr>
              <w:spacing w:after="100"/>
              <w:rPr>
                <w:rFonts w:eastAsia="Times New Roman"/>
                <w:sz w:val="20"/>
                <w:szCs w:val="20"/>
              </w:rPr>
            </w:pPr>
          </w:p>
        </w:tc>
        <w:tc>
          <w:tcPr>
            <w:tcW w:w="1699" w:type="pct"/>
            <w:vAlign w:val="center"/>
            <w:hideMark/>
          </w:tcPr>
          <w:p w14:paraId="63EC6863" w14:textId="77777777" w:rsidR="00000000" w:rsidRDefault="00EE5306">
            <w:pPr>
              <w:spacing w:after="100"/>
              <w:rPr>
                <w:rFonts w:eastAsia="Times New Roman"/>
                <w:sz w:val="20"/>
                <w:szCs w:val="20"/>
              </w:rPr>
            </w:pPr>
          </w:p>
        </w:tc>
        <w:tc>
          <w:tcPr>
            <w:tcW w:w="5" w:type="pct"/>
            <w:vAlign w:val="center"/>
            <w:hideMark/>
          </w:tcPr>
          <w:p w14:paraId="7F6D8B48" w14:textId="77777777" w:rsidR="00000000" w:rsidRDefault="00EE5306">
            <w:pPr>
              <w:spacing w:after="100"/>
              <w:rPr>
                <w:rFonts w:eastAsia="Times New Roman"/>
                <w:sz w:val="20"/>
                <w:szCs w:val="20"/>
              </w:rPr>
            </w:pPr>
          </w:p>
        </w:tc>
      </w:tr>
      <w:tr w:rsidR="00000000" w14:paraId="0427BACD" w14:textId="77777777">
        <w:trPr>
          <w:divId w:val="491995212"/>
          <w:jc w:val="center"/>
        </w:trPr>
        <w:tc>
          <w:tcPr>
            <w:tcW w:w="0" w:type="auto"/>
            <w:gridSpan w:val="3"/>
            <w:tcMar>
              <w:top w:w="0" w:type="dxa"/>
              <w:left w:w="20" w:type="dxa"/>
              <w:bottom w:w="0" w:type="dxa"/>
              <w:right w:w="20" w:type="dxa"/>
            </w:tcMar>
            <w:vAlign w:val="center"/>
            <w:hideMark/>
          </w:tcPr>
          <w:p w14:paraId="1C703F5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93AB716" w14:textId="77777777" w:rsidR="00000000" w:rsidRDefault="00EE5306">
            <w:pPr>
              <w:spacing w:after="100"/>
              <w:jc w:val="center"/>
              <w:rPr>
                <w:rFonts w:eastAsia="Times New Roman"/>
              </w:rPr>
            </w:pPr>
            <w:r>
              <w:rPr>
                <w:rFonts w:eastAsia="Times New Roman"/>
                <w:color w:val="000000"/>
                <w:sz w:val="20"/>
                <w:szCs w:val="20"/>
              </w:rPr>
              <w:t>68</w:t>
            </w:r>
          </w:p>
        </w:tc>
        <w:tc>
          <w:tcPr>
            <w:tcW w:w="0" w:type="auto"/>
            <w:gridSpan w:val="3"/>
            <w:tcMar>
              <w:top w:w="0" w:type="dxa"/>
              <w:left w:w="20" w:type="dxa"/>
              <w:bottom w:w="0" w:type="dxa"/>
              <w:right w:w="20" w:type="dxa"/>
            </w:tcMar>
            <w:vAlign w:val="center"/>
            <w:hideMark/>
          </w:tcPr>
          <w:p w14:paraId="7C8E8F98" w14:textId="77777777" w:rsidR="00000000" w:rsidRDefault="00EE5306">
            <w:pPr>
              <w:spacing w:after="100"/>
              <w:jc w:val="center"/>
              <w:rPr>
                <w:rFonts w:eastAsia="Times New Roman"/>
              </w:rPr>
            </w:pPr>
          </w:p>
        </w:tc>
      </w:tr>
    </w:tbl>
    <w:p w14:paraId="0335F243" w14:textId="77777777" w:rsidR="00000000" w:rsidRDefault="00EE5306">
      <w:pPr>
        <w:rPr>
          <w:rFonts w:eastAsia="Times New Roman"/>
        </w:rPr>
      </w:pPr>
      <w:r>
        <w:rPr>
          <w:rFonts w:eastAsia="Times New Roman"/>
        </w:rPr>
        <w:pict w14:anchorId="7C2B59E7">
          <v:rect id="_x0000_i1095" style="width:0;height:1.5pt" o:hralign="center" o:hrstd="t" o:hr="t" fillcolor="#a0a0a0" stroked="f"/>
        </w:pict>
      </w:r>
    </w:p>
    <w:p w14:paraId="479BB920" w14:textId="77777777" w:rsidR="00000000" w:rsidRDefault="00EE5306">
      <w:pPr>
        <w:divId w:val="72967951"/>
        <w:rPr>
          <w:rFonts w:eastAsia="Times New Roman"/>
        </w:rPr>
      </w:pPr>
    </w:p>
    <w:p w14:paraId="3C19D0BA" w14:textId="77777777" w:rsidR="00000000" w:rsidRDefault="00EE5306">
      <w:pPr>
        <w:ind w:hanging="360"/>
        <w:jc w:val="both"/>
        <w:divId w:val="1222055885"/>
        <w:rPr>
          <w:rFonts w:eastAsia="Times New Roman"/>
        </w:rPr>
      </w:pPr>
      <w:r>
        <w:rPr>
          <w:rFonts w:eastAsia="Times New Roman"/>
          <w:color w:val="000000"/>
          <w:sz w:val="20"/>
          <w:szCs w:val="20"/>
        </w:rPr>
        <w:t>•</w:t>
      </w:r>
      <w:r>
        <w:rPr>
          <w:rFonts w:eastAsia="Times New Roman"/>
          <w:i/>
          <w:iCs/>
          <w:color w:val="000000"/>
          <w:sz w:val="20"/>
          <w:szCs w:val="20"/>
        </w:rPr>
        <w:t>Inventory purchase commitments</w:t>
      </w:r>
      <w:r>
        <w:rPr>
          <w:rFonts w:eastAsia="Times New Roman"/>
          <w:color w:val="000000"/>
          <w:sz w:val="20"/>
          <w:szCs w:val="20"/>
        </w:rPr>
        <w:t xml:space="preserve"> represent our legally-binding agreements to purchase fixed or minimum quantities of goods at determinable prices;</w:t>
      </w:r>
    </w:p>
    <w:p w14:paraId="456940B8" w14:textId="77777777" w:rsidR="00000000" w:rsidRDefault="00EE5306">
      <w:pPr>
        <w:ind w:hanging="360"/>
        <w:jc w:val="both"/>
        <w:divId w:val="822164128"/>
        <w:rPr>
          <w:rFonts w:eastAsia="Times New Roman"/>
        </w:rPr>
      </w:pPr>
      <w:r>
        <w:rPr>
          <w:rFonts w:eastAsia="Times New Roman"/>
          <w:color w:val="000000"/>
          <w:sz w:val="20"/>
          <w:szCs w:val="20"/>
        </w:rPr>
        <w:t>•</w:t>
      </w:r>
      <w:r>
        <w:rPr>
          <w:rFonts w:eastAsia="Times New Roman"/>
          <w:i/>
          <w:iCs/>
          <w:color w:val="000000"/>
          <w:sz w:val="20"/>
          <w:szCs w:val="20"/>
        </w:rPr>
        <w:t>Mandatory transition tax payments</w:t>
      </w:r>
      <w:r>
        <w:rPr>
          <w:rFonts w:eastAsia="Times New Roman"/>
          <w:color w:val="000000"/>
          <w:sz w:val="20"/>
          <w:szCs w:val="20"/>
        </w:rPr>
        <w:t xml:space="preserve"> represent our remaining tax obligatio</w:t>
      </w:r>
      <w:r>
        <w:rPr>
          <w:rFonts w:eastAsia="Times New Roman"/>
          <w:color w:val="000000"/>
          <w:sz w:val="20"/>
          <w:szCs w:val="20"/>
        </w:rPr>
        <w:t>n incurred in connection with the deemed repatriation of previously deferred foreign earnings pursuant to the TCJA (see Note 10 to the accompanying consolidated financial statements for discussion of the TCJA); and</w:t>
      </w:r>
    </w:p>
    <w:p w14:paraId="71E4A1D1" w14:textId="77777777" w:rsidR="00000000" w:rsidRDefault="00EE5306">
      <w:pPr>
        <w:ind w:hanging="360"/>
        <w:jc w:val="both"/>
        <w:divId w:val="732388452"/>
        <w:rPr>
          <w:rFonts w:eastAsia="Times New Roman"/>
        </w:rPr>
      </w:pPr>
      <w:r>
        <w:rPr>
          <w:rFonts w:eastAsia="Times New Roman"/>
          <w:i/>
          <w:iCs/>
          <w:color w:val="000000"/>
          <w:sz w:val="20"/>
          <w:szCs w:val="20"/>
        </w:rPr>
        <w:t>•Other commitments</w:t>
      </w:r>
      <w:r>
        <w:rPr>
          <w:rFonts w:eastAsia="Times New Roman"/>
          <w:color w:val="000000"/>
          <w:sz w:val="20"/>
          <w:szCs w:val="20"/>
        </w:rPr>
        <w:t xml:space="preserve"> primarily represent ou</w:t>
      </w:r>
      <w:r>
        <w:rPr>
          <w:rFonts w:eastAsia="Times New Roman"/>
          <w:color w:val="000000"/>
          <w:sz w:val="20"/>
          <w:szCs w:val="20"/>
        </w:rPr>
        <w:t>r legally-binding obligations under sponsorship, licensing, and other marketing and advertising agreements; information technology-related service agreements; and pension-related obligations.</w:t>
      </w:r>
    </w:p>
    <w:p w14:paraId="6B20B9FF" w14:textId="77777777" w:rsidR="00000000" w:rsidRDefault="00EE5306">
      <w:pPr>
        <w:ind w:firstLine="540"/>
        <w:jc w:val="both"/>
        <w:divId w:val="460342317"/>
        <w:rPr>
          <w:rFonts w:eastAsia="Times New Roman"/>
        </w:rPr>
      </w:pPr>
      <w:r>
        <w:rPr>
          <w:rFonts w:eastAsia="Times New Roman"/>
          <w:color w:val="000000"/>
          <w:sz w:val="20"/>
          <w:szCs w:val="20"/>
        </w:rPr>
        <w:t>Excluded from the above contractual obligations table is the non</w:t>
      </w:r>
      <w:r>
        <w:rPr>
          <w:rFonts w:eastAsia="Times New Roman"/>
          <w:color w:val="000000"/>
          <w:sz w:val="20"/>
          <w:szCs w:val="20"/>
        </w:rPr>
        <w:t>-current liability for unrecognized tax benefits of $91.4 million as of March 27, 2021, as we cannot make a reliable estimate of the period in which the liability will be settled, if ever. The above table also excludes the following: (i) amounts recorded i</w:t>
      </w:r>
      <w:r>
        <w:rPr>
          <w:rFonts w:eastAsia="Times New Roman"/>
          <w:color w:val="000000"/>
          <w:sz w:val="20"/>
          <w:szCs w:val="20"/>
        </w:rPr>
        <w:t xml:space="preserve">n current liabilities in our consolidated balance sheet as of March 27, 2021, which will be paid within one year, other than lease obligations, mandatory transition tax payments, and accrued interest payments on debt; and (ii) non-current liabilities that </w:t>
      </w:r>
      <w:r>
        <w:rPr>
          <w:rFonts w:eastAsia="Times New Roman"/>
          <w:color w:val="000000"/>
          <w:sz w:val="20"/>
          <w:szCs w:val="20"/>
        </w:rPr>
        <w:t>have no cash outflows associated with them (e.g., deferred income), or the cash outflows associated with them are uncertain or do not represent a "purchase obligation" as such term is used herein (e.g., deferred taxes, derivative financial instruments, and</w:t>
      </w:r>
      <w:r>
        <w:rPr>
          <w:rFonts w:eastAsia="Times New Roman"/>
          <w:color w:val="000000"/>
          <w:sz w:val="20"/>
          <w:szCs w:val="20"/>
        </w:rPr>
        <w:t xml:space="preserve"> other miscellaneous items).</w:t>
      </w:r>
    </w:p>
    <w:p w14:paraId="618C5B34" w14:textId="77777777" w:rsidR="00000000" w:rsidRDefault="00EE5306">
      <w:pPr>
        <w:ind w:firstLine="540"/>
        <w:jc w:val="both"/>
        <w:divId w:val="497114631"/>
        <w:rPr>
          <w:rFonts w:eastAsia="Times New Roman"/>
        </w:rPr>
      </w:pPr>
      <w:r>
        <w:rPr>
          <w:rFonts w:eastAsia="Times New Roman"/>
          <w:color w:val="000000"/>
          <w:sz w:val="20"/>
          <w:szCs w:val="20"/>
        </w:rPr>
        <w:t>We also have certain contractual arrangements that would require us to make payments if certain events or circumstances occur. See Note 15 to the accompanying consolidated financial statements for a description of our contingen</w:t>
      </w:r>
      <w:r>
        <w:rPr>
          <w:rFonts w:eastAsia="Times New Roman"/>
          <w:color w:val="000000"/>
          <w:sz w:val="20"/>
          <w:szCs w:val="20"/>
        </w:rPr>
        <w:t>t commitments not included in the above table.</w:t>
      </w:r>
    </w:p>
    <w:p w14:paraId="6093C590" w14:textId="77777777" w:rsidR="00000000" w:rsidRDefault="00EE5306">
      <w:pPr>
        <w:ind w:firstLine="360"/>
        <w:jc w:val="both"/>
        <w:divId w:val="1755785484"/>
        <w:rPr>
          <w:rFonts w:eastAsia="Times New Roman"/>
        </w:rPr>
      </w:pPr>
      <w:r>
        <w:rPr>
          <w:rFonts w:eastAsia="Times New Roman"/>
          <w:i/>
          <w:iCs/>
          <w:color w:val="000000"/>
          <w:sz w:val="20"/>
          <w:szCs w:val="20"/>
        </w:rPr>
        <w:t>Off-Balance Sheet Arrangements</w:t>
      </w:r>
    </w:p>
    <w:p w14:paraId="200EFFD4" w14:textId="77777777" w:rsidR="00000000" w:rsidRDefault="00EE5306">
      <w:pPr>
        <w:ind w:firstLine="540"/>
        <w:jc w:val="both"/>
        <w:divId w:val="1471171449"/>
        <w:rPr>
          <w:rFonts w:eastAsia="Times New Roman"/>
        </w:rPr>
      </w:pPr>
      <w:r>
        <w:rPr>
          <w:rFonts w:eastAsia="Times New Roman"/>
          <w:color w:val="000000"/>
          <w:sz w:val="20"/>
          <w:szCs w:val="20"/>
        </w:rPr>
        <w:t>In addition to the commitments included in the above table, our other off-balance sheet firm commitments relating to our outstanding letters of credit amounted to $8.9 million as</w:t>
      </w:r>
      <w:r>
        <w:rPr>
          <w:rFonts w:eastAsia="Times New Roman"/>
          <w:color w:val="000000"/>
          <w:sz w:val="20"/>
          <w:szCs w:val="20"/>
        </w:rPr>
        <w:t xml:space="preserve"> of March 27, 2021. We do not maintain any other off-balance sheet arrangements, transactions, obligations, or other relationships with unconsolidated entities that would be expected to have a material current or future effect on our consolidated financial</w:t>
      </w:r>
      <w:r>
        <w:rPr>
          <w:rFonts w:eastAsia="Times New Roman"/>
          <w:color w:val="000000"/>
          <w:sz w:val="20"/>
          <w:szCs w:val="20"/>
        </w:rPr>
        <w:t xml:space="preserve"> statements.</w:t>
      </w:r>
    </w:p>
    <w:p w14:paraId="7A792BAC" w14:textId="77777777" w:rsidR="00000000" w:rsidRDefault="00EE5306">
      <w:pPr>
        <w:jc w:val="both"/>
        <w:divId w:val="259989773"/>
        <w:rPr>
          <w:rFonts w:eastAsia="Times New Roman"/>
        </w:rPr>
      </w:pPr>
      <w:r>
        <w:rPr>
          <w:rFonts w:eastAsia="Times New Roman"/>
          <w:b/>
          <w:bCs/>
          <w:color w:val="000000"/>
          <w:sz w:val="20"/>
          <w:szCs w:val="20"/>
        </w:rPr>
        <w:t>MARKET RISK MANAGEMENT</w:t>
      </w:r>
    </w:p>
    <w:p w14:paraId="158D6684" w14:textId="77777777" w:rsidR="00000000" w:rsidRDefault="00EE5306">
      <w:pPr>
        <w:ind w:firstLine="540"/>
        <w:jc w:val="both"/>
        <w:divId w:val="266624972"/>
        <w:rPr>
          <w:rFonts w:eastAsia="Times New Roman"/>
        </w:rPr>
      </w:pPr>
      <w:r>
        <w:rPr>
          <w:rFonts w:eastAsia="Times New Roman"/>
          <w:color w:val="000000"/>
          <w:sz w:val="20"/>
          <w:szCs w:val="20"/>
        </w:rPr>
        <w:t>As discussed in Note 13 to the accompanying consolidated financial statements, we are exposed to a variety of risks, including the impact of changes in currency exchange rates on foreign currency-denominated balances, ce</w:t>
      </w:r>
      <w:r>
        <w:rPr>
          <w:rFonts w:eastAsia="Times New Roman"/>
          <w:color w:val="000000"/>
          <w:sz w:val="20"/>
          <w:szCs w:val="20"/>
        </w:rPr>
        <w:t>rtain anticipated cash flows of our international operations, and the value of reported net assets of our foreign operations, as well as changes in the fair value of our fixed-rate debt obligations relating to fluctuations in benchmark interest rates. Acco</w:t>
      </w:r>
      <w:r>
        <w:rPr>
          <w:rFonts w:eastAsia="Times New Roman"/>
          <w:color w:val="000000"/>
          <w:sz w:val="20"/>
          <w:szCs w:val="20"/>
        </w:rPr>
        <w:t>rdingly, at times, in the normal course of business, we employ established policies and procedures to manage such risks, including the use of derivative financial instruments. We do not use derivatives for speculative or trading purposes.</w:t>
      </w:r>
    </w:p>
    <w:p w14:paraId="6CA28156" w14:textId="77777777" w:rsidR="00000000" w:rsidRDefault="00EE5306">
      <w:pPr>
        <w:ind w:firstLine="540"/>
        <w:jc w:val="both"/>
        <w:divId w:val="1167090732"/>
        <w:rPr>
          <w:rFonts w:eastAsia="Times New Roman"/>
        </w:rPr>
      </w:pPr>
      <w:r>
        <w:rPr>
          <w:rFonts w:eastAsia="Times New Roman"/>
          <w:color w:val="000000"/>
          <w:sz w:val="20"/>
          <w:szCs w:val="20"/>
        </w:rPr>
        <w:t>Given our use of derivative instruments, we are exposed to the risk that the counterparties to such contracts will fail to meet their contractual obligations. To mitigate such counterparty credit risk, it is our policy to only enter into contracts with car</w:t>
      </w:r>
      <w:r>
        <w:rPr>
          <w:rFonts w:eastAsia="Times New Roman"/>
          <w:color w:val="000000"/>
          <w:sz w:val="20"/>
          <w:szCs w:val="20"/>
        </w:rPr>
        <w:t>efully selected financial institutions based upon an evaluation of their credit ratings and certain other factors, adhering to established limits for credit exposure. Our established policies and procedures for mitigating credit risk include ongoing review</w:t>
      </w:r>
      <w:r>
        <w:rPr>
          <w:rFonts w:eastAsia="Times New Roman"/>
          <w:color w:val="000000"/>
          <w:sz w:val="20"/>
          <w:szCs w:val="20"/>
        </w:rPr>
        <w:t xml:space="preserve"> and assessment of the creditworthiness of our counterparties. We also enter into master netting arrangements with counterparties, when possible, to further mitigate credit risk. As a result of the above considerations, we do not believe that we are expose</w:t>
      </w:r>
      <w:r>
        <w:rPr>
          <w:rFonts w:eastAsia="Times New Roman"/>
          <w:color w:val="000000"/>
          <w:sz w:val="20"/>
          <w:szCs w:val="20"/>
        </w:rPr>
        <w:t>d to undue concentration of counterparty risk with respect to our derivative contracts as of March 27, 2021. However, we do have in aggregate $15.7 million of derivative instruments in net asset positions with seven creditworthy financial institutions.</w:t>
      </w:r>
    </w:p>
    <w:p w14:paraId="3148A09A" w14:textId="77777777" w:rsidR="00000000" w:rsidRDefault="00EE5306">
      <w:pPr>
        <w:ind w:firstLine="360"/>
        <w:jc w:val="both"/>
        <w:divId w:val="615723077"/>
        <w:rPr>
          <w:rFonts w:eastAsia="Times New Roman"/>
        </w:rPr>
      </w:pPr>
      <w:r>
        <w:rPr>
          <w:rFonts w:eastAsia="Times New Roman"/>
          <w:b/>
          <w:bCs/>
          <w:i/>
          <w:iCs/>
          <w:color w:val="000000"/>
          <w:sz w:val="20"/>
          <w:szCs w:val="20"/>
        </w:rPr>
        <w:t>For</w:t>
      </w:r>
      <w:r>
        <w:rPr>
          <w:rFonts w:eastAsia="Times New Roman"/>
          <w:b/>
          <w:bCs/>
          <w:i/>
          <w:iCs/>
          <w:color w:val="000000"/>
          <w:sz w:val="20"/>
          <w:szCs w:val="20"/>
        </w:rPr>
        <w:t>eign Currency Risk Management</w:t>
      </w:r>
    </w:p>
    <w:p w14:paraId="4A45FE33" w14:textId="77777777" w:rsidR="00000000" w:rsidRDefault="00EE5306">
      <w:pPr>
        <w:ind w:firstLine="540"/>
        <w:jc w:val="both"/>
        <w:divId w:val="1373385417"/>
        <w:rPr>
          <w:rFonts w:eastAsia="Times New Roman"/>
        </w:rPr>
      </w:pPr>
      <w:r>
        <w:rPr>
          <w:rFonts w:eastAsia="Times New Roman"/>
          <w:color w:val="000000"/>
          <w:sz w:val="20"/>
          <w:szCs w:val="20"/>
        </w:rPr>
        <w:t>We manage our exposure to changes in foreign currency exchange rates using forward foreign currency exchange and cross-currency swap contracts. Refer to Note 13 to the accompanying consolidated financial statements for a summa</w:t>
      </w:r>
      <w:r>
        <w:rPr>
          <w:rFonts w:eastAsia="Times New Roman"/>
          <w:color w:val="000000"/>
          <w:sz w:val="20"/>
          <w:szCs w:val="20"/>
        </w:rPr>
        <w:t>ry of the notional amounts and fair values of our outstanding forward foreign currency exchange and cross-currency swap contracts, as well as the impact on earnings and other comprehensive income of such instruments for the fiscal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D38D915" w14:textId="77777777">
        <w:trPr>
          <w:divId w:val="1649284153"/>
          <w:jc w:val="center"/>
        </w:trPr>
        <w:tc>
          <w:tcPr>
            <w:tcW w:w="50" w:type="pct"/>
            <w:vAlign w:val="center"/>
            <w:hideMark/>
          </w:tcPr>
          <w:p w14:paraId="7A35C497" w14:textId="77777777" w:rsidR="00000000" w:rsidRDefault="00EE5306">
            <w:pPr>
              <w:ind w:firstLine="540"/>
              <w:jc w:val="both"/>
              <w:rPr>
                <w:rFonts w:eastAsia="Times New Roman"/>
              </w:rPr>
            </w:pPr>
          </w:p>
        </w:tc>
        <w:tc>
          <w:tcPr>
            <w:tcW w:w="1699" w:type="pct"/>
            <w:vAlign w:val="center"/>
            <w:hideMark/>
          </w:tcPr>
          <w:p w14:paraId="7BC3BB6E" w14:textId="77777777" w:rsidR="00000000" w:rsidRDefault="00EE5306">
            <w:pPr>
              <w:spacing w:after="100"/>
              <w:rPr>
                <w:rFonts w:eastAsia="Times New Roman"/>
                <w:sz w:val="20"/>
                <w:szCs w:val="20"/>
              </w:rPr>
            </w:pPr>
          </w:p>
        </w:tc>
        <w:tc>
          <w:tcPr>
            <w:tcW w:w="5" w:type="pct"/>
            <w:vAlign w:val="center"/>
            <w:hideMark/>
          </w:tcPr>
          <w:p w14:paraId="1EFA5E6E" w14:textId="77777777" w:rsidR="00000000" w:rsidRDefault="00EE5306">
            <w:pPr>
              <w:spacing w:after="100"/>
              <w:rPr>
                <w:rFonts w:eastAsia="Times New Roman"/>
                <w:sz w:val="20"/>
                <w:szCs w:val="20"/>
              </w:rPr>
            </w:pPr>
          </w:p>
        </w:tc>
        <w:tc>
          <w:tcPr>
            <w:tcW w:w="50" w:type="pct"/>
            <w:vAlign w:val="center"/>
            <w:hideMark/>
          </w:tcPr>
          <w:p w14:paraId="060551FE" w14:textId="77777777" w:rsidR="00000000" w:rsidRDefault="00EE5306">
            <w:pPr>
              <w:spacing w:after="100"/>
              <w:rPr>
                <w:rFonts w:eastAsia="Times New Roman"/>
                <w:sz w:val="20"/>
                <w:szCs w:val="20"/>
              </w:rPr>
            </w:pPr>
          </w:p>
        </w:tc>
        <w:tc>
          <w:tcPr>
            <w:tcW w:w="1436" w:type="pct"/>
            <w:vAlign w:val="center"/>
            <w:hideMark/>
          </w:tcPr>
          <w:p w14:paraId="15274150" w14:textId="77777777" w:rsidR="00000000" w:rsidRDefault="00EE5306">
            <w:pPr>
              <w:spacing w:after="100"/>
              <w:rPr>
                <w:rFonts w:eastAsia="Times New Roman"/>
                <w:sz w:val="20"/>
                <w:szCs w:val="20"/>
              </w:rPr>
            </w:pPr>
          </w:p>
        </w:tc>
        <w:tc>
          <w:tcPr>
            <w:tcW w:w="5" w:type="pct"/>
            <w:vAlign w:val="center"/>
            <w:hideMark/>
          </w:tcPr>
          <w:p w14:paraId="1E014AD8" w14:textId="77777777" w:rsidR="00000000" w:rsidRDefault="00EE5306">
            <w:pPr>
              <w:spacing w:after="100"/>
              <w:rPr>
                <w:rFonts w:eastAsia="Times New Roman"/>
                <w:sz w:val="20"/>
                <w:szCs w:val="20"/>
              </w:rPr>
            </w:pPr>
          </w:p>
        </w:tc>
        <w:tc>
          <w:tcPr>
            <w:tcW w:w="50" w:type="pct"/>
            <w:vAlign w:val="center"/>
            <w:hideMark/>
          </w:tcPr>
          <w:p w14:paraId="32A0FD76" w14:textId="77777777" w:rsidR="00000000" w:rsidRDefault="00EE5306">
            <w:pPr>
              <w:spacing w:after="100"/>
              <w:rPr>
                <w:rFonts w:eastAsia="Times New Roman"/>
                <w:sz w:val="20"/>
                <w:szCs w:val="20"/>
              </w:rPr>
            </w:pPr>
          </w:p>
        </w:tc>
        <w:tc>
          <w:tcPr>
            <w:tcW w:w="1699" w:type="pct"/>
            <w:vAlign w:val="center"/>
            <w:hideMark/>
          </w:tcPr>
          <w:p w14:paraId="65286C29" w14:textId="77777777" w:rsidR="00000000" w:rsidRDefault="00EE5306">
            <w:pPr>
              <w:spacing w:after="100"/>
              <w:rPr>
                <w:rFonts w:eastAsia="Times New Roman"/>
                <w:sz w:val="20"/>
                <w:szCs w:val="20"/>
              </w:rPr>
            </w:pPr>
          </w:p>
        </w:tc>
        <w:tc>
          <w:tcPr>
            <w:tcW w:w="5" w:type="pct"/>
            <w:vAlign w:val="center"/>
            <w:hideMark/>
          </w:tcPr>
          <w:p w14:paraId="5ACA47FF" w14:textId="77777777" w:rsidR="00000000" w:rsidRDefault="00EE5306">
            <w:pPr>
              <w:spacing w:after="100"/>
              <w:rPr>
                <w:rFonts w:eastAsia="Times New Roman"/>
                <w:sz w:val="20"/>
                <w:szCs w:val="20"/>
              </w:rPr>
            </w:pPr>
          </w:p>
        </w:tc>
      </w:tr>
      <w:tr w:rsidR="00000000" w14:paraId="2432A77E" w14:textId="77777777">
        <w:trPr>
          <w:divId w:val="1649284153"/>
          <w:jc w:val="center"/>
        </w:trPr>
        <w:tc>
          <w:tcPr>
            <w:tcW w:w="0" w:type="auto"/>
            <w:gridSpan w:val="3"/>
            <w:tcMar>
              <w:top w:w="0" w:type="dxa"/>
              <w:left w:w="20" w:type="dxa"/>
              <w:bottom w:w="0" w:type="dxa"/>
              <w:right w:w="20" w:type="dxa"/>
            </w:tcMar>
            <w:vAlign w:val="center"/>
            <w:hideMark/>
          </w:tcPr>
          <w:p w14:paraId="28ECAD2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ABAB52A" w14:textId="77777777" w:rsidR="00000000" w:rsidRDefault="00EE5306">
            <w:pPr>
              <w:spacing w:after="100"/>
              <w:jc w:val="center"/>
              <w:rPr>
                <w:rFonts w:eastAsia="Times New Roman"/>
              </w:rPr>
            </w:pPr>
            <w:r>
              <w:rPr>
                <w:rFonts w:eastAsia="Times New Roman"/>
                <w:color w:val="000000"/>
                <w:sz w:val="20"/>
                <w:szCs w:val="20"/>
              </w:rPr>
              <w:t>69</w:t>
            </w:r>
          </w:p>
        </w:tc>
        <w:tc>
          <w:tcPr>
            <w:tcW w:w="0" w:type="auto"/>
            <w:gridSpan w:val="3"/>
            <w:tcMar>
              <w:top w:w="0" w:type="dxa"/>
              <w:left w:w="20" w:type="dxa"/>
              <w:bottom w:w="0" w:type="dxa"/>
              <w:right w:w="20" w:type="dxa"/>
            </w:tcMar>
            <w:vAlign w:val="center"/>
            <w:hideMark/>
          </w:tcPr>
          <w:p w14:paraId="07C4CE80" w14:textId="77777777" w:rsidR="00000000" w:rsidRDefault="00EE5306">
            <w:pPr>
              <w:spacing w:after="100"/>
              <w:jc w:val="center"/>
              <w:rPr>
                <w:rFonts w:eastAsia="Times New Roman"/>
              </w:rPr>
            </w:pPr>
          </w:p>
        </w:tc>
      </w:tr>
    </w:tbl>
    <w:p w14:paraId="46505FF2" w14:textId="77777777" w:rsidR="00000000" w:rsidRDefault="00EE5306">
      <w:pPr>
        <w:rPr>
          <w:rFonts w:eastAsia="Times New Roman"/>
        </w:rPr>
      </w:pPr>
      <w:r>
        <w:rPr>
          <w:rFonts w:eastAsia="Times New Roman"/>
        </w:rPr>
        <w:pict w14:anchorId="2624F61F">
          <v:rect id="_x0000_i1096" style="width:0;height:1.5pt" o:hralign="center" o:hrstd="t" o:hr="t" fillcolor="#a0a0a0" stroked="f"/>
        </w:pict>
      </w:r>
    </w:p>
    <w:p w14:paraId="147D9238" w14:textId="77777777" w:rsidR="00000000" w:rsidRDefault="00EE5306">
      <w:pPr>
        <w:divId w:val="1856309904"/>
        <w:rPr>
          <w:rFonts w:eastAsia="Times New Roman"/>
        </w:rPr>
      </w:pPr>
    </w:p>
    <w:p w14:paraId="305F36E0" w14:textId="77777777" w:rsidR="00000000" w:rsidRDefault="00EE5306">
      <w:pPr>
        <w:ind w:firstLine="360"/>
        <w:jc w:val="both"/>
        <w:divId w:val="529150859"/>
        <w:rPr>
          <w:rFonts w:eastAsia="Times New Roman"/>
        </w:rPr>
      </w:pPr>
      <w:r>
        <w:rPr>
          <w:rFonts w:eastAsia="Times New Roman"/>
          <w:i/>
          <w:iCs/>
          <w:color w:val="000000"/>
          <w:sz w:val="20"/>
          <w:szCs w:val="20"/>
        </w:rPr>
        <w:t>Forward Foreign Currency Exchange Contracts</w:t>
      </w:r>
    </w:p>
    <w:p w14:paraId="4FC9029F" w14:textId="77777777" w:rsidR="00000000" w:rsidRDefault="00EE5306">
      <w:pPr>
        <w:ind w:firstLine="540"/>
        <w:jc w:val="both"/>
        <w:divId w:val="2112121219"/>
        <w:rPr>
          <w:rFonts w:eastAsia="Times New Roman"/>
        </w:rPr>
      </w:pPr>
      <w:r>
        <w:rPr>
          <w:rFonts w:eastAsia="Times New Roman"/>
          <w:color w:val="000000"/>
          <w:sz w:val="20"/>
          <w:szCs w:val="20"/>
        </w:rPr>
        <w:t xml:space="preserve">We enter into forward foreign currency exchange contracts to mitigate risk related to exchange rate fluctuations on inventory transactions made in an entity's non-functional </w:t>
      </w:r>
      <w:r>
        <w:rPr>
          <w:rFonts w:eastAsia="Times New Roman"/>
          <w:color w:val="000000"/>
          <w:sz w:val="20"/>
          <w:szCs w:val="20"/>
        </w:rPr>
        <w:t>currency, the settlement of foreign currency-denominated balances, and the translation of certain foreign operations' net assets into U.S. Dollars. As part of our overall strategy for managing the level of exposure to such exchange rate risk, relating prim</w:t>
      </w:r>
      <w:r>
        <w:rPr>
          <w:rFonts w:eastAsia="Times New Roman"/>
          <w:color w:val="000000"/>
          <w:sz w:val="20"/>
          <w:szCs w:val="20"/>
        </w:rPr>
        <w:t>arily to the Euro, the Japanese Yen, the South Korean Won, the Australian Dollar, the Canadian Dollar, the British Pound Sterling, the Swiss Franc, and the Chinese Renminbi, we generally hedge a portion of our related exposures anticipated over the next tw</w:t>
      </w:r>
      <w:r>
        <w:rPr>
          <w:rFonts w:eastAsia="Times New Roman"/>
          <w:color w:val="000000"/>
          <w:sz w:val="20"/>
          <w:szCs w:val="20"/>
        </w:rPr>
        <w:t>elve months using forward foreign currency exchange contracts with maturities of two months to one year to provide continuing coverage over the period of the respective exposure.</w:t>
      </w:r>
    </w:p>
    <w:p w14:paraId="6D766008" w14:textId="77777777" w:rsidR="00000000" w:rsidRDefault="00EE5306">
      <w:pPr>
        <w:ind w:firstLine="540"/>
        <w:jc w:val="both"/>
        <w:divId w:val="2026592411"/>
        <w:rPr>
          <w:rFonts w:eastAsia="Times New Roman"/>
        </w:rPr>
      </w:pPr>
      <w:r>
        <w:rPr>
          <w:rFonts w:eastAsia="Times New Roman"/>
          <w:color w:val="000000"/>
          <w:sz w:val="20"/>
          <w:szCs w:val="20"/>
        </w:rPr>
        <w:t>Our foreign exchange risk management activities are governed by established p</w:t>
      </w:r>
      <w:r>
        <w:rPr>
          <w:rFonts w:eastAsia="Times New Roman"/>
          <w:color w:val="000000"/>
          <w:sz w:val="20"/>
          <w:szCs w:val="20"/>
        </w:rPr>
        <w:t>olicies and procedures. These policies and procedures provide a framework that allows for the management of currency exposures while ensuring the activities are conducted within our established guidelines. Our policies include guidelines for the organizati</w:t>
      </w:r>
      <w:r>
        <w:rPr>
          <w:rFonts w:eastAsia="Times New Roman"/>
          <w:color w:val="000000"/>
          <w:sz w:val="20"/>
          <w:szCs w:val="20"/>
        </w:rPr>
        <w:t>onal structure of our risk management function and for internal controls over foreign exchange risk management activities, including, but not limited to, authorization levels, transaction limits, and credit quality controls, as well as various measurements</w:t>
      </w:r>
      <w:r>
        <w:rPr>
          <w:rFonts w:eastAsia="Times New Roman"/>
          <w:color w:val="000000"/>
          <w:sz w:val="20"/>
          <w:szCs w:val="20"/>
        </w:rPr>
        <w:t xml:space="preserve"> for monitoring compliance. We monitor foreign exchange risk using different techniques, including periodic review of market values and performance of sensitivity analyses.</w:t>
      </w:r>
    </w:p>
    <w:p w14:paraId="714EFDAD" w14:textId="77777777" w:rsidR="00000000" w:rsidRDefault="00EE5306">
      <w:pPr>
        <w:ind w:firstLine="540"/>
        <w:jc w:val="both"/>
        <w:divId w:val="1322155191"/>
        <w:rPr>
          <w:rFonts w:eastAsia="Times New Roman"/>
        </w:rPr>
      </w:pPr>
      <w:r>
        <w:rPr>
          <w:rFonts w:eastAsia="Times New Roman"/>
          <w:color w:val="000000"/>
          <w:sz w:val="20"/>
          <w:szCs w:val="20"/>
        </w:rPr>
        <w:t>Our forward foreign currency exchange contracts are recorded at fair value in our c</w:t>
      </w:r>
      <w:r>
        <w:rPr>
          <w:rFonts w:eastAsia="Times New Roman"/>
          <w:color w:val="000000"/>
          <w:sz w:val="20"/>
          <w:szCs w:val="20"/>
        </w:rPr>
        <w:t>onsolidated balance sheets. To the extent such contracts are designated as qualifying cash flow hedges of inventory transactions, related gains or losses are initially deferred in equity as a component of accumulated other comprehensive income ("AOCI") and</w:t>
      </w:r>
      <w:r>
        <w:rPr>
          <w:rFonts w:eastAsia="Times New Roman"/>
          <w:color w:val="000000"/>
          <w:sz w:val="20"/>
          <w:szCs w:val="20"/>
        </w:rPr>
        <w:t xml:space="preserve"> are subsequently recognized within cost of goods sold in our consolidated statements of operations when the related inventory is sold.</w:t>
      </w:r>
    </w:p>
    <w:p w14:paraId="7E66CFE7" w14:textId="77777777" w:rsidR="00000000" w:rsidRDefault="00EE5306">
      <w:pPr>
        <w:ind w:firstLine="360"/>
        <w:jc w:val="both"/>
        <w:divId w:val="635137181"/>
        <w:rPr>
          <w:rFonts w:eastAsia="Times New Roman"/>
        </w:rPr>
      </w:pPr>
      <w:r>
        <w:rPr>
          <w:rFonts w:eastAsia="Times New Roman"/>
          <w:i/>
          <w:iCs/>
          <w:color w:val="000000"/>
          <w:sz w:val="20"/>
          <w:szCs w:val="20"/>
        </w:rPr>
        <w:t>Cross-Currency Swap Contracts</w:t>
      </w:r>
    </w:p>
    <w:p w14:paraId="4942CD13" w14:textId="77777777" w:rsidR="00000000" w:rsidRDefault="00EE5306">
      <w:pPr>
        <w:ind w:firstLine="540"/>
        <w:jc w:val="both"/>
        <w:divId w:val="1928542027"/>
        <w:rPr>
          <w:rFonts w:eastAsia="Times New Roman"/>
        </w:rPr>
      </w:pPr>
      <w:r>
        <w:rPr>
          <w:rFonts w:eastAsia="Times New Roman"/>
          <w:color w:val="000000"/>
          <w:sz w:val="20"/>
          <w:szCs w:val="20"/>
        </w:rPr>
        <w:t>We periodically designate (i) pay-floating rate, receive-floating rate cross-currency swap</w:t>
      </w:r>
      <w:r>
        <w:rPr>
          <w:rFonts w:eastAsia="Times New Roman"/>
          <w:color w:val="000000"/>
          <w:sz w:val="20"/>
          <w:szCs w:val="20"/>
        </w:rPr>
        <w:t xml:space="preserve"> contracts or (ii) pay-fixed rate, receive fixed-rate cross-currency swap contracts as hedges of our net investment in certain European subsidiaries. </w:t>
      </w:r>
    </w:p>
    <w:p w14:paraId="22C22AFF" w14:textId="77777777" w:rsidR="00000000" w:rsidRDefault="00EE5306">
      <w:pPr>
        <w:ind w:firstLine="540"/>
        <w:jc w:val="both"/>
        <w:divId w:val="1532062179"/>
        <w:rPr>
          <w:rFonts w:eastAsia="Times New Roman"/>
        </w:rPr>
      </w:pPr>
      <w:r>
        <w:rPr>
          <w:rFonts w:eastAsia="Times New Roman"/>
          <w:color w:val="000000"/>
          <w:sz w:val="20"/>
          <w:szCs w:val="20"/>
        </w:rPr>
        <w:t>Our pay-floating rate, receive-floating rate cross-currency swap contracts swap U.S. Dollar-denominated v</w:t>
      </w:r>
      <w:r>
        <w:rPr>
          <w:rFonts w:eastAsia="Times New Roman"/>
          <w:color w:val="000000"/>
          <w:sz w:val="20"/>
          <w:szCs w:val="20"/>
        </w:rPr>
        <w:t>ariable interest rate payments based on the contract's notional amount and 3-month London Interbank Offered Rate ("LIBOR") plus a fixed spread (as paid under a corresponding interest rate swap contract discussed below) for Euro-denominated variable interes</w:t>
      </w:r>
      <w:r>
        <w:rPr>
          <w:rFonts w:eastAsia="Times New Roman"/>
          <w:color w:val="000000"/>
          <w:sz w:val="20"/>
          <w:szCs w:val="20"/>
        </w:rPr>
        <w:t>t rate payments based on 3-month Euro Interbank Offered Rate ("EURIBOR") plus a fixed spread, which, in combination with a corresponding interest rate swap contract, economically converts a portion of our fixed-rate U.S. Dollar-denominated senior note obli</w:t>
      </w:r>
      <w:r>
        <w:rPr>
          <w:rFonts w:eastAsia="Times New Roman"/>
          <w:color w:val="000000"/>
          <w:sz w:val="20"/>
          <w:szCs w:val="20"/>
        </w:rPr>
        <w:t>gations to floating-rate Euro-denominated obligations.</w:t>
      </w:r>
    </w:p>
    <w:p w14:paraId="0DF82AFE" w14:textId="77777777" w:rsidR="00000000" w:rsidRDefault="00EE5306">
      <w:pPr>
        <w:ind w:firstLine="540"/>
        <w:jc w:val="both"/>
        <w:divId w:val="1063411636"/>
        <w:rPr>
          <w:rFonts w:eastAsia="Times New Roman"/>
        </w:rPr>
      </w:pPr>
      <w:r>
        <w:rPr>
          <w:rFonts w:eastAsia="Times New Roman"/>
          <w:color w:val="000000"/>
          <w:sz w:val="20"/>
          <w:szCs w:val="20"/>
        </w:rPr>
        <w:t>Our pay-fixed rate, receive-fixed rate cross-currency swap contracts swap U.S. Dollar-denominated fixed interest rate payments based on the contract's notional amount and the fixed rate of interest pay</w:t>
      </w:r>
      <w:r>
        <w:rPr>
          <w:rFonts w:eastAsia="Times New Roman"/>
          <w:color w:val="000000"/>
          <w:sz w:val="20"/>
          <w:szCs w:val="20"/>
        </w:rPr>
        <w:t>able on certain of our senior notes for Euro-denominated fixed interest rate payments, thereby economically converting a portion of our fixed-rate U.S. Dollar-denominated senior note obligations to fixed rate Euro-denominated obligations.</w:t>
      </w:r>
    </w:p>
    <w:p w14:paraId="04960827" w14:textId="77777777" w:rsidR="00000000" w:rsidRDefault="00EE5306">
      <w:pPr>
        <w:ind w:firstLine="360"/>
        <w:jc w:val="both"/>
        <w:divId w:val="437603632"/>
        <w:rPr>
          <w:rFonts w:eastAsia="Times New Roman"/>
        </w:rPr>
      </w:pPr>
      <w:r>
        <w:rPr>
          <w:rFonts w:eastAsia="Times New Roman"/>
          <w:i/>
          <w:iCs/>
          <w:color w:val="000000"/>
          <w:sz w:val="20"/>
          <w:szCs w:val="20"/>
        </w:rPr>
        <w:t>Sensitivity</w:t>
      </w:r>
    </w:p>
    <w:p w14:paraId="0AC36449" w14:textId="77777777" w:rsidR="00000000" w:rsidRDefault="00EE5306">
      <w:pPr>
        <w:ind w:firstLine="540"/>
        <w:jc w:val="both"/>
        <w:divId w:val="1260675292"/>
        <w:rPr>
          <w:rFonts w:eastAsia="Times New Roman"/>
        </w:rPr>
      </w:pPr>
      <w:r>
        <w:rPr>
          <w:rFonts w:eastAsia="Times New Roman"/>
          <w:color w:val="000000"/>
          <w:sz w:val="20"/>
          <w:szCs w:val="20"/>
        </w:rPr>
        <w:t>We perform a sensitivity analysis to determine the effects that market risk exposures may have on the fair values of our forward foreign currency exchange and cross-currency swap contracts. In doing so, we assess the risk of loss in the fair va</w:t>
      </w:r>
      <w:r>
        <w:rPr>
          <w:rFonts w:eastAsia="Times New Roman"/>
          <w:color w:val="000000"/>
          <w:sz w:val="20"/>
          <w:szCs w:val="20"/>
        </w:rPr>
        <w:t>lues of these contracts that would result from hypothetical changes in foreign currency exchange rates. This analysis assumes a like movement by the foreign currencies in our hedge portfolio against the U.S. Dollar. As of March 27, 2021, a 10% appreciation</w:t>
      </w:r>
      <w:r>
        <w:rPr>
          <w:rFonts w:eastAsia="Times New Roman"/>
          <w:color w:val="000000"/>
          <w:sz w:val="20"/>
          <w:szCs w:val="20"/>
        </w:rPr>
        <w:t xml:space="preserve"> or depreciation of the U.S. Dollar against the foreign currencies under contract would result in a net increase or decrease, respectively, in the fair value of our derivative portfolio of approximately $109 million. This hypothetical net change in fair va</w:t>
      </w:r>
      <w:r>
        <w:rPr>
          <w:rFonts w:eastAsia="Times New Roman"/>
          <w:color w:val="000000"/>
          <w:sz w:val="20"/>
          <w:szCs w:val="20"/>
        </w:rPr>
        <w:t>lue should ultimately be largely offset by the net change in the related underlying hedged items.</w:t>
      </w:r>
    </w:p>
    <w:p w14:paraId="04EB0D21" w14:textId="77777777" w:rsidR="00000000" w:rsidRDefault="00EE5306">
      <w:pPr>
        <w:ind w:firstLine="360"/>
        <w:jc w:val="both"/>
        <w:divId w:val="1819498579"/>
        <w:rPr>
          <w:rFonts w:eastAsia="Times New Roman"/>
        </w:rPr>
      </w:pPr>
      <w:r>
        <w:rPr>
          <w:rFonts w:eastAsia="Times New Roman"/>
          <w:b/>
          <w:bCs/>
          <w:i/>
          <w:iCs/>
          <w:color w:val="000000"/>
          <w:sz w:val="20"/>
          <w:szCs w:val="20"/>
        </w:rPr>
        <w:t>Interest Rate Risk Management</w:t>
      </w:r>
    </w:p>
    <w:p w14:paraId="48635ED7" w14:textId="77777777" w:rsidR="00000000" w:rsidRDefault="00EE5306">
      <w:pPr>
        <w:ind w:firstLine="540"/>
        <w:jc w:val="both"/>
        <w:divId w:val="2135783233"/>
        <w:rPr>
          <w:rFonts w:eastAsia="Times New Roman"/>
        </w:rPr>
      </w:pPr>
      <w:r>
        <w:rPr>
          <w:rFonts w:eastAsia="Times New Roman"/>
          <w:color w:val="000000"/>
          <w:sz w:val="20"/>
          <w:szCs w:val="20"/>
        </w:rPr>
        <w:t>We periodically designate pay-floating rate, receive-fixed rate interest rate swap contracts as hedges against changes in the fa</w:t>
      </w:r>
      <w:r>
        <w:rPr>
          <w:rFonts w:eastAsia="Times New Roman"/>
          <w:color w:val="000000"/>
          <w:sz w:val="20"/>
          <w:szCs w:val="20"/>
        </w:rPr>
        <w:t>ir value of certain of our fixed-rate debt attributed to changes in a benchmark interest rate. To the extent of their notional amount, such contracts effectively swap the fixed interest rate on certain of our fixed-rate senior notes for a variable interest</w:t>
      </w:r>
      <w:r>
        <w:rPr>
          <w:rFonts w:eastAsia="Times New Roman"/>
          <w:color w:val="000000"/>
          <w:sz w:val="20"/>
          <w:szCs w:val="20"/>
        </w:rPr>
        <w:t xml:space="preserve"> rate based on 3-month LIBOR plus a fixed spread.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6CD7BD5" w14:textId="77777777">
        <w:trPr>
          <w:divId w:val="1595939276"/>
          <w:jc w:val="center"/>
        </w:trPr>
        <w:tc>
          <w:tcPr>
            <w:tcW w:w="50" w:type="pct"/>
            <w:vAlign w:val="center"/>
            <w:hideMark/>
          </w:tcPr>
          <w:p w14:paraId="273A2C42" w14:textId="77777777" w:rsidR="00000000" w:rsidRDefault="00EE5306">
            <w:pPr>
              <w:ind w:firstLine="540"/>
              <w:jc w:val="both"/>
              <w:rPr>
                <w:rFonts w:eastAsia="Times New Roman"/>
              </w:rPr>
            </w:pPr>
          </w:p>
        </w:tc>
        <w:tc>
          <w:tcPr>
            <w:tcW w:w="1699" w:type="pct"/>
            <w:vAlign w:val="center"/>
            <w:hideMark/>
          </w:tcPr>
          <w:p w14:paraId="7DC0A4C2" w14:textId="77777777" w:rsidR="00000000" w:rsidRDefault="00EE5306">
            <w:pPr>
              <w:spacing w:after="100"/>
              <w:rPr>
                <w:rFonts w:eastAsia="Times New Roman"/>
                <w:sz w:val="20"/>
                <w:szCs w:val="20"/>
              </w:rPr>
            </w:pPr>
          </w:p>
        </w:tc>
        <w:tc>
          <w:tcPr>
            <w:tcW w:w="5" w:type="pct"/>
            <w:vAlign w:val="center"/>
            <w:hideMark/>
          </w:tcPr>
          <w:p w14:paraId="627D9CF0" w14:textId="77777777" w:rsidR="00000000" w:rsidRDefault="00EE5306">
            <w:pPr>
              <w:spacing w:after="100"/>
              <w:rPr>
                <w:rFonts w:eastAsia="Times New Roman"/>
                <w:sz w:val="20"/>
                <w:szCs w:val="20"/>
              </w:rPr>
            </w:pPr>
          </w:p>
        </w:tc>
        <w:tc>
          <w:tcPr>
            <w:tcW w:w="50" w:type="pct"/>
            <w:vAlign w:val="center"/>
            <w:hideMark/>
          </w:tcPr>
          <w:p w14:paraId="07FA83C6" w14:textId="77777777" w:rsidR="00000000" w:rsidRDefault="00EE5306">
            <w:pPr>
              <w:spacing w:after="100"/>
              <w:rPr>
                <w:rFonts w:eastAsia="Times New Roman"/>
                <w:sz w:val="20"/>
                <w:szCs w:val="20"/>
              </w:rPr>
            </w:pPr>
          </w:p>
        </w:tc>
        <w:tc>
          <w:tcPr>
            <w:tcW w:w="1436" w:type="pct"/>
            <w:vAlign w:val="center"/>
            <w:hideMark/>
          </w:tcPr>
          <w:p w14:paraId="309DFB94" w14:textId="77777777" w:rsidR="00000000" w:rsidRDefault="00EE5306">
            <w:pPr>
              <w:spacing w:after="100"/>
              <w:rPr>
                <w:rFonts w:eastAsia="Times New Roman"/>
                <w:sz w:val="20"/>
                <w:szCs w:val="20"/>
              </w:rPr>
            </w:pPr>
          </w:p>
        </w:tc>
        <w:tc>
          <w:tcPr>
            <w:tcW w:w="5" w:type="pct"/>
            <w:vAlign w:val="center"/>
            <w:hideMark/>
          </w:tcPr>
          <w:p w14:paraId="37C91C88" w14:textId="77777777" w:rsidR="00000000" w:rsidRDefault="00EE5306">
            <w:pPr>
              <w:spacing w:after="100"/>
              <w:rPr>
                <w:rFonts w:eastAsia="Times New Roman"/>
                <w:sz w:val="20"/>
                <w:szCs w:val="20"/>
              </w:rPr>
            </w:pPr>
          </w:p>
        </w:tc>
        <w:tc>
          <w:tcPr>
            <w:tcW w:w="50" w:type="pct"/>
            <w:vAlign w:val="center"/>
            <w:hideMark/>
          </w:tcPr>
          <w:p w14:paraId="395856FD" w14:textId="77777777" w:rsidR="00000000" w:rsidRDefault="00EE5306">
            <w:pPr>
              <w:spacing w:after="100"/>
              <w:rPr>
                <w:rFonts w:eastAsia="Times New Roman"/>
                <w:sz w:val="20"/>
                <w:szCs w:val="20"/>
              </w:rPr>
            </w:pPr>
          </w:p>
        </w:tc>
        <w:tc>
          <w:tcPr>
            <w:tcW w:w="1699" w:type="pct"/>
            <w:vAlign w:val="center"/>
            <w:hideMark/>
          </w:tcPr>
          <w:p w14:paraId="0D0DE9A0" w14:textId="77777777" w:rsidR="00000000" w:rsidRDefault="00EE5306">
            <w:pPr>
              <w:spacing w:after="100"/>
              <w:rPr>
                <w:rFonts w:eastAsia="Times New Roman"/>
                <w:sz w:val="20"/>
                <w:szCs w:val="20"/>
              </w:rPr>
            </w:pPr>
          </w:p>
        </w:tc>
        <w:tc>
          <w:tcPr>
            <w:tcW w:w="5" w:type="pct"/>
            <w:vAlign w:val="center"/>
            <w:hideMark/>
          </w:tcPr>
          <w:p w14:paraId="69C85E10" w14:textId="77777777" w:rsidR="00000000" w:rsidRDefault="00EE5306">
            <w:pPr>
              <w:spacing w:after="100"/>
              <w:rPr>
                <w:rFonts w:eastAsia="Times New Roman"/>
                <w:sz w:val="20"/>
                <w:szCs w:val="20"/>
              </w:rPr>
            </w:pPr>
          </w:p>
        </w:tc>
      </w:tr>
      <w:tr w:rsidR="00000000" w14:paraId="6C438242" w14:textId="77777777">
        <w:trPr>
          <w:divId w:val="1595939276"/>
          <w:jc w:val="center"/>
        </w:trPr>
        <w:tc>
          <w:tcPr>
            <w:tcW w:w="0" w:type="auto"/>
            <w:gridSpan w:val="3"/>
            <w:tcMar>
              <w:top w:w="0" w:type="dxa"/>
              <w:left w:w="20" w:type="dxa"/>
              <w:bottom w:w="0" w:type="dxa"/>
              <w:right w:w="20" w:type="dxa"/>
            </w:tcMar>
            <w:vAlign w:val="center"/>
            <w:hideMark/>
          </w:tcPr>
          <w:p w14:paraId="5414630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D2917A2" w14:textId="77777777" w:rsidR="00000000" w:rsidRDefault="00EE5306">
            <w:pPr>
              <w:spacing w:after="100"/>
              <w:jc w:val="center"/>
              <w:rPr>
                <w:rFonts w:eastAsia="Times New Roman"/>
              </w:rPr>
            </w:pPr>
            <w:r>
              <w:rPr>
                <w:rFonts w:eastAsia="Times New Roman"/>
                <w:color w:val="000000"/>
                <w:sz w:val="20"/>
                <w:szCs w:val="20"/>
              </w:rPr>
              <w:t>70</w:t>
            </w:r>
          </w:p>
        </w:tc>
        <w:tc>
          <w:tcPr>
            <w:tcW w:w="0" w:type="auto"/>
            <w:gridSpan w:val="3"/>
            <w:tcMar>
              <w:top w:w="0" w:type="dxa"/>
              <w:left w:w="20" w:type="dxa"/>
              <w:bottom w:w="0" w:type="dxa"/>
              <w:right w:w="20" w:type="dxa"/>
            </w:tcMar>
            <w:vAlign w:val="center"/>
            <w:hideMark/>
          </w:tcPr>
          <w:p w14:paraId="1C7C6BE2" w14:textId="77777777" w:rsidR="00000000" w:rsidRDefault="00EE5306">
            <w:pPr>
              <w:spacing w:after="100"/>
              <w:jc w:val="center"/>
              <w:rPr>
                <w:rFonts w:eastAsia="Times New Roman"/>
              </w:rPr>
            </w:pPr>
          </w:p>
        </w:tc>
      </w:tr>
    </w:tbl>
    <w:p w14:paraId="74E910EA" w14:textId="77777777" w:rsidR="00000000" w:rsidRDefault="00EE5306">
      <w:pPr>
        <w:rPr>
          <w:rFonts w:eastAsia="Times New Roman"/>
        </w:rPr>
      </w:pPr>
      <w:r>
        <w:rPr>
          <w:rFonts w:eastAsia="Times New Roman"/>
        </w:rPr>
        <w:pict w14:anchorId="7302B8D5">
          <v:rect id="_x0000_i1097" style="width:0;height:1.5pt" o:hralign="center" o:hrstd="t" o:hr="t" fillcolor="#a0a0a0" stroked="f"/>
        </w:pict>
      </w:r>
    </w:p>
    <w:p w14:paraId="2C3AD36D" w14:textId="77777777" w:rsidR="00000000" w:rsidRDefault="00EE5306">
      <w:pPr>
        <w:divId w:val="1522670153"/>
        <w:rPr>
          <w:rFonts w:eastAsia="Times New Roman"/>
        </w:rPr>
      </w:pPr>
    </w:p>
    <w:p w14:paraId="67CDBE28" w14:textId="77777777" w:rsidR="00000000" w:rsidRDefault="00EE5306">
      <w:pPr>
        <w:ind w:firstLine="360"/>
        <w:jc w:val="both"/>
        <w:divId w:val="374745154"/>
        <w:rPr>
          <w:rFonts w:eastAsia="Times New Roman"/>
        </w:rPr>
      </w:pPr>
      <w:r>
        <w:rPr>
          <w:rFonts w:eastAsia="Times New Roman"/>
          <w:i/>
          <w:iCs/>
          <w:color w:val="000000"/>
          <w:sz w:val="20"/>
          <w:szCs w:val="20"/>
        </w:rPr>
        <w:t>Sensitivity</w:t>
      </w:r>
    </w:p>
    <w:p w14:paraId="5B050242" w14:textId="77777777" w:rsidR="00000000" w:rsidRDefault="00EE5306">
      <w:pPr>
        <w:ind w:firstLine="540"/>
        <w:jc w:val="both"/>
        <w:divId w:val="187304624"/>
        <w:rPr>
          <w:rFonts w:eastAsia="Times New Roman"/>
        </w:rPr>
      </w:pPr>
      <w:r>
        <w:rPr>
          <w:rFonts w:eastAsia="Times New Roman"/>
          <w:color w:val="000000"/>
          <w:sz w:val="20"/>
          <w:szCs w:val="20"/>
        </w:rPr>
        <w:t>As of March 27, 2021, we had no variable-rate debt outstanding. As such, our exposure to changes in interest rates primarily relates to changes in the fair values of our fixed-rate Senior Notes. As of March</w:t>
      </w:r>
      <w:r>
        <w:rPr>
          <w:rFonts w:eastAsia="Times New Roman"/>
          <w:color w:val="000000"/>
          <w:sz w:val="20"/>
          <w:szCs w:val="20"/>
        </w:rPr>
        <w:t> 27, 2021, the aggregate fair values of our Senior Notes were $1.731 billion. A 25-basis point increase or decrease in interest rates would decrease or increase, respectively, the aggregate fair values of our Senior Notes by approximately $22 million based</w:t>
      </w:r>
      <w:r>
        <w:rPr>
          <w:rFonts w:eastAsia="Times New Roman"/>
          <w:color w:val="000000"/>
          <w:sz w:val="20"/>
          <w:szCs w:val="20"/>
        </w:rPr>
        <w:t xml:space="preserve"> on certain simplifying assumptions, including an immediate across-the-board increase or decrease in the level of interest rates with no other subsequent changes for the remainder of the period. Such potential increases or decreases in the fair value of ou</w:t>
      </w:r>
      <w:r>
        <w:rPr>
          <w:rFonts w:eastAsia="Times New Roman"/>
          <w:color w:val="000000"/>
          <w:sz w:val="20"/>
          <w:szCs w:val="20"/>
        </w:rPr>
        <w:t>r debt would only be realized if we were to retire all or a portion of the debt prior to its maturity.</w:t>
      </w:r>
    </w:p>
    <w:p w14:paraId="6A34963C" w14:textId="77777777" w:rsidR="00000000" w:rsidRDefault="00EE5306">
      <w:pPr>
        <w:ind w:firstLine="360"/>
        <w:jc w:val="both"/>
        <w:divId w:val="391192810"/>
        <w:rPr>
          <w:rFonts w:eastAsia="Times New Roman"/>
        </w:rPr>
      </w:pPr>
      <w:r>
        <w:rPr>
          <w:rFonts w:eastAsia="Times New Roman"/>
          <w:b/>
          <w:bCs/>
          <w:i/>
          <w:iCs/>
          <w:color w:val="000000"/>
          <w:sz w:val="20"/>
          <w:szCs w:val="20"/>
        </w:rPr>
        <w:t>Investment Risk Management</w:t>
      </w:r>
    </w:p>
    <w:p w14:paraId="7E746A16" w14:textId="77777777" w:rsidR="00000000" w:rsidRDefault="00EE5306">
      <w:pPr>
        <w:ind w:firstLine="540"/>
        <w:jc w:val="both"/>
        <w:divId w:val="1226791774"/>
        <w:rPr>
          <w:rFonts w:eastAsia="Times New Roman"/>
        </w:rPr>
      </w:pPr>
      <w:r>
        <w:rPr>
          <w:rFonts w:eastAsia="Times New Roman"/>
          <w:color w:val="000000"/>
          <w:sz w:val="20"/>
          <w:szCs w:val="20"/>
        </w:rPr>
        <w:t>As of March 27, 2021, we had cash and cash equivalents on-hand of $2.579 billion, consisting of deposits in interest bearing a</w:t>
      </w:r>
      <w:r>
        <w:rPr>
          <w:rFonts w:eastAsia="Times New Roman"/>
          <w:color w:val="000000"/>
          <w:sz w:val="20"/>
          <w:szCs w:val="20"/>
        </w:rPr>
        <w:t>ccounts, investments in money market deposit accounts, and investments in time deposits with original maturities of 90 days or less. Our other significant investments included $197.5 million of short-term investments, consisting of investments in time depo</w:t>
      </w:r>
      <w:r>
        <w:rPr>
          <w:rFonts w:eastAsia="Times New Roman"/>
          <w:color w:val="000000"/>
          <w:sz w:val="20"/>
          <w:szCs w:val="20"/>
        </w:rPr>
        <w:t>sits with original maturities greater than 90 days; and $9.0 million of restricted cash held in escrow with certain banks as collateral, primarily to secure guarantees in connection with certain international tax matters and real estate leases.</w:t>
      </w:r>
    </w:p>
    <w:p w14:paraId="5316DC94" w14:textId="77777777" w:rsidR="00000000" w:rsidRDefault="00EE5306">
      <w:pPr>
        <w:ind w:firstLine="540"/>
        <w:jc w:val="both"/>
        <w:divId w:val="960648163"/>
        <w:rPr>
          <w:rFonts w:eastAsia="Times New Roman"/>
        </w:rPr>
      </w:pPr>
      <w:r>
        <w:rPr>
          <w:rFonts w:eastAsia="Times New Roman"/>
          <w:color w:val="000000"/>
          <w:sz w:val="20"/>
          <w:szCs w:val="20"/>
        </w:rPr>
        <w:t>We actively</w:t>
      </w:r>
      <w:r>
        <w:rPr>
          <w:rFonts w:eastAsia="Times New Roman"/>
          <w:color w:val="000000"/>
          <w:sz w:val="20"/>
          <w:szCs w:val="20"/>
        </w:rPr>
        <w:t xml:space="preserve"> monitor our exposure to changes in the fair value of our global investment portfolio in accordance with our established policies and procedures, which include monitoring both general and issuer-specific economic conditions, as discussed in Note 3 to the a</w:t>
      </w:r>
      <w:r>
        <w:rPr>
          <w:rFonts w:eastAsia="Times New Roman"/>
          <w:color w:val="000000"/>
          <w:sz w:val="20"/>
          <w:szCs w:val="20"/>
        </w:rPr>
        <w:t>ccompanying consolidated financial statements. Our investment objectives include capital preservation, maintaining adequate liquidity, diversification to minimize liquidity and credit risk, and achievement of maximum returns within the guidelines set forth</w:t>
      </w:r>
      <w:r>
        <w:rPr>
          <w:rFonts w:eastAsia="Times New Roman"/>
          <w:color w:val="000000"/>
          <w:sz w:val="20"/>
          <w:szCs w:val="20"/>
        </w:rPr>
        <w:t xml:space="preserve"> in our investment policy. See Note 13 to the accompanying consolidated financial statements for further detail of the composition of our investment portfolio as of March 27, 2021.</w:t>
      </w:r>
    </w:p>
    <w:p w14:paraId="2F190D15" w14:textId="77777777" w:rsidR="00000000" w:rsidRDefault="00EE5306">
      <w:pPr>
        <w:jc w:val="both"/>
        <w:divId w:val="1358778463"/>
        <w:rPr>
          <w:rFonts w:eastAsia="Times New Roman"/>
        </w:rPr>
      </w:pPr>
      <w:r>
        <w:rPr>
          <w:rFonts w:eastAsia="Times New Roman"/>
          <w:b/>
          <w:bCs/>
          <w:color w:val="000000"/>
          <w:sz w:val="20"/>
          <w:szCs w:val="20"/>
        </w:rPr>
        <w:t xml:space="preserve">CRITICAL ACCOUNTING POLICIES </w:t>
      </w:r>
    </w:p>
    <w:p w14:paraId="6F17A702" w14:textId="77777777" w:rsidR="00000000" w:rsidRDefault="00EE5306">
      <w:pPr>
        <w:ind w:firstLine="540"/>
        <w:jc w:val="both"/>
        <w:divId w:val="1928230164"/>
        <w:rPr>
          <w:rFonts w:eastAsia="Times New Roman"/>
        </w:rPr>
      </w:pPr>
      <w:r>
        <w:rPr>
          <w:rFonts w:eastAsia="Times New Roman"/>
          <w:color w:val="000000"/>
          <w:sz w:val="20"/>
          <w:szCs w:val="20"/>
        </w:rPr>
        <w:t>An accounting policy is considered to be critical if it is important to our results of operations, financial condition, and cash flows, and requires significant judgment and estimates on the part of management in its application. Our estimates are often ba</w:t>
      </w:r>
      <w:r>
        <w:rPr>
          <w:rFonts w:eastAsia="Times New Roman"/>
          <w:color w:val="000000"/>
          <w:sz w:val="20"/>
          <w:szCs w:val="20"/>
        </w:rPr>
        <w:t>sed on complex judgments, assessments of probability, and assumptions that management believes to be reasonable, but that are inherently uncertain and unpredictable. It is also possible that other professionals, applying reasonable judgment to the same set</w:t>
      </w:r>
      <w:r>
        <w:rPr>
          <w:rFonts w:eastAsia="Times New Roman"/>
          <w:color w:val="000000"/>
          <w:sz w:val="20"/>
          <w:szCs w:val="20"/>
        </w:rPr>
        <w:t xml:space="preserve"> of facts and circumstances, could develop and support a range of alternative estimated amounts. We believe that the following list represents our critical accounting policies. For a discussion of all of our significant accounting policies, including our c</w:t>
      </w:r>
      <w:r>
        <w:rPr>
          <w:rFonts w:eastAsia="Times New Roman"/>
          <w:color w:val="000000"/>
          <w:sz w:val="20"/>
          <w:szCs w:val="20"/>
        </w:rPr>
        <w:t>ritical accounting policies, see Note 3 to the accompanying consolidated financial statements.</w:t>
      </w:r>
    </w:p>
    <w:p w14:paraId="796EE365" w14:textId="77777777" w:rsidR="00000000" w:rsidRDefault="00EE5306">
      <w:pPr>
        <w:ind w:firstLine="360"/>
        <w:jc w:val="both"/>
        <w:divId w:val="674920169"/>
        <w:rPr>
          <w:rFonts w:eastAsia="Times New Roman"/>
        </w:rPr>
      </w:pPr>
      <w:r>
        <w:rPr>
          <w:rFonts w:eastAsia="Times New Roman"/>
          <w:b/>
          <w:bCs/>
          <w:i/>
          <w:iCs/>
          <w:color w:val="000000"/>
          <w:sz w:val="20"/>
          <w:szCs w:val="20"/>
        </w:rPr>
        <w:t>Sales Reserves and Uncollectible Accounts</w:t>
      </w:r>
    </w:p>
    <w:p w14:paraId="2E169AA5" w14:textId="77777777" w:rsidR="00000000" w:rsidRDefault="00EE5306">
      <w:pPr>
        <w:ind w:firstLine="540"/>
        <w:jc w:val="both"/>
        <w:divId w:val="2080204298"/>
        <w:rPr>
          <w:rFonts w:eastAsia="Times New Roman"/>
        </w:rPr>
      </w:pPr>
      <w:r>
        <w:rPr>
          <w:rFonts w:eastAsia="Times New Roman"/>
          <w:color w:val="000000"/>
          <w:sz w:val="20"/>
          <w:szCs w:val="20"/>
        </w:rPr>
        <w:t>A significant area of judgment affecting reported revenue involves estimating sales reserves, which represent the porti</w:t>
      </w:r>
      <w:r>
        <w:rPr>
          <w:rFonts w:eastAsia="Times New Roman"/>
          <w:color w:val="000000"/>
          <w:sz w:val="20"/>
          <w:szCs w:val="20"/>
        </w:rPr>
        <w:t>on of gross revenues not expected to be realized. In particular, gross revenue related to our wholesale business is reduced by estimates of returns, discounts, end-of-season markdowns, operational chargebacks, and certain cooperative advertising allowances</w:t>
      </w:r>
      <w:r>
        <w:rPr>
          <w:rFonts w:eastAsia="Times New Roman"/>
          <w:color w:val="000000"/>
          <w:sz w:val="20"/>
          <w:szCs w:val="20"/>
        </w:rPr>
        <w:t>. Gross revenue related to our retail business, including digital commerce sales, is also reduced by an estimate of returns.</w:t>
      </w:r>
    </w:p>
    <w:p w14:paraId="343776A5" w14:textId="77777777" w:rsidR="00000000" w:rsidRDefault="00EE5306">
      <w:pPr>
        <w:ind w:firstLine="540"/>
        <w:jc w:val="both"/>
        <w:divId w:val="1017469135"/>
        <w:rPr>
          <w:rFonts w:eastAsia="Times New Roman"/>
        </w:rPr>
      </w:pPr>
      <w:r>
        <w:rPr>
          <w:rFonts w:eastAsia="Times New Roman"/>
          <w:color w:val="000000"/>
          <w:sz w:val="20"/>
          <w:szCs w:val="20"/>
        </w:rPr>
        <w:t>In developing estimates of returns, discounts, end-of-season markdowns, operational chargebacks, and cooperative advertising allowa</w:t>
      </w:r>
      <w:r>
        <w:rPr>
          <w:rFonts w:eastAsia="Times New Roman"/>
          <w:color w:val="000000"/>
          <w:sz w:val="20"/>
          <w:szCs w:val="20"/>
        </w:rPr>
        <w:t>nces, we analyze historical trends, actual and forecasted seasonal results, current economic and market conditions, retailer performance, and, in certain cases, contractual terms. Estimates for operational chargebacks are based on actual customer notificat</w:t>
      </w:r>
      <w:r>
        <w:rPr>
          <w:rFonts w:eastAsia="Times New Roman"/>
          <w:color w:val="000000"/>
          <w:sz w:val="20"/>
          <w:szCs w:val="20"/>
        </w:rPr>
        <w:t>ions of order fulfillment discrepancies and historical trends. We review and refine these estimates on a quarterly basis. Our historical estimates of these amounts have not differed materially from actual results. However, unforeseen adverse future economi</w:t>
      </w:r>
      <w:r>
        <w:rPr>
          <w:rFonts w:eastAsia="Times New Roman"/>
          <w:color w:val="000000"/>
          <w:sz w:val="20"/>
          <w:szCs w:val="20"/>
        </w:rPr>
        <w:t>c and market conditions, such as those resulting from widespread pandemic diseases and/or other catastrophic events, could result in our actual results differing materially from our estimates. A hypothetical 1% increase in our reserves for returns, discoun</w:t>
      </w:r>
      <w:r>
        <w:rPr>
          <w:rFonts w:eastAsia="Times New Roman"/>
          <w:color w:val="000000"/>
          <w:sz w:val="20"/>
          <w:szCs w:val="20"/>
        </w:rPr>
        <w:t>ts, end-of-season markdowns, operational chargebacks, and certain cooperative advertising allowances as of March 27, 2021 would have reduced our Fiscal 2021 net revenues by approximately $2 million.</w:t>
      </w:r>
    </w:p>
    <w:p w14:paraId="4ECF7574" w14:textId="77777777" w:rsidR="00000000" w:rsidRDefault="00EE5306">
      <w:pPr>
        <w:ind w:firstLine="540"/>
        <w:jc w:val="both"/>
        <w:divId w:val="255983922"/>
        <w:rPr>
          <w:rFonts w:eastAsia="Times New Roman"/>
        </w:rPr>
      </w:pPr>
      <w:r>
        <w:rPr>
          <w:rFonts w:eastAsia="Times New Roman"/>
          <w:color w:val="000000"/>
          <w:sz w:val="20"/>
          <w:szCs w:val="20"/>
        </w:rPr>
        <w:t>Similarly, we evaluate our accounts receivable balances t</w:t>
      </w:r>
      <w:r>
        <w:rPr>
          <w:rFonts w:eastAsia="Times New Roman"/>
          <w:color w:val="000000"/>
          <w:sz w:val="20"/>
          <w:szCs w:val="20"/>
        </w:rPr>
        <w:t>o develop expectations regarding the extent to which they will ultimately be collected. Significant judgment and estimation are involved in this evaluation, including a receivables aging analysis which shows, by aged category, the percentage of receivables</w:t>
      </w:r>
      <w:r>
        <w:rPr>
          <w:rFonts w:eastAsia="Times New Roman"/>
          <w:color w:val="000000"/>
          <w:sz w:val="20"/>
          <w:szCs w:val="20"/>
        </w:rPr>
        <w:t xml:space="preserve"> that has historically gone uncollected, an analysis of specific risks on a customer-by-customer basis for larger accounts (including consideration of their financial condition and ability to withstand potential prolonged periods of adverse economic condit</w:t>
      </w:r>
      <w:r>
        <w:rPr>
          <w:rFonts w:eastAsia="Times New Roman"/>
          <w:color w:val="000000"/>
          <w:sz w:val="20"/>
          <w:szCs w:val="20"/>
        </w:rPr>
        <w:t xml:space="preserve">ions), and an evaluation of current and forecasted economic and market conditions over the respective asset's contractual life. Based on this information, we record an allowance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E944110" w14:textId="77777777">
        <w:trPr>
          <w:divId w:val="1112168912"/>
          <w:jc w:val="center"/>
        </w:trPr>
        <w:tc>
          <w:tcPr>
            <w:tcW w:w="50" w:type="pct"/>
            <w:vAlign w:val="center"/>
            <w:hideMark/>
          </w:tcPr>
          <w:p w14:paraId="07D9B0FF" w14:textId="77777777" w:rsidR="00000000" w:rsidRDefault="00EE5306">
            <w:pPr>
              <w:ind w:firstLine="540"/>
              <w:jc w:val="both"/>
              <w:rPr>
                <w:rFonts w:eastAsia="Times New Roman"/>
              </w:rPr>
            </w:pPr>
          </w:p>
        </w:tc>
        <w:tc>
          <w:tcPr>
            <w:tcW w:w="1699" w:type="pct"/>
            <w:vAlign w:val="center"/>
            <w:hideMark/>
          </w:tcPr>
          <w:p w14:paraId="4567CF8C" w14:textId="77777777" w:rsidR="00000000" w:rsidRDefault="00EE5306">
            <w:pPr>
              <w:spacing w:after="100"/>
              <w:rPr>
                <w:rFonts w:eastAsia="Times New Roman"/>
                <w:sz w:val="20"/>
                <w:szCs w:val="20"/>
              </w:rPr>
            </w:pPr>
          </w:p>
        </w:tc>
        <w:tc>
          <w:tcPr>
            <w:tcW w:w="5" w:type="pct"/>
            <w:vAlign w:val="center"/>
            <w:hideMark/>
          </w:tcPr>
          <w:p w14:paraId="3A920E71" w14:textId="77777777" w:rsidR="00000000" w:rsidRDefault="00EE5306">
            <w:pPr>
              <w:spacing w:after="100"/>
              <w:rPr>
                <w:rFonts w:eastAsia="Times New Roman"/>
                <w:sz w:val="20"/>
                <w:szCs w:val="20"/>
              </w:rPr>
            </w:pPr>
          </w:p>
        </w:tc>
        <w:tc>
          <w:tcPr>
            <w:tcW w:w="50" w:type="pct"/>
            <w:vAlign w:val="center"/>
            <w:hideMark/>
          </w:tcPr>
          <w:p w14:paraId="1040E410" w14:textId="77777777" w:rsidR="00000000" w:rsidRDefault="00EE5306">
            <w:pPr>
              <w:spacing w:after="100"/>
              <w:rPr>
                <w:rFonts w:eastAsia="Times New Roman"/>
                <w:sz w:val="20"/>
                <w:szCs w:val="20"/>
              </w:rPr>
            </w:pPr>
          </w:p>
        </w:tc>
        <w:tc>
          <w:tcPr>
            <w:tcW w:w="1436" w:type="pct"/>
            <w:vAlign w:val="center"/>
            <w:hideMark/>
          </w:tcPr>
          <w:p w14:paraId="2479F994" w14:textId="77777777" w:rsidR="00000000" w:rsidRDefault="00EE5306">
            <w:pPr>
              <w:spacing w:after="100"/>
              <w:rPr>
                <w:rFonts w:eastAsia="Times New Roman"/>
                <w:sz w:val="20"/>
                <w:szCs w:val="20"/>
              </w:rPr>
            </w:pPr>
          </w:p>
        </w:tc>
        <w:tc>
          <w:tcPr>
            <w:tcW w:w="5" w:type="pct"/>
            <w:vAlign w:val="center"/>
            <w:hideMark/>
          </w:tcPr>
          <w:p w14:paraId="76686C58" w14:textId="77777777" w:rsidR="00000000" w:rsidRDefault="00EE5306">
            <w:pPr>
              <w:spacing w:after="100"/>
              <w:rPr>
                <w:rFonts w:eastAsia="Times New Roman"/>
                <w:sz w:val="20"/>
                <w:szCs w:val="20"/>
              </w:rPr>
            </w:pPr>
          </w:p>
        </w:tc>
        <w:tc>
          <w:tcPr>
            <w:tcW w:w="50" w:type="pct"/>
            <w:vAlign w:val="center"/>
            <w:hideMark/>
          </w:tcPr>
          <w:p w14:paraId="1F11540C" w14:textId="77777777" w:rsidR="00000000" w:rsidRDefault="00EE5306">
            <w:pPr>
              <w:spacing w:after="100"/>
              <w:rPr>
                <w:rFonts w:eastAsia="Times New Roman"/>
                <w:sz w:val="20"/>
                <w:szCs w:val="20"/>
              </w:rPr>
            </w:pPr>
          </w:p>
        </w:tc>
        <w:tc>
          <w:tcPr>
            <w:tcW w:w="1699" w:type="pct"/>
            <w:vAlign w:val="center"/>
            <w:hideMark/>
          </w:tcPr>
          <w:p w14:paraId="76D20F5F" w14:textId="77777777" w:rsidR="00000000" w:rsidRDefault="00EE5306">
            <w:pPr>
              <w:spacing w:after="100"/>
              <w:rPr>
                <w:rFonts w:eastAsia="Times New Roman"/>
                <w:sz w:val="20"/>
                <w:szCs w:val="20"/>
              </w:rPr>
            </w:pPr>
          </w:p>
        </w:tc>
        <w:tc>
          <w:tcPr>
            <w:tcW w:w="5" w:type="pct"/>
            <w:vAlign w:val="center"/>
            <w:hideMark/>
          </w:tcPr>
          <w:p w14:paraId="73A4A67F" w14:textId="77777777" w:rsidR="00000000" w:rsidRDefault="00EE5306">
            <w:pPr>
              <w:spacing w:after="100"/>
              <w:rPr>
                <w:rFonts w:eastAsia="Times New Roman"/>
                <w:sz w:val="20"/>
                <w:szCs w:val="20"/>
              </w:rPr>
            </w:pPr>
          </w:p>
        </w:tc>
      </w:tr>
      <w:tr w:rsidR="00000000" w14:paraId="7D693021" w14:textId="77777777">
        <w:trPr>
          <w:divId w:val="1112168912"/>
          <w:jc w:val="center"/>
        </w:trPr>
        <w:tc>
          <w:tcPr>
            <w:tcW w:w="0" w:type="auto"/>
            <w:gridSpan w:val="3"/>
            <w:tcMar>
              <w:top w:w="0" w:type="dxa"/>
              <w:left w:w="20" w:type="dxa"/>
              <w:bottom w:w="0" w:type="dxa"/>
              <w:right w:w="20" w:type="dxa"/>
            </w:tcMar>
            <w:vAlign w:val="center"/>
            <w:hideMark/>
          </w:tcPr>
          <w:p w14:paraId="6890BE1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3D8F91C" w14:textId="77777777" w:rsidR="00000000" w:rsidRDefault="00EE5306">
            <w:pPr>
              <w:spacing w:after="100"/>
              <w:jc w:val="center"/>
              <w:rPr>
                <w:rFonts w:eastAsia="Times New Roman"/>
              </w:rPr>
            </w:pPr>
            <w:r>
              <w:rPr>
                <w:rFonts w:eastAsia="Times New Roman"/>
                <w:color w:val="000000"/>
                <w:sz w:val="20"/>
                <w:szCs w:val="20"/>
              </w:rPr>
              <w:t>71</w:t>
            </w:r>
          </w:p>
        </w:tc>
        <w:tc>
          <w:tcPr>
            <w:tcW w:w="0" w:type="auto"/>
            <w:gridSpan w:val="3"/>
            <w:tcMar>
              <w:top w:w="0" w:type="dxa"/>
              <w:left w:w="20" w:type="dxa"/>
              <w:bottom w:w="0" w:type="dxa"/>
              <w:right w:w="20" w:type="dxa"/>
            </w:tcMar>
            <w:vAlign w:val="center"/>
            <w:hideMark/>
          </w:tcPr>
          <w:p w14:paraId="05D9539C" w14:textId="77777777" w:rsidR="00000000" w:rsidRDefault="00EE5306">
            <w:pPr>
              <w:spacing w:after="100"/>
              <w:jc w:val="center"/>
              <w:rPr>
                <w:rFonts w:eastAsia="Times New Roman"/>
              </w:rPr>
            </w:pPr>
          </w:p>
        </w:tc>
      </w:tr>
    </w:tbl>
    <w:p w14:paraId="4768657D" w14:textId="77777777" w:rsidR="00000000" w:rsidRDefault="00EE5306">
      <w:pPr>
        <w:rPr>
          <w:rFonts w:eastAsia="Times New Roman"/>
        </w:rPr>
      </w:pPr>
      <w:r>
        <w:rPr>
          <w:rFonts w:eastAsia="Times New Roman"/>
        </w:rPr>
        <w:pict w14:anchorId="4A79BEB6">
          <v:rect id="_x0000_i1098" style="width:0;height:1.5pt" o:hralign="center" o:hrstd="t" o:hr="t" fillcolor="#a0a0a0" stroked="f"/>
        </w:pict>
      </w:r>
    </w:p>
    <w:p w14:paraId="0B0A3DDC" w14:textId="77777777" w:rsidR="00000000" w:rsidRDefault="00EE5306">
      <w:pPr>
        <w:divId w:val="423111223"/>
        <w:rPr>
          <w:rFonts w:eastAsia="Times New Roman"/>
        </w:rPr>
      </w:pPr>
    </w:p>
    <w:p w14:paraId="22F3E569" w14:textId="77777777" w:rsidR="00000000" w:rsidRDefault="00EE5306">
      <w:pPr>
        <w:jc w:val="both"/>
        <w:divId w:val="467475379"/>
        <w:rPr>
          <w:rFonts w:eastAsia="Times New Roman"/>
        </w:rPr>
      </w:pPr>
      <w:r>
        <w:rPr>
          <w:rFonts w:eastAsia="Times New Roman"/>
          <w:color w:val="000000"/>
          <w:sz w:val="20"/>
          <w:szCs w:val="20"/>
        </w:rPr>
        <w:t xml:space="preserve">for estimated amounts that we ultimately expect not to collect due to credit. Although we believe that we have adequately provided for these risks as part of our allowance for doubtful accounts, a severe and prolonged </w:t>
      </w:r>
      <w:r>
        <w:rPr>
          <w:rFonts w:eastAsia="Times New Roman"/>
          <w:color w:val="000000"/>
          <w:sz w:val="20"/>
          <w:szCs w:val="20"/>
        </w:rPr>
        <w:t xml:space="preserve">adverse impact on our major customers' business and operations beyond those forecasted could have a corresponding material adverse effect on our net revenues, cash flows, and/or financial condition. A hypothetical 1% increase in the level of our allowance </w:t>
      </w:r>
      <w:r>
        <w:rPr>
          <w:rFonts w:eastAsia="Times New Roman"/>
          <w:color w:val="000000"/>
          <w:sz w:val="20"/>
          <w:szCs w:val="20"/>
        </w:rPr>
        <w:t>for doubtful accounts as of March 27, 2021 would have increased our Fiscal 2021 SG&amp;A expenses by less than $1 million.</w:t>
      </w:r>
    </w:p>
    <w:p w14:paraId="01B4A160" w14:textId="77777777" w:rsidR="00000000" w:rsidRDefault="00EE5306">
      <w:pPr>
        <w:ind w:firstLine="540"/>
        <w:jc w:val="both"/>
        <w:divId w:val="936400354"/>
        <w:rPr>
          <w:rFonts w:eastAsia="Times New Roman"/>
        </w:rPr>
      </w:pPr>
      <w:r>
        <w:rPr>
          <w:rFonts w:eastAsia="Times New Roman"/>
          <w:color w:val="000000"/>
          <w:sz w:val="20"/>
          <w:szCs w:val="20"/>
        </w:rPr>
        <w:t>See "Accounts Receivable" in Note 3 to the accompanying consolidated financial statements for an analysis of the activity in our sales re</w:t>
      </w:r>
      <w:r>
        <w:rPr>
          <w:rFonts w:eastAsia="Times New Roman"/>
          <w:color w:val="000000"/>
          <w:sz w:val="20"/>
          <w:szCs w:val="20"/>
        </w:rPr>
        <w:t>serves and allowance for doubtful accounts for each of the three fiscal years presented.</w:t>
      </w:r>
    </w:p>
    <w:p w14:paraId="099F8425" w14:textId="77777777" w:rsidR="00000000" w:rsidRDefault="00EE5306">
      <w:pPr>
        <w:ind w:firstLine="360"/>
        <w:jc w:val="both"/>
        <w:divId w:val="1934044017"/>
        <w:rPr>
          <w:rFonts w:eastAsia="Times New Roman"/>
        </w:rPr>
      </w:pPr>
      <w:r>
        <w:rPr>
          <w:rFonts w:eastAsia="Times New Roman"/>
          <w:b/>
          <w:bCs/>
          <w:i/>
          <w:iCs/>
          <w:color w:val="000000"/>
          <w:sz w:val="20"/>
          <w:szCs w:val="20"/>
        </w:rPr>
        <w:t>Inventories</w:t>
      </w:r>
    </w:p>
    <w:p w14:paraId="479D2F9F" w14:textId="77777777" w:rsidR="00000000" w:rsidRDefault="00EE5306">
      <w:pPr>
        <w:ind w:firstLine="540"/>
        <w:jc w:val="both"/>
        <w:divId w:val="332034632"/>
        <w:rPr>
          <w:rFonts w:eastAsia="Times New Roman"/>
        </w:rPr>
      </w:pPr>
      <w:r>
        <w:rPr>
          <w:rFonts w:eastAsia="Times New Roman"/>
          <w:color w:val="000000"/>
          <w:sz w:val="20"/>
          <w:szCs w:val="20"/>
        </w:rPr>
        <w:t>We hold retail inventory that is sold in our own stores and digital commerce sites directly to consumers. We also hold inventory that is sold through whole</w:t>
      </w:r>
      <w:r>
        <w:rPr>
          <w:rFonts w:eastAsia="Times New Roman"/>
          <w:color w:val="000000"/>
          <w:sz w:val="20"/>
          <w:szCs w:val="20"/>
        </w:rPr>
        <w:t>sale distribution channels to major department stores and specialty retail stores. Substantially all of our inventories are comprised of finished goods, which are stated at the lower of cost or estimated realizable value, with cost determined on a weighted</w:t>
      </w:r>
      <w:r>
        <w:rPr>
          <w:rFonts w:eastAsia="Times New Roman"/>
          <w:color w:val="000000"/>
          <w:sz w:val="20"/>
          <w:szCs w:val="20"/>
        </w:rPr>
        <w:t>-average cost basis.</w:t>
      </w:r>
    </w:p>
    <w:p w14:paraId="7438CFB9" w14:textId="77777777" w:rsidR="00000000" w:rsidRDefault="00EE5306">
      <w:pPr>
        <w:ind w:firstLine="540"/>
        <w:jc w:val="both"/>
        <w:divId w:val="1628396114"/>
        <w:rPr>
          <w:rFonts w:eastAsia="Times New Roman"/>
        </w:rPr>
      </w:pPr>
      <w:r>
        <w:rPr>
          <w:rFonts w:eastAsia="Times New Roman"/>
          <w:color w:val="000000"/>
          <w:sz w:val="20"/>
          <w:szCs w:val="20"/>
        </w:rPr>
        <w:t>The estimated net realizable value of inventory is determined based on an analysis of historical sales trends of our individual product lines, the impact of market trends and economic conditions (including those resulting from pandemic diseases and other c</w:t>
      </w:r>
      <w:r>
        <w:rPr>
          <w:rFonts w:eastAsia="Times New Roman"/>
          <w:color w:val="000000"/>
          <w:sz w:val="20"/>
          <w:szCs w:val="20"/>
        </w:rPr>
        <w:t>atastrophic events), and a forecast of future demand, giving consideration to the value of current orders in-house for future sales of inventory, as well as plans to sell inventory through our factory stores, among other liquidation channels. Actual result</w:t>
      </w:r>
      <w:r>
        <w:rPr>
          <w:rFonts w:eastAsia="Times New Roman"/>
          <w:color w:val="000000"/>
          <w:sz w:val="20"/>
          <w:szCs w:val="20"/>
        </w:rPr>
        <w:t>s may differ from estimates due to the quantity, quality, and mix of products in inventory, consumer and retailer preferences, and economic and market conditions. Reserves for inventory shrinkage, representing the risk of physical loss of inventory, are es</w:t>
      </w:r>
      <w:r>
        <w:rPr>
          <w:rFonts w:eastAsia="Times New Roman"/>
          <w:color w:val="000000"/>
          <w:sz w:val="20"/>
          <w:szCs w:val="20"/>
        </w:rPr>
        <w:t>timated based on historical experience and are adjusted based upon physical inventory counts. Our historical estimates of these costs and the related provisions have not differed materially from actual results. However, unforeseen adverse future economic a</w:t>
      </w:r>
      <w:r>
        <w:rPr>
          <w:rFonts w:eastAsia="Times New Roman"/>
          <w:color w:val="000000"/>
          <w:sz w:val="20"/>
          <w:szCs w:val="20"/>
        </w:rPr>
        <w:t xml:space="preserve">nd market conditions could result in our actual results differing materially from our estimates. </w:t>
      </w:r>
    </w:p>
    <w:p w14:paraId="4285EF7B" w14:textId="77777777" w:rsidR="00000000" w:rsidRDefault="00EE5306">
      <w:pPr>
        <w:ind w:firstLine="540"/>
        <w:jc w:val="both"/>
        <w:divId w:val="581531308"/>
        <w:rPr>
          <w:rFonts w:eastAsia="Times New Roman"/>
        </w:rPr>
      </w:pPr>
      <w:r>
        <w:rPr>
          <w:rFonts w:eastAsia="Times New Roman"/>
          <w:color w:val="000000"/>
          <w:sz w:val="20"/>
          <w:szCs w:val="20"/>
        </w:rPr>
        <w:t>A hypothetical 1% increase in the level of our inventory reserves as of March 27, 2021 would have decreased our Fiscal 2021 gross profit by approximately $3 m</w:t>
      </w:r>
      <w:r>
        <w:rPr>
          <w:rFonts w:eastAsia="Times New Roman"/>
          <w:color w:val="000000"/>
          <w:sz w:val="20"/>
          <w:szCs w:val="20"/>
        </w:rPr>
        <w:t>illion.</w:t>
      </w:r>
    </w:p>
    <w:p w14:paraId="27412484" w14:textId="77777777" w:rsidR="00000000" w:rsidRDefault="00EE5306">
      <w:pPr>
        <w:ind w:firstLine="360"/>
        <w:jc w:val="both"/>
        <w:divId w:val="1256522966"/>
        <w:rPr>
          <w:rFonts w:eastAsia="Times New Roman"/>
        </w:rPr>
      </w:pPr>
      <w:r>
        <w:rPr>
          <w:rFonts w:eastAsia="Times New Roman"/>
          <w:b/>
          <w:bCs/>
          <w:i/>
          <w:iCs/>
          <w:color w:val="000000"/>
          <w:sz w:val="20"/>
          <w:szCs w:val="20"/>
        </w:rPr>
        <w:t>Impairment of Goodwill and Other Intangible Assets</w:t>
      </w:r>
    </w:p>
    <w:p w14:paraId="0922A5D6" w14:textId="77777777" w:rsidR="00000000" w:rsidRDefault="00EE5306">
      <w:pPr>
        <w:ind w:firstLine="540"/>
        <w:jc w:val="both"/>
        <w:divId w:val="123698990"/>
        <w:rPr>
          <w:rFonts w:eastAsia="Times New Roman"/>
        </w:rPr>
      </w:pPr>
      <w:r>
        <w:rPr>
          <w:rFonts w:eastAsia="Times New Roman"/>
          <w:color w:val="000000"/>
          <w:sz w:val="20"/>
          <w:szCs w:val="20"/>
        </w:rPr>
        <w:t>Goodwill and certain other intangible assets deemed to have indefinite useful lives are not amortized. Rather, goodwill and indefinite-lived intangible assets are assessed for impairment at least a</w:t>
      </w:r>
      <w:r>
        <w:rPr>
          <w:rFonts w:eastAsia="Times New Roman"/>
          <w:color w:val="000000"/>
          <w:sz w:val="20"/>
          <w:szCs w:val="20"/>
        </w:rPr>
        <w:t>nnually. Finite-lived intangible assets are amortized over their respective estimated useful lives and, along with other long-lived assets, are evaluated for impairment periodically whenever events or changes in circumstances indicate that their carrying v</w:t>
      </w:r>
      <w:r>
        <w:rPr>
          <w:rFonts w:eastAsia="Times New Roman"/>
          <w:color w:val="000000"/>
          <w:sz w:val="20"/>
          <w:szCs w:val="20"/>
        </w:rPr>
        <w:t>alues may not be fully recoverable.</w:t>
      </w:r>
    </w:p>
    <w:p w14:paraId="1140B9F8" w14:textId="77777777" w:rsidR="00000000" w:rsidRDefault="00EE5306">
      <w:pPr>
        <w:ind w:firstLine="540"/>
        <w:jc w:val="both"/>
        <w:divId w:val="729811024"/>
        <w:rPr>
          <w:rFonts w:eastAsia="Times New Roman"/>
        </w:rPr>
      </w:pPr>
      <w:r>
        <w:rPr>
          <w:rFonts w:eastAsia="Times New Roman"/>
          <w:color w:val="000000"/>
          <w:sz w:val="20"/>
          <w:szCs w:val="20"/>
        </w:rPr>
        <w:t>We generally perform our annual goodwill impairment assessment using a qualitative approach to determine whether it is more likely than not that the fair value of a reporting unit is less than its respective carrying val</w:t>
      </w:r>
      <w:r>
        <w:rPr>
          <w:rFonts w:eastAsia="Times New Roman"/>
          <w:color w:val="000000"/>
          <w:sz w:val="20"/>
          <w:szCs w:val="20"/>
        </w:rPr>
        <w:t>ue. However, in order to reassess the fair values of our reporting units, we periodically perform a quantitative impairment analysis in lieu of using the qualitative approach.</w:t>
      </w:r>
    </w:p>
    <w:p w14:paraId="7B2B0D8C" w14:textId="77777777" w:rsidR="00000000" w:rsidRDefault="00EE5306">
      <w:pPr>
        <w:ind w:firstLine="540"/>
        <w:jc w:val="both"/>
        <w:divId w:val="6640169"/>
        <w:rPr>
          <w:rFonts w:eastAsia="Times New Roman"/>
        </w:rPr>
      </w:pPr>
      <w:r>
        <w:rPr>
          <w:rFonts w:eastAsia="Times New Roman"/>
          <w:color w:val="000000"/>
          <w:sz w:val="20"/>
          <w:szCs w:val="20"/>
        </w:rPr>
        <w:t xml:space="preserve">Performance of the qualitative goodwill impairment assessment requires judgment </w:t>
      </w:r>
      <w:r>
        <w:rPr>
          <w:rFonts w:eastAsia="Times New Roman"/>
          <w:color w:val="000000"/>
          <w:sz w:val="20"/>
          <w:szCs w:val="20"/>
        </w:rPr>
        <w:t>in identifying and considering the significance of relevant key factors, events, and circumstances that affect the fair values of our reporting units. This requires consideration and assessment of external factors such as macroeconomic, industry, and marke</w:t>
      </w:r>
      <w:r>
        <w:rPr>
          <w:rFonts w:eastAsia="Times New Roman"/>
          <w:color w:val="000000"/>
          <w:sz w:val="20"/>
          <w:szCs w:val="20"/>
        </w:rPr>
        <w:t>t conditions, as well as entity-specific factors, such as our actual and planned financial performance. We also give consideration to the difference between each reporting unit's fair value and carrying value as of the most recent date that a fair value me</w:t>
      </w:r>
      <w:r>
        <w:rPr>
          <w:rFonts w:eastAsia="Times New Roman"/>
          <w:color w:val="000000"/>
          <w:sz w:val="20"/>
          <w:szCs w:val="20"/>
        </w:rPr>
        <w:t>asurement was performed. If the results of the qualitative assessment conclude that it is not more likely than not that the fair value of a reporting unit exceeds its carrying value, additional quantitative impairment testing is performed.</w:t>
      </w:r>
    </w:p>
    <w:p w14:paraId="3DB3A560" w14:textId="77777777" w:rsidR="00000000" w:rsidRDefault="00EE5306">
      <w:pPr>
        <w:ind w:firstLine="540"/>
        <w:jc w:val="both"/>
        <w:divId w:val="197473004"/>
        <w:rPr>
          <w:rFonts w:eastAsia="Times New Roman"/>
        </w:rPr>
      </w:pPr>
      <w:r>
        <w:rPr>
          <w:rFonts w:eastAsia="Times New Roman"/>
          <w:color w:val="000000"/>
          <w:sz w:val="20"/>
          <w:szCs w:val="20"/>
        </w:rPr>
        <w:t>The quantitative</w:t>
      </w:r>
      <w:r>
        <w:rPr>
          <w:rFonts w:eastAsia="Times New Roman"/>
          <w:color w:val="000000"/>
          <w:sz w:val="20"/>
          <w:szCs w:val="20"/>
        </w:rPr>
        <w:t xml:space="preserve"> goodwill impairment test involves comparing the fair value of a reporting unit with its carrying value, including goodwill. If the fair value of a reporting unit exceeds its carrying value, the reporting unit's goodwill is considered not to be impaired. H</w:t>
      </w:r>
      <w:r>
        <w:rPr>
          <w:rFonts w:eastAsia="Times New Roman"/>
          <w:color w:val="000000"/>
          <w:sz w:val="20"/>
          <w:szCs w:val="20"/>
        </w:rPr>
        <w:t>owever, if the carrying value of a reporting unit exceeds its fair value, an impairment loss is recorded in an amount equal to that excess. Any impairment charge recognized is limited to the amount of the respective reporting unit's allocated goodwill.</w:t>
      </w:r>
    </w:p>
    <w:p w14:paraId="2FDC34E9" w14:textId="77777777" w:rsidR="00000000" w:rsidRDefault="00EE5306">
      <w:pPr>
        <w:ind w:firstLine="540"/>
        <w:jc w:val="both"/>
        <w:divId w:val="670914227"/>
        <w:rPr>
          <w:rFonts w:eastAsia="Times New Roman"/>
        </w:rPr>
      </w:pPr>
      <w:r>
        <w:rPr>
          <w:rFonts w:eastAsia="Times New Roman"/>
          <w:color w:val="000000"/>
          <w:sz w:val="20"/>
          <w:szCs w:val="20"/>
        </w:rPr>
        <w:t>Det</w:t>
      </w:r>
      <w:r>
        <w:rPr>
          <w:rFonts w:eastAsia="Times New Roman"/>
          <w:color w:val="000000"/>
          <w:sz w:val="20"/>
          <w:szCs w:val="20"/>
        </w:rPr>
        <w:t xml:space="preserve">ermining the fair value of a reporting unit under the quantitative goodwill impairment test requires judgment and often involves the use of significant estimates and assumptions, including an assessment of external factors such as macroeconomic, industry, </w:t>
      </w:r>
      <w:r>
        <w:rPr>
          <w:rFonts w:eastAsia="Times New Roman"/>
          <w:color w:val="000000"/>
          <w:sz w:val="20"/>
          <w:szCs w:val="20"/>
        </w:rPr>
        <w:t xml:space="preserve">and market conditions, as well as entity-specific factors, such as actual and planned financial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53365C4" w14:textId="77777777">
        <w:trPr>
          <w:divId w:val="166798468"/>
          <w:jc w:val="center"/>
        </w:trPr>
        <w:tc>
          <w:tcPr>
            <w:tcW w:w="50" w:type="pct"/>
            <w:vAlign w:val="center"/>
            <w:hideMark/>
          </w:tcPr>
          <w:p w14:paraId="2DE68ABD" w14:textId="77777777" w:rsidR="00000000" w:rsidRDefault="00EE5306">
            <w:pPr>
              <w:ind w:firstLine="540"/>
              <w:jc w:val="both"/>
              <w:rPr>
                <w:rFonts w:eastAsia="Times New Roman"/>
              </w:rPr>
            </w:pPr>
          </w:p>
        </w:tc>
        <w:tc>
          <w:tcPr>
            <w:tcW w:w="1699" w:type="pct"/>
            <w:vAlign w:val="center"/>
            <w:hideMark/>
          </w:tcPr>
          <w:p w14:paraId="00654211" w14:textId="77777777" w:rsidR="00000000" w:rsidRDefault="00EE5306">
            <w:pPr>
              <w:spacing w:after="100"/>
              <w:rPr>
                <w:rFonts w:eastAsia="Times New Roman"/>
                <w:sz w:val="20"/>
                <w:szCs w:val="20"/>
              </w:rPr>
            </w:pPr>
          </w:p>
        </w:tc>
        <w:tc>
          <w:tcPr>
            <w:tcW w:w="5" w:type="pct"/>
            <w:vAlign w:val="center"/>
            <w:hideMark/>
          </w:tcPr>
          <w:p w14:paraId="47A42BA4" w14:textId="77777777" w:rsidR="00000000" w:rsidRDefault="00EE5306">
            <w:pPr>
              <w:spacing w:after="100"/>
              <w:rPr>
                <w:rFonts w:eastAsia="Times New Roman"/>
                <w:sz w:val="20"/>
                <w:szCs w:val="20"/>
              </w:rPr>
            </w:pPr>
          </w:p>
        </w:tc>
        <w:tc>
          <w:tcPr>
            <w:tcW w:w="50" w:type="pct"/>
            <w:vAlign w:val="center"/>
            <w:hideMark/>
          </w:tcPr>
          <w:p w14:paraId="002B0588" w14:textId="77777777" w:rsidR="00000000" w:rsidRDefault="00EE5306">
            <w:pPr>
              <w:spacing w:after="100"/>
              <w:rPr>
                <w:rFonts w:eastAsia="Times New Roman"/>
                <w:sz w:val="20"/>
                <w:szCs w:val="20"/>
              </w:rPr>
            </w:pPr>
          </w:p>
        </w:tc>
        <w:tc>
          <w:tcPr>
            <w:tcW w:w="1436" w:type="pct"/>
            <w:vAlign w:val="center"/>
            <w:hideMark/>
          </w:tcPr>
          <w:p w14:paraId="0D7FD0D5" w14:textId="77777777" w:rsidR="00000000" w:rsidRDefault="00EE5306">
            <w:pPr>
              <w:spacing w:after="100"/>
              <w:rPr>
                <w:rFonts w:eastAsia="Times New Roman"/>
                <w:sz w:val="20"/>
                <w:szCs w:val="20"/>
              </w:rPr>
            </w:pPr>
          </w:p>
        </w:tc>
        <w:tc>
          <w:tcPr>
            <w:tcW w:w="5" w:type="pct"/>
            <w:vAlign w:val="center"/>
            <w:hideMark/>
          </w:tcPr>
          <w:p w14:paraId="7B7B251D" w14:textId="77777777" w:rsidR="00000000" w:rsidRDefault="00EE5306">
            <w:pPr>
              <w:spacing w:after="100"/>
              <w:rPr>
                <w:rFonts w:eastAsia="Times New Roman"/>
                <w:sz w:val="20"/>
                <w:szCs w:val="20"/>
              </w:rPr>
            </w:pPr>
          </w:p>
        </w:tc>
        <w:tc>
          <w:tcPr>
            <w:tcW w:w="50" w:type="pct"/>
            <w:vAlign w:val="center"/>
            <w:hideMark/>
          </w:tcPr>
          <w:p w14:paraId="3E4BB869" w14:textId="77777777" w:rsidR="00000000" w:rsidRDefault="00EE5306">
            <w:pPr>
              <w:spacing w:after="100"/>
              <w:rPr>
                <w:rFonts w:eastAsia="Times New Roman"/>
                <w:sz w:val="20"/>
                <w:szCs w:val="20"/>
              </w:rPr>
            </w:pPr>
          </w:p>
        </w:tc>
        <w:tc>
          <w:tcPr>
            <w:tcW w:w="1699" w:type="pct"/>
            <w:vAlign w:val="center"/>
            <w:hideMark/>
          </w:tcPr>
          <w:p w14:paraId="79EE6F54" w14:textId="77777777" w:rsidR="00000000" w:rsidRDefault="00EE5306">
            <w:pPr>
              <w:spacing w:after="100"/>
              <w:rPr>
                <w:rFonts w:eastAsia="Times New Roman"/>
                <w:sz w:val="20"/>
                <w:szCs w:val="20"/>
              </w:rPr>
            </w:pPr>
          </w:p>
        </w:tc>
        <w:tc>
          <w:tcPr>
            <w:tcW w:w="5" w:type="pct"/>
            <w:vAlign w:val="center"/>
            <w:hideMark/>
          </w:tcPr>
          <w:p w14:paraId="4B31EBE4" w14:textId="77777777" w:rsidR="00000000" w:rsidRDefault="00EE5306">
            <w:pPr>
              <w:spacing w:after="100"/>
              <w:rPr>
                <w:rFonts w:eastAsia="Times New Roman"/>
                <w:sz w:val="20"/>
                <w:szCs w:val="20"/>
              </w:rPr>
            </w:pPr>
          </w:p>
        </w:tc>
      </w:tr>
      <w:tr w:rsidR="00000000" w14:paraId="68DA08A2" w14:textId="77777777">
        <w:trPr>
          <w:divId w:val="166798468"/>
          <w:jc w:val="center"/>
        </w:trPr>
        <w:tc>
          <w:tcPr>
            <w:tcW w:w="0" w:type="auto"/>
            <w:gridSpan w:val="3"/>
            <w:tcMar>
              <w:top w:w="0" w:type="dxa"/>
              <w:left w:w="20" w:type="dxa"/>
              <w:bottom w:w="0" w:type="dxa"/>
              <w:right w:w="20" w:type="dxa"/>
            </w:tcMar>
            <w:vAlign w:val="center"/>
            <w:hideMark/>
          </w:tcPr>
          <w:p w14:paraId="2FD3E52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F0BA212" w14:textId="77777777" w:rsidR="00000000" w:rsidRDefault="00EE5306">
            <w:pPr>
              <w:spacing w:after="100"/>
              <w:jc w:val="center"/>
              <w:rPr>
                <w:rFonts w:eastAsia="Times New Roman"/>
              </w:rPr>
            </w:pPr>
            <w:r>
              <w:rPr>
                <w:rFonts w:eastAsia="Times New Roman"/>
                <w:color w:val="000000"/>
                <w:sz w:val="20"/>
                <w:szCs w:val="20"/>
              </w:rPr>
              <w:t>72</w:t>
            </w:r>
          </w:p>
        </w:tc>
        <w:tc>
          <w:tcPr>
            <w:tcW w:w="0" w:type="auto"/>
            <w:gridSpan w:val="3"/>
            <w:tcMar>
              <w:top w:w="0" w:type="dxa"/>
              <w:left w:w="20" w:type="dxa"/>
              <w:bottom w:w="0" w:type="dxa"/>
              <w:right w:w="20" w:type="dxa"/>
            </w:tcMar>
            <w:vAlign w:val="center"/>
            <w:hideMark/>
          </w:tcPr>
          <w:p w14:paraId="2C558B9E" w14:textId="77777777" w:rsidR="00000000" w:rsidRDefault="00EE5306">
            <w:pPr>
              <w:spacing w:after="100"/>
              <w:jc w:val="center"/>
              <w:rPr>
                <w:rFonts w:eastAsia="Times New Roman"/>
              </w:rPr>
            </w:pPr>
          </w:p>
        </w:tc>
      </w:tr>
    </w:tbl>
    <w:p w14:paraId="0F8A1FB2" w14:textId="77777777" w:rsidR="00000000" w:rsidRDefault="00EE5306">
      <w:pPr>
        <w:rPr>
          <w:rFonts w:eastAsia="Times New Roman"/>
        </w:rPr>
      </w:pPr>
      <w:r>
        <w:rPr>
          <w:rFonts w:eastAsia="Times New Roman"/>
        </w:rPr>
        <w:pict w14:anchorId="3B96255B">
          <v:rect id="_x0000_i1099" style="width:0;height:1.5pt" o:hralign="center" o:hrstd="t" o:hr="t" fillcolor="#a0a0a0" stroked="f"/>
        </w:pict>
      </w:r>
    </w:p>
    <w:p w14:paraId="40EEB845" w14:textId="77777777" w:rsidR="00000000" w:rsidRDefault="00EE5306">
      <w:pPr>
        <w:divId w:val="555245443"/>
        <w:rPr>
          <w:rFonts w:eastAsia="Times New Roman"/>
        </w:rPr>
      </w:pPr>
    </w:p>
    <w:p w14:paraId="21200948" w14:textId="77777777" w:rsidR="00000000" w:rsidRDefault="00EE5306">
      <w:pPr>
        <w:jc w:val="both"/>
        <w:divId w:val="911427831"/>
        <w:rPr>
          <w:rFonts w:eastAsia="Times New Roman"/>
        </w:rPr>
      </w:pPr>
      <w:r>
        <w:rPr>
          <w:rFonts w:eastAsia="Times New Roman"/>
          <w:color w:val="000000"/>
          <w:sz w:val="20"/>
          <w:szCs w:val="20"/>
        </w:rPr>
        <w:t>performance. Similarly, estimates and assumptions are used when determining the fair values of other indefinite-lived intangible assets. These estimates and assumptions could have a significant impact on whether or not</w:t>
      </w:r>
      <w:r>
        <w:rPr>
          <w:rFonts w:eastAsia="Times New Roman"/>
          <w:color w:val="000000"/>
          <w:sz w:val="20"/>
          <w:szCs w:val="20"/>
        </w:rPr>
        <w:t xml:space="preserve"> an impairment charge is recognized and the magnitude of any such charge. To assist management in the process of determining any potential goodwill impairment, we may review and consider appraisals from accredited independent valuation firms. Estimates of </w:t>
      </w:r>
      <w:r>
        <w:rPr>
          <w:rFonts w:eastAsia="Times New Roman"/>
          <w:color w:val="000000"/>
          <w:sz w:val="20"/>
          <w:szCs w:val="20"/>
        </w:rPr>
        <w:t>fair value are primarily determined using discounted cash flows, market comparisons, and recent transactions. These approaches involve significant estimates and assumptions, including projected future cash flows (including timing), discount rates reflectin</w:t>
      </w:r>
      <w:r>
        <w:rPr>
          <w:rFonts w:eastAsia="Times New Roman"/>
          <w:color w:val="000000"/>
          <w:sz w:val="20"/>
          <w:szCs w:val="20"/>
        </w:rPr>
        <w:t>g the risks inherent in those future cash flows, perpetual growth rates, and selection of appropriate market comparable metrics and transactions.</w:t>
      </w:r>
    </w:p>
    <w:p w14:paraId="6510DD4E" w14:textId="77777777" w:rsidR="00000000" w:rsidRDefault="00EE5306">
      <w:pPr>
        <w:ind w:firstLine="540"/>
        <w:jc w:val="both"/>
        <w:divId w:val="1317107876"/>
        <w:rPr>
          <w:rFonts w:eastAsia="Times New Roman"/>
        </w:rPr>
      </w:pPr>
      <w:r>
        <w:rPr>
          <w:rFonts w:eastAsia="Times New Roman"/>
          <w:color w:val="000000"/>
          <w:sz w:val="20"/>
          <w:szCs w:val="20"/>
        </w:rPr>
        <w:t>We performed our annual goodwill impairment assessment as of the beginning of the second quarter of Fiscal 2021 using the qualitative approach discussed above. In performing the assessment, we considered the results of our most recent quantitative goodwill</w:t>
      </w:r>
      <w:r>
        <w:rPr>
          <w:rFonts w:eastAsia="Times New Roman"/>
          <w:color w:val="000000"/>
          <w:sz w:val="20"/>
          <w:szCs w:val="20"/>
        </w:rPr>
        <w:t xml:space="preserve"> impairment test, which was performed as of the end of Fiscal 2020 and incorporated assumptions related to COVID-19 business disruptions, the results of which indicated that the fair values of our reporting units significantly exceeded their respective car</w:t>
      </w:r>
      <w:r>
        <w:rPr>
          <w:rFonts w:eastAsia="Times New Roman"/>
          <w:color w:val="000000"/>
          <w:sz w:val="20"/>
          <w:szCs w:val="20"/>
        </w:rPr>
        <w:t>rying values. Based on the results of the qualitative impairment assessment performed, we concluded that it is more likely than not that the fair values of our reporting units significantly exceeded their respective carrying values and there were no report</w:t>
      </w:r>
      <w:r>
        <w:rPr>
          <w:rFonts w:eastAsia="Times New Roman"/>
          <w:color w:val="000000"/>
          <w:sz w:val="20"/>
          <w:szCs w:val="20"/>
        </w:rPr>
        <w:t>ing units at risk of impairment. No goodwill impairment charges were recorded during any of the fiscal years presented. See Note 12 to the accompanying consolidated financial statements for further discussion.</w:t>
      </w:r>
    </w:p>
    <w:p w14:paraId="5306E47C" w14:textId="77777777" w:rsidR="00000000" w:rsidRDefault="00EE5306">
      <w:pPr>
        <w:ind w:firstLine="540"/>
        <w:jc w:val="both"/>
        <w:divId w:val="1370183377"/>
        <w:rPr>
          <w:rFonts w:eastAsia="Times New Roman"/>
        </w:rPr>
      </w:pPr>
      <w:r>
        <w:rPr>
          <w:rFonts w:eastAsia="Times New Roman"/>
          <w:color w:val="000000"/>
          <w:sz w:val="20"/>
          <w:szCs w:val="20"/>
        </w:rPr>
        <w:t>In evaluating finite-lived intangible assets f</w:t>
      </w:r>
      <w:r>
        <w:rPr>
          <w:rFonts w:eastAsia="Times New Roman"/>
          <w:color w:val="000000"/>
          <w:sz w:val="20"/>
          <w:szCs w:val="20"/>
        </w:rPr>
        <w:t>or recoverability, we use our best estimate of future cash flows expected to result from the use of the asset and its eventual disposition where probable. If such estimated future undiscounted net cash flows attributable to the asset are less than its carr</w:t>
      </w:r>
      <w:r>
        <w:rPr>
          <w:rFonts w:eastAsia="Times New Roman"/>
          <w:color w:val="000000"/>
          <w:sz w:val="20"/>
          <w:szCs w:val="20"/>
        </w:rPr>
        <w:t>ying value, an impairment loss is recognized to the extent that such asset's carrying value exceeds its fair value, as estimated considering external market participant assumptions.</w:t>
      </w:r>
    </w:p>
    <w:p w14:paraId="4A783925" w14:textId="77777777" w:rsidR="00000000" w:rsidRDefault="00EE5306">
      <w:pPr>
        <w:ind w:firstLine="540"/>
        <w:jc w:val="both"/>
        <w:divId w:val="625627958"/>
        <w:rPr>
          <w:rFonts w:eastAsia="Times New Roman"/>
        </w:rPr>
      </w:pPr>
      <w:r>
        <w:rPr>
          <w:rFonts w:eastAsia="Times New Roman"/>
          <w:color w:val="000000"/>
          <w:sz w:val="20"/>
          <w:szCs w:val="20"/>
        </w:rPr>
        <w:t>It is possible that our conclusions regarding impairment or recoverability</w:t>
      </w:r>
      <w:r>
        <w:rPr>
          <w:rFonts w:eastAsia="Times New Roman"/>
          <w:color w:val="000000"/>
          <w:sz w:val="20"/>
          <w:szCs w:val="20"/>
        </w:rPr>
        <w:t xml:space="preserve"> of goodwill or other intangible assets could change in future periods if, for example, (i) our businesses do not perform as projected, (ii) overall economic conditions in future years vary from current assumptions, (iii) business conditions or strategies </w:t>
      </w:r>
      <w:r>
        <w:rPr>
          <w:rFonts w:eastAsia="Times New Roman"/>
          <w:color w:val="000000"/>
          <w:sz w:val="20"/>
          <w:szCs w:val="20"/>
        </w:rPr>
        <w:t>change from our current assumptions, or (iv) the identification of our reporting units change, among other factors. Such changes could result in a future impairment charge of goodwill or other intangible assets, which could have a material adverse effect o</w:t>
      </w:r>
      <w:r>
        <w:rPr>
          <w:rFonts w:eastAsia="Times New Roman"/>
          <w:color w:val="000000"/>
          <w:sz w:val="20"/>
          <w:szCs w:val="20"/>
        </w:rPr>
        <w:t>n our consolidated financial position or results of operations.</w:t>
      </w:r>
    </w:p>
    <w:p w14:paraId="013520F4" w14:textId="77777777" w:rsidR="00000000" w:rsidRDefault="00EE5306">
      <w:pPr>
        <w:ind w:firstLine="360"/>
        <w:jc w:val="both"/>
        <w:divId w:val="1900090541"/>
        <w:rPr>
          <w:rFonts w:eastAsia="Times New Roman"/>
        </w:rPr>
      </w:pPr>
      <w:r>
        <w:rPr>
          <w:rFonts w:eastAsia="Times New Roman"/>
          <w:b/>
          <w:bCs/>
          <w:i/>
          <w:iCs/>
          <w:color w:val="000000"/>
          <w:sz w:val="20"/>
          <w:szCs w:val="20"/>
        </w:rPr>
        <w:t>Impairment of Other Long-Lived Assets</w:t>
      </w:r>
    </w:p>
    <w:p w14:paraId="6E3DE251" w14:textId="77777777" w:rsidR="00000000" w:rsidRDefault="00EE5306">
      <w:pPr>
        <w:ind w:firstLine="540"/>
        <w:jc w:val="both"/>
        <w:divId w:val="1153058036"/>
        <w:rPr>
          <w:rFonts w:eastAsia="Times New Roman"/>
        </w:rPr>
      </w:pPr>
      <w:r>
        <w:rPr>
          <w:rFonts w:eastAsia="Times New Roman"/>
          <w:color w:val="000000"/>
          <w:sz w:val="20"/>
          <w:szCs w:val="20"/>
        </w:rPr>
        <w:t>Property and equipment and lease-related right-of-use ("ROU") assets, along with other long-lived assets, are evaluated for impairment periodically whenever events or changes in circumstances indicate that their related carrying values may not be fully rec</w:t>
      </w:r>
      <w:r>
        <w:rPr>
          <w:rFonts w:eastAsia="Times New Roman"/>
          <w:color w:val="000000"/>
          <w:sz w:val="20"/>
          <w:szCs w:val="20"/>
        </w:rPr>
        <w:t>overable. In evaluating long-lived assets for recoverability, we use our best estimate of future cash flows expected to result from the use of the asset (including any potential sublease income for lease-related ROU assets) and its eventual disposition, wh</w:t>
      </w:r>
      <w:r>
        <w:rPr>
          <w:rFonts w:eastAsia="Times New Roman"/>
          <w:color w:val="000000"/>
          <w:sz w:val="20"/>
          <w:szCs w:val="20"/>
        </w:rPr>
        <w:t>ere applicable. If such estimated future undiscounted net cash flows attributable to the asset are less than its carrying value, an impairment loss is recognized to the extent that such asset's carrying value exceeds its fair value, as estimated considerin</w:t>
      </w:r>
      <w:r>
        <w:rPr>
          <w:rFonts w:eastAsia="Times New Roman"/>
          <w:color w:val="000000"/>
          <w:sz w:val="20"/>
          <w:szCs w:val="20"/>
        </w:rPr>
        <w:t xml:space="preserve">g external market participant assumptions and discounted cash flows, including those based on estimated market rents for lease-related ROU assets. Assets to be disposed of and for which there is a committed plan of disposal (commonly referred to as assets </w:t>
      </w:r>
      <w:r>
        <w:rPr>
          <w:rFonts w:eastAsia="Times New Roman"/>
          <w:color w:val="000000"/>
          <w:sz w:val="20"/>
          <w:szCs w:val="20"/>
        </w:rPr>
        <w:t>held-for-sale) are reported at the lower of carrying value or fair value, less costs to sell.</w:t>
      </w:r>
    </w:p>
    <w:p w14:paraId="572027AD" w14:textId="77777777" w:rsidR="00000000" w:rsidRDefault="00EE5306">
      <w:pPr>
        <w:ind w:firstLine="540"/>
        <w:jc w:val="both"/>
        <w:divId w:val="1628272467"/>
        <w:rPr>
          <w:rFonts w:eastAsia="Times New Roman"/>
        </w:rPr>
      </w:pPr>
      <w:r>
        <w:rPr>
          <w:rFonts w:eastAsia="Times New Roman"/>
          <w:color w:val="000000"/>
          <w:sz w:val="20"/>
          <w:szCs w:val="20"/>
        </w:rPr>
        <w:t>In determining future cash flows, we take various factors into account, including changes in merchandising strategy, the emphasis on retail store cost controls, t</w:t>
      </w:r>
      <w:r>
        <w:rPr>
          <w:rFonts w:eastAsia="Times New Roman"/>
          <w:color w:val="000000"/>
          <w:sz w:val="20"/>
          <w:szCs w:val="20"/>
        </w:rPr>
        <w:t>he effects of macroeconomic trends such as consumer spending, and the impacts of more experienced retail store managers and increased local advertising. Since the determination of future cash flows is an estimate of future performance, future impairments m</w:t>
      </w:r>
      <w:r>
        <w:rPr>
          <w:rFonts w:eastAsia="Times New Roman"/>
          <w:color w:val="000000"/>
          <w:sz w:val="20"/>
          <w:szCs w:val="20"/>
        </w:rPr>
        <w:t>ay arise in the event that future cash flows do not meet expectations. For example, unforeseen adverse future economic and market conditions could negatively impact consumer behavior, spending levels, and/or shopping preferences and result in actual result</w:t>
      </w:r>
      <w:r>
        <w:rPr>
          <w:rFonts w:eastAsia="Times New Roman"/>
          <w:color w:val="000000"/>
          <w:sz w:val="20"/>
          <w:szCs w:val="20"/>
        </w:rPr>
        <w:t>s differing from our estimates. Additionally, we may review and consider appraisals from accredited independent valuation firms to determine the fair value of long-lived assets, where applicable.</w:t>
      </w:r>
    </w:p>
    <w:p w14:paraId="079EEC98" w14:textId="77777777" w:rsidR="00000000" w:rsidRDefault="00EE5306">
      <w:pPr>
        <w:ind w:firstLine="540"/>
        <w:jc w:val="both"/>
        <w:divId w:val="1314259003"/>
        <w:rPr>
          <w:rFonts w:eastAsia="Times New Roman"/>
        </w:rPr>
      </w:pPr>
      <w:r>
        <w:rPr>
          <w:rFonts w:eastAsia="Times New Roman"/>
          <w:color w:val="000000"/>
          <w:sz w:val="20"/>
          <w:szCs w:val="20"/>
        </w:rPr>
        <w:t>During Fiscal 2021, Fiscal 2020, and Fiscal 2019, we recorde</w:t>
      </w:r>
      <w:r>
        <w:rPr>
          <w:rFonts w:eastAsia="Times New Roman"/>
          <w:color w:val="000000"/>
          <w:sz w:val="20"/>
          <w:szCs w:val="20"/>
        </w:rPr>
        <w:t>d non-cash impairment charges of $96.0 million, $38.7 million, and $21.2 million, respectively, to write-down the carrying values of certain long-lived assets based upon their assumed fair values. Additionally, during Fiscal 2019, we recorded a non-cash ch</w:t>
      </w:r>
      <w:r>
        <w:rPr>
          <w:rFonts w:eastAsia="Times New Roman"/>
          <w:color w:val="000000"/>
          <w:sz w:val="20"/>
          <w:szCs w:val="20"/>
        </w:rPr>
        <w:t>arge of $4.6 million to reduce the carrying value of our corporate jet being held-for-sale to its estimated fair value, less costs to sell. See Note 8 to the accompanying consolidated financial statements for further discussion.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E2A849C" w14:textId="77777777">
        <w:trPr>
          <w:divId w:val="1508909139"/>
          <w:jc w:val="center"/>
        </w:trPr>
        <w:tc>
          <w:tcPr>
            <w:tcW w:w="50" w:type="pct"/>
            <w:vAlign w:val="center"/>
            <w:hideMark/>
          </w:tcPr>
          <w:p w14:paraId="76E74767" w14:textId="77777777" w:rsidR="00000000" w:rsidRDefault="00EE5306">
            <w:pPr>
              <w:ind w:firstLine="540"/>
              <w:jc w:val="both"/>
              <w:rPr>
                <w:rFonts w:eastAsia="Times New Roman"/>
              </w:rPr>
            </w:pPr>
          </w:p>
        </w:tc>
        <w:tc>
          <w:tcPr>
            <w:tcW w:w="1699" w:type="pct"/>
            <w:vAlign w:val="center"/>
            <w:hideMark/>
          </w:tcPr>
          <w:p w14:paraId="21AB1F80" w14:textId="77777777" w:rsidR="00000000" w:rsidRDefault="00EE5306">
            <w:pPr>
              <w:spacing w:after="100"/>
              <w:rPr>
                <w:rFonts w:eastAsia="Times New Roman"/>
                <w:sz w:val="20"/>
                <w:szCs w:val="20"/>
              </w:rPr>
            </w:pPr>
          </w:p>
        </w:tc>
        <w:tc>
          <w:tcPr>
            <w:tcW w:w="5" w:type="pct"/>
            <w:vAlign w:val="center"/>
            <w:hideMark/>
          </w:tcPr>
          <w:p w14:paraId="3CE42653" w14:textId="77777777" w:rsidR="00000000" w:rsidRDefault="00EE5306">
            <w:pPr>
              <w:spacing w:after="100"/>
              <w:rPr>
                <w:rFonts w:eastAsia="Times New Roman"/>
                <w:sz w:val="20"/>
                <w:szCs w:val="20"/>
              </w:rPr>
            </w:pPr>
          </w:p>
        </w:tc>
        <w:tc>
          <w:tcPr>
            <w:tcW w:w="50" w:type="pct"/>
            <w:vAlign w:val="center"/>
            <w:hideMark/>
          </w:tcPr>
          <w:p w14:paraId="179F1A2B" w14:textId="77777777" w:rsidR="00000000" w:rsidRDefault="00EE5306">
            <w:pPr>
              <w:spacing w:after="100"/>
              <w:rPr>
                <w:rFonts w:eastAsia="Times New Roman"/>
                <w:sz w:val="20"/>
                <w:szCs w:val="20"/>
              </w:rPr>
            </w:pPr>
          </w:p>
        </w:tc>
        <w:tc>
          <w:tcPr>
            <w:tcW w:w="1436" w:type="pct"/>
            <w:vAlign w:val="center"/>
            <w:hideMark/>
          </w:tcPr>
          <w:p w14:paraId="4DBB9932" w14:textId="77777777" w:rsidR="00000000" w:rsidRDefault="00EE5306">
            <w:pPr>
              <w:spacing w:after="100"/>
              <w:rPr>
                <w:rFonts w:eastAsia="Times New Roman"/>
                <w:sz w:val="20"/>
                <w:szCs w:val="20"/>
              </w:rPr>
            </w:pPr>
          </w:p>
        </w:tc>
        <w:tc>
          <w:tcPr>
            <w:tcW w:w="5" w:type="pct"/>
            <w:vAlign w:val="center"/>
            <w:hideMark/>
          </w:tcPr>
          <w:p w14:paraId="30F0E822" w14:textId="77777777" w:rsidR="00000000" w:rsidRDefault="00EE5306">
            <w:pPr>
              <w:spacing w:after="100"/>
              <w:rPr>
                <w:rFonts w:eastAsia="Times New Roman"/>
                <w:sz w:val="20"/>
                <w:szCs w:val="20"/>
              </w:rPr>
            </w:pPr>
          </w:p>
        </w:tc>
        <w:tc>
          <w:tcPr>
            <w:tcW w:w="50" w:type="pct"/>
            <w:vAlign w:val="center"/>
            <w:hideMark/>
          </w:tcPr>
          <w:p w14:paraId="25063971" w14:textId="77777777" w:rsidR="00000000" w:rsidRDefault="00EE5306">
            <w:pPr>
              <w:spacing w:after="100"/>
              <w:rPr>
                <w:rFonts w:eastAsia="Times New Roman"/>
                <w:sz w:val="20"/>
                <w:szCs w:val="20"/>
              </w:rPr>
            </w:pPr>
          </w:p>
        </w:tc>
        <w:tc>
          <w:tcPr>
            <w:tcW w:w="1699" w:type="pct"/>
            <w:vAlign w:val="center"/>
            <w:hideMark/>
          </w:tcPr>
          <w:p w14:paraId="7AD67CC3" w14:textId="77777777" w:rsidR="00000000" w:rsidRDefault="00EE5306">
            <w:pPr>
              <w:spacing w:after="100"/>
              <w:rPr>
                <w:rFonts w:eastAsia="Times New Roman"/>
                <w:sz w:val="20"/>
                <w:szCs w:val="20"/>
              </w:rPr>
            </w:pPr>
          </w:p>
        </w:tc>
        <w:tc>
          <w:tcPr>
            <w:tcW w:w="5" w:type="pct"/>
            <w:vAlign w:val="center"/>
            <w:hideMark/>
          </w:tcPr>
          <w:p w14:paraId="117D4771" w14:textId="77777777" w:rsidR="00000000" w:rsidRDefault="00EE5306">
            <w:pPr>
              <w:spacing w:after="100"/>
              <w:rPr>
                <w:rFonts w:eastAsia="Times New Roman"/>
                <w:sz w:val="20"/>
                <w:szCs w:val="20"/>
              </w:rPr>
            </w:pPr>
          </w:p>
        </w:tc>
      </w:tr>
      <w:tr w:rsidR="00000000" w14:paraId="58EC2890" w14:textId="77777777">
        <w:trPr>
          <w:divId w:val="1508909139"/>
          <w:jc w:val="center"/>
        </w:trPr>
        <w:tc>
          <w:tcPr>
            <w:tcW w:w="0" w:type="auto"/>
            <w:gridSpan w:val="3"/>
            <w:tcMar>
              <w:top w:w="0" w:type="dxa"/>
              <w:left w:w="20" w:type="dxa"/>
              <w:bottom w:w="0" w:type="dxa"/>
              <w:right w:w="20" w:type="dxa"/>
            </w:tcMar>
            <w:vAlign w:val="center"/>
            <w:hideMark/>
          </w:tcPr>
          <w:p w14:paraId="102DFDE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F719D32" w14:textId="77777777" w:rsidR="00000000" w:rsidRDefault="00EE5306">
            <w:pPr>
              <w:spacing w:after="100"/>
              <w:jc w:val="center"/>
              <w:rPr>
                <w:rFonts w:eastAsia="Times New Roman"/>
              </w:rPr>
            </w:pPr>
            <w:r>
              <w:rPr>
                <w:rFonts w:eastAsia="Times New Roman"/>
                <w:color w:val="000000"/>
                <w:sz w:val="20"/>
                <w:szCs w:val="20"/>
              </w:rPr>
              <w:t>73</w:t>
            </w:r>
          </w:p>
        </w:tc>
        <w:tc>
          <w:tcPr>
            <w:tcW w:w="0" w:type="auto"/>
            <w:gridSpan w:val="3"/>
            <w:tcMar>
              <w:top w:w="0" w:type="dxa"/>
              <w:left w:w="20" w:type="dxa"/>
              <w:bottom w:w="0" w:type="dxa"/>
              <w:right w:w="20" w:type="dxa"/>
            </w:tcMar>
            <w:vAlign w:val="center"/>
            <w:hideMark/>
          </w:tcPr>
          <w:p w14:paraId="54A855B0" w14:textId="77777777" w:rsidR="00000000" w:rsidRDefault="00EE5306">
            <w:pPr>
              <w:spacing w:after="100"/>
              <w:jc w:val="center"/>
              <w:rPr>
                <w:rFonts w:eastAsia="Times New Roman"/>
              </w:rPr>
            </w:pPr>
          </w:p>
        </w:tc>
      </w:tr>
    </w:tbl>
    <w:p w14:paraId="76DCFE2A" w14:textId="77777777" w:rsidR="00000000" w:rsidRDefault="00EE5306">
      <w:pPr>
        <w:rPr>
          <w:rFonts w:eastAsia="Times New Roman"/>
        </w:rPr>
      </w:pPr>
      <w:r>
        <w:rPr>
          <w:rFonts w:eastAsia="Times New Roman"/>
        </w:rPr>
        <w:pict w14:anchorId="0A23FAB7">
          <v:rect id="_x0000_i1100" style="width:0;height:1.5pt" o:hralign="center" o:hrstd="t" o:hr="t" fillcolor="#a0a0a0" stroked="f"/>
        </w:pict>
      </w:r>
    </w:p>
    <w:p w14:paraId="170F9A01" w14:textId="77777777" w:rsidR="00000000" w:rsidRDefault="00EE5306">
      <w:pPr>
        <w:divId w:val="1838232079"/>
        <w:rPr>
          <w:rFonts w:eastAsia="Times New Roman"/>
        </w:rPr>
      </w:pPr>
    </w:p>
    <w:p w14:paraId="4C93DEDF" w14:textId="77777777" w:rsidR="00000000" w:rsidRDefault="00EE5306">
      <w:pPr>
        <w:ind w:firstLine="360"/>
        <w:jc w:val="both"/>
        <w:divId w:val="1706907518"/>
        <w:rPr>
          <w:rFonts w:eastAsia="Times New Roman"/>
        </w:rPr>
      </w:pPr>
      <w:r>
        <w:rPr>
          <w:rFonts w:eastAsia="Times New Roman"/>
          <w:b/>
          <w:bCs/>
          <w:i/>
          <w:iCs/>
          <w:color w:val="000000"/>
          <w:sz w:val="20"/>
          <w:szCs w:val="20"/>
        </w:rPr>
        <w:t>Income Taxes</w:t>
      </w:r>
    </w:p>
    <w:p w14:paraId="5FD9E7ED" w14:textId="77777777" w:rsidR="00000000" w:rsidRDefault="00EE5306">
      <w:pPr>
        <w:ind w:firstLine="540"/>
        <w:jc w:val="both"/>
        <w:divId w:val="745151201"/>
        <w:rPr>
          <w:rFonts w:eastAsia="Times New Roman"/>
        </w:rPr>
      </w:pPr>
      <w:r>
        <w:rPr>
          <w:rFonts w:eastAsia="Times New Roman"/>
          <w:color w:val="000000"/>
          <w:sz w:val="20"/>
          <w:szCs w:val="20"/>
        </w:rPr>
        <w:t>In determining our income tax provision for financial reporting purposes, we establish a reserve for uncertain tax positions. If we believe that a tax position is more likely than not of being sustained up</w:t>
      </w:r>
      <w:r>
        <w:rPr>
          <w:rFonts w:eastAsia="Times New Roman"/>
          <w:color w:val="000000"/>
          <w:sz w:val="20"/>
          <w:szCs w:val="20"/>
        </w:rPr>
        <w:t>on audit, based solely on the technical merits of the position, we recognize the tax benefit. We measure the tax benefit by determining the largest amount that is greater than 50% likely of being realized upon settlement, presuming that the tax position is</w:t>
      </w:r>
      <w:r>
        <w:rPr>
          <w:rFonts w:eastAsia="Times New Roman"/>
          <w:color w:val="000000"/>
          <w:sz w:val="20"/>
          <w:szCs w:val="20"/>
        </w:rPr>
        <w:t xml:space="preserve"> examined by the appropriate taxing authority that has full knowledge of all relevant information. These assessments can be complex and require significant judgment, and we often obtain assistance from external advisors. To the extent that our estimates ch</w:t>
      </w:r>
      <w:r>
        <w:rPr>
          <w:rFonts w:eastAsia="Times New Roman"/>
          <w:color w:val="000000"/>
          <w:sz w:val="20"/>
          <w:szCs w:val="20"/>
        </w:rPr>
        <w:t>ange or the final tax outcome of these matters is different from the amounts recorded, such differences will impact the income tax provision in the period in which such determinations are made. If the initial assessment of a position fails to result in the</w:t>
      </w:r>
      <w:r>
        <w:rPr>
          <w:rFonts w:eastAsia="Times New Roman"/>
          <w:color w:val="000000"/>
          <w:sz w:val="20"/>
          <w:szCs w:val="20"/>
        </w:rPr>
        <w:t xml:space="preserve"> recognition of a tax benefit, we will recognize the tax benefit if (i) there are changes in tax law or analogous case law that sufficiently raise the likelihood of prevailing on the technical merits of the position to more likely than not; (ii) the statut</w:t>
      </w:r>
      <w:r>
        <w:rPr>
          <w:rFonts w:eastAsia="Times New Roman"/>
          <w:color w:val="000000"/>
          <w:sz w:val="20"/>
          <w:szCs w:val="20"/>
        </w:rPr>
        <w:t>e of limitations expires; or (iii) there is a completion of an audit resulting in a settlement of that tax year with the appropriate agency.</w:t>
      </w:r>
    </w:p>
    <w:p w14:paraId="45A363E9" w14:textId="77777777" w:rsidR="00000000" w:rsidRDefault="00EE5306">
      <w:pPr>
        <w:ind w:firstLine="540"/>
        <w:jc w:val="both"/>
        <w:divId w:val="682634907"/>
        <w:rPr>
          <w:rFonts w:eastAsia="Times New Roman"/>
        </w:rPr>
      </w:pPr>
      <w:r>
        <w:rPr>
          <w:rFonts w:eastAsia="Times New Roman"/>
          <w:color w:val="000000"/>
          <w:sz w:val="20"/>
          <w:szCs w:val="20"/>
        </w:rPr>
        <w:t>Deferred income taxes reflect the tax effect of certain net operating losses, capital losses, general business cred</w:t>
      </w:r>
      <w:r>
        <w:rPr>
          <w:rFonts w:eastAsia="Times New Roman"/>
          <w:color w:val="000000"/>
          <w:sz w:val="20"/>
          <w:szCs w:val="20"/>
        </w:rPr>
        <w:t>it carryforwards, and the net tax effects of temporary differences between the carrying amount of assets and liabilities for financial statement and income tax purposes, as determined under enacted tax laws and rates. Valuation allowances are established w</w:t>
      </w:r>
      <w:r>
        <w:rPr>
          <w:rFonts w:eastAsia="Times New Roman"/>
          <w:color w:val="000000"/>
          <w:sz w:val="20"/>
          <w:szCs w:val="20"/>
        </w:rPr>
        <w:t>hen management determines that it is more likely than not that some portion or all of a deferred tax asset will not be realized. Tax valuation allowances are analyzed periodically by assessing the adequacy of future expected taxable income, which typically</w:t>
      </w:r>
      <w:r>
        <w:rPr>
          <w:rFonts w:eastAsia="Times New Roman"/>
          <w:color w:val="000000"/>
          <w:sz w:val="20"/>
          <w:szCs w:val="20"/>
        </w:rPr>
        <w:t xml:space="preserve"> involves the use of significant estimates. Such allowances are adjusted as events occur, or circumstances change, that warrant adjustments to those balances.</w:t>
      </w:r>
    </w:p>
    <w:p w14:paraId="283CC24E" w14:textId="77777777" w:rsidR="00000000" w:rsidRDefault="00EE5306">
      <w:pPr>
        <w:ind w:firstLine="540"/>
        <w:jc w:val="both"/>
        <w:divId w:val="245771820"/>
        <w:rPr>
          <w:rFonts w:eastAsia="Times New Roman"/>
        </w:rPr>
      </w:pPr>
      <w:r>
        <w:rPr>
          <w:rFonts w:eastAsia="Times New Roman"/>
          <w:color w:val="000000"/>
          <w:sz w:val="20"/>
          <w:szCs w:val="20"/>
        </w:rPr>
        <w:t>See Note 10 to the accompanying consolidated financial statements for further discussion of incom</w:t>
      </w:r>
      <w:r>
        <w:rPr>
          <w:rFonts w:eastAsia="Times New Roman"/>
          <w:color w:val="000000"/>
          <w:sz w:val="20"/>
          <w:szCs w:val="20"/>
        </w:rPr>
        <w:t>e taxes.</w:t>
      </w:r>
    </w:p>
    <w:p w14:paraId="3DF6E9F3" w14:textId="77777777" w:rsidR="00000000" w:rsidRDefault="00EE5306">
      <w:pPr>
        <w:ind w:firstLine="360"/>
        <w:jc w:val="both"/>
        <w:divId w:val="1378167061"/>
        <w:rPr>
          <w:rFonts w:eastAsia="Times New Roman"/>
        </w:rPr>
      </w:pPr>
      <w:r>
        <w:rPr>
          <w:rFonts w:eastAsia="Times New Roman"/>
          <w:b/>
          <w:bCs/>
          <w:i/>
          <w:iCs/>
          <w:color w:val="000000"/>
          <w:sz w:val="20"/>
          <w:szCs w:val="20"/>
        </w:rPr>
        <w:t>Contingencies</w:t>
      </w:r>
    </w:p>
    <w:p w14:paraId="4479F149" w14:textId="77777777" w:rsidR="00000000" w:rsidRDefault="00EE5306">
      <w:pPr>
        <w:ind w:firstLine="540"/>
        <w:jc w:val="both"/>
        <w:divId w:val="326128129"/>
        <w:rPr>
          <w:rFonts w:eastAsia="Times New Roman"/>
        </w:rPr>
      </w:pPr>
      <w:r>
        <w:rPr>
          <w:rFonts w:eastAsia="Times New Roman"/>
          <w:color w:val="000000"/>
          <w:sz w:val="20"/>
          <w:szCs w:val="20"/>
        </w:rPr>
        <w:t>We are periodically exposed to various contingencies in the ordinary course of conducting our business, including potential losses relating to certain litigation, alleged information system security breaches, contractual disputes, em</w:t>
      </w:r>
      <w:r>
        <w:rPr>
          <w:rFonts w:eastAsia="Times New Roman"/>
          <w:color w:val="000000"/>
          <w:sz w:val="20"/>
          <w:szCs w:val="20"/>
        </w:rPr>
        <w:t>ployee relation matters, various tax or other governmental audits, and trademark and intellectual property matters and disputes. We record a liability for such contingencies to the extent that we conclude that it is probable that a loss has been incurred a</w:t>
      </w:r>
      <w:r>
        <w:rPr>
          <w:rFonts w:eastAsia="Times New Roman"/>
          <w:color w:val="000000"/>
          <w:sz w:val="20"/>
          <w:szCs w:val="20"/>
        </w:rPr>
        <w:t>nd the amount of such loss is reasonably estimable. In addition, if it is considered reasonably possible that an unfavorable settlement of a contingency could exceed any established liability, we disclose the estimated impact on our liquidity, financial co</w:t>
      </w:r>
      <w:r>
        <w:rPr>
          <w:rFonts w:eastAsia="Times New Roman"/>
          <w:color w:val="000000"/>
          <w:sz w:val="20"/>
          <w:szCs w:val="20"/>
        </w:rPr>
        <w:t>ndition, and results of operations, if practicable. Management considers many factors in making these assessments. As the ultimate resolution of contingencies is inherently unpredictable, these assessments can involve a series of complex judgments about fu</w:t>
      </w:r>
      <w:r>
        <w:rPr>
          <w:rFonts w:eastAsia="Times New Roman"/>
          <w:color w:val="000000"/>
          <w:sz w:val="20"/>
          <w:szCs w:val="20"/>
        </w:rPr>
        <w:t>ture events including, but not limited to, court rulings, negotiations between affected parties, and governmental actions. As a result, the accounting for loss contingencies relies heavily on management's judgment in developing the related estimates and as</w:t>
      </w:r>
      <w:r>
        <w:rPr>
          <w:rFonts w:eastAsia="Times New Roman"/>
          <w:color w:val="000000"/>
          <w:sz w:val="20"/>
          <w:szCs w:val="20"/>
        </w:rPr>
        <w:t>sumptions.</w:t>
      </w:r>
    </w:p>
    <w:p w14:paraId="152A477A" w14:textId="77777777" w:rsidR="00000000" w:rsidRDefault="00EE5306">
      <w:pPr>
        <w:ind w:firstLine="360"/>
        <w:jc w:val="both"/>
        <w:divId w:val="551304795"/>
        <w:rPr>
          <w:rFonts w:eastAsia="Times New Roman"/>
        </w:rPr>
      </w:pPr>
      <w:r>
        <w:rPr>
          <w:rFonts w:eastAsia="Times New Roman"/>
          <w:b/>
          <w:bCs/>
          <w:i/>
          <w:iCs/>
          <w:color w:val="000000"/>
          <w:sz w:val="20"/>
          <w:szCs w:val="20"/>
        </w:rPr>
        <w:t>Stock-Based Compensation</w:t>
      </w:r>
    </w:p>
    <w:p w14:paraId="1204D184" w14:textId="77777777" w:rsidR="00000000" w:rsidRDefault="00EE5306">
      <w:pPr>
        <w:ind w:firstLine="540"/>
        <w:jc w:val="both"/>
        <w:divId w:val="1150052434"/>
        <w:rPr>
          <w:rFonts w:eastAsia="Times New Roman"/>
        </w:rPr>
      </w:pPr>
      <w:r>
        <w:rPr>
          <w:rFonts w:eastAsia="Times New Roman"/>
          <w:color w:val="000000"/>
          <w:sz w:val="20"/>
          <w:szCs w:val="20"/>
        </w:rPr>
        <w:t>We expense all stock-based compensation awarded to employees and non-employee directors based on the grant date fair value of the awards over the requisite service period, adjusted for forfeitures which are estimated based on an analysis of historical expe</w:t>
      </w:r>
      <w:r>
        <w:rPr>
          <w:rFonts w:eastAsia="Times New Roman"/>
          <w:color w:val="000000"/>
          <w:sz w:val="20"/>
          <w:szCs w:val="20"/>
        </w:rPr>
        <w:t>rience and expected future trends.</w:t>
      </w:r>
    </w:p>
    <w:p w14:paraId="5DE65F49" w14:textId="77777777" w:rsidR="00000000" w:rsidRDefault="00EE5306">
      <w:pPr>
        <w:ind w:firstLine="360"/>
        <w:jc w:val="both"/>
        <w:divId w:val="950624661"/>
        <w:rPr>
          <w:rFonts w:eastAsia="Times New Roman"/>
        </w:rPr>
      </w:pPr>
      <w:r>
        <w:rPr>
          <w:rFonts w:eastAsia="Times New Roman"/>
          <w:i/>
          <w:iCs/>
          <w:color w:val="000000"/>
          <w:sz w:val="20"/>
          <w:szCs w:val="20"/>
        </w:rPr>
        <w:t>Restricted Stock and Restricted Stock Units ("RSUs")</w:t>
      </w:r>
    </w:p>
    <w:p w14:paraId="69E26569" w14:textId="77777777" w:rsidR="00000000" w:rsidRDefault="00EE5306">
      <w:pPr>
        <w:ind w:firstLine="540"/>
        <w:jc w:val="both"/>
        <w:divId w:val="1162742801"/>
        <w:rPr>
          <w:rFonts w:eastAsia="Times New Roman"/>
        </w:rPr>
      </w:pPr>
      <w:r>
        <w:rPr>
          <w:rFonts w:eastAsia="Times New Roman"/>
          <w:color w:val="000000"/>
          <w:sz w:val="20"/>
          <w:szCs w:val="20"/>
        </w:rPr>
        <w:t>We have granted restricted shares of our Class A common stock to our non-employee directors and grant service-based RSUs to certain of our senior executives and other e</w:t>
      </w:r>
      <w:r>
        <w:rPr>
          <w:rFonts w:eastAsia="Times New Roman"/>
          <w:color w:val="000000"/>
          <w:sz w:val="20"/>
          <w:szCs w:val="20"/>
        </w:rPr>
        <w:t>mployees, as well as to our non-employee directors. In addition, we grant RSUs with performance-based and market-based vesting conditions to such senior executives and other key employees.</w:t>
      </w:r>
    </w:p>
    <w:p w14:paraId="2D594A95" w14:textId="77777777" w:rsidR="00000000" w:rsidRDefault="00EE5306">
      <w:pPr>
        <w:ind w:firstLine="540"/>
        <w:jc w:val="both"/>
        <w:divId w:val="2034767386"/>
        <w:rPr>
          <w:rFonts w:eastAsia="Times New Roman"/>
        </w:rPr>
      </w:pPr>
      <w:r>
        <w:rPr>
          <w:rFonts w:eastAsia="Times New Roman"/>
          <w:color w:val="000000"/>
          <w:sz w:val="20"/>
          <w:szCs w:val="20"/>
        </w:rPr>
        <w:t>The fair values of our restricted stock, service-based RSU, and per</w:t>
      </w:r>
      <w:r>
        <w:rPr>
          <w:rFonts w:eastAsia="Times New Roman"/>
          <w:color w:val="000000"/>
          <w:sz w:val="20"/>
          <w:szCs w:val="20"/>
        </w:rPr>
        <w:t>formance-based RSU awards are measured based on the fair value of our Class A common stock on the date of grant, adjusted to reflect the absence of dividends for any awards for which dividend equivalent amounts do not accrue while outstanding and unvested.</w:t>
      </w:r>
      <w:r>
        <w:rPr>
          <w:rFonts w:eastAsia="Times New Roman"/>
          <w:color w:val="000000"/>
          <w:sz w:val="20"/>
          <w:szCs w:val="20"/>
        </w:rPr>
        <w:t xml:space="preserve"> Related compensation expense for performance-based RSUs is recognized over the employees' requisite service period, to the extent that our attainment of performance goals (upon which vesting is dependent) is deemed probable, and involves judgment as to ex</w:t>
      </w:r>
      <w:r>
        <w:rPr>
          <w:rFonts w:eastAsia="Times New Roman"/>
          <w:color w:val="000000"/>
          <w:sz w:val="20"/>
          <w:szCs w:val="20"/>
        </w:rPr>
        <w:t>pectations surrounding our achievement of certain defined operating performance metrics.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7E34C7D" w14:textId="77777777">
        <w:trPr>
          <w:divId w:val="1943684971"/>
          <w:jc w:val="center"/>
        </w:trPr>
        <w:tc>
          <w:tcPr>
            <w:tcW w:w="50" w:type="pct"/>
            <w:vAlign w:val="center"/>
            <w:hideMark/>
          </w:tcPr>
          <w:p w14:paraId="558EFD03" w14:textId="77777777" w:rsidR="00000000" w:rsidRDefault="00EE5306">
            <w:pPr>
              <w:ind w:firstLine="540"/>
              <w:jc w:val="both"/>
              <w:rPr>
                <w:rFonts w:eastAsia="Times New Roman"/>
              </w:rPr>
            </w:pPr>
          </w:p>
        </w:tc>
        <w:tc>
          <w:tcPr>
            <w:tcW w:w="1699" w:type="pct"/>
            <w:vAlign w:val="center"/>
            <w:hideMark/>
          </w:tcPr>
          <w:p w14:paraId="698D2F7C" w14:textId="77777777" w:rsidR="00000000" w:rsidRDefault="00EE5306">
            <w:pPr>
              <w:spacing w:after="100"/>
              <w:rPr>
                <w:rFonts w:eastAsia="Times New Roman"/>
                <w:sz w:val="20"/>
                <w:szCs w:val="20"/>
              </w:rPr>
            </w:pPr>
          </w:p>
        </w:tc>
        <w:tc>
          <w:tcPr>
            <w:tcW w:w="5" w:type="pct"/>
            <w:vAlign w:val="center"/>
            <w:hideMark/>
          </w:tcPr>
          <w:p w14:paraId="68638841" w14:textId="77777777" w:rsidR="00000000" w:rsidRDefault="00EE5306">
            <w:pPr>
              <w:spacing w:after="100"/>
              <w:rPr>
                <w:rFonts w:eastAsia="Times New Roman"/>
                <w:sz w:val="20"/>
                <w:szCs w:val="20"/>
              </w:rPr>
            </w:pPr>
          </w:p>
        </w:tc>
        <w:tc>
          <w:tcPr>
            <w:tcW w:w="50" w:type="pct"/>
            <w:vAlign w:val="center"/>
            <w:hideMark/>
          </w:tcPr>
          <w:p w14:paraId="4D6F0825" w14:textId="77777777" w:rsidR="00000000" w:rsidRDefault="00EE5306">
            <w:pPr>
              <w:spacing w:after="100"/>
              <w:rPr>
                <w:rFonts w:eastAsia="Times New Roman"/>
                <w:sz w:val="20"/>
                <w:szCs w:val="20"/>
              </w:rPr>
            </w:pPr>
          </w:p>
        </w:tc>
        <w:tc>
          <w:tcPr>
            <w:tcW w:w="1436" w:type="pct"/>
            <w:vAlign w:val="center"/>
            <w:hideMark/>
          </w:tcPr>
          <w:p w14:paraId="379847D0" w14:textId="77777777" w:rsidR="00000000" w:rsidRDefault="00EE5306">
            <w:pPr>
              <w:spacing w:after="100"/>
              <w:rPr>
                <w:rFonts w:eastAsia="Times New Roman"/>
                <w:sz w:val="20"/>
                <w:szCs w:val="20"/>
              </w:rPr>
            </w:pPr>
          </w:p>
        </w:tc>
        <w:tc>
          <w:tcPr>
            <w:tcW w:w="5" w:type="pct"/>
            <w:vAlign w:val="center"/>
            <w:hideMark/>
          </w:tcPr>
          <w:p w14:paraId="6807BE44" w14:textId="77777777" w:rsidR="00000000" w:rsidRDefault="00EE5306">
            <w:pPr>
              <w:spacing w:after="100"/>
              <w:rPr>
                <w:rFonts w:eastAsia="Times New Roman"/>
                <w:sz w:val="20"/>
                <w:szCs w:val="20"/>
              </w:rPr>
            </w:pPr>
          </w:p>
        </w:tc>
        <w:tc>
          <w:tcPr>
            <w:tcW w:w="50" w:type="pct"/>
            <w:vAlign w:val="center"/>
            <w:hideMark/>
          </w:tcPr>
          <w:p w14:paraId="0C1B3064" w14:textId="77777777" w:rsidR="00000000" w:rsidRDefault="00EE5306">
            <w:pPr>
              <w:spacing w:after="100"/>
              <w:rPr>
                <w:rFonts w:eastAsia="Times New Roman"/>
                <w:sz w:val="20"/>
                <w:szCs w:val="20"/>
              </w:rPr>
            </w:pPr>
          </w:p>
        </w:tc>
        <w:tc>
          <w:tcPr>
            <w:tcW w:w="1699" w:type="pct"/>
            <w:vAlign w:val="center"/>
            <w:hideMark/>
          </w:tcPr>
          <w:p w14:paraId="0A1C1F35" w14:textId="77777777" w:rsidR="00000000" w:rsidRDefault="00EE5306">
            <w:pPr>
              <w:spacing w:after="100"/>
              <w:rPr>
                <w:rFonts w:eastAsia="Times New Roman"/>
                <w:sz w:val="20"/>
                <w:szCs w:val="20"/>
              </w:rPr>
            </w:pPr>
          </w:p>
        </w:tc>
        <w:tc>
          <w:tcPr>
            <w:tcW w:w="5" w:type="pct"/>
            <w:vAlign w:val="center"/>
            <w:hideMark/>
          </w:tcPr>
          <w:p w14:paraId="73E5F48A" w14:textId="77777777" w:rsidR="00000000" w:rsidRDefault="00EE5306">
            <w:pPr>
              <w:spacing w:after="100"/>
              <w:rPr>
                <w:rFonts w:eastAsia="Times New Roman"/>
                <w:sz w:val="20"/>
                <w:szCs w:val="20"/>
              </w:rPr>
            </w:pPr>
          </w:p>
        </w:tc>
      </w:tr>
      <w:tr w:rsidR="00000000" w14:paraId="5B15D254" w14:textId="77777777">
        <w:trPr>
          <w:divId w:val="1943684971"/>
          <w:jc w:val="center"/>
        </w:trPr>
        <w:tc>
          <w:tcPr>
            <w:tcW w:w="0" w:type="auto"/>
            <w:gridSpan w:val="3"/>
            <w:tcMar>
              <w:top w:w="0" w:type="dxa"/>
              <w:left w:w="20" w:type="dxa"/>
              <w:bottom w:w="0" w:type="dxa"/>
              <w:right w:w="20" w:type="dxa"/>
            </w:tcMar>
            <w:vAlign w:val="center"/>
            <w:hideMark/>
          </w:tcPr>
          <w:p w14:paraId="45FA491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DD24CCC" w14:textId="77777777" w:rsidR="00000000" w:rsidRDefault="00EE5306">
            <w:pPr>
              <w:spacing w:after="100"/>
              <w:jc w:val="center"/>
              <w:rPr>
                <w:rFonts w:eastAsia="Times New Roman"/>
              </w:rPr>
            </w:pPr>
            <w:r>
              <w:rPr>
                <w:rFonts w:eastAsia="Times New Roman"/>
                <w:color w:val="000000"/>
                <w:sz w:val="20"/>
                <w:szCs w:val="20"/>
              </w:rPr>
              <w:t>74</w:t>
            </w:r>
          </w:p>
        </w:tc>
        <w:tc>
          <w:tcPr>
            <w:tcW w:w="0" w:type="auto"/>
            <w:gridSpan w:val="3"/>
            <w:tcMar>
              <w:top w:w="0" w:type="dxa"/>
              <w:left w:w="20" w:type="dxa"/>
              <w:bottom w:w="0" w:type="dxa"/>
              <w:right w:w="20" w:type="dxa"/>
            </w:tcMar>
            <w:vAlign w:val="center"/>
            <w:hideMark/>
          </w:tcPr>
          <w:p w14:paraId="77D9015A" w14:textId="77777777" w:rsidR="00000000" w:rsidRDefault="00EE5306">
            <w:pPr>
              <w:spacing w:after="100"/>
              <w:jc w:val="center"/>
              <w:rPr>
                <w:rFonts w:eastAsia="Times New Roman"/>
              </w:rPr>
            </w:pPr>
          </w:p>
        </w:tc>
      </w:tr>
    </w:tbl>
    <w:p w14:paraId="6F32CB70" w14:textId="77777777" w:rsidR="00000000" w:rsidRDefault="00EE5306">
      <w:pPr>
        <w:rPr>
          <w:rFonts w:eastAsia="Times New Roman"/>
        </w:rPr>
      </w:pPr>
      <w:r>
        <w:rPr>
          <w:rFonts w:eastAsia="Times New Roman"/>
        </w:rPr>
        <w:pict w14:anchorId="2155EC1D">
          <v:rect id="_x0000_i1101" style="width:0;height:1.5pt" o:hralign="center" o:hrstd="t" o:hr="t" fillcolor="#a0a0a0" stroked="f"/>
        </w:pict>
      </w:r>
    </w:p>
    <w:p w14:paraId="0AB3693F" w14:textId="77777777" w:rsidR="00000000" w:rsidRDefault="00EE5306">
      <w:pPr>
        <w:divId w:val="690910285"/>
        <w:rPr>
          <w:rFonts w:eastAsia="Times New Roman"/>
        </w:rPr>
      </w:pPr>
    </w:p>
    <w:p w14:paraId="1FD95C8C" w14:textId="77777777" w:rsidR="00000000" w:rsidRDefault="00EE5306">
      <w:pPr>
        <w:ind w:firstLine="540"/>
        <w:jc w:val="both"/>
        <w:divId w:val="1714769761"/>
        <w:rPr>
          <w:rFonts w:eastAsia="Times New Roman"/>
        </w:rPr>
      </w:pPr>
      <w:r>
        <w:rPr>
          <w:rFonts w:eastAsia="Times New Roman"/>
          <w:color w:val="000000"/>
          <w:sz w:val="20"/>
          <w:szCs w:val="20"/>
        </w:rPr>
        <w:t>The fair value of our market-based RSU awards, for which vesting is dependent upon total shareholder return ("TSR") of our Class A common stock over a three-year performance period relative to that of a pre-established</w:t>
      </w:r>
      <w:r>
        <w:rPr>
          <w:rFonts w:eastAsia="Times New Roman"/>
          <w:color w:val="000000"/>
          <w:sz w:val="20"/>
          <w:szCs w:val="20"/>
        </w:rPr>
        <w:t xml:space="preserve"> peer group, is measured on the grant date based on estimated projections of our relative TSR over the performance period. These estimates are made using a Monte Carlo simulation, which models multiple stock price paths of our Class A common stock and that</w:t>
      </w:r>
      <w:r>
        <w:rPr>
          <w:rFonts w:eastAsia="Times New Roman"/>
          <w:color w:val="000000"/>
          <w:sz w:val="20"/>
          <w:szCs w:val="20"/>
        </w:rPr>
        <w:t xml:space="preserve"> of the peer group to evaluate and determine our ultimate expected relative TSR performance ranking. Related compensation expense, net of estimated forfeitures, is recorded regardless of whether, and the extent to which, the market condition is ultimately </w:t>
      </w:r>
      <w:r>
        <w:rPr>
          <w:rFonts w:eastAsia="Times New Roman"/>
          <w:color w:val="000000"/>
          <w:sz w:val="20"/>
          <w:szCs w:val="20"/>
        </w:rPr>
        <w:t>satisfied. See Note 18 to the accompanying consolidated financial statements for further discussion.</w:t>
      </w:r>
    </w:p>
    <w:p w14:paraId="70C02559" w14:textId="77777777" w:rsidR="00000000" w:rsidRDefault="00EE5306">
      <w:pPr>
        <w:ind w:firstLine="360"/>
        <w:jc w:val="both"/>
        <w:divId w:val="1252590481"/>
        <w:rPr>
          <w:rFonts w:eastAsia="Times New Roman"/>
        </w:rPr>
      </w:pPr>
      <w:r>
        <w:rPr>
          <w:rFonts w:eastAsia="Times New Roman"/>
          <w:i/>
          <w:iCs/>
          <w:color w:val="000000"/>
          <w:sz w:val="20"/>
          <w:szCs w:val="20"/>
        </w:rPr>
        <w:t>Stock Options</w:t>
      </w:r>
    </w:p>
    <w:p w14:paraId="1665B3E8" w14:textId="77777777" w:rsidR="00000000" w:rsidRDefault="00EE5306">
      <w:pPr>
        <w:ind w:firstLine="540"/>
        <w:jc w:val="both"/>
        <w:divId w:val="1393456314"/>
        <w:rPr>
          <w:rFonts w:eastAsia="Times New Roman"/>
        </w:rPr>
      </w:pPr>
      <w:r>
        <w:rPr>
          <w:rFonts w:eastAsia="Times New Roman"/>
          <w:color w:val="000000"/>
          <w:sz w:val="20"/>
          <w:szCs w:val="20"/>
        </w:rPr>
        <w:t>Stock options have been granted to employees and non-employee directors with exercise prices equal to the fair market value of our Class A co</w:t>
      </w:r>
      <w:r>
        <w:rPr>
          <w:rFonts w:eastAsia="Times New Roman"/>
          <w:color w:val="000000"/>
          <w:sz w:val="20"/>
          <w:szCs w:val="20"/>
        </w:rPr>
        <w:t>mmon stock on the date of grant. We use the Black-Scholes option-pricing model to estimate the grant date fair value of stock options, which requires the use of both subjective and objective assumptions. Certain key assumptions involve estimating future un</w:t>
      </w:r>
      <w:r>
        <w:rPr>
          <w:rFonts w:eastAsia="Times New Roman"/>
          <w:color w:val="000000"/>
          <w:sz w:val="20"/>
          <w:szCs w:val="20"/>
        </w:rPr>
        <w:t>certain events. The key factors influencing the estimation process include the expected term of the option, expected volatility of our stock price, our expected dividend yield, and the risk-free interest rate, among others. Generally, once stock option val</w:t>
      </w:r>
      <w:r>
        <w:rPr>
          <w:rFonts w:eastAsia="Times New Roman"/>
          <w:color w:val="000000"/>
          <w:sz w:val="20"/>
          <w:szCs w:val="20"/>
        </w:rPr>
        <w:t xml:space="preserve">ues are determined, accounting practices do not permit them to be changed, even if the estimates used are different from actual results. </w:t>
      </w:r>
    </w:p>
    <w:p w14:paraId="56B38666" w14:textId="77777777" w:rsidR="00000000" w:rsidRDefault="00EE5306">
      <w:pPr>
        <w:ind w:firstLine="540"/>
        <w:jc w:val="both"/>
        <w:divId w:val="724643997"/>
        <w:rPr>
          <w:rFonts w:eastAsia="Times New Roman"/>
        </w:rPr>
      </w:pPr>
      <w:r>
        <w:rPr>
          <w:rFonts w:eastAsia="Times New Roman"/>
          <w:color w:val="000000"/>
          <w:sz w:val="20"/>
          <w:szCs w:val="20"/>
        </w:rPr>
        <w:t>No stock options were granted during any of the fiscal years presented. See Note 18 to the accompanying consolidated f</w:t>
      </w:r>
      <w:r>
        <w:rPr>
          <w:rFonts w:eastAsia="Times New Roman"/>
          <w:color w:val="000000"/>
          <w:sz w:val="20"/>
          <w:szCs w:val="20"/>
        </w:rPr>
        <w:t>inancial statements for further discussion.</w:t>
      </w:r>
    </w:p>
    <w:p w14:paraId="4037DCF5" w14:textId="77777777" w:rsidR="00000000" w:rsidRDefault="00EE5306">
      <w:pPr>
        <w:ind w:firstLine="360"/>
        <w:jc w:val="both"/>
        <w:divId w:val="529294385"/>
        <w:rPr>
          <w:rFonts w:eastAsia="Times New Roman"/>
        </w:rPr>
      </w:pPr>
      <w:r>
        <w:rPr>
          <w:rFonts w:eastAsia="Times New Roman"/>
          <w:i/>
          <w:iCs/>
          <w:color w:val="000000"/>
          <w:sz w:val="20"/>
          <w:szCs w:val="20"/>
        </w:rPr>
        <w:t>Sensitivity</w:t>
      </w:r>
    </w:p>
    <w:p w14:paraId="3A247E0B" w14:textId="77777777" w:rsidR="00000000" w:rsidRDefault="00EE5306">
      <w:pPr>
        <w:ind w:firstLine="540"/>
        <w:jc w:val="both"/>
        <w:divId w:val="1478497487"/>
        <w:rPr>
          <w:rFonts w:eastAsia="Times New Roman"/>
        </w:rPr>
      </w:pPr>
      <w:r>
        <w:rPr>
          <w:rFonts w:eastAsia="Times New Roman"/>
          <w:color w:val="000000"/>
          <w:sz w:val="20"/>
          <w:szCs w:val="20"/>
        </w:rPr>
        <w:t>The assumptions used in calculating the grant date fair values of our stock-based compensation awards represent our best estimates. In addition, projecting the achievement level of certain performance</w:t>
      </w:r>
      <w:r>
        <w:rPr>
          <w:rFonts w:eastAsia="Times New Roman"/>
          <w:color w:val="000000"/>
          <w:sz w:val="20"/>
          <w:szCs w:val="20"/>
        </w:rPr>
        <w:t>-based awards, as well as estimating the number of awards expected to be forfeited, requires judgment. If actual results or forfeitures differ significantly from our estimates and assumptions, or if assumptions used to estimate the grant date fair value of</w:t>
      </w:r>
      <w:r>
        <w:rPr>
          <w:rFonts w:eastAsia="Times New Roman"/>
          <w:color w:val="000000"/>
          <w:sz w:val="20"/>
          <w:szCs w:val="20"/>
        </w:rPr>
        <w:t xml:space="preserve"> future stock-based award grants are significantly changed, stock-based compensation expense and, therefore, our results of operations could be materially impacted. A hypothetical 10% change in our Fiscal 2021 stock-based compensation expense would have af</w:t>
      </w:r>
      <w:r>
        <w:rPr>
          <w:rFonts w:eastAsia="Times New Roman"/>
          <w:color w:val="000000"/>
          <w:sz w:val="20"/>
          <w:szCs w:val="20"/>
        </w:rPr>
        <w:t>fected our net loss by approximately $6 million.</w:t>
      </w:r>
    </w:p>
    <w:p w14:paraId="25043A13" w14:textId="77777777" w:rsidR="00000000" w:rsidRDefault="00EE5306">
      <w:pPr>
        <w:jc w:val="both"/>
        <w:divId w:val="1489517831"/>
        <w:rPr>
          <w:rFonts w:eastAsia="Times New Roman"/>
        </w:rPr>
      </w:pPr>
      <w:r>
        <w:rPr>
          <w:rFonts w:eastAsia="Times New Roman"/>
          <w:b/>
          <w:bCs/>
          <w:color w:val="000000"/>
          <w:sz w:val="20"/>
          <w:szCs w:val="20"/>
        </w:rPr>
        <w:t>RECENTLY ISSUED ACCOUNTING STANDARDS</w:t>
      </w:r>
    </w:p>
    <w:p w14:paraId="2E34A8B8" w14:textId="77777777" w:rsidR="00000000" w:rsidRDefault="00EE5306">
      <w:pPr>
        <w:ind w:firstLine="540"/>
        <w:jc w:val="both"/>
        <w:divId w:val="1056853409"/>
        <w:rPr>
          <w:rFonts w:eastAsia="Times New Roman"/>
        </w:rPr>
      </w:pPr>
      <w:r>
        <w:rPr>
          <w:rFonts w:eastAsia="Times New Roman"/>
          <w:color w:val="000000"/>
          <w:sz w:val="20"/>
          <w:szCs w:val="20"/>
        </w:rPr>
        <w:t>See Note 4 to the accompanying consolidated financial statements for a description of certain recently issued accounting standards which have impacted our consolidated financial statements or may impact our consolidated financial statements in future repor</w:t>
      </w:r>
      <w:r>
        <w:rPr>
          <w:rFonts w:eastAsia="Times New Roman"/>
          <w:color w:val="000000"/>
          <w:sz w:val="20"/>
          <w:szCs w:val="20"/>
        </w:rPr>
        <w:t>ting periods.</w:t>
      </w:r>
    </w:p>
    <w:p w14:paraId="35396F10" w14:textId="77777777" w:rsidR="00000000" w:rsidRDefault="00EE5306">
      <w:pPr>
        <w:ind w:hanging="900"/>
        <w:jc w:val="both"/>
        <w:divId w:val="913196768"/>
        <w:rPr>
          <w:rFonts w:eastAsia="Times New Roman"/>
        </w:rPr>
      </w:pPr>
      <w:r>
        <w:rPr>
          <w:rFonts w:eastAsia="Times New Roman"/>
          <w:b/>
          <w:bCs/>
          <w:color w:val="000000"/>
          <w:sz w:val="20"/>
          <w:szCs w:val="20"/>
        </w:rPr>
        <w:t>Item 7A.</w:t>
      </w:r>
      <w:r>
        <w:rPr>
          <w:rFonts w:eastAsia="Times New Roman"/>
          <w:b/>
          <w:bCs/>
          <w:i/>
          <w:iCs/>
          <w:color w:val="000000"/>
          <w:sz w:val="20"/>
          <w:szCs w:val="20"/>
        </w:rPr>
        <w:t>    Quantitative and Qualitative Disclosures about Market Risk.</w:t>
      </w:r>
    </w:p>
    <w:p w14:paraId="776698F1" w14:textId="77777777" w:rsidR="00000000" w:rsidRDefault="00EE5306">
      <w:pPr>
        <w:ind w:firstLine="540"/>
        <w:jc w:val="both"/>
        <w:divId w:val="798841056"/>
        <w:rPr>
          <w:rFonts w:eastAsia="Times New Roman"/>
        </w:rPr>
      </w:pPr>
      <w:r>
        <w:rPr>
          <w:rFonts w:eastAsia="Times New Roman"/>
          <w:color w:val="000000"/>
          <w:sz w:val="20"/>
          <w:szCs w:val="20"/>
        </w:rPr>
        <w:t xml:space="preserve">For a discussion of our exposure to market risk, see "Market Risk Management" in Item 7 included elsewhere in this Annual Report on Form 10-K. </w:t>
      </w:r>
    </w:p>
    <w:p w14:paraId="3606577A" w14:textId="77777777" w:rsidR="00000000" w:rsidRDefault="00EE5306">
      <w:pPr>
        <w:ind w:hanging="900"/>
        <w:divId w:val="662008156"/>
        <w:rPr>
          <w:rFonts w:eastAsia="Times New Roman"/>
        </w:rPr>
      </w:pPr>
      <w:r>
        <w:rPr>
          <w:rFonts w:eastAsia="Times New Roman"/>
          <w:b/>
          <w:bCs/>
          <w:color w:val="000000"/>
          <w:sz w:val="20"/>
          <w:szCs w:val="20"/>
        </w:rPr>
        <w:t>Item 8.</w:t>
      </w:r>
      <w:r>
        <w:rPr>
          <w:rFonts w:eastAsia="Times New Roman"/>
          <w:b/>
          <w:bCs/>
          <w:i/>
          <w:iCs/>
          <w:color w:val="000000"/>
          <w:sz w:val="20"/>
          <w:szCs w:val="20"/>
        </w:rPr>
        <w:t>    </w:t>
      </w:r>
      <w:r>
        <w:rPr>
          <w:rFonts w:eastAsia="Times New Roman"/>
          <w:b/>
          <w:bCs/>
          <w:i/>
          <w:iCs/>
          <w:color w:val="000000"/>
          <w:sz w:val="20"/>
          <w:szCs w:val="20"/>
        </w:rPr>
        <w:t>Financial Statements and Supplementary Data.</w:t>
      </w:r>
    </w:p>
    <w:p w14:paraId="2C56BBF6" w14:textId="77777777" w:rsidR="00000000" w:rsidRDefault="00EE5306">
      <w:pPr>
        <w:ind w:firstLine="540"/>
        <w:divId w:val="2096509827"/>
        <w:rPr>
          <w:rFonts w:eastAsia="Times New Roman"/>
        </w:rPr>
      </w:pPr>
      <w:r>
        <w:rPr>
          <w:rFonts w:eastAsia="Times New Roman"/>
          <w:color w:val="000000"/>
          <w:sz w:val="20"/>
          <w:szCs w:val="20"/>
        </w:rPr>
        <w:t>See the "Index to Consolidated Financial Statements" appearing at the end of this Annual Report on Form 10-K.</w:t>
      </w:r>
    </w:p>
    <w:p w14:paraId="1675A1A3" w14:textId="77777777" w:rsidR="00000000" w:rsidRDefault="00EE5306">
      <w:pPr>
        <w:ind w:hanging="900"/>
        <w:divId w:val="952593355"/>
        <w:rPr>
          <w:rFonts w:eastAsia="Times New Roman"/>
        </w:rPr>
      </w:pPr>
      <w:r>
        <w:rPr>
          <w:rFonts w:eastAsia="Times New Roman"/>
          <w:b/>
          <w:bCs/>
          <w:color w:val="000000"/>
          <w:sz w:val="20"/>
          <w:szCs w:val="20"/>
        </w:rPr>
        <w:t>Item 9.</w:t>
      </w:r>
      <w:r>
        <w:rPr>
          <w:rFonts w:eastAsia="Times New Roman"/>
          <w:b/>
          <w:bCs/>
          <w:i/>
          <w:iCs/>
          <w:color w:val="000000"/>
          <w:sz w:val="20"/>
          <w:szCs w:val="20"/>
        </w:rPr>
        <w:t>    Changes in and Disagreements with Accountants on Accounting and Financial Disclosure.</w:t>
      </w:r>
    </w:p>
    <w:p w14:paraId="39C6B8D1" w14:textId="77777777" w:rsidR="00000000" w:rsidRDefault="00EE5306">
      <w:pPr>
        <w:ind w:firstLine="540"/>
        <w:divId w:val="1628006936"/>
        <w:rPr>
          <w:rFonts w:eastAsia="Times New Roman"/>
        </w:rPr>
      </w:pPr>
      <w:r>
        <w:rPr>
          <w:rFonts w:eastAsia="Times New Roman"/>
          <w:color w:val="000000"/>
          <w:sz w:val="20"/>
          <w:szCs w:val="20"/>
        </w:rPr>
        <w:t xml:space="preserve">Not </w:t>
      </w:r>
      <w:r>
        <w:rPr>
          <w:rFonts w:eastAsia="Times New Roman"/>
          <w:color w:val="000000"/>
          <w:sz w:val="20"/>
          <w:szCs w:val="20"/>
        </w:rPr>
        <w:t>applicable.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D7CD7A9" w14:textId="77777777">
        <w:trPr>
          <w:divId w:val="1030640311"/>
          <w:jc w:val="center"/>
        </w:trPr>
        <w:tc>
          <w:tcPr>
            <w:tcW w:w="50" w:type="pct"/>
            <w:vAlign w:val="center"/>
            <w:hideMark/>
          </w:tcPr>
          <w:p w14:paraId="17ACF229" w14:textId="77777777" w:rsidR="00000000" w:rsidRDefault="00EE5306">
            <w:pPr>
              <w:ind w:firstLine="540"/>
              <w:rPr>
                <w:rFonts w:eastAsia="Times New Roman"/>
              </w:rPr>
            </w:pPr>
          </w:p>
        </w:tc>
        <w:tc>
          <w:tcPr>
            <w:tcW w:w="1699" w:type="pct"/>
            <w:vAlign w:val="center"/>
            <w:hideMark/>
          </w:tcPr>
          <w:p w14:paraId="60D2C644" w14:textId="77777777" w:rsidR="00000000" w:rsidRDefault="00EE5306">
            <w:pPr>
              <w:spacing w:after="100"/>
              <w:rPr>
                <w:rFonts w:eastAsia="Times New Roman"/>
                <w:sz w:val="20"/>
                <w:szCs w:val="20"/>
              </w:rPr>
            </w:pPr>
          </w:p>
        </w:tc>
        <w:tc>
          <w:tcPr>
            <w:tcW w:w="5" w:type="pct"/>
            <w:vAlign w:val="center"/>
            <w:hideMark/>
          </w:tcPr>
          <w:p w14:paraId="110D0176" w14:textId="77777777" w:rsidR="00000000" w:rsidRDefault="00EE5306">
            <w:pPr>
              <w:spacing w:after="100"/>
              <w:rPr>
                <w:rFonts w:eastAsia="Times New Roman"/>
                <w:sz w:val="20"/>
                <w:szCs w:val="20"/>
              </w:rPr>
            </w:pPr>
          </w:p>
        </w:tc>
        <w:tc>
          <w:tcPr>
            <w:tcW w:w="50" w:type="pct"/>
            <w:vAlign w:val="center"/>
            <w:hideMark/>
          </w:tcPr>
          <w:p w14:paraId="3AFDCEC7" w14:textId="77777777" w:rsidR="00000000" w:rsidRDefault="00EE5306">
            <w:pPr>
              <w:spacing w:after="100"/>
              <w:rPr>
                <w:rFonts w:eastAsia="Times New Roman"/>
                <w:sz w:val="20"/>
                <w:szCs w:val="20"/>
              </w:rPr>
            </w:pPr>
          </w:p>
        </w:tc>
        <w:tc>
          <w:tcPr>
            <w:tcW w:w="1436" w:type="pct"/>
            <w:vAlign w:val="center"/>
            <w:hideMark/>
          </w:tcPr>
          <w:p w14:paraId="35F28A00" w14:textId="77777777" w:rsidR="00000000" w:rsidRDefault="00EE5306">
            <w:pPr>
              <w:spacing w:after="100"/>
              <w:rPr>
                <w:rFonts w:eastAsia="Times New Roman"/>
                <w:sz w:val="20"/>
                <w:szCs w:val="20"/>
              </w:rPr>
            </w:pPr>
          </w:p>
        </w:tc>
        <w:tc>
          <w:tcPr>
            <w:tcW w:w="5" w:type="pct"/>
            <w:vAlign w:val="center"/>
            <w:hideMark/>
          </w:tcPr>
          <w:p w14:paraId="34A4F672" w14:textId="77777777" w:rsidR="00000000" w:rsidRDefault="00EE5306">
            <w:pPr>
              <w:spacing w:after="100"/>
              <w:rPr>
                <w:rFonts w:eastAsia="Times New Roman"/>
                <w:sz w:val="20"/>
                <w:szCs w:val="20"/>
              </w:rPr>
            </w:pPr>
          </w:p>
        </w:tc>
        <w:tc>
          <w:tcPr>
            <w:tcW w:w="50" w:type="pct"/>
            <w:vAlign w:val="center"/>
            <w:hideMark/>
          </w:tcPr>
          <w:p w14:paraId="378F4217" w14:textId="77777777" w:rsidR="00000000" w:rsidRDefault="00EE5306">
            <w:pPr>
              <w:spacing w:after="100"/>
              <w:rPr>
                <w:rFonts w:eastAsia="Times New Roman"/>
                <w:sz w:val="20"/>
                <w:szCs w:val="20"/>
              </w:rPr>
            </w:pPr>
          </w:p>
        </w:tc>
        <w:tc>
          <w:tcPr>
            <w:tcW w:w="1699" w:type="pct"/>
            <w:vAlign w:val="center"/>
            <w:hideMark/>
          </w:tcPr>
          <w:p w14:paraId="0DE73B8F" w14:textId="77777777" w:rsidR="00000000" w:rsidRDefault="00EE5306">
            <w:pPr>
              <w:spacing w:after="100"/>
              <w:rPr>
                <w:rFonts w:eastAsia="Times New Roman"/>
                <w:sz w:val="20"/>
                <w:szCs w:val="20"/>
              </w:rPr>
            </w:pPr>
          </w:p>
        </w:tc>
        <w:tc>
          <w:tcPr>
            <w:tcW w:w="5" w:type="pct"/>
            <w:vAlign w:val="center"/>
            <w:hideMark/>
          </w:tcPr>
          <w:p w14:paraId="7AE49032" w14:textId="77777777" w:rsidR="00000000" w:rsidRDefault="00EE5306">
            <w:pPr>
              <w:spacing w:after="100"/>
              <w:rPr>
                <w:rFonts w:eastAsia="Times New Roman"/>
                <w:sz w:val="20"/>
                <w:szCs w:val="20"/>
              </w:rPr>
            </w:pPr>
          </w:p>
        </w:tc>
      </w:tr>
      <w:tr w:rsidR="00000000" w14:paraId="7E353D65" w14:textId="77777777">
        <w:trPr>
          <w:divId w:val="1030640311"/>
          <w:jc w:val="center"/>
        </w:trPr>
        <w:tc>
          <w:tcPr>
            <w:tcW w:w="0" w:type="auto"/>
            <w:gridSpan w:val="3"/>
            <w:tcMar>
              <w:top w:w="0" w:type="dxa"/>
              <w:left w:w="20" w:type="dxa"/>
              <w:bottom w:w="0" w:type="dxa"/>
              <w:right w:w="20" w:type="dxa"/>
            </w:tcMar>
            <w:vAlign w:val="center"/>
            <w:hideMark/>
          </w:tcPr>
          <w:p w14:paraId="296A2DD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6E24FD" w14:textId="77777777" w:rsidR="00000000" w:rsidRDefault="00EE5306">
            <w:pPr>
              <w:spacing w:after="100"/>
              <w:jc w:val="center"/>
              <w:rPr>
                <w:rFonts w:eastAsia="Times New Roman"/>
              </w:rPr>
            </w:pPr>
            <w:r>
              <w:rPr>
                <w:rFonts w:eastAsia="Times New Roman"/>
                <w:color w:val="000000"/>
                <w:sz w:val="20"/>
                <w:szCs w:val="20"/>
              </w:rPr>
              <w:t>75</w:t>
            </w:r>
          </w:p>
        </w:tc>
        <w:tc>
          <w:tcPr>
            <w:tcW w:w="0" w:type="auto"/>
            <w:gridSpan w:val="3"/>
            <w:tcMar>
              <w:top w:w="0" w:type="dxa"/>
              <w:left w:w="20" w:type="dxa"/>
              <w:bottom w:w="0" w:type="dxa"/>
              <w:right w:w="20" w:type="dxa"/>
            </w:tcMar>
            <w:vAlign w:val="center"/>
            <w:hideMark/>
          </w:tcPr>
          <w:p w14:paraId="418DF678" w14:textId="77777777" w:rsidR="00000000" w:rsidRDefault="00EE5306">
            <w:pPr>
              <w:spacing w:after="100"/>
              <w:jc w:val="center"/>
              <w:rPr>
                <w:rFonts w:eastAsia="Times New Roman"/>
              </w:rPr>
            </w:pPr>
          </w:p>
        </w:tc>
      </w:tr>
    </w:tbl>
    <w:p w14:paraId="5B8149CB" w14:textId="77777777" w:rsidR="00000000" w:rsidRDefault="00EE5306">
      <w:pPr>
        <w:rPr>
          <w:rFonts w:eastAsia="Times New Roman"/>
        </w:rPr>
      </w:pPr>
      <w:r>
        <w:rPr>
          <w:rFonts w:eastAsia="Times New Roman"/>
        </w:rPr>
        <w:pict w14:anchorId="784FDFC3">
          <v:rect id="_x0000_i1102" style="width:0;height:1.5pt" o:hralign="center" o:hrstd="t" o:hr="t" fillcolor="#a0a0a0" stroked="f"/>
        </w:pict>
      </w:r>
    </w:p>
    <w:p w14:paraId="09F8E590" w14:textId="77777777" w:rsidR="00000000" w:rsidRDefault="00EE5306">
      <w:pPr>
        <w:divId w:val="1307247362"/>
        <w:rPr>
          <w:rFonts w:eastAsia="Times New Roman"/>
        </w:rPr>
      </w:pPr>
    </w:p>
    <w:p w14:paraId="2C8B7F9C" w14:textId="77777777" w:rsidR="00000000" w:rsidRDefault="00EE5306">
      <w:pPr>
        <w:jc w:val="both"/>
        <w:divId w:val="881552987"/>
        <w:rPr>
          <w:rFonts w:eastAsia="Times New Roman"/>
        </w:rPr>
      </w:pPr>
      <w:r>
        <w:rPr>
          <w:rFonts w:eastAsia="Times New Roman"/>
          <w:b/>
          <w:bCs/>
          <w:color w:val="000000"/>
          <w:sz w:val="20"/>
          <w:szCs w:val="20"/>
        </w:rPr>
        <w:t>Item 9A.</w:t>
      </w:r>
      <w:r>
        <w:rPr>
          <w:rFonts w:eastAsia="Times New Roman"/>
          <w:b/>
          <w:bCs/>
          <w:i/>
          <w:iCs/>
          <w:color w:val="000000"/>
          <w:sz w:val="20"/>
          <w:szCs w:val="20"/>
        </w:rPr>
        <w:t>    Controls and Procedures.</w:t>
      </w:r>
    </w:p>
    <w:p w14:paraId="7EAB4348" w14:textId="77777777" w:rsidR="00000000" w:rsidRDefault="00EE5306">
      <w:pPr>
        <w:ind w:firstLine="360"/>
        <w:jc w:val="both"/>
        <w:divId w:val="877157222"/>
        <w:rPr>
          <w:rFonts w:eastAsia="Times New Roman"/>
        </w:rPr>
      </w:pPr>
      <w:r>
        <w:rPr>
          <w:rFonts w:eastAsia="Times New Roman"/>
          <w:b/>
          <w:bCs/>
          <w:color w:val="000000"/>
          <w:sz w:val="20"/>
          <w:szCs w:val="20"/>
        </w:rPr>
        <w:t>(a) Evaluation of Disclosure Controls and Procedures</w:t>
      </w:r>
    </w:p>
    <w:p w14:paraId="0B412987" w14:textId="77777777" w:rsidR="00000000" w:rsidRDefault="00EE5306">
      <w:pPr>
        <w:ind w:firstLine="540"/>
        <w:jc w:val="both"/>
        <w:divId w:val="9525128"/>
        <w:rPr>
          <w:rFonts w:eastAsia="Times New Roman"/>
        </w:rPr>
      </w:pPr>
      <w:r>
        <w:rPr>
          <w:rFonts w:eastAsia="Times New Roman"/>
          <w:color w:val="000000"/>
          <w:sz w:val="20"/>
          <w:szCs w:val="20"/>
        </w:rPr>
        <w:t>Disclosure controls and procedures are the controls and other procedures of an issuer that are designed to provide reasonable as</w:t>
      </w:r>
      <w:r>
        <w:rPr>
          <w:rFonts w:eastAsia="Times New Roman"/>
          <w:color w:val="000000"/>
          <w:sz w:val="20"/>
          <w:szCs w:val="20"/>
        </w:rPr>
        <w:t>surance that information required to be disclosed by the issuer in the reports that it files or submits under the Securities Exchange Act of 1934 is recorded, processed, summarized, and reported within the time period specified in the Securities and Exchan</w:t>
      </w:r>
      <w:r>
        <w:rPr>
          <w:rFonts w:eastAsia="Times New Roman"/>
          <w:color w:val="000000"/>
          <w:sz w:val="20"/>
          <w:szCs w:val="20"/>
        </w:rPr>
        <w:t>ge Commission's rules and forms. Disclosure controls and procedures include, without limitation, controls and procedures designed to ensure that material information required to be disclosed by an issuer in the reports that it files or submits under the Se</w:t>
      </w:r>
      <w:r>
        <w:rPr>
          <w:rFonts w:eastAsia="Times New Roman"/>
          <w:color w:val="000000"/>
          <w:sz w:val="20"/>
          <w:szCs w:val="20"/>
        </w:rPr>
        <w:t>curities Exchange Act of 1934 is accumulated and communicated to the issuer's management, including its principal executive and principal financial officers, or persons performing similar functions, as appropriate to allow timely decisions regarding requir</w:t>
      </w:r>
      <w:r>
        <w:rPr>
          <w:rFonts w:eastAsia="Times New Roman"/>
          <w:color w:val="000000"/>
          <w:sz w:val="20"/>
          <w:szCs w:val="20"/>
        </w:rPr>
        <w:t>ed disclosure.</w:t>
      </w:r>
    </w:p>
    <w:p w14:paraId="5DE2E9FF" w14:textId="77777777" w:rsidR="00000000" w:rsidRDefault="00EE5306">
      <w:pPr>
        <w:ind w:firstLine="540"/>
        <w:jc w:val="both"/>
        <w:divId w:val="636027472"/>
        <w:rPr>
          <w:rFonts w:eastAsia="Times New Roman"/>
        </w:rPr>
      </w:pPr>
      <w:r>
        <w:rPr>
          <w:rFonts w:eastAsia="Times New Roman"/>
          <w:color w:val="000000"/>
          <w:sz w:val="20"/>
          <w:szCs w:val="20"/>
        </w:rPr>
        <w:t xml:space="preserve">We have evaluated, under the supervision and with the participation of management, including our principal executive and principal financial officers, the effectiveness of our disclosure controls and procedures, as defined in Rules 13a-15(e) and 15d-15(e) </w:t>
      </w:r>
      <w:r>
        <w:rPr>
          <w:rFonts w:eastAsia="Times New Roman"/>
          <w:color w:val="000000"/>
          <w:sz w:val="20"/>
          <w:szCs w:val="20"/>
        </w:rPr>
        <w:t xml:space="preserve">of the Securities Exchange Act of 1934, as of the end of the fiscal year covered by this annual report. Based on that evaluation, our principal executive and principal financial officers have concluded that the Company's disclosure controls and procedures </w:t>
      </w:r>
      <w:r>
        <w:rPr>
          <w:rFonts w:eastAsia="Times New Roman"/>
          <w:color w:val="000000"/>
          <w:sz w:val="20"/>
          <w:szCs w:val="20"/>
        </w:rPr>
        <w:t>were effective at the reasonable assurance level, as of the fiscal year-end covered by this Annual Report on Form 10-K.</w:t>
      </w:r>
    </w:p>
    <w:p w14:paraId="6537C030" w14:textId="77777777" w:rsidR="00000000" w:rsidRDefault="00EE5306">
      <w:pPr>
        <w:ind w:firstLine="540"/>
        <w:jc w:val="both"/>
        <w:divId w:val="944730520"/>
        <w:rPr>
          <w:rFonts w:eastAsia="Times New Roman"/>
        </w:rPr>
      </w:pPr>
      <w:r>
        <w:rPr>
          <w:rFonts w:eastAsia="Times New Roman"/>
          <w:b/>
          <w:bCs/>
          <w:color w:val="000000"/>
          <w:sz w:val="20"/>
          <w:szCs w:val="20"/>
        </w:rPr>
        <w:t>(b) Management's Report on Internal Control Over Financial Reporting</w:t>
      </w:r>
    </w:p>
    <w:p w14:paraId="26D4E880" w14:textId="77777777" w:rsidR="00000000" w:rsidRDefault="00EE5306">
      <w:pPr>
        <w:ind w:firstLine="540"/>
        <w:jc w:val="both"/>
        <w:divId w:val="2024624111"/>
        <w:rPr>
          <w:rFonts w:eastAsia="Times New Roman"/>
        </w:rPr>
      </w:pPr>
      <w:r>
        <w:rPr>
          <w:rFonts w:eastAsia="Times New Roman"/>
          <w:color w:val="000000"/>
          <w:sz w:val="20"/>
          <w:szCs w:val="20"/>
        </w:rPr>
        <w:t>Management is responsible for establishing and maintaining adequate</w:t>
      </w:r>
      <w:r>
        <w:rPr>
          <w:rFonts w:eastAsia="Times New Roman"/>
          <w:color w:val="000000"/>
          <w:sz w:val="20"/>
          <w:szCs w:val="20"/>
        </w:rPr>
        <w:t xml:space="preserve"> internal control over financial reporting, as defined in Securities Exchange Act Rule 13a-15(f). Internal control over financial reporting is designed to provide reasonable assurance regarding the reliability of financial reporting and preparation of fina</w:t>
      </w:r>
      <w:r>
        <w:rPr>
          <w:rFonts w:eastAsia="Times New Roman"/>
          <w:color w:val="000000"/>
          <w:sz w:val="20"/>
          <w:szCs w:val="20"/>
        </w:rPr>
        <w:t>ncial statements for external purposes in accordance with U.S. Generally Accepted Accounting Principles. Internal control over financial reporting includes maintaining records that in reasonable detail accurately and fairly reflect our transactions; provid</w:t>
      </w:r>
      <w:r>
        <w:rPr>
          <w:rFonts w:eastAsia="Times New Roman"/>
          <w:color w:val="000000"/>
          <w:sz w:val="20"/>
          <w:szCs w:val="20"/>
        </w:rPr>
        <w:t>ing reasonable assurance that transactions are recorded as necessary for preparation of our financial statements; providing reasonable assurance that receipts and expenditures of the Company's assets are made in accordance with management authorization; an</w:t>
      </w:r>
      <w:r>
        <w:rPr>
          <w:rFonts w:eastAsia="Times New Roman"/>
          <w:color w:val="000000"/>
          <w:sz w:val="20"/>
          <w:szCs w:val="20"/>
        </w:rPr>
        <w:t xml:space="preserve">d providing reasonable assurance that unauthorized acquisition, use or disposition of the Company's assets that could have a material effect on our financial statements would be prevented or detected on a timely basis. Because of its inherent limitations, </w:t>
      </w:r>
      <w:r>
        <w:rPr>
          <w:rFonts w:eastAsia="Times New Roman"/>
          <w:color w:val="000000"/>
          <w:sz w:val="20"/>
          <w:szCs w:val="20"/>
        </w:rPr>
        <w:t>internal control over financial reporting is not intended to provide absolute assurance that a misstatement of our financial statements would be prevented or detected. Further, the evaluation of the effectiveness of internal control over financial reportin</w:t>
      </w:r>
      <w:r>
        <w:rPr>
          <w:rFonts w:eastAsia="Times New Roman"/>
          <w:color w:val="000000"/>
          <w:sz w:val="20"/>
          <w:szCs w:val="20"/>
        </w:rPr>
        <w:t>g was made as of a specific date, and continued effectiveness in future periods is subject to the risks that controls may become inadequate because of changes in conditions or that the degree of compliance with the policies and procedures may decline.</w:t>
      </w:r>
    </w:p>
    <w:p w14:paraId="50E84207" w14:textId="77777777" w:rsidR="00000000" w:rsidRDefault="00EE5306">
      <w:pPr>
        <w:ind w:firstLine="540"/>
        <w:jc w:val="both"/>
        <w:divId w:val="601647513"/>
        <w:rPr>
          <w:rFonts w:eastAsia="Times New Roman"/>
        </w:rPr>
      </w:pPr>
      <w:r>
        <w:rPr>
          <w:rFonts w:eastAsia="Times New Roman"/>
          <w:color w:val="000000"/>
          <w:sz w:val="20"/>
          <w:szCs w:val="20"/>
        </w:rPr>
        <w:t>Unde</w:t>
      </w:r>
      <w:r>
        <w:rPr>
          <w:rFonts w:eastAsia="Times New Roman"/>
          <w:color w:val="000000"/>
          <w:sz w:val="20"/>
          <w:szCs w:val="20"/>
        </w:rPr>
        <w:t>r the supervision and with the participation of management, including our principal executive and principal financial officers, we conducted an evaluation of the effectiveness of our internal control over financial reporting as of the end of the fiscal yea</w:t>
      </w:r>
      <w:r>
        <w:rPr>
          <w:rFonts w:eastAsia="Times New Roman"/>
          <w:color w:val="000000"/>
          <w:sz w:val="20"/>
          <w:szCs w:val="20"/>
        </w:rPr>
        <w:t>r covered by this report based on the framework issued by the Committee of Sponsoring Organizations of the Treadway Commission in Internal Control-Integrated Framework (2013 Framework). Based on this evaluation, management concluded that the Company's inte</w:t>
      </w:r>
      <w:r>
        <w:rPr>
          <w:rFonts w:eastAsia="Times New Roman"/>
          <w:color w:val="000000"/>
          <w:sz w:val="20"/>
          <w:szCs w:val="20"/>
        </w:rPr>
        <w:t>rnal controls over financial reporting were effective at the reasonable assurance level as of the fiscal year-end covered by this Annual Report on Form 10-K.</w:t>
      </w:r>
    </w:p>
    <w:p w14:paraId="7939E3FA" w14:textId="77777777" w:rsidR="00000000" w:rsidRDefault="00EE5306">
      <w:pPr>
        <w:ind w:firstLine="540"/>
        <w:jc w:val="both"/>
        <w:divId w:val="971516050"/>
        <w:rPr>
          <w:rFonts w:eastAsia="Times New Roman"/>
        </w:rPr>
      </w:pPr>
      <w:r>
        <w:rPr>
          <w:rFonts w:eastAsia="Times New Roman"/>
          <w:color w:val="000000"/>
          <w:sz w:val="20"/>
          <w:szCs w:val="20"/>
        </w:rPr>
        <w:t>Ernst &amp; Young LLP, the Company's independent registered public accounting firm, has issued an atte</w:t>
      </w:r>
      <w:r>
        <w:rPr>
          <w:rFonts w:eastAsia="Times New Roman"/>
          <w:color w:val="000000"/>
          <w:sz w:val="20"/>
          <w:szCs w:val="20"/>
        </w:rPr>
        <w:t>station report on the Company's internal control over financial reporting as included elsewhere herein.</w:t>
      </w:r>
    </w:p>
    <w:p w14:paraId="3CEBDB11" w14:textId="77777777" w:rsidR="00000000" w:rsidRDefault="00EE5306">
      <w:pPr>
        <w:ind w:firstLine="360"/>
        <w:jc w:val="both"/>
        <w:divId w:val="2135633409"/>
        <w:rPr>
          <w:rFonts w:eastAsia="Times New Roman"/>
        </w:rPr>
      </w:pPr>
      <w:r>
        <w:rPr>
          <w:rFonts w:eastAsia="Times New Roman"/>
          <w:b/>
          <w:bCs/>
          <w:color w:val="000000"/>
          <w:sz w:val="20"/>
          <w:szCs w:val="20"/>
        </w:rPr>
        <w:t>(c) Changes in Internal Controls over Financial Reporting</w:t>
      </w:r>
    </w:p>
    <w:p w14:paraId="3F3FEEB9" w14:textId="77777777" w:rsidR="00000000" w:rsidRDefault="00EE5306">
      <w:pPr>
        <w:ind w:firstLine="540"/>
        <w:jc w:val="both"/>
        <w:divId w:val="1909265445"/>
        <w:rPr>
          <w:rFonts w:eastAsia="Times New Roman"/>
        </w:rPr>
      </w:pPr>
      <w:r>
        <w:rPr>
          <w:rFonts w:eastAsia="Times New Roman"/>
          <w:color w:val="000000"/>
          <w:sz w:val="20"/>
          <w:szCs w:val="20"/>
        </w:rPr>
        <w:t>There has been no change in our internal control over financial reporting during the fourth qu</w:t>
      </w:r>
      <w:r>
        <w:rPr>
          <w:rFonts w:eastAsia="Times New Roman"/>
          <w:color w:val="000000"/>
          <w:sz w:val="20"/>
          <w:szCs w:val="20"/>
        </w:rPr>
        <w:t xml:space="preserve">arter of Fiscal 2021 that has materially affected, or is reasonably likely to materially affect, the Company's internal control over financial reporting. </w:t>
      </w:r>
    </w:p>
    <w:p w14:paraId="12B5F6FE" w14:textId="77777777" w:rsidR="00000000" w:rsidRDefault="00EE5306">
      <w:pPr>
        <w:ind w:firstLine="540"/>
        <w:jc w:val="both"/>
        <w:divId w:val="1815951821"/>
        <w:rPr>
          <w:rFonts w:eastAsia="Times New Roman"/>
        </w:rPr>
      </w:pPr>
      <w:r>
        <w:rPr>
          <w:rFonts w:eastAsia="Times New Roman"/>
          <w:color w:val="000000"/>
          <w:sz w:val="20"/>
          <w:szCs w:val="20"/>
        </w:rPr>
        <w:t>Although there have been no material changes in the Company's internal control over financial reporti</w:t>
      </w:r>
      <w:r>
        <w:rPr>
          <w:rFonts w:eastAsia="Times New Roman"/>
          <w:color w:val="000000"/>
          <w:sz w:val="20"/>
          <w:szCs w:val="20"/>
        </w:rPr>
        <w:t xml:space="preserve">ng, we have experienced varying degrees of business disruptions related to the COVID-19 pandemic, including periods of closure of our stores, distribution centers, and corporate facilities, as described within Item 1 — </w:t>
      </w:r>
      <w:r>
        <w:rPr>
          <w:rFonts w:eastAsia="Times New Roman"/>
          <w:i/>
          <w:iCs/>
          <w:color w:val="000000"/>
          <w:sz w:val="20"/>
          <w:szCs w:val="20"/>
        </w:rPr>
        <w:t xml:space="preserve">"Business </w:t>
      </w:r>
      <w:r>
        <w:rPr>
          <w:rFonts w:eastAsia="Times New Roman"/>
          <w:color w:val="000000"/>
          <w:sz w:val="20"/>
          <w:szCs w:val="20"/>
        </w:rPr>
        <w:t xml:space="preserve">— </w:t>
      </w:r>
      <w:r>
        <w:rPr>
          <w:rFonts w:eastAsia="Times New Roman"/>
          <w:i/>
          <w:iCs/>
          <w:color w:val="000000"/>
          <w:sz w:val="20"/>
          <w:szCs w:val="20"/>
        </w:rPr>
        <w:t>Recent Developments,"</w:t>
      </w:r>
      <w:r>
        <w:rPr>
          <w:rFonts w:eastAsia="Times New Roman"/>
          <w:color w:val="000000"/>
          <w:sz w:val="20"/>
          <w:szCs w:val="20"/>
        </w:rPr>
        <w:t xml:space="preserve"> wit</w:t>
      </w:r>
      <w:r>
        <w:rPr>
          <w:rFonts w:eastAsia="Times New Roman"/>
          <w:color w:val="000000"/>
          <w:sz w:val="20"/>
          <w:szCs w:val="20"/>
        </w:rPr>
        <w:t xml:space="preserve">h a significant portion of our corporate employees working remotely throughout Fiscal 2021. Our Board of Directors has also approved a restructuring plan, as described within Item 1 — </w:t>
      </w:r>
      <w:r>
        <w:rPr>
          <w:rFonts w:eastAsia="Times New Roman"/>
          <w:i/>
          <w:iCs/>
          <w:color w:val="000000"/>
          <w:sz w:val="20"/>
          <w:szCs w:val="20"/>
        </w:rPr>
        <w:t xml:space="preserve">"Business </w:t>
      </w:r>
      <w:r>
        <w:rPr>
          <w:rFonts w:eastAsia="Times New Roman"/>
          <w:color w:val="000000"/>
          <w:sz w:val="20"/>
          <w:szCs w:val="20"/>
        </w:rPr>
        <w:t xml:space="preserve">— </w:t>
      </w:r>
      <w:r>
        <w:rPr>
          <w:rFonts w:eastAsia="Times New Roman"/>
          <w:i/>
          <w:iCs/>
          <w:color w:val="000000"/>
          <w:sz w:val="20"/>
          <w:szCs w:val="20"/>
        </w:rPr>
        <w:t>Recent Developments,"</w:t>
      </w:r>
      <w:r>
        <w:rPr>
          <w:rFonts w:eastAsia="Times New Roman"/>
          <w:color w:val="000000"/>
          <w:sz w:val="20"/>
          <w:szCs w:val="20"/>
        </w:rPr>
        <w:t xml:space="preserve"> which has resulted in a significant re</w:t>
      </w:r>
      <w:r>
        <w:rPr>
          <w:rFonts w:eastAsia="Times New Roman"/>
          <w:color w:val="000000"/>
          <w:sz w:val="20"/>
          <w:szCs w:val="20"/>
        </w:rPr>
        <w:t>duction to our global workforce during the second half of Fiscal 2021. Despite such cumulative actions, we have not experienced any material changes to our internal controls over financial reporting. We will continue to evaluate and monitor the impact of t</w:t>
      </w:r>
      <w:r>
        <w:rPr>
          <w:rFonts w:eastAsia="Times New Roman"/>
          <w:color w:val="000000"/>
          <w:sz w:val="20"/>
          <w:szCs w:val="20"/>
        </w:rPr>
        <w:t>he COVID-19 pandemic and our restructuring activities on our internal controls. See Item 1A — </w:t>
      </w:r>
      <w:r>
        <w:rPr>
          <w:rFonts w:eastAsia="Times New Roman"/>
          <w:i/>
          <w:iCs/>
          <w:color w:val="000000"/>
          <w:sz w:val="20"/>
          <w:szCs w:val="20"/>
        </w:rPr>
        <w:t xml:space="preserve">"Risk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FAC9A5A" w14:textId="77777777">
        <w:trPr>
          <w:divId w:val="1488979496"/>
          <w:jc w:val="center"/>
        </w:trPr>
        <w:tc>
          <w:tcPr>
            <w:tcW w:w="50" w:type="pct"/>
            <w:vAlign w:val="center"/>
            <w:hideMark/>
          </w:tcPr>
          <w:p w14:paraId="69D12232" w14:textId="77777777" w:rsidR="00000000" w:rsidRDefault="00EE5306">
            <w:pPr>
              <w:ind w:firstLine="540"/>
              <w:jc w:val="both"/>
              <w:rPr>
                <w:rFonts w:eastAsia="Times New Roman"/>
              </w:rPr>
            </w:pPr>
          </w:p>
        </w:tc>
        <w:tc>
          <w:tcPr>
            <w:tcW w:w="1699" w:type="pct"/>
            <w:vAlign w:val="center"/>
            <w:hideMark/>
          </w:tcPr>
          <w:p w14:paraId="1719D3A6" w14:textId="77777777" w:rsidR="00000000" w:rsidRDefault="00EE5306">
            <w:pPr>
              <w:spacing w:after="100"/>
              <w:rPr>
                <w:rFonts w:eastAsia="Times New Roman"/>
                <w:sz w:val="20"/>
                <w:szCs w:val="20"/>
              </w:rPr>
            </w:pPr>
          </w:p>
        </w:tc>
        <w:tc>
          <w:tcPr>
            <w:tcW w:w="5" w:type="pct"/>
            <w:vAlign w:val="center"/>
            <w:hideMark/>
          </w:tcPr>
          <w:p w14:paraId="54D947F8" w14:textId="77777777" w:rsidR="00000000" w:rsidRDefault="00EE5306">
            <w:pPr>
              <w:spacing w:after="100"/>
              <w:rPr>
                <w:rFonts w:eastAsia="Times New Roman"/>
                <w:sz w:val="20"/>
                <w:szCs w:val="20"/>
              </w:rPr>
            </w:pPr>
          </w:p>
        </w:tc>
        <w:tc>
          <w:tcPr>
            <w:tcW w:w="50" w:type="pct"/>
            <w:vAlign w:val="center"/>
            <w:hideMark/>
          </w:tcPr>
          <w:p w14:paraId="2EAAC591" w14:textId="77777777" w:rsidR="00000000" w:rsidRDefault="00EE5306">
            <w:pPr>
              <w:spacing w:after="100"/>
              <w:rPr>
                <w:rFonts w:eastAsia="Times New Roman"/>
                <w:sz w:val="20"/>
                <w:szCs w:val="20"/>
              </w:rPr>
            </w:pPr>
          </w:p>
        </w:tc>
        <w:tc>
          <w:tcPr>
            <w:tcW w:w="1436" w:type="pct"/>
            <w:vAlign w:val="center"/>
            <w:hideMark/>
          </w:tcPr>
          <w:p w14:paraId="686A28A9" w14:textId="77777777" w:rsidR="00000000" w:rsidRDefault="00EE5306">
            <w:pPr>
              <w:spacing w:after="100"/>
              <w:rPr>
                <w:rFonts w:eastAsia="Times New Roman"/>
                <w:sz w:val="20"/>
                <w:szCs w:val="20"/>
              </w:rPr>
            </w:pPr>
          </w:p>
        </w:tc>
        <w:tc>
          <w:tcPr>
            <w:tcW w:w="5" w:type="pct"/>
            <w:vAlign w:val="center"/>
            <w:hideMark/>
          </w:tcPr>
          <w:p w14:paraId="4BA6C531" w14:textId="77777777" w:rsidR="00000000" w:rsidRDefault="00EE5306">
            <w:pPr>
              <w:spacing w:after="100"/>
              <w:rPr>
                <w:rFonts w:eastAsia="Times New Roman"/>
                <w:sz w:val="20"/>
                <w:szCs w:val="20"/>
              </w:rPr>
            </w:pPr>
          </w:p>
        </w:tc>
        <w:tc>
          <w:tcPr>
            <w:tcW w:w="50" w:type="pct"/>
            <w:vAlign w:val="center"/>
            <w:hideMark/>
          </w:tcPr>
          <w:p w14:paraId="57E7D4EC" w14:textId="77777777" w:rsidR="00000000" w:rsidRDefault="00EE5306">
            <w:pPr>
              <w:spacing w:after="100"/>
              <w:rPr>
                <w:rFonts w:eastAsia="Times New Roman"/>
                <w:sz w:val="20"/>
                <w:szCs w:val="20"/>
              </w:rPr>
            </w:pPr>
          </w:p>
        </w:tc>
        <w:tc>
          <w:tcPr>
            <w:tcW w:w="1699" w:type="pct"/>
            <w:vAlign w:val="center"/>
            <w:hideMark/>
          </w:tcPr>
          <w:p w14:paraId="73E03FB1" w14:textId="77777777" w:rsidR="00000000" w:rsidRDefault="00EE5306">
            <w:pPr>
              <w:spacing w:after="100"/>
              <w:rPr>
                <w:rFonts w:eastAsia="Times New Roman"/>
                <w:sz w:val="20"/>
                <w:szCs w:val="20"/>
              </w:rPr>
            </w:pPr>
          </w:p>
        </w:tc>
        <w:tc>
          <w:tcPr>
            <w:tcW w:w="5" w:type="pct"/>
            <w:vAlign w:val="center"/>
            <w:hideMark/>
          </w:tcPr>
          <w:p w14:paraId="7CF860F5" w14:textId="77777777" w:rsidR="00000000" w:rsidRDefault="00EE5306">
            <w:pPr>
              <w:spacing w:after="100"/>
              <w:rPr>
                <w:rFonts w:eastAsia="Times New Roman"/>
                <w:sz w:val="20"/>
                <w:szCs w:val="20"/>
              </w:rPr>
            </w:pPr>
          </w:p>
        </w:tc>
      </w:tr>
      <w:tr w:rsidR="00000000" w14:paraId="3FE1B9AB" w14:textId="77777777">
        <w:trPr>
          <w:divId w:val="1488979496"/>
          <w:jc w:val="center"/>
        </w:trPr>
        <w:tc>
          <w:tcPr>
            <w:tcW w:w="0" w:type="auto"/>
            <w:gridSpan w:val="3"/>
            <w:tcMar>
              <w:top w:w="0" w:type="dxa"/>
              <w:left w:w="20" w:type="dxa"/>
              <w:bottom w:w="0" w:type="dxa"/>
              <w:right w:w="20" w:type="dxa"/>
            </w:tcMar>
            <w:vAlign w:val="center"/>
            <w:hideMark/>
          </w:tcPr>
          <w:p w14:paraId="7BAA5891"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114A5C4" w14:textId="77777777" w:rsidR="00000000" w:rsidRDefault="00EE5306">
            <w:pPr>
              <w:spacing w:after="100"/>
              <w:jc w:val="center"/>
              <w:rPr>
                <w:rFonts w:eastAsia="Times New Roman"/>
              </w:rPr>
            </w:pPr>
            <w:r>
              <w:rPr>
                <w:rFonts w:eastAsia="Times New Roman"/>
                <w:color w:val="000000"/>
                <w:sz w:val="20"/>
                <w:szCs w:val="20"/>
              </w:rPr>
              <w:t>76</w:t>
            </w:r>
          </w:p>
        </w:tc>
        <w:tc>
          <w:tcPr>
            <w:tcW w:w="0" w:type="auto"/>
            <w:gridSpan w:val="3"/>
            <w:tcMar>
              <w:top w:w="0" w:type="dxa"/>
              <w:left w:w="20" w:type="dxa"/>
              <w:bottom w:w="0" w:type="dxa"/>
              <w:right w:w="20" w:type="dxa"/>
            </w:tcMar>
            <w:vAlign w:val="center"/>
            <w:hideMark/>
          </w:tcPr>
          <w:p w14:paraId="20282A0B" w14:textId="77777777" w:rsidR="00000000" w:rsidRDefault="00EE5306">
            <w:pPr>
              <w:spacing w:after="100"/>
              <w:jc w:val="center"/>
              <w:rPr>
                <w:rFonts w:eastAsia="Times New Roman"/>
              </w:rPr>
            </w:pPr>
          </w:p>
        </w:tc>
      </w:tr>
    </w:tbl>
    <w:p w14:paraId="519CAE83" w14:textId="77777777" w:rsidR="00000000" w:rsidRDefault="00EE5306">
      <w:pPr>
        <w:rPr>
          <w:rFonts w:eastAsia="Times New Roman"/>
        </w:rPr>
      </w:pPr>
      <w:r>
        <w:rPr>
          <w:rFonts w:eastAsia="Times New Roman"/>
        </w:rPr>
        <w:pict w14:anchorId="2B4823C4">
          <v:rect id="_x0000_i1103" style="width:0;height:1.5pt" o:hralign="center" o:hrstd="t" o:hr="t" fillcolor="#a0a0a0" stroked="f"/>
        </w:pict>
      </w:r>
    </w:p>
    <w:p w14:paraId="02DFA5D2" w14:textId="77777777" w:rsidR="00000000" w:rsidRDefault="00EE5306">
      <w:pPr>
        <w:divId w:val="1189829105"/>
        <w:rPr>
          <w:rFonts w:eastAsia="Times New Roman"/>
        </w:rPr>
      </w:pPr>
    </w:p>
    <w:p w14:paraId="58E90EAD" w14:textId="77777777" w:rsidR="00000000" w:rsidRDefault="00EE5306">
      <w:pPr>
        <w:jc w:val="both"/>
        <w:divId w:val="1711598"/>
        <w:rPr>
          <w:rFonts w:eastAsia="Times New Roman"/>
        </w:rPr>
      </w:pPr>
      <w:r>
        <w:rPr>
          <w:rFonts w:eastAsia="Times New Roman"/>
          <w:i/>
          <w:iCs/>
          <w:color w:val="000000"/>
          <w:sz w:val="20"/>
          <w:szCs w:val="20"/>
        </w:rPr>
        <w:t>Factors </w:t>
      </w:r>
      <w:r>
        <w:rPr>
          <w:rFonts w:eastAsia="Times New Roman"/>
          <w:color w:val="000000"/>
          <w:sz w:val="20"/>
          <w:szCs w:val="20"/>
        </w:rPr>
        <w:t xml:space="preserve">— </w:t>
      </w:r>
      <w:r>
        <w:rPr>
          <w:rFonts w:eastAsia="Times New Roman"/>
          <w:i/>
          <w:iCs/>
          <w:color w:val="000000"/>
          <w:sz w:val="20"/>
          <w:szCs w:val="20"/>
        </w:rPr>
        <w:t>Risks Related to Macroeconomic Conditions — Infectious disease outbreaks, such as the COVID-19 pandemic, could have a material adverse effect on our business"</w:t>
      </w:r>
      <w:r>
        <w:rPr>
          <w:rFonts w:eastAsia="Times New Roman"/>
          <w:color w:val="000000"/>
          <w:sz w:val="20"/>
          <w:szCs w:val="20"/>
        </w:rPr>
        <w:t xml:space="preserve"> and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our Strategi</w:t>
      </w:r>
      <w:r>
        <w:rPr>
          <w:rFonts w:eastAsia="Times New Roman"/>
          <w:i/>
          <w:iCs/>
          <w:color w:val="000000"/>
          <w:sz w:val="20"/>
          <w:szCs w:val="20"/>
        </w:rPr>
        <w:t xml:space="preserve">c Initiatives and Restructuring Activities — We may not fully realize the expected cost savings and/or operating efficiencies from our restructuring plans" </w:t>
      </w:r>
      <w:r>
        <w:rPr>
          <w:rFonts w:eastAsia="Times New Roman"/>
          <w:color w:val="000000"/>
          <w:sz w:val="20"/>
          <w:szCs w:val="20"/>
        </w:rPr>
        <w:t xml:space="preserve">for additional discussion regarding risks to our business associated with the COVID-19 pandemic and </w:t>
      </w:r>
      <w:r>
        <w:rPr>
          <w:rFonts w:eastAsia="Times New Roman"/>
          <w:color w:val="000000"/>
          <w:sz w:val="20"/>
          <w:szCs w:val="20"/>
        </w:rPr>
        <w:t>our restructuring plans, respectively.</w:t>
      </w:r>
    </w:p>
    <w:p w14:paraId="7FE4F530" w14:textId="77777777" w:rsidR="00000000" w:rsidRDefault="00EE5306">
      <w:pPr>
        <w:ind w:hanging="900"/>
        <w:jc w:val="both"/>
        <w:divId w:val="1104303148"/>
        <w:rPr>
          <w:rFonts w:eastAsia="Times New Roman"/>
        </w:rPr>
      </w:pPr>
      <w:r>
        <w:rPr>
          <w:rFonts w:eastAsia="Times New Roman"/>
          <w:b/>
          <w:bCs/>
          <w:color w:val="000000"/>
          <w:sz w:val="20"/>
          <w:szCs w:val="20"/>
        </w:rPr>
        <w:t>Item 9B.</w:t>
      </w:r>
      <w:r>
        <w:rPr>
          <w:rFonts w:eastAsia="Times New Roman"/>
          <w:b/>
          <w:bCs/>
          <w:i/>
          <w:iCs/>
          <w:color w:val="000000"/>
          <w:sz w:val="20"/>
          <w:szCs w:val="20"/>
        </w:rPr>
        <w:t>    Other Information.</w:t>
      </w:r>
    </w:p>
    <w:p w14:paraId="0D9F2A53" w14:textId="77777777" w:rsidR="00000000" w:rsidRDefault="00EE5306">
      <w:pPr>
        <w:ind w:firstLine="540"/>
        <w:jc w:val="both"/>
        <w:divId w:val="965621522"/>
        <w:rPr>
          <w:rFonts w:eastAsia="Times New Roman"/>
        </w:rPr>
      </w:pPr>
      <w:r>
        <w:rPr>
          <w:rFonts w:eastAsia="Times New Roman"/>
          <w:color w:val="000000"/>
          <w:sz w:val="20"/>
          <w:szCs w:val="20"/>
        </w:rPr>
        <w:t>Not applicable.</w:t>
      </w:r>
    </w:p>
    <w:p w14:paraId="2E277D9B" w14:textId="77777777" w:rsidR="00000000" w:rsidRDefault="00EE5306">
      <w:pPr>
        <w:jc w:val="center"/>
        <w:divId w:val="1173840015"/>
        <w:rPr>
          <w:rFonts w:eastAsia="Times New Roman"/>
        </w:rPr>
      </w:pPr>
      <w:r>
        <w:rPr>
          <w:rFonts w:eastAsia="Times New Roman"/>
          <w:b/>
          <w:bCs/>
          <w:color w:val="000000"/>
          <w:sz w:val="20"/>
          <w:szCs w:val="20"/>
        </w:rPr>
        <w:t>PART III</w:t>
      </w:r>
    </w:p>
    <w:p w14:paraId="3C0A79C7" w14:textId="77777777" w:rsidR="00000000" w:rsidRDefault="00EE5306">
      <w:pPr>
        <w:ind w:hanging="900"/>
        <w:jc w:val="both"/>
        <w:divId w:val="1785463493"/>
        <w:rPr>
          <w:rFonts w:eastAsia="Times New Roman"/>
        </w:rPr>
      </w:pPr>
      <w:r>
        <w:rPr>
          <w:rFonts w:eastAsia="Times New Roman"/>
          <w:b/>
          <w:bCs/>
          <w:color w:val="000000"/>
          <w:sz w:val="20"/>
          <w:szCs w:val="20"/>
        </w:rPr>
        <w:t>Item 10.</w:t>
      </w:r>
      <w:r>
        <w:rPr>
          <w:rFonts w:eastAsia="Times New Roman"/>
          <w:b/>
          <w:bCs/>
          <w:i/>
          <w:iCs/>
          <w:color w:val="000000"/>
          <w:sz w:val="20"/>
          <w:szCs w:val="20"/>
        </w:rPr>
        <w:t>    Directors, Executive Officers and Corporate Governance.</w:t>
      </w:r>
    </w:p>
    <w:p w14:paraId="78EE924B" w14:textId="77777777" w:rsidR="00000000" w:rsidRDefault="00EE5306">
      <w:pPr>
        <w:ind w:firstLine="540"/>
        <w:jc w:val="both"/>
        <w:divId w:val="1133711401"/>
        <w:rPr>
          <w:rFonts w:eastAsia="Times New Roman"/>
        </w:rPr>
      </w:pPr>
      <w:r>
        <w:rPr>
          <w:rFonts w:eastAsia="Times New Roman"/>
          <w:color w:val="000000"/>
          <w:sz w:val="20"/>
          <w:szCs w:val="20"/>
        </w:rPr>
        <w:t>Information relating to our directors and corporate governance will be set forth in the Company's proxy statement for its 2021 annual meeting of stockholders to be filed within 120 days after March 27, 2021 (the "Proxy Statement") and is incorporated by re</w:t>
      </w:r>
      <w:r>
        <w:rPr>
          <w:rFonts w:eastAsia="Times New Roman"/>
          <w:color w:val="000000"/>
          <w:sz w:val="20"/>
          <w:szCs w:val="20"/>
        </w:rPr>
        <w:t>ference herein. Information relating to our executive officers is set forth in Item 1 of this Annual Report on Form 10-K under the caption "</w:t>
      </w:r>
      <w:r>
        <w:rPr>
          <w:rFonts w:eastAsia="Times New Roman"/>
          <w:i/>
          <w:iCs/>
          <w:color w:val="000000"/>
          <w:sz w:val="20"/>
          <w:szCs w:val="20"/>
        </w:rPr>
        <w:t>Information About Our Executive Officers</w:t>
      </w:r>
      <w:r>
        <w:rPr>
          <w:rFonts w:eastAsia="Times New Roman"/>
          <w:color w:val="000000"/>
          <w:sz w:val="20"/>
          <w:szCs w:val="20"/>
        </w:rPr>
        <w:t>."</w:t>
      </w:r>
    </w:p>
    <w:p w14:paraId="736F40A1" w14:textId="77777777" w:rsidR="00000000" w:rsidRDefault="00EE5306">
      <w:pPr>
        <w:ind w:firstLine="540"/>
        <w:jc w:val="both"/>
        <w:divId w:val="2085252590"/>
        <w:rPr>
          <w:rFonts w:eastAsia="Times New Roman"/>
        </w:rPr>
      </w:pPr>
      <w:r>
        <w:rPr>
          <w:rFonts w:eastAsia="Times New Roman"/>
          <w:color w:val="000000"/>
          <w:sz w:val="20"/>
          <w:szCs w:val="20"/>
        </w:rPr>
        <w:t>We have a Code of Ethics for Principal Executive Officers and Senior Fina</w:t>
      </w:r>
      <w:r>
        <w:rPr>
          <w:rFonts w:eastAsia="Times New Roman"/>
          <w:color w:val="000000"/>
          <w:sz w:val="20"/>
          <w:szCs w:val="20"/>
        </w:rPr>
        <w:t>ncial Officers that covers the Company's principal executive officer, principal operating officer, principal financial officer, principal accounting officer, controller, and any person performing similar functions, as applicable. We also have a Code of Bus</w:t>
      </w:r>
      <w:r>
        <w:rPr>
          <w:rFonts w:eastAsia="Times New Roman"/>
          <w:color w:val="000000"/>
          <w:sz w:val="20"/>
          <w:szCs w:val="20"/>
        </w:rPr>
        <w:t>iness Conduct and Ethics that covers the Company's directors, officers, and employees. You can find our Code of Ethics for Principal Executive Officers and Senior Financial Officers and our Code of Business Conduct and Ethics (collectively, the "Codes") on</w:t>
      </w:r>
      <w:r>
        <w:rPr>
          <w:rFonts w:eastAsia="Times New Roman"/>
          <w:color w:val="000000"/>
          <w:sz w:val="20"/>
          <w:szCs w:val="20"/>
        </w:rPr>
        <w:t xml:space="preserve"> our website, http://investor.ralphlauren.com. We will post any amendments to the Codes and any waivers that are required to be disclosed by the rules of either the SEC or the NYSE on our website.</w:t>
      </w:r>
    </w:p>
    <w:p w14:paraId="0E0F4439" w14:textId="77777777" w:rsidR="00000000" w:rsidRDefault="00EE5306">
      <w:pPr>
        <w:ind w:hanging="900"/>
        <w:divId w:val="1770200480"/>
        <w:rPr>
          <w:rFonts w:eastAsia="Times New Roman"/>
        </w:rPr>
      </w:pPr>
      <w:r>
        <w:rPr>
          <w:rFonts w:eastAsia="Times New Roman"/>
          <w:b/>
          <w:bCs/>
          <w:color w:val="000000"/>
          <w:sz w:val="20"/>
          <w:szCs w:val="20"/>
        </w:rPr>
        <w:t>Item 11.</w:t>
      </w:r>
      <w:r>
        <w:rPr>
          <w:rFonts w:eastAsia="Times New Roman"/>
          <w:b/>
          <w:bCs/>
          <w:i/>
          <w:iCs/>
          <w:color w:val="000000"/>
          <w:sz w:val="20"/>
          <w:szCs w:val="20"/>
        </w:rPr>
        <w:t>    Executive Compensation.</w:t>
      </w:r>
    </w:p>
    <w:p w14:paraId="7AB8E930" w14:textId="77777777" w:rsidR="00000000" w:rsidRDefault="00EE5306">
      <w:pPr>
        <w:ind w:firstLine="540"/>
        <w:jc w:val="both"/>
        <w:divId w:val="352878060"/>
        <w:rPr>
          <w:rFonts w:eastAsia="Times New Roman"/>
        </w:rPr>
      </w:pPr>
      <w:r>
        <w:rPr>
          <w:rFonts w:eastAsia="Times New Roman"/>
          <w:color w:val="000000"/>
          <w:sz w:val="20"/>
          <w:szCs w:val="20"/>
        </w:rPr>
        <w:t>Information relating to</w:t>
      </w:r>
      <w:r>
        <w:rPr>
          <w:rFonts w:eastAsia="Times New Roman"/>
          <w:color w:val="000000"/>
          <w:sz w:val="20"/>
          <w:szCs w:val="20"/>
        </w:rPr>
        <w:t xml:space="preserve"> executive and director compensation will be set forth in the Proxy Statement and such information is incorporated by reference herein.</w:t>
      </w:r>
    </w:p>
    <w:p w14:paraId="22D6D644" w14:textId="77777777" w:rsidR="00000000" w:rsidRDefault="00EE5306">
      <w:pPr>
        <w:ind w:hanging="900"/>
        <w:jc w:val="both"/>
        <w:divId w:val="52700048"/>
        <w:rPr>
          <w:rFonts w:eastAsia="Times New Roman"/>
        </w:rPr>
      </w:pPr>
      <w:r>
        <w:rPr>
          <w:rFonts w:eastAsia="Times New Roman"/>
          <w:b/>
          <w:bCs/>
          <w:color w:val="000000"/>
          <w:sz w:val="20"/>
          <w:szCs w:val="20"/>
        </w:rPr>
        <w:t>Item 12.    </w:t>
      </w:r>
      <w:r>
        <w:rPr>
          <w:rFonts w:eastAsia="Times New Roman"/>
          <w:b/>
          <w:bCs/>
          <w:i/>
          <w:iCs/>
          <w:color w:val="000000"/>
          <w:sz w:val="20"/>
          <w:szCs w:val="20"/>
        </w:rPr>
        <w:t>Security Ownership of Certain Beneficial Owners and Management and Related Stockholder Matters.</w:t>
      </w:r>
    </w:p>
    <w:p w14:paraId="26E6C40C" w14:textId="77777777" w:rsidR="00000000" w:rsidRDefault="00EE5306">
      <w:pPr>
        <w:ind w:firstLine="360"/>
        <w:jc w:val="both"/>
        <w:divId w:val="1656253366"/>
        <w:rPr>
          <w:rFonts w:eastAsia="Times New Roman"/>
        </w:rPr>
      </w:pPr>
      <w:r>
        <w:rPr>
          <w:rFonts w:eastAsia="Times New Roman"/>
          <w:b/>
          <w:bCs/>
          <w:color w:val="000000"/>
          <w:sz w:val="20"/>
          <w:szCs w:val="20"/>
        </w:rPr>
        <w:t>Equity Compe</w:t>
      </w:r>
      <w:r>
        <w:rPr>
          <w:rFonts w:eastAsia="Times New Roman"/>
          <w:b/>
          <w:bCs/>
          <w:color w:val="000000"/>
          <w:sz w:val="20"/>
          <w:szCs w:val="20"/>
        </w:rPr>
        <w:t>nsation Plan Information</w:t>
      </w:r>
    </w:p>
    <w:p w14:paraId="7DFBD5ED" w14:textId="77777777" w:rsidR="00000000" w:rsidRDefault="00EE5306">
      <w:pPr>
        <w:ind w:firstLine="540"/>
        <w:jc w:val="both"/>
        <w:divId w:val="1121536137"/>
        <w:rPr>
          <w:rFonts w:eastAsia="Times New Roman"/>
        </w:rPr>
      </w:pPr>
      <w:r>
        <w:rPr>
          <w:rFonts w:eastAsia="Times New Roman"/>
          <w:color w:val="000000"/>
          <w:sz w:val="20"/>
          <w:szCs w:val="20"/>
        </w:rPr>
        <w:t>The following table sets forth information as of March 27, 2021 regarding compensation plans under which the Company's equity securities are authorized for issuance:</w:t>
      </w:r>
    </w:p>
    <w:tbl>
      <w:tblPr>
        <w:tblW w:w="4773" w:type="pct"/>
        <w:tblCellMar>
          <w:top w:w="15" w:type="dxa"/>
          <w:left w:w="15" w:type="dxa"/>
          <w:bottom w:w="15" w:type="dxa"/>
          <w:right w:w="15" w:type="dxa"/>
        </w:tblCellMar>
        <w:tblLook w:val="04A0" w:firstRow="1" w:lastRow="0" w:firstColumn="1" w:lastColumn="0" w:noHBand="0" w:noVBand="1"/>
      </w:tblPr>
      <w:tblGrid>
        <w:gridCol w:w="38"/>
        <w:gridCol w:w="2126"/>
        <w:gridCol w:w="36"/>
        <w:gridCol w:w="36"/>
        <w:gridCol w:w="36"/>
        <w:gridCol w:w="36"/>
        <w:gridCol w:w="94"/>
        <w:gridCol w:w="1226"/>
        <w:gridCol w:w="36"/>
        <w:gridCol w:w="58"/>
        <w:gridCol w:w="141"/>
        <w:gridCol w:w="36"/>
        <w:gridCol w:w="121"/>
        <w:gridCol w:w="1601"/>
        <w:gridCol w:w="36"/>
        <w:gridCol w:w="37"/>
        <w:gridCol w:w="189"/>
        <w:gridCol w:w="36"/>
        <w:gridCol w:w="89"/>
        <w:gridCol w:w="1623"/>
        <w:gridCol w:w="36"/>
        <w:gridCol w:w="37"/>
        <w:gridCol w:w="189"/>
        <w:gridCol w:w="36"/>
      </w:tblGrid>
      <w:tr w:rsidR="00000000" w14:paraId="15AD035E" w14:textId="77777777">
        <w:trPr>
          <w:divId w:val="2106917572"/>
        </w:trPr>
        <w:tc>
          <w:tcPr>
            <w:tcW w:w="50" w:type="pct"/>
            <w:vAlign w:val="center"/>
            <w:hideMark/>
          </w:tcPr>
          <w:p w14:paraId="414ACF92" w14:textId="77777777" w:rsidR="00000000" w:rsidRDefault="00EE5306">
            <w:pPr>
              <w:ind w:firstLine="540"/>
              <w:jc w:val="both"/>
              <w:rPr>
                <w:rFonts w:eastAsia="Times New Roman"/>
              </w:rPr>
            </w:pPr>
          </w:p>
        </w:tc>
        <w:tc>
          <w:tcPr>
            <w:tcW w:w="1836" w:type="pct"/>
            <w:vAlign w:val="center"/>
            <w:hideMark/>
          </w:tcPr>
          <w:p w14:paraId="6E09F239" w14:textId="77777777" w:rsidR="00000000" w:rsidRDefault="00EE5306">
            <w:pPr>
              <w:spacing w:after="100"/>
              <w:rPr>
                <w:rFonts w:eastAsia="Times New Roman"/>
                <w:sz w:val="20"/>
                <w:szCs w:val="20"/>
              </w:rPr>
            </w:pPr>
          </w:p>
        </w:tc>
        <w:tc>
          <w:tcPr>
            <w:tcW w:w="5" w:type="pct"/>
            <w:vAlign w:val="center"/>
            <w:hideMark/>
          </w:tcPr>
          <w:p w14:paraId="0E9E5AEA" w14:textId="77777777" w:rsidR="00000000" w:rsidRDefault="00EE5306">
            <w:pPr>
              <w:spacing w:after="100"/>
              <w:rPr>
                <w:rFonts w:eastAsia="Times New Roman"/>
                <w:sz w:val="20"/>
                <w:szCs w:val="20"/>
              </w:rPr>
            </w:pPr>
          </w:p>
        </w:tc>
        <w:tc>
          <w:tcPr>
            <w:tcW w:w="5" w:type="pct"/>
            <w:vAlign w:val="center"/>
            <w:hideMark/>
          </w:tcPr>
          <w:p w14:paraId="6C126D31" w14:textId="77777777" w:rsidR="00000000" w:rsidRDefault="00EE5306">
            <w:pPr>
              <w:spacing w:after="100"/>
              <w:rPr>
                <w:rFonts w:eastAsia="Times New Roman"/>
                <w:sz w:val="20"/>
                <w:szCs w:val="20"/>
              </w:rPr>
            </w:pPr>
          </w:p>
        </w:tc>
        <w:tc>
          <w:tcPr>
            <w:tcW w:w="28" w:type="pct"/>
            <w:vAlign w:val="center"/>
            <w:hideMark/>
          </w:tcPr>
          <w:p w14:paraId="19F3D4C2" w14:textId="77777777" w:rsidR="00000000" w:rsidRDefault="00EE5306">
            <w:pPr>
              <w:spacing w:after="100"/>
              <w:rPr>
                <w:rFonts w:eastAsia="Times New Roman"/>
                <w:sz w:val="20"/>
                <w:szCs w:val="20"/>
              </w:rPr>
            </w:pPr>
          </w:p>
        </w:tc>
        <w:tc>
          <w:tcPr>
            <w:tcW w:w="5" w:type="pct"/>
            <w:vAlign w:val="center"/>
            <w:hideMark/>
          </w:tcPr>
          <w:p w14:paraId="3A35D5F1" w14:textId="77777777" w:rsidR="00000000" w:rsidRDefault="00EE5306">
            <w:pPr>
              <w:spacing w:after="100"/>
              <w:rPr>
                <w:rFonts w:eastAsia="Times New Roman"/>
                <w:sz w:val="20"/>
                <w:szCs w:val="20"/>
              </w:rPr>
            </w:pPr>
          </w:p>
        </w:tc>
        <w:tc>
          <w:tcPr>
            <w:tcW w:w="50" w:type="pct"/>
            <w:vAlign w:val="center"/>
            <w:hideMark/>
          </w:tcPr>
          <w:p w14:paraId="3E5D529F" w14:textId="77777777" w:rsidR="00000000" w:rsidRDefault="00EE5306">
            <w:pPr>
              <w:spacing w:after="100"/>
              <w:rPr>
                <w:rFonts w:eastAsia="Times New Roman"/>
                <w:sz w:val="20"/>
                <w:szCs w:val="20"/>
              </w:rPr>
            </w:pPr>
          </w:p>
        </w:tc>
        <w:tc>
          <w:tcPr>
            <w:tcW w:w="657" w:type="pct"/>
            <w:vAlign w:val="center"/>
            <w:hideMark/>
          </w:tcPr>
          <w:p w14:paraId="1D376FF6" w14:textId="77777777" w:rsidR="00000000" w:rsidRDefault="00EE5306">
            <w:pPr>
              <w:spacing w:after="100"/>
              <w:rPr>
                <w:rFonts w:eastAsia="Times New Roman"/>
                <w:sz w:val="20"/>
                <w:szCs w:val="20"/>
              </w:rPr>
            </w:pPr>
          </w:p>
        </w:tc>
        <w:tc>
          <w:tcPr>
            <w:tcW w:w="5" w:type="pct"/>
            <w:vAlign w:val="center"/>
            <w:hideMark/>
          </w:tcPr>
          <w:p w14:paraId="72CEEDCE" w14:textId="77777777" w:rsidR="00000000" w:rsidRDefault="00EE5306">
            <w:pPr>
              <w:spacing w:after="100"/>
              <w:rPr>
                <w:rFonts w:eastAsia="Times New Roman"/>
                <w:sz w:val="20"/>
                <w:szCs w:val="20"/>
              </w:rPr>
            </w:pPr>
          </w:p>
        </w:tc>
        <w:tc>
          <w:tcPr>
            <w:tcW w:w="50" w:type="pct"/>
            <w:vAlign w:val="center"/>
            <w:hideMark/>
          </w:tcPr>
          <w:p w14:paraId="0785F5F2" w14:textId="77777777" w:rsidR="00000000" w:rsidRDefault="00EE5306">
            <w:pPr>
              <w:spacing w:after="100"/>
              <w:rPr>
                <w:rFonts w:eastAsia="Times New Roman"/>
                <w:sz w:val="20"/>
                <w:szCs w:val="20"/>
              </w:rPr>
            </w:pPr>
          </w:p>
        </w:tc>
        <w:tc>
          <w:tcPr>
            <w:tcW w:w="121" w:type="pct"/>
            <w:vAlign w:val="center"/>
            <w:hideMark/>
          </w:tcPr>
          <w:p w14:paraId="3938ED00" w14:textId="77777777" w:rsidR="00000000" w:rsidRDefault="00EE5306">
            <w:pPr>
              <w:spacing w:after="100"/>
              <w:rPr>
                <w:rFonts w:eastAsia="Times New Roman"/>
                <w:sz w:val="20"/>
                <w:szCs w:val="20"/>
              </w:rPr>
            </w:pPr>
          </w:p>
        </w:tc>
        <w:tc>
          <w:tcPr>
            <w:tcW w:w="5" w:type="pct"/>
            <w:vAlign w:val="center"/>
            <w:hideMark/>
          </w:tcPr>
          <w:p w14:paraId="57E8F9A8" w14:textId="77777777" w:rsidR="00000000" w:rsidRDefault="00EE5306">
            <w:pPr>
              <w:spacing w:after="100"/>
              <w:rPr>
                <w:rFonts w:eastAsia="Times New Roman"/>
                <w:sz w:val="20"/>
                <w:szCs w:val="20"/>
              </w:rPr>
            </w:pPr>
          </w:p>
        </w:tc>
        <w:tc>
          <w:tcPr>
            <w:tcW w:w="50" w:type="pct"/>
            <w:vAlign w:val="center"/>
            <w:hideMark/>
          </w:tcPr>
          <w:p w14:paraId="1FBE8803" w14:textId="77777777" w:rsidR="00000000" w:rsidRDefault="00EE5306">
            <w:pPr>
              <w:spacing w:after="100"/>
              <w:rPr>
                <w:rFonts w:eastAsia="Times New Roman"/>
                <w:sz w:val="20"/>
                <w:szCs w:val="20"/>
              </w:rPr>
            </w:pPr>
          </w:p>
        </w:tc>
        <w:tc>
          <w:tcPr>
            <w:tcW w:w="863" w:type="pct"/>
            <w:vAlign w:val="center"/>
            <w:hideMark/>
          </w:tcPr>
          <w:p w14:paraId="6B7496BB" w14:textId="77777777" w:rsidR="00000000" w:rsidRDefault="00EE5306">
            <w:pPr>
              <w:spacing w:after="100"/>
              <w:rPr>
                <w:rFonts w:eastAsia="Times New Roman"/>
                <w:sz w:val="20"/>
                <w:szCs w:val="20"/>
              </w:rPr>
            </w:pPr>
          </w:p>
        </w:tc>
        <w:tc>
          <w:tcPr>
            <w:tcW w:w="5" w:type="pct"/>
            <w:vAlign w:val="center"/>
            <w:hideMark/>
          </w:tcPr>
          <w:p w14:paraId="72C77440" w14:textId="77777777" w:rsidR="00000000" w:rsidRDefault="00EE5306">
            <w:pPr>
              <w:spacing w:after="100"/>
              <w:rPr>
                <w:rFonts w:eastAsia="Times New Roman"/>
                <w:sz w:val="20"/>
                <w:szCs w:val="20"/>
              </w:rPr>
            </w:pPr>
          </w:p>
        </w:tc>
        <w:tc>
          <w:tcPr>
            <w:tcW w:w="5" w:type="pct"/>
            <w:vAlign w:val="center"/>
            <w:hideMark/>
          </w:tcPr>
          <w:p w14:paraId="68C39FE0" w14:textId="77777777" w:rsidR="00000000" w:rsidRDefault="00EE5306">
            <w:pPr>
              <w:spacing w:after="100"/>
              <w:rPr>
                <w:rFonts w:eastAsia="Times New Roman"/>
                <w:sz w:val="20"/>
                <w:szCs w:val="20"/>
              </w:rPr>
            </w:pPr>
          </w:p>
        </w:tc>
        <w:tc>
          <w:tcPr>
            <w:tcW w:w="135" w:type="pct"/>
            <w:vAlign w:val="center"/>
            <w:hideMark/>
          </w:tcPr>
          <w:p w14:paraId="33D9527B" w14:textId="77777777" w:rsidR="00000000" w:rsidRDefault="00EE5306">
            <w:pPr>
              <w:spacing w:after="100"/>
              <w:rPr>
                <w:rFonts w:eastAsia="Times New Roman"/>
                <w:sz w:val="20"/>
                <w:szCs w:val="20"/>
              </w:rPr>
            </w:pPr>
          </w:p>
        </w:tc>
        <w:tc>
          <w:tcPr>
            <w:tcW w:w="5" w:type="pct"/>
            <w:vAlign w:val="center"/>
            <w:hideMark/>
          </w:tcPr>
          <w:p w14:paraId="333E070F" w14:textId="77777777" w:rsidR="00000000" w:rsidRDefault="00EE5306">
            <w:pPr>
              <w:spacing w:after="100"/>
              <w:rPr>
                <w:rFonts w:eastAsia="Times New Roman"/>
                <w:sz w:val="20"/>
                <w:szCs w:val="20"/>
              </w:rPr>
            </w:pPr>
          </w:p>
        </w:tc>
        <w:tc>
          <w:tcPr>
            <w:tcW w:w="50" w:type="pct"/>
            <w:vAlign w:val="center"/>
            <w:hideMark/>
          </w:tcPr>
          <w:p w14:paraId="6DA1A423" w14:textId="77777777" w:rsidR="00000000" w:rsidRDefault="00EE5306">
            <w:pPr>
              <w:spacing w:after="100"/>
              <w:rPr>
                <w:rFonts w:eastAsia="Times New Roman"/>
                <w:sz w:val="20"/>
                <w:szCs w:val="20"/>
              </w:rPr>
            </w:pPr>
          </w:p>
        </w:tc>
        <w:tc>
          <w:tcPr>
            <w:tcW w:w="917" w:type="pct"/>
            <w:vAlign w:val="center"/>
            <w:hideMark/>
          </w:tcPr>
          <w:p w14:paraId="6D22BCD0" w14:textId="77777777" w:rsidR="00000000" w:rsidRDefault="00EE5306">
            <w:pPr>
              <w:spacing w:after="100"/>
              <w:rPr>
                <w:rFonts w:eastAsia="Times New Roman"/>
                <w:sz w:val="20"/>
                <w:szCs w:val="20"/>
              </w:rPr>
            </w:pPr>
          </w:p>
        </w:tc>
        <w:tc>
          <w:tcPr>
            <w:tcW w:w="5" w:type="pct"/>
            <w:vAlign w:val="center"/>
            <w:hideMark/>
          </w:tcPr>
          <w:p w14:paraId="68B25931" w14:textId="77777777" w:rsidR="00000000" w:rsidRDefault="00EE5306">
            <w:pPr>
              <w:spacing w:after="100"/>
              <w:rPr>
                <w:rFonts w:eastAsia="Times New Roman"/>
                <w:sz w:val="20"/>
                <w:szCs w:val="20"/>
              </w:rPr>
            </w:pPr>
          </w:p>
        </w:tc>
        <w:tc>
          <w:tcPr>
            <w:tcW w:w="5" w:type="pct"/>
            <w:vAlign w:val="center"/>
            <w:hideMark/>
          </w:tcPr>
          <w:p w14:paraId="1D14A0B8" w14:textId="77777777" w:rsidR="00000000" w:rsidRDefault="00EE5306">
            <w:pPr>
              <w:spacing w:after="100"/>
              <w:rPr>
                <w:rFonts w:eastAsia="Times New Roman"/>
                <w:sz w:val="20"/>
                <w:szCs w:val="20"/>
              </w:rPr>
            </w:pPr>
          </w:p>
        </w:tc>
        <w:tc>
          <w:tcPr>
            <w:tcW w:w="135" w:type="pct"/>
            <w:vAlign w:val="center"/>
            <w:hideMark/>
          </w:tcPr>
          <w:p w14:paraId="3B66663F" w14:textId="77777777" w:rsidR="00000000" w:rsidRDefault="00EE5306">
            <w:pPr>
              <w:spacing w:after="100"/>
              <w:rPr>
                <w:rFonts w:eastAsia="Times New Roman"/>
                <w:sz w:val="20"/>
                <w:szCs w:val="20"/>
              </w:rPr>
            </w:pPr>
          </w:p>
        </w:tc>
        <w:tc>
          <w:tcPr>
            <w:tcW w:w="5" w:type="pct"/>
            <w:vAlign w:val="center"/>
            <w:hideMark/>
          </w:tcPr>
          <w:p w14:paraId="626D4997" w14:textId="77777777" w:rsidR="00000000" w:rsidRDefault="00EE5306">
            <w:pPr>
              <w:spacing w:after="100"/>
              <w:rPr>
                <w:rFonts w:eastAsia="Times New Roman"/>
                <w:sz w:val="20"/>
                <w:szCs w:val="20"/>
              </w:rPr>
            </w:pPr>
          </w:p>
        </w:tc>
      </w:tr>
      <w:tr w:rsidR="00000000" w14:paraId="050744CC" w14:textId="77777777">
        <w:trPr>
          <w:divId w:val="2106917572"/>
        </w:trPr>
        <w:tc>
          <w:tcPr>
            <w:tcW w:w="0" w:type="auto"/>
            <w:gridSpan w:val="3"/>
            <w:tcMar>
              <w:top w:w="0" w:type="dxa"/>
              <w:left w:w="20" w:type="dxa"/>
              <w:bottom w:w="0" w:type="dxa"/>
              <w:right w:w="20" w:type="dxa"/>
            </w:tcMar>
            <w:vAlign w:val="center"/>
            <w:hideMark/>
          </w:tcPr>
          <w:p w14:paraId="2966FB00"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B7FE4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A2A404" w14:textId="77777777" w:rsidR="00000000" w:rsidRDefault="00EE5306">
            <w:pPr>
              <w:spacing w:after="100"/>
              <w:jc w:val="center"/>
              <w:rPr>
                <w:rFonts w:eastAsia="Times New Roman"/>
              </w:rPr>
            </w:pPr>
            <w:r>
              <w:rPr>
                <w:rFonts w:eastAsia="Times New Roman"/>
                <w:b/>
                <w:bCs/>
                <w:color w:val="000000"/>
                <w:sz w:val="16"/>
                <w:szCs w:val="16"/>
              </w:rPr>
              <w:t>(a)</w:t>
            </w:r>
          </w:p>
        </w:tc>
        <w:tc>
          <w:tcPr>
            <w:tcW w:w="0" w:type="auto"/>
            <w:gridSpan w:val="3"/>
            <w:tcMar>
              <w:top w:w="0" w:type="dxa"/>
              <w:left w:w="20" w:type="dxa"/>
              <w:bottom w:w="0" w:type="dxa"/>
              <w:right w:w="20" w:type="dxa"/>
            </w:tcMar>
            <w:vAlign w:val="center"/>
            <w:hideMark/>
          </w:tcPr>
          <w:p w14:paraId="317AE62D"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2DD1314" w14:textId="77777777" w:rsidR="00000000" w:rsidRDefault="00EE5306">
            <w:pPr>
              <w:spacing w:after="100"/>
              <w:jc w:val="center"/>
              <w:rPr>
                <w:rFonts w:eastAsia="Times New Roman"/>
              </w:rPr>
            </w:pPr>
            <w:r>
              <w:rPr>
                <w:rFonts w:eastAsia="Times New Roman"/>
                <w:b/>
                <w:bCs/>
                <w:color w:val="000000"/>
                <w:sz w:val="16"/>
                <w:szCs w:val="16"/>
              </w:rPr>
              <w:t>(b)</w:t>
            </w:r>
          </w:p>
        </w:tc>
        <w:tc>
          <w:tcPr>
            <w:tcW w:w="0" w:type="auto"/>
            <w:gridSpan w:val="3"/>
            <w:tcMar>
              <w:top w:w="0" w:type="dxa"/>
              <w:left w:w="20" w:type="dxa"/>
              <w:bottom w:w="0" w:type="dxa"/>
              <w:right w:w="20" w:type="dxa"/>
            </w:tcMar>
            <w:vAlign w:val="center"/>
            <w:hideMark/>
          </w:tcPr>
          <w:p w14:paraId="0631D217"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557E71" w14:textId="77777777" w:rsidR="00000000" w:rsidRDefault="00EE5306">
            <w:pPr>
              <w:spacing w:after="100"/>
              <w:jc w:val="center"/>
              <w:rPr>
                <w:rFonts w:eastAsia="Times New Roman"/>
              </w:rPr>
            </w:pPr>
            <w:r>
              <w:rPr>
                <w:rFonts w:eastAsia="Times New Roman"/>
                <w:b/>
                <w:bCs/>
                <w:color w:val="000000"/>
                <w:sz w:val="16"/>
                <w:szCs w:val="16"/>
              </w:rPr>
              <w:t>(c)</w:t>
            </w:r>
          </w:p>
        </w:tc>
        <w:tc>
          <w:tcPr>
            <w:tcW w:w="0" w:type="auto"/>
            <w:gridSpan w:val="3"/>
            <w:tcMar>
              <w:top w:w="0" w:type="dxa"/>
              <w:left w:w="20" w:type="dxa"/>
              <w:bottom w:w="0" w:type="dxa"/>
              <w:right w:w="20" w:type="dxa"/>
            </w:tcMar>
            <w:vAlign w:val="center"/>
            <w:hideMark/>
          </w:tcPr>
          <w:p w14:paraId="2AE096D5" w14:textId="77777777" w:rsidR="00000000" w:rsidRDefault="00EE5306">
            <w:pPr>
              <w:spacing w:after="100"/>
              <w:jc w:val="center"/>
              <w:rPr>
                <w:rFonts w:eastAsia="Times New Roman"/>
              </w:rPr>
            </w:pPr>
          </w:p>
        </w:tc>
      </w:tr>
      <w:tr w:rsidR="00000000" w14:paraId="0243C96E" w14:textId="77777777">
        <w:trPr>
          <w:divId w:val="2106917572"/>
        </w:trPr>
        <w:tc>
          <w:tcPr>
            <w:tcW w:w="0" w:type="auto"/>
            <w:gridSpan w:val="3"/>
            <w:tcMar>
              <w:top w:w="30" w:type="dxa"/>
              <w:left w:w="20" w:type="dxa"/>
              <w:bottom w:w="30" w:type="dxa"/>
              <w:right w:w="20" w:type="dxa"/>
            </w:tcMar>
            <w:vAlign w:val="bottom"/>
            <w:hideMark/>
          </w:tcPr>
          <w:p w14:paraId="02E6EA4E" w14:textId="77777777" w:rsidR="00000000" w:rsidRDefault="00EE5306">
            <w:pPr>
              <w:spacing w:after="100"/>
              <w:rPr>
                <w:rFonts w:eastAsia="Times New Roman"/>
              </w:rPr>
            </w:pPr>
            <w:r>
              <w:rPr>
                <w:rFonts w:eastAsia="Times New Roman"/>
                <w:b/>
                <w:bCs/>
                <w:color w:val="000000"/>
                <w:sz w:val="16"/>
                <w:szCs w:val="16"/>
              </w:rPr>
              <w:t>Plan Category</w:t>
            </w:r>
          </w:p>
        </w:tc>
        <w:tc>
          <w:tcPr>
            <w:tcW w:w="0" w:type="auto"/>
            <w:gridSpan w:val="3"/>
            <w:tcMar>
              <w:top w:w="0" w:type="dxa"/>
              <w:left w:w="20" w:type="dxa"/>
              <w:bottom w:w="0" w:type="dxa"/>
              <w:right w:w="20" w:type="dxa"/>
            </w:tcMar>
            <w:vAlign w:val="center"/>
            <w:hideMark/>
          </w:tcPr>
          <w:p w14:paraId="6FB75B8B"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3FDFF4" w14:textId="77777777" w:rsidR="00000000" w:rsidRDefault="00EE5306">
            <w:pPr>
              <w:spacing w:after="100"/>
              <w:jc w:val="center"/>
              <w:rPr>
                <w:rFonts w:eastAsia="Times New Roman"/>
              </w:rPr>
            </w:pPr>
            <w:r>
              <w:rPr>
                <w:rFonts w:eastAsia="Times New Roman"/>
                <w:b/>
                <w:bCs/>
                <w:color w:val="000000"/>
                <w:sz w:val="16"/>
                <w:szCs w:val="16"/>
              </w:rPr>
              <w:t>Numbers of</w:t>
            </w:r>
            <w:r>
              <w:rPr>
                <w:rFonts w:eastAsia="Times New Roman"/>
                <w:b/>
                <w:bCs/>
                <w:color w:val="000000"/>
                <w:sz w:val="16"/>
                <w:szCs w:val="16"/>
              </w:rPr>
              <w:br/>
              <w:t>Securities to be</w:t>
            </w:r>
            <w:r>
              <w:rPr>
                <w:rFonts w:eastAsia="Times New Roman"/>
                <w:b/>
                <w:bCs/>
                <w:color w:val="000000"/>
                <w:sz w:val="16"/>
                <w:szCs w:val="16"/>
              </w:rPr>
              <w:br/>
              <w:t>Issued upon</w:t>
            </w:r>
            <w:r>
              <w:rPr>
                <w:rFonts w:eastAsia="Times New Roman"/>
                <w:b/>
                <w:bCs/>
                <w:color w:val="000000"/>
                <w:sz w:val="16"/>
                <w:szCs w:val="16"/>
              </w:rPr>
              <w:br/>
              <w:t>Exercise of</w:t>
            </w:r>
            <w:r>
              <w:rPr>
                <w:rFonts w:eastAsia="Times New Roman"/>
                <w:b/>
                <w:bCs/>
                <w:color w:val="000000"/>
                <w:sz w:val="16"/>
                <w:szCs w:val="16"/>
              </w:rPr>
              <w:br/>
              <w:t>Outstanding</w:t>
            </w:r>
            <w:r>
              <w:rPr>
                <w:rFonts w:eastAsia="Times New Roman"/>
                <w:b/>
                <w:bCs/>
                <w:color w:val="000000"/>
                <w:sz w:val="16"/>
                <w:szCs w:val="16"/>
              </w:rPr>
              <w:br/>
              <w:t>Options, Warrants</w:t>
            </w:r>
            <w:r>
              <w:rPr>
                <w:rFonts w:eastAsia="Times New Roman"/>
                <w:b/>
                <w:bCs/>
                <w:color w:val="000000"/>
                <w:sz w:val="16"/>
                <w:szCs w:val="16"/>
              </w:rPr>
              <w:br/>
              <w:t>and Rights</w:t>
            </w:r>
          </w:p>
        </w:tc>
        <w:tc>
          <w:tcPr>
            <w:tcW w:w="0" w:type="auto"/>
            <w:gridSpan w:val="3"/>
            <w:tcMar>
              <w:top w:w="30" w:type="dxa"/>
              <w:left w:w="20" w:type="dxa"/>
              <w:bottom w:w="30" w:type="dxa"/>
              <w:right w:w="20" w:type="dxa"/>
            </w:tcMar>
            <w:vAlign w:val="bottom"/>
            <w:hideMark/>
          </w:tcPr>
          <w:p w14:paraId="757F792A"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3658452E" w14:textId="77777777" w:rsidR="00000000" w:rsidRDefault="00EE5306">
            <w:pPr>
              <w:spacing w:after="100"/>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Exercise Price of</w:t>
            </w:r>
            <w:r>
              <w:rPr>
                <w:rFonts w:eastAsia="Times New Roman"/>
                <w:b/>
                <w:bCs/>
                <w:color w:val="000000"/>
                <w:sz w:val="16"/>
                <w:szCs w:val="16"/>
              </w:rPr>
              <w:br/>
              <w:t>Outstanding Options ($)</w:t>
            </w:r>
          </w:p>
        </w:tc>
        <w:tc>
          <w:tcPr>
            <w:tcW w:w="0" w:type="auto"/>
            <w:gridSpan w:val="3"/>
            <w:tcMar>
              <w:top w:w="30" w:type="dxa"/>
              <w:left w:w="20" w:type="dxa"/>
              <w:bottom w:w="30" w:type="dxa"/>
              <w:right w:w="20" w:type="dxa"/>
            </w:tcMar>
            <w:vAlign w:val="bottom"/>
            <w:hideMark/>
          </w:tcPr>
          <w:p w14:paraId="7362D88A"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321A1660" w14:textId="77777777" w:rsidR="00000000" w:rsidRDefault="00EE5306">
            <w:pPr>
              <w:spacing w:after="100"/>
              <w:jc w:val="center"/>
              <w:rPr>
                <w:rFonts w:eastAsia="Times New Roman"/>
              </w:rPr>
            </w:pPr>
            <w:r>
              <w:rPr>
                <w:rFonts w:eastAsia="Times New Roman"/>
                <w:b/>
                <w:bCs/>
                <w:color w:val="000000"/>
                <w:sz w:val="16"/>
                <w:szCs w:val="16"/>
              </w:rPr>
              <w:t>Number of Securities</w:t>
            </w:r>
            <w:r>
              <w:rPr>
                <w:rFonts w:eastAsia="Times New Roman"/>
                <w:b/>
                <w:bCs/>
                <w:color w:val="000000"/>
                <w:sz w:val="16"/>
                <w:szCs w:val="16"/>
              </w:rPr>
              <w:br/>
              <w:t>Remaining Available for</w:t>
            </w:r>
            <w:r>
              <w:rPr>
                <w:rFonts w:eastAsia="Times New Roman"/>
                <w:b/>
                <w:bCs/>
                <w:color w:val="000000"/>
                <w:sz w:val="16"/>
                <w:szCs w:val="16"/>
              </w:rPr>
              <w:br/>
            </w:r>
            <w:r>
              <w:rPr>
                <w:rFonts w:eastAsia="Times New Roman"/>
                <w:b/>
                <w:bCs/>
                <w:color w:val="000000"/>
                <w:sz w:val="16"/>
                <w:szCs w:val="16"/>
              </w:rPr>
              <w:t>Future Issuance Under</w:t>
            </w:r>
            <w:r>
              <w:rPr>
                <w:rFonts w:eastAsia="Times New Roman"/>
                <w:b/>
                <w:bCs/>
                <w:color w:val="000000"/>
                <w:sz w:val="16"/>
                <w:szCs w:val="16"/>
              </w:rPr>
              <w:br/>
              <w:t>Equity Compensation</w:t>
            </w:r>
            <w:r>
              <w:rPr>
                <w:rFonts w:eastAsia="Times New Roman"/>
                <w:b/>
                <w:bCs/>
                <w:color w:val="000000"/>
                <w:sz w:val="16"/>
                <w:szCs w:val="16"/>
              </w:rPr>
              <w:br/>
              <w:t>Plans (Excluding</w:t>
            </w:r>
            <w:r>
              <w:rPr>
                <w:rFonts w:eastAsia="Times New Roman"/>
                <w:b/>
                <w:bCs/>
                <w:color w:val="000000"/>
                <w:sz w:val="16"/>
                <w:szCs w:val="16"/>
              </w:rPr>
              <w:br/>
              <w:t>Securities Reflected in</w:t>
            </w:r>
            <w:r>
              <w:rPr>
                <w:rFonts w:eastAsia="Times New Roman"/>
                <w:b/>
                <w:bCs/>
                <w:color w:val="000000"/>
                <w:sz w:val="16"/>
                <w:szCs w:val="16"/>
              </w:rPr>
              <w:br/>
              <w:t>Column (a))</w:t>
            </w:r>
          </w:p>
        </w:tc>
        <w:tc>
          <w:tcPr>
            <w:tcW w:w="0" w:type="auto"/>
            <w:gridSpan w:val="3"/>
            <w:tcMar>
              <w:top w:w="30" w:type="dxa"/>
              <w:left w:w="20" w:type="dxa"/>
              <w:bottom w:w="30" w:type="dxa"/>
              <w:right w:w="20" w:type="dxa"/>
            </w:tcMar>
            <w:vAlign w:val="bottom"/>
            <w:hideMark/>
          </w:tcPr>
          <w:p w14:paraId="2DD93E9D" w14:textId="77777777" w:rsidR="00000000" w:rsidRDefault="00EE5306">
            <w:pPr>
              <w:spacing w:after="100"/>
              <w:rPr>
                <w:rFonts w:eastAsia="Times New Roman"/>
              </w:rPr>
            </w:pPr>
            <w:r>
              <w:rPr>
                <w:rFonts w:eastAsia="Times New Roman"/>
                <w:color w:val="000000"/>
                <w:sz w:val="16"/>
                <w:szCs w:val="16"/>
              </w:rPr>
              <w:t> </w:t>
            </w:r>
          </w:p>
        </w:tc>
      </w:tr>
      <w:tr w:rsidR="00000000" w14:paraId="43AB4510" w14:textId="77777777">
        <w:trPr>
          <w:divId w:val="2106917572"/>
        </w:trPr>
        <w:tc>
          <w:tcPr>
            <w:tcW w:w="0" w:type="auto"/>
            <w:gridSpan w:val="3"/>
            <w:tcBorders>
              <w:top w:val="single" w:sz="8" w:space="0" w:color="000000"/>
            </w:tcBorders>
            <w:shd w:val="clear" w:color="auto" w:fill="CCEEFF"/>
            <w:tcMar>
              <w:top w:w="30" w:type="dxa"/>
              <w:left w:w="20" w:type="dxa"/>
              <w:bottom w:w="30" w:type="dxa"/>
              <w:right w:w="20" w:type="dxa"/>
            </w:tcMar>
            <w:hideMark/>
          </w:tcPr>
          <w:p w14:paraId="7D9343DE" w14:textId="77777777" w:rsidR="00000000" w:rsidRDefault="00EE5306">
            <w:pPr>
              <w:spacing w:after="100"/>
              <w:ind w:hanging="270"/>
              <w:divId w:val="1243296358"/>
              <w:rPr>
                <w:rFonts w:eastAsia="Times New Roman"/>
              </w:rPr>
            </w:pPr>
            <w:r>
              <w:rPr>
                <w:rFonts w:eastAsia="Times New Roman"/>
                <w:color w:val="000000"/>
                <w:sz w:val="20"/>
                <w:szCs w:val="20"/>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14:paraId="159FA3B9" w14:textId="77777777" w:rsidR="00000000" w:rsidRDefault="00EE5306">
            <w:pPr>
              <w:spacing w:after="100"/>
              <w:ind w:hanging="27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58B55E" w14:textId="77777777" w:rsidR="00000000" w:rsidRDefault="00EE5306">
            <w:pPr>
              <w:spacing w:after="100"/>
              <w:jc w:val="right"/>
              <w:rPr>
                <w:rFonts w:eastAsia="Times New Roman"/>
              </w:rPr>
            </w:pPr>
            <w:r>
              <w:rPr>
                <w:rFonts w:eastAsia="Times New Roman"/>
                <w:color w:val="000000"/>
                <w:sz w:val="20"/>
                <w:szCs w:val="20"/>
              </w:rPr>
              <w:t>3,137,067 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32A3B9" w14:textId="77777777" w:rsidR="00000000" w:rsidRDefault="00EE530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7BFE279" w14:textId="77777777" w:rsidR="00000000" w:rsidRDefault="00EE5306">
            <w:pPr>
              <w:spacing w:after="100"/>
              <w:rPr>
                <w:rFonts w:eastAsia="Times New Roman"/>
              </w:rPr>
            </w:pPr>
            <w:r>
              <w:rPr>
                <w:rFonts w:eastAsia="Times New Roman"/>
                <w:b/>
                <w:bCs/>
                <w:color w:val="000000"/>
                <w:sz w:val="14"/>
                <w:szCs w:val="14"/>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6015F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36C487" w14:textId="77777777" w:rsidR="00000000" w:rsidRDefault="00EE5306">
            <w:pPr>
              <w:spacing w:after="100"/>
              <w:jc w:val="right"/>
              <w:rPr>
                <w:rFonts w:eastAsia="Times New Roman"/>
              </w:rPr>
            </w:pPr>
            <w:r>
              <w:rPr>
                <w:rFonts w:eastAsia="Times New Roman"/>
                <w:color w:val="000000"/>
                <w:sz w:val="20"/>
                <w:szCs w:val="20"/>
              </w:rPr>
              <w:t>159.83 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1E19D4" w14:textId="77777777" w:rsidR="00000000" w:rsidRDefault="00EE530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9D1A8FE" w14:textId="77777777" w:rsidR="00000000" w:rsidRDefault="00EE5306">
            <w:pPr>
              <w:spacing w:after="100"/>
              <w:rPr>
                <w:rFonts w:eastAsia="Times New Roman"/>
              </w:rPr>
            </w:pPr>
            <w:r>
              <w:rPr>
                <w:rFonts w:eastAsia="Times New Roman"/>
                <w:b/>
                <w:bCs/>
                <w:color w:val="000000"/>
                <w:sz w:val="14"/>
                <w:szCs w:val="14"/>
              </w:rPr>
              <w:t>(2)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4CDCFC" w14:textId="77777777" w:rsidR="00000000" w:rsidRDefault="00EE5306">
            <w:pPr>
              <w:spacing w:after="100"/>
              <w:jc w:val="right"/>
              <w:rPr>
                <w:rFonts w:eastAsia="Times New Roman"/>
              </w:rPr>
            </w:pPr>
            <w:r>
              <w:rPr>
                <w:rFonts w:eastAsia="Times New Roman"/>
                <w:color w:val="000000"/>
                <w:sz w:val="20"/>
                <w:szCs w:val="20"/>
              </w:rPr>
              <w:t>3,192,457 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C678AD" w14:textId="77777777" w:rsidR="00000000" w:rsidRDefault="00EE530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F10697A" w14:textId="77777777" w:rsidR="00000000" w:rsidRDefault="00EE5306">
            <w:pPr>
              <w:spacing w:after="100"/>
              <w:rPr>
                <w:rFonts w:eastAsia="Times New Roman"/>
              </w:rPr>
            </w:pPr>
            <w:r>
              <w:rPr>
                <w:rFonts w:eastAsia="Times New Roman"/>
                <w:b/>
                <w:bCs/>
                <w:color w:val="000000"/>
                <w:sz w:val="14"/>
                <w:szCs w:val="14"/>
              </w:rPr>
              <w:t>(3)</w:t>
            </w:r>
          </w:p>
        </w:tc>
      </w:tr>
      <w:tr w:rsidR="00000000" w14:paraId="4C6396F2" w14:textId="77777777">
        <w:trPr>
          <w:divId w:val="2106917572"/>
        </w:trPr>
        <w:tc>
          <w:tcPr>
            <w:tcW w:w="0" w:type="auto"/>
            <w:gridSpan w:val="3"/>
            <w:shd w:val="clear" w:color="auto" w:fill="FFFFFF"/>
            <w:tcMar>
              <w:top w:w="30" w:type="dxa"/>
              <w:left w:w="20" w:type="dxa"/>
              <w:bottom w:w="30" w:type="dxa"/>
              <w:right w:w="20" w:type="dxa"/>
            </w:tcMar>
            <w:hideMark/>
          </w:tcPr>
          <w:p w14:paraId="1C854531" w14:textId="77777777" w:rsidR="00000000" w:rsidRDefault="00EE5306">
            <w:pPr>
              <w:spacing w:after="100"/>
              <w:ind w:hanging="270"/>
              <w:divId w:val="382142380"/>
              <w:rPr>
                <w:rFonts w:eastAsia="Times New Roman"/>
              </w:rPr>
            </w:pPr>
            <w:r>
              <w:rPr>
                <w:rFonts w:eastAsia="Times New Roman"/>
                <w:color w:val="000000"/>
                <w:sz w:val="20"/>
                <w:szCs w:val="20"/>
              </w:rPr>
              <w:t>Equity compensation plans not approved by security holders</w:t>
            </w:r>
          </w:p>
        </w:tc>
        <w:tc>
          <w:tcPr>
            <w:tcW w:w="0" w:type="auto"/>
            <w:gridSpan w:val="3"/>
            <w:shd w:val="clear" w:color="auto" w:fill="FFFFFF"/>
            <w:tcMar>
              <w:top w:w="0" w:type="dxa"/>
              <w:left w:w="20" w:type="dxa"/>
              <w:bottom w:w="0" w:type="dxa"/>
              <w:right w:w="20" w:type="dxa"/>
            </w:tcMar>
            <w:vAlign w:val="center"/>
            <w:hideMark/>
          </w:tcPr>
          <w:p w14:paraId="3FBC1C21" w14:textId="77777777" w:rsidR="00000000" w:rsidRDefault="00EE5306">
            <w:pPr>
              <w:spacing w:after="100"/>
              <w:ind w:hanging="27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8FE1BA"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D357D6" w14:textId="77777777" w:rsidR="00000000" w:rsidRDefault="00EE530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6DDA095" w14:textId="77777777" w:rsidR="00000000" w:rsidRDefault="00EE5306">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1F6646ED"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BBC0EC" w14:textId="77777777" w:rsidR="00000000" w:rsidRDefault="00EE530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AE4FAE0" w14:textId="77777777" w:rsidR="00000000" w:rsidRDefault="00EE5306">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0D790E63"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29A97A" w14:textId="77777777" w:rsidR="00000000" w:rsidRDefault="00EE530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57B264" w14:textId="77777777" w:rsidR="00000000" w:rsidRDefault="00EE5306">
            <w:pPr>
              <w:spacing w:after="100"/>
              <w:rPr>
                <w:rFonts w:eastAsia="Times New Roman"/>
              </w:rPr>
            </w:pPr>
            <w:r>
              <w:rPr>
                <w:rFonts w:eastAsia="Times New Roman"/>
                <w:color w:val="000000"/>
                <w:sz w:val="20"/>
                <w:szCs w:val="20"/>
              </w:rPr>
              <w:t>  </w:t>
            </w:r>
          </w:p>
        </w:tc>
      </w:tr>
      <w:tr w:rsidR="00000000" w14:paraId="4ED00E63" w14:textId="77777777">
        <w:trPr>
          <w:divId w:val="2106917572"/>
        </w:trPr>
        <w:tc>
          <w:tcPr>
            <w:tcW w:w="0" w:type="auto"/>
            <w:gridSpan w:val="3"/>
            <w:shd w:val="clear" w:color="auto" w:fill="CCEEFF"/>
            <w:tcMar>
              <w:top w:w="30" w:type="dxa"/>
              <w:left w:w="20" w:type="dxa"/>
              <w:bottom w:w="30" w:type="dxa"/>
              <w:right w:w="20" w:type="dxa"/>
            </w:tcMar>
            <w:hideMark/>
          </w:tcPr>
          <w:p w14:paraId="23A29C0E" w14:textId="77777777" w:rsidR="00000000" w:rsidRDefault="00EE5306">
            <w:pPr>
              <w:spacing w:after="100"/>
              <w:ind w:firstLine="180"/>
              <w:divId w:val="1823306108"/>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30498C45" w14:textId="77777777" w:rsidR="00000000" w:rsidRDefault="00EE5306">
            <w:pPr>
              <w:spacing w:after="100"/>
              <w:ind w:firstLine="18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96FBFA" w14:textId="77777777" w:rsidR="00000000" w:rsidRDefault="00EE5306">
            <w:pPr>
              <w:spacing w:after="100"/>
              <w:jc w:val="right"/>
              <w:rPr>
                <w:rFonts w:eastAsia="Times New Roman"/>
              </w:rPr>
            </w:pPr>
            <w:r>
              <w:rPr>
                <w:rFonts w:eastAsia="Times New Roman"/>
                <w:color w:val="000000"/>
                <w:sz w:val="20"/>
                <w:szCs w:val="20"/>
              </w:rPr>
              <w:t>3,137,067 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4D4F2F" w14:textId="77777777" w:rsidR="00000000" w:rsidRDefault="00EE530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FE37BBE" w14:textId="77777777" w:rsidR="00000000" w:rsidRDefault="00EE5306">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0EEE4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D90EB5" w14:textId="77777777" w:rsidR="00000000" w:rsidRDefault="00EE5306">
            <w:pPr>
              <w:spacing w:after="100"/>
              <w:jc w:val="right"/>
              <w:rPr>
                <w:rFonts w:eastAsia="Times New Roman"/>
              </w:rPr>
            </w:pPr>
            <w:r>
              <w:rPr>
                <w:rFonts w:eastAsia="Times New Roman"/>
                <w:color w:val="000000"/>
                <w:sz w:val="20"/>
                <w:szCs w:val="20"/>
              </w:rPr>
              <w:t>159.83 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1636EE" w14:textId="77777777" w:rsidR="00000000" w:rsidRDefault="00EE530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14627FE" w14:textId="77777777" w:rsidR="00000000" w:rsidRDefault="00EE5306">
            <w:pPr>
              <w:spacing w:after="100"/>
              <w:rPr>
                <w:rFonts w:eastAsia="Times New Roman"/>
              </w:rPr>
            </w:pPr>
            <w:r>
              <w:rPr>
                <w:rFonts w:eastAsia="Times New Roman"/>
                <w:color w:val="000000"/>
                <w:sz w:val="20"/>
                <w:szCs w:val="20"/>
              </w:rPr>
              <w:t>  </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792BD1" w14:textId="77777777" w:rsidR="00000000" w:rsidRDefault="00EE5306">
            <w:pPr>
              <w:spacing w:after="100"/>
              <w:jc w:val="right"/>
              <w:rPr>
                <w:rFonts w:eastAsia="Times New Roman"/>
              </w:rPr>
            </w:pPr>
            <w:r>
              <w:rPr>
                <w:rFonts w:eastAsia="Times New Roman"/>
                <w:color w:val="000000"/>
                <w:sz w:val="20"/>
                <w:szCs w:val="20"/>
              </w:rPr>
              <w:t>3,192,457 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92C42B" w14:textId="77777777" w:rsidR="00000000" w:rsidRDefault="00EE530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7C9E42" w14:textId="77777777" w:rsidR="00000000" w:rsidRDefault="00EE5306">
            <w:pPr>
              <w:spacing w:after="100"/>
              <w:rPr>
                <w:rFonts w:eastAsia="Times New Roman"/>
              </w:rPr>
            </w:pPr>
            <w:r>
              <w:rPr>
                <w:rFonts w:eastAsia="Times New Roman"/>
                <w:color w:val="000000"/>
                <w:sz w:val="20"/>
                <w:szCs w:val="20"/>
              </w:rPr>
              <w:t>  </w:t>
            </w:r>
          </w:p>
        </w:tc>
      </w:tr>
    </w:tbl>
    <w:p w14:paraId="1EC4BF96" w14:textId="77777777" w:rsidR="00000000" w:rsidRDefault="00EE5306">
      <w:pPr>
        <w:divId w:val="2106917572"/>
        <w:rPr>
          <w:rFonts w:eastAsia="Times New Roman"/>
        </w:rPr>
      </w:pPr>
      <w:r>
        <w:rPr>
          <w:rFonts w:eastAsia="Times New Roman"/>
          <w:color w:val="000000"/>
          <w:sz w:val="20"/>
          <w:szCs w:val="20"/>
        </w:rPr>
        <w:t> </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14:paraId="352F99FE" w14:textId="77777777">
        <w:trPr>
          <w:divId w:val="1534347949"/>
        </w:trPr>
        <w:tc>
          <w:tcPr>
            <w:tcW w:w="50" w:type="pct"/>
            <w:vAlign w:val="center"/>
            <w:hideMark/>
          </w:tcPr>
          <w:p w14:paraId="7CF6AC3D" w14:textId="77777777" w:rsidR="00000000" w:rsidRDefault="00EE5306">
            <w:pPr>
              <w:rPr>
                <w:rFonts w:eastAsia="Times New Roman"/>
              </w:rPr>
            </w:pPr>
          </w:p>
        </w:tc>
        <w:tc>
          <w:tcPr>
            <w:tcW w:w="4945" w:type="pct"/>
            <w:vAlign w:val="center"/>
            <w:hideMark/>
          </w:tcPr>
          <w:p w14:paraId="1E3A9CB2" w14:textId="77777777" w:rsidR="00000000" w:rsidRDefault="00EE5306">
            <w:pPr>
              <w:spacing w:after="100"/>
              <w:rPr>
                <w:rFonts w:eastAsia="Times New Roman"/>
                <w:sz w:val="20"/>
                <w:szCs w:val="20"/>
              </w:rPr>
            </w:pPr>
          </w:p>
        </w:tc>
        <w:tc>
          <w:tcPr>
            <w:tcW w:w="5" w:type="pct"/>
            <w:vAlign w:val="center"/>
            <w:hideMark/>
          </w:tcPr>
          <w:p w14:paraId="499A07F2" w14:textId="77777777" w:rsidR="00000000" w:rsidRDefault="00EE5306">
            <w:pPr>
              <w:spacing w:after="100"/>
              <w:rPr>
                <w:rFonts w:eastAsia="Times New Roman"/>
                <w:sz w:val="20"/>
                <w:szCs w:val="20"/>
              </w:rPr>
            </w:pPr>
          </w:p>
        </w:tc>
      </w:tr>
      <w:tr w:rsidR="00000000" w14:paraId="18A60CF3" w14:textId="77777777">
        <w:trPr>
          <w:divId w:val="1534347949"/>
          <w:trHeight w:val="60"/>
        </w:trPr>
        <w:tc>
          <w:tcPr>
            <w:tcW w:w="0" w:type="auto"/>
            <w:gridSpan w:val="3"/>
            <w:tcBorders>
              <w:bottom w:val="single" w:sz="8" w:space="0" w:color="000000"/>
            </w:tcBorders>
            <w:tcMar>
              <w:top w:w="0" w:type="dxa"/>
              <w:left w:w="20" w:type="dxa"/>
              <w:bottom w:w="0" w:type="dxa"/>
              <w:right w:w="20" w:type="dxa"/>
            </w:tcMar>
            <w:vAlign w:val="center"/>
            <w:hideMark/>
          </w:tcPr>
          <w:p w14:paraId="7E337F42" w14:textId="77777777" w:rsidR="00000000" w:rsidRDefault="00EE5306">
            <w:pPr>
              <w:spacing w:after="100"/>
              <w:rPr>
                <w:rFonts w:eastAsia="Times New Roman"/>
                <w:sz w:val="20"/>
                <w:szCs w:val="20"/>
              </w:rPr>
            </w:pPr>
          </w:p>
        </w:tc>
      </w:tr>
    </w:tbl>
    <w:p w14:paraId="354B976D" w14:textId="77777777" w:rsidR="00000000" w:rsidRDefault="00EE5306">
      <w:pPr>
        <w:ind w:hanging="360"/>
        <w:jc w:val="both"/>
        <w:divId w:val="2016178037"/>
        <w:rPr>
          <w:rFonts w:eastAsia="Times New Roman"/>
        </w:rPr>
      </w:pP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Consists of 254,853 options to purchase shares of our Class A common stock and 2,882,214 restricted stock units that are payable solely in shares of Class A common stock (including 473,870 service-based restricted stock units that have fully vested but for</w:t>
      </w:r>
      <w:r>
        <w:rPr>
          <w:rFonts w:eastAsia="Times New Roman"/>
          <w:color w:val="000000"/>
          <w:sz w:val="20"/>
          <w:szCs w:val="20"/>
        </w:rPr>
        <w:t xml:space="preserve"> which the underlying shares have not yet been delivered as of March 27, 2021).</w:t>
      </w:r>
    </w:p>
    <w:p w14:paraId="2FFCFF93" w14:textId="77777777" w:rsidR="00000000" w:rsidRDefault="00EE5306">
      <w:pPr>
        <w:ind w:hanging="360"/>
        <w:jc w:val="both"/>
        <w:divId w:val="364257313"/>
        <w:rPr>
          <w:rFonts w:eastAsia="Times New Roman"/>
        </w:rPr>
      </w:pPr>
      <w:r>
        <w:rPr>
          <w:rFonts w:eastAsia="Times New Roman"/>
          <w:b/>
          <w:bCs/>
          <w:color w:val="000000"/>
          <w:sz w:val="12"/>
          <w:szCs w:val="12"/>
        </w:rPr>
        <w:t>(2</w:t>
      </w:r>
      <w:r>
        <w:rPr>
          <w:rFonts w:eastAsia="Times New Roman"/>
          <w:b/>
          <w:bCs/>
          <w:color w:val="000000"/>
          <w:sz w:val="12"/>
          <w:szCs w:val="12"/>
        </w:rPr>
        <w:t>)</w:t>
      </w:r>
      <w:r>
        <w:rPr>
          <w:rFonts w:eastAsia="Times New Roman"/>
          <w:color w:val="000000"/>
          <w:sz w:val="20"/>
          <w:szCs w:val="20"/>
        </w:rPr>
        <w:t>Represents the weighted-average exercise price of outstanding stock options.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B8BFEB2" w14:textId="77777777">
        <w:trPr>
          <w:divId w:val="415521541"/>
          <w:jc w:val="center"/>
        </w:trPr>
        <w:tc>
          <w:tcPr>
            <w:tcW w:w="50" w:type="pct"/>
            <w:vAlign w:val="center"/>
            <w:hideMark/>
          </w:tcPr>
          <w:p w14:paraId="17E56F1D" w14:textId="77777777" w:rsidR="00000000" w:rsidRDefault="00EE5306">
            <w:pPr>
              <w:ind w:hanging="360"/>
              <w:jc w:val="both"/>
              <w:rPr>
                <w:rFonts w:eastAsia="Times New Roman"/>
              </w:rPr>
            </w:pPr>
          </w:p>
        </w:tc>
        <w:tc>
          <w:tcPr>
            <w:tcW w:w="1699" w:type="pct"/>
            <w:vAlign w:val="center"/>
            <w:hideMark/>
          </w:tcPr>
          <w:p w14:paraId="57E474AA" w14:textId="77777777" w:rsidR="00000000" w:rsidRDefault="00EE5306">
            <w:pPr>
              <w:spacing w:after="100"/>
              <w:rPr>
                <w:rFonts w:eastAsia="Times New Roman"/>
                <w:sz w:val="20"/>
                <w:szCs w:val="20"/>
              </w:rPr>
            </w:pPr>
          </w:p>
        </w:tc>
        <w:tc>
          <w:tcPr>
            <w:tcW w:w="5" w:type="pct"/>
            <w:vAlign w:val="center"/>
            <w:hideMark/>
          </w:tcPr>
          <w:p w14:paraId="725C8262" w14:textId="77777777" w:rsidR="00000000" w:rsidRDefault="00EE5306">
            <w:pPr>
              <w:spacing w:after="100"/>
              <w:rPr>
                <w:rFonts w:eastAsia="Times New Roman"/>
                <w:sz w:val="20"/>
                <w:szCs w:val="20"/>
              </w:rPr>
            </w:pPr>
          </w:p>
        </w:tc>
        <w:tc>
          <w:tcPr>
            <w:tcW w:w="50" w:type="pct"/>
            <w:vAlign w:val="center"/>
            <w:hideMark/>
          </w:tcPr>
          <w:p w14:paraId="6202E7A1" w14:textId="77777777" w:rsidR="00000000" w:rsidRDefault="00EE5306">
            <w:pPr>
              <w:spacing w:after="100"/>
              <w:rPr>
                <w:rFonts w:eastAsia="Times New Roman"/>
                <w:sz w:val="20"/>
                <w:szCs w:val="20"/>
              </w:rPr>
            </w:pPr>
          </w:p>
        </w:tc>
        <w:tc>
          <w:tcPr>
            <w:tcW w:w="1436" w:type="pct"/>
            <w:vAlign w:val="center"/>
            <w:hideMark/>
          </w:tcPr>
          <w:p w14:paraId="247CF969" w14:textId="77777777" w:rsidR="00000000" w:rsidRDefault="00EE5306">
            <w:pPr>
              <w:spacing w:after="100"/>
              <w:rPr>
                <w:rFonts w:eastAsia="Times New Roman"/>
                <w:sz w:val="20"/>
                <w:szCs w:val="20"/>
              </w:rPr>
            </w:pPr>
          </w:p>
        </w:tc>
        <w:tc>
          <w:tcPr>
            <w:tcW w:w="5" w:type="pct"/>
            <w:vAlign w:val="center"/>
            <w:hideMark/>
          </w:tcPr>
          <w:p w14:paraId="6978F687" w14:textId="77777777" w:rsidR="00000000" w:rsidRDefault="00EE5306">
            <w:pPr>
              <w:spacing w:after="100"/>
              <w:rPr>
                <w:rFonts w:eastAsia="Times New Roman"/>
                <w:sz w:val="20"/>
                <w:szCs w:val="20"/>
              </w:rPr>
            </w:pPr>
          </w:p>
        </w:tc>
        <w:tc>
          <w:tcPr>
            <w:tcW w:w="50" w:type="pct"/>
            <w:vAlign w:val="center"/>
            <w:hideMark/>
          </w:tcPr>
          <w:p w14:paraId="60967A86" w14:textId="77777777" w:rsidR="00000000" w:rsidRDefault="00EE5306">
            <w:pPr>
              <w:spacing w:after="100"/>
              <w:rPr>
                <w:rFonts w:eastAsia="Times New Roman"/>
                <w:sz w:val="20"/>
                <w:szCs w:val="20"/>
              </w:rPr>
            </w:pPr>
          </w:p>
        </w:tc>
        <w:tc>
          <w:tcPr>
            <w:tcW w:w="1699" w:type="pct"/>
            <w:vAlign w:val="center"/>
            <w:hideMark/>
          </w:tcPr>
          <w:p w14:paraId="07E74C96" w14:textId="77777777" w:rsidR="00000000" w:rsidRDefault="00EE5306">
            <w:pPr>
              <w:spacing w:after="100"/>
              <w:rPr>
                <w:rFonts w:eastAsia="Times New Roman"/>
                <w:sz w:val="20"/>
                <w:szCs w:val="20"/>
              </w:rPr>
            </w:pPr>
          </w:p>
        </w:tc>
        <w:tc>
          <w:tcPr>
            <w:tcW w:w="5" w:type="pct"/>
            <w:vAlign w:val="center"/>
            <w:hideMark/>
          </w:tcPr>
          <w:p w14:paraId="4F71CB2B" w14:textId="77777777" w:rsidR="00000000" w:rsidRDefault="00EE5306">
            <w:pPr>
              <w:spacing w:after="100"/>
              <w:rPr>
                <w:rFonts w:eastAsia="Times New Roman"/>
                <w:sz w:val="20"/>
                <w:szCs w:val="20"/>
              </w:rPr>
            </w:pPr>
          </w:p>
        </w:tc>
      </w:tr>
      <w:tr w:rsidR="00000000" w14:paraId="3EFA3E1A" w14:textId="77777777">
        <w:trPr>
          <w:divId w:val="415521541"/>
          <w:jc w:val="center"/>
        </w:trPr>
        <w:tc>
          <w:tcPr>
            <w:tcW w:w="0" w:type="auto"/>
            <w:gridSpan w:val="3"/>
            <w:tcMar>
              <w:top w:w="0" w:type="dxa"/>
              <w:left w:w="20" w:type="dxa"/>
              <w:bottom w:w="0" w:type="dxa"/>
              <w:right w:w="20" w:type="dxa"/>
            </w:tcMar>
            <w:vAlign w:val="center"/>
            <w:hideMark/>
          </w:tcPr>
          <w:p w14:paraId="24B6D6D8"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55CF0B1" w14:textId="77777777" w:rsidR="00000000" w:rsidRDefault="00EE5306">
            <w:pPr>
              <w:spacing w:after="100"/>
              <w:jc w:val="center"/>
              <w:rPr>
                <w:rFonts w:eastAsia="Times New Roman"/>
              </w:rPr>
            </w:pPr>
            <w:r>
              <w:rPr>
                <w:rFonts w:eastAsia="Times New Roman"/>
                <w:color w:val="000000"/>
                <w:sz w:val="20"/>
                <w:szCs w:val="20"/>
              </w:rPr>
              <w:t>77</w:t>
            </w:r>
          </w:p>
        </w:tc>
        <w:tc>
          <w:tcPr>
            <w:tcW w:w="0" w:type="auto"/>
            <w:gridSpan w:val="3"/>
            <w:tcMar>
              <w:top w:w="0" w:type="dxa"/>
              <w:left w:w="20" w:type="dxa"/>
              <w:bottom w:w="0" w:type="dxa"/>
              <w:right w:w="20" w:type="dxa"/>
            </w:tcMar>
            <w:vAlign w:val="center"/>
            <w:hideMark/>
          </w:tcPr>
          <w:p w14:paraId="298A7012" w14:textId="77777777" w:rsidR="00000000" w:rsidRDefault="00EE5306">
            <w:pPr>
              <w:spacing w:after="100"/>
              <w:jc w:val="center"/>
              <w:rPr>
                <w:rFonts w:eastAsia="Times New Roman"/>
              </w:rPr>
            </w:pPr>
          </w:p>
        </w:tc>
      </w:tr>
    </w:tbl>
    <w:p w14:paraId="212D43F0" w14:textId="77777777" w:rsidR="00000000" w:rsidRDefault="00EE5306">
      <w:pPr>
        <w:rPr>
          <w:rFonts w:eastAsia="Times New Roman"/>
        </w:rPr>
      </w:pPr>
      <w:r>
        <w:rPr>
          <w:rFonts w:eastAsia="Times New Roman"/>
        </w:rPr>
        <w:pict w14:anchorId="0990EDA6">
          <v:rect id="_x0000_i1104" style="width:0;height:1.5pt" o:hralign="center" o:hrstd="t" o:hr="t" fillcolor="#a0a0a0" stroked="f"/>
        </w:pict>
      </w:r>
    </w:p>
    <w:p w14:paraId="60941584" w14:textId="77777777" w:rsidR="00000000" w:rsidRDefault="00EE5306">
      <w:pPr>
        <w:divId w:val="236139430"/>
        <w:rPr>
          <w:rFonts w:eastAsia="Times New Roman"/>
        </w:rPr>
      </w:pPr>
    </w:p>
    <w:p w14:paraId="2C0A6629" w14:textId="77777777" w:rsidR="00000000" w:rsidRDefault="00EE5306">
      <w:pPr>
        <w:ind w:hanging="360"/>
        <w:jc w:val="both"/>
        <w:rPr>
          <w:rFonts w:eastAsia="Times New Roman"/>
        </w:rPr>
      </w:pPr>
      <w:r>
        <w:rPr>
          <w:rFonts w:eastAsia="Times New Roman"/>
          <w:b/>
          <w:bCs/>
          <w:color w:val="000000"/>
          <w:sz w:val="12"/>
          <w:szCs w:val="12"/>
        </w:rPr>
        <w:t>(3</w:t>
      </w:r>
      <w:r>
        <w:rPr>
          <w:rFonts w:eastAsia="Times New Roman"/>
          <w:b/>
          <w:bCs/>
          <w:color w:val="000000"/>
          <w:sz w:val="12"/>
          <w:szCs w:val="12"/>
        </w:rPr>
        <w:t>)</w:t>
      </w:r>
      <w:r>
        <w:rPr>
          <w:rFonts w:eastAsia="Times New Roman"/>
          <w:color w:val="000000"/>
          <w:sz w:val="20"/>
          <w:szCs w:val="20"/>
        </w:rPr>
        <w:t xml:space="preserve">All of the securities remaining available for future issuance set forth in column (c) may be in the form of options, stock appreciation rights, restricted stock, restricted stock units, performance awards, or other </w:t>
      </w:r>
      <w:r>
        <w:rPr>
          <w:rFonts w:eastAsia="Times New Roman"/>
          <w:color w:val="000000"/>
          <w:sz w:val="20"/>
          <w:szCs w:val="20"/>
        </w:rPr>
        <w:t>stock-based awards under the Company's 2019 Incentive Plan.</w:t>
      </w:r>
    </w:p>
    <w:p w14:paraId="25FDFA61" w14:textId="77777777" w:rsidR="00000000" w:rsidRDefault="00EE5306">
      <w:pPr>
        <w:ind w:firstLine="540"/>
        <w:jc w:val="both"/>
        <w:divId w:val="798842730"/>
        <w:rPr>
          <w:rFonts w:eastAsia="Times New Roman"/>
        </w:rPr>
      </w:pPr>
      <w:r>
        <w:rPr>
          <w:rFonts w:eastAsia="Times New Roman"/>
          <w:color w:val="000000"/>
          <w:sz w:val="20"/>
          <w:szCs w:val="20"/>
        </w:rPr>
        <w:t>Other information relating to security ownership of certain beneficial owners and management will be set forth in the Proxy Statement and such information is incorporated by reference herein.</w:t>
      </w:r>
    </w:p>
    <w:p w14:paraId="1B7B19A8" w14:textId="77777777" w:rsidR="00000000" w:rsidRDefault="00EE5306">
      <w:pPr>
        <w:ind w:hanging="900"/>
        <w:jc w:val="both"/>
        <w:divId w:val="354186509"/>
        <w:rPr>
          <w:rFonts w:eastAsia="Times New Roman"/>
        </w:rPr>
      </w:pPr>
      <w:r>
        <w:rPr>
          <w:rFonts w:eastAsia="Times New Roman"/>
          <w:b/>
          <w:bCs/>
          <w:color w:val="000000"/>
          <w:sz w:val="20"/>
          <w:szCs w:val="20"/>
        </w:rPr>
        <w:t>Item 13.</w:t>
      </w:r>
      <w:r>
        <w:rPr>
          <w:rFonts w:eastAsia="Times New Roman"/>
          <w:b/>
          <w:bCs/>
          <w:i/>
          <w:iCs/>
          <w:color w:val="000000"/>
          <w:sz w:val="20"/>
          <w:szCs w:val="20"/>
        </w:rPr>
        <w:t>    Certain Relationships and Related Transactions, and Director Independence.</w:t>
      </w:r>
    </w:p>
    <w:p w14:paraId="5C940145" w14:textId="77777777" w:rsidR="00000000" w:rsidRDefault="00EE5306">
      <w:pPr>
        <w:ind w:firstLine="540"/>
        <w:jc w:val="both"/>
        <w:divId w:val="469371705"/>
        <w:rPr>
          <w:rFonts w:eastAsia="Times New Roman"/>
        </w:rPr>
      </w:pPr>
      <w:r>
        <w:rPr>
          <w:rFonts w:eastAsia="Times New Roman"/>
          <w:color w:val="000000"/>
          <w:sz w:val="20"/>
          <w:szCs w:val="20"/>
        </w:rPr>
        <w:t>The information required to be included by Item 13 of Form 10-K will be included in the Proxy Statement and such information is incorporated by reference herein.</w:t>
      </w:r>
    </w:p>
    <w:p w14:paraId="35019998" w14:textId="77777777" w:rsidR="00000000" w:rsidRDefault="00EE5306">
      <w:pPr>
        <w:ind w:hanging="900"/>
        <w:jc w:val="both"/>
        <w:divId w:val="33389637"/>
        <w:rPr>
          <w:rFonts w:eastAsia="Times New Roman"/>
        </w:rPr>
      </w:pPr>
      <w:r>
        <w:rPr>
          <w:rFonts w:eastAsia="Times New Roman"/>
          <w:b/>
          <w:bCs/>
          <w:color w:val="000000"/>
          <w:sz w:val="20"/>
          <w:szCs w:val="20"/>
        </w:rPr>
        <w:t>Item 14</w:t>
      </w:r>
      <w:r>
        <w:rPr>
          <w:rFonts w:eastAsia="Times New Roman"/>
          <w:b/>
          <w:bCs/>
          <w:color w:val="000000"/>
          <w:sz w:val="20"/>
          <w:szCs w:val="20"/>
        </w:rPr>
        <w:t>.</w:t>
      </w:r>
      <w:r>
        <w:rPr>
          <w:rFonts w:eastAsia="Times New Roman"/>
          <w:b/>
          <w:bCs/>
          <w:i/>
          <w:iCs/>
          <w:color w:val="000000"/>
          <w:sz w:val="20"/>
          <w:szCs w:val="20"/>
        </w:rPr>
        <w:t>    Principal Accounting Fees and Services.</w:t>
      </w:r>
    </w:p>
    <w:p w14:paraId="196E3AC8" w14:textId="77777777" w:rsidR="00000000" w:rsidRDefault="00EE5306">
      <w:pPr>
        <w:ind w:firstLine="540"/>
        <w:jc w:val="both"/>
        <w:divId w:val="540172190"/>
        <w:rPr>
          <w:rFonts w:eastAsia="Times New Roman"/>
        </w:rPr>
      </w:pPr>
      <w:r>
        <w:rPr>
          <w:rFonts w:eastAsia="Times New Roman"/>
          <w:color w:val="000000"/>
          <w:sz w:val="20"/>
          <w:szCs w:val="20"/>
        </w:rPr>
        <w:t>The information required to be included by Item 14 of Form 10-K will be included in the Proxy Statement and such information is incorporated by reference herein.</w:t>
      </w:r>
    </w:p>
    <w:p w14:paraId="34D1C6F9" w14:textId="77777777" w:rsidR="00000000" w:rsidRDefault="00EE5306">
      <w:pPr>
        <w:jc w:val="center"/>
        <w:divId w:val="1598559909"/>
        <w:rPr>
          <w:rFonts w:eastAsia="Times New Roman"/>
        </w:rPr>
      </w:pPr>
      <w:r>
        <w:rPr>
          <w:rFonts w:eastAsia="Times New Roman"/>
          <w:b/>
          <w:bCs/>
          <w:color w:val="000000"/>
          <w:sz w:val="20"/>
          <w:szCs w:val="20"/>
        </w:rPr>
        <w:t>PART IV</w:t>
      </w:r>
    </w:p>
    <w:p w14:paraId="6ECB20C3" w14:textId="77777777" w:rsidR="00000000" w:rsidRDefault="00EE5306">
      <w:pPr>
        <w:ind w:hanging="900"/>
        <w:jc w:val="both"/>
        <w:divId w:val="1405452048"/>
        <w:rPr>
          <w:rFonts w:eastAsia="Times New Roman"/>
        </w:rPr>
      </w:pPr>
      <w:r>
        <w:rPr>
          <w:rFonts w:eastAsia="Times New Roman"/>
          <w:b/>
          <w:bCs/>
          <w:color w:val="000000"/>
          <w:sz w:val="20"/>
          <w:szCs w:val="20"/>
        </w:rPr>
        <w:t>Item 15.    </w:t>
      </w:r>
      <w:r>
        <w:rPr>
          <w:rFonts w:eastAsia="Times New Roman"/>
          <w:b/>
          <w:bCs/>
          <w:i/>
          <w:iCs/>
          <w:color w:val="000000"/>
          <w:sz w:val="20"/>
          <w:szCs w:val="20"/>
        </w:rPr>
        <w:t>Exhibits, Financial Statement</w:t>
      </w:r>
      <w:r>
        <w:rPr>
          <w:rFonts w:eastAsia="Times New Roman"/>
          <w:b/>
          <w:bCs/>
          <w:i/>
          <w:iCs/>
          <w:color w:val="000000"/>
          <w:sz w:val="20"/>
          <w:szCs w:val="20"/>
        </w:rPr>
        <w:t xml:space="preserve"> Schedules.</w:t>
      </w:r>
    </w:p>
    <w:p w14:paraId="01B4BEAC" w14:textId="77777777" w:rsidR="00000000" w:rsidRDefault="00EE5306">
      <w:pPr>
        <w:ind w:firstLine="540"/>
        <w:jc w:val="both"/>
        <w:divId w:val="1097362134"/>
        <w:rPr>
          <w:rFonts w:eastAsia="Times New Roman"/>
        </w:rPr>
      </w:pPr>
      <w:r>
        <w:rPr>
          <w:rFonts w:eastAsia="Times New Roman"/>
          <w:color w:val="000000"/>
          <w:sz w:val="20"/>
          <w:szCs w:val="20"/>
        </w:rPr>
        <w:t>(a)    1., 2. Financial Statements and Financial Statement Schedules. See index on Page F-1.</w:t>
      </w:r>
    </w:p>
    <w:p w14:paraId="0E037A45" w14:textId="77777777" w:rsidR="00000000" w:rsidRDefault="00EE5306">
      <w:pPr>
        <w:ind w:firstLine="540"/>
        <w:jc w:val="both"/>
        <w:divId w:val="1094133427"/>
        <w:rPr>
          <w:rFonts w:eastAsia="Times New Roman"/>
        </w:rPr>
      </w:pPr>
      <w:r>
        <w:rPr>
          <w:rFonts w:eastAsia="Times New Roman"/>
          <w:color w:val="000000"/>
          <w:sz w:val="20"/>
          <w:szCs w:val="20"/>
        </w:rPr>
        <w:t>3.      Exhibits</w:t>
      </w:r>
    </w:p>
    <w:tbl>
      <w:tblPr>
        <w:tblW w:w="4992" w:type="pct"/>
        <w:tblCellMar>
          <w:top w:w="15" w:type="dxa"/>
          <w:left w:w="15" w:type="dxa"/>
          <w:bottom w:w="15" w:type="dxa"/>
          <w:right w:w="15" w:type="dxa"/>
        </w:tblCellMar>
        <w:tblLook w:val="04A0" w:firstRow="1" w:lastRow="0" w:firstColumn="1" w:lastColumn="0" w:noHBand="0" w:noVBand="1"/>
      </w:tblPr>
      <w:tblGrid>
        <w:gridCol w:w="69"/>
        <w:gridCol w:w="707"/>
        <w:gridCol w:w="36"/>
        <w:gridCol w:w="69"/>
        <w:gridCol w:w="7375"/>
        <w:gridCol w:w="37"/>
      </w:tblGrid>
      <w:tr w:rsidR="00000000" w14:paraId="02FDCCEA" w14:textId="77777777">
        <w:trPr>
          <w:divId w:val="1207134307"/>
        </w:trPr>
        <w:tc>
          <w:tcPr>
            <w:tcW w:w="50" w:type="pct"/>
            <w:vAlign w:val="center"/>
            <w:hideMark/>
          </w:tcPr>
          <w:p w14:paraId="36765BDF" w14:textId="77777777" w:rsidR="00000000" w:rsidRDefault="00EE5306">
            <w:pPr>
              <w:ind w:firstLine="540"/>
              <w:jc w:val="both"/>
              <w:rPr>
                <w:rFonts w:eastAsia="Times New Roman"/>
              </w:rPr>
            </w:pPr>
          </w:p>
        </w:tc>
        <w:tc>
          <w:tcPr>
            <w:tcW w:w="435" w:type="pct"/>
            <w:vAlign w:val="center"/>
            <w:hideMark/>
          </w:tcPr>
          <w:p w14:paraId="75AF4A55" w14:textId="77777777" w:rsidR="00000000" w:rsidRDefault="00EE5306">
            <w:pPr>
              <w:spacing w:after="100"/>
              <w:rPr>
                <w:rFonts w:eastAsia="Times New Roman"/>
                <w:sz w:val="20"/>
                <w:szCs w:val="20"/>
              </w:rPr>
            </w:pPr>
          </w:p>
        </w:tc>
        <w:tc>
          <w:tcPr>
            <w:tcW w:w="5" w:type="pct"/>
            <w:vAlign w:val="center"/>
            <w:hideMark/>
          </w:tcPr>
          <w:p w14:paraId="60C3944A" w14:textId="77777777" w:rsidR="00000000" w:rsidRDefault="00EE5306">
            <w:pPr>
              <w:spacing w:after="100"/>
              <w:rPr>
                <w:rFonts w:eastAsia="Times New Roman"/>
                <w:sz w:val="20"/>
                <w:szCs w:val="20"/>
              </w:rPr>
            </w:pPr>
          </w:p>
        </w:tc>
        <w:tc>
          <w:tcPr>
            <w:tcW w:w="50" w:type="pct"/>
            <w:vAlign w:val="center"/>
            <w:hideMark/>
          </w:tcPr>
          <w:p w14:paraId="4A1CCD00" w14:textId="77777777" w:rsidR="00000000" w:rsidRDefault="00EE5306">
            <w:pPr>
              <w:spacing w:after="100"/>
              <w:rPr>
                <w:rFonts w:eastAsia="Times New Roman"/>
                <w:sz w:val="20"/>
                <w:szCs w:val="20"/>
              </w:rPr>
            </w:pPr>
          </w:p>
        </w:tc>
        <w:tc>
          <w:tcPr>
            <w:tcW w:w="4454" w:type="pct"/>
            <w:vAlign w:val="center"/>
            <w:hideMark/>
          </w:tcPr>
          <w:p w14:paraId="4DF144FA" w14:textId="77777777" w:rsidR="00000000" w:rsidRDefault="00EE5306">
            <w:pPr>
              <w:spacing w:after="100"/>
              <w:rPr>
                <w:rFonts w:eastAsia="Times New Roman"/>
                <w:sz w:val="20"/>
                <w:szCs w:val="20"/>
              </w:rPr>
            </w:pPr>
          </w:p>
        </w:tc>
        <w:tc>
          <w:tcPr>
            <w:tcW w:w="5" w:type="pct"/>
            <w:vAlign w:val="center"/>
            <w:hideMark/>
          </w:tcPr>
          <w:p w14:paraId="3BF00BB4" w14:textId="77777777" w:rsidR="00000000" w:rsidRDefault="00EE5306">
            <w:pPr>
              <w:spacing w:after="100"/>
              <w:rPr>
                <w:rFonts w:eastAsia="Times New Roman"/>
                <w:sz w:val="20"/>
                <w:szCs w:val="20"/>
              </w:rPr>
            </w:pPr>
          </w:p>
        </w:tc>
      </w:tr>
      <w:tr w:rsidR="00000000" w14:paraId="51D7475C" w14:textId="77777777">
        <w:trPr>
          <w:divId w:val="1207134307"/>
        </w:trPr>
        <w:tc>
          <w:tcPr>
            <w:tcW w:w="0" w:type="auto"/>
            <w:gridSpan w:val="3"/>
            <w:tcBorders>
              <w:bottom w:val="single" w:sz="8" w:space="0" w:color="000000"/>
            </w:tcBorders>
            <w:tcMar>
              <w:top w:w="30" w:type="dxa"/>
              <w:left w:w="20" w:type="dxa"/>
              <w:bottom w:w="30" w:type="dxa"/>
              <w:right w:w="20" w:type="dxa"/>
            </w:tcMar>
            <w:vAlign w:val="bottom"/>
            <w:hideMark/>
          </w:tcPr>
          <w:p w14:paraId="5DAADC49" w14:textId="77777777" w:rsidR="00000000" w:rsidRDefault="00EE5306">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Borders>
              <w:bottom w:val="single" w:sz="8" w:space="0" w:color="000000"/>
            </w:tcBorders>
            <w:tcMar>
              <w:top w:w="30" w:type="dxa"/>
              <w:left w:w="20" w:type="dxa"/>
              <w:bottom w:w="30" w:type="dxa"/>
              <w:right w:w="20" w:type="dxa"/>
            </w:tcMar>
            <w:vAlign w:val="bottom"/>
            <w:hideMark/>
          </w:tcPr>
          <w:p w14:paraId="7ED1CDF6" w14:textId="77777777" w:rsidR="00000000" w:rsidRDefault="00EE5306">
            <w:pPr>
              <w:spacing w:after="100"/>
              <w:jc w:val="center"/>
              <w:rPr>
                <w:rFonts w:eastAsia="Times New Roman"/>
              </w:rPr>
            </w:pPr>
            <w:r>
              <w:rPr>
                <w:rFonts w:eastAsia="Times New Roman"/>
                <w:b/>
                <w:bCs/>
                <w:color w:val="000000"/>
                <w:sz w:val="16"/>
                <w:szCs w:val="16"/>
              </w:rPr>
              <w:t>Description</w:t>
            </w:r>
          </w:p>
        </w:tc>
      </w:tr>
      <w:tr w:rsidR="00000000" w14:paraId="3FD6634A" w14:textId="77777777">
        <w:trPr>
          <w:divId w:val="1207134307"/>
        </w:trPr>
        <w:tc>
          <w:tcPr>
            <w:tcW w:w="0" w:type="auto"/>
            <w:gridSpan w:val="3"/>
            <w:tcBorders>
              <w:top w:val="single" w:sz="8" w:space="0" w:color="000000"/>
            </w:tcBorders>
            <w:tcMar>
              <w:top w:w="30" w:type="dxa"/>
              <w:left w:w="20" w:type="dxa"/>
              <w:bottom w:w="30" w:type="dxa"/>
              <w:right w:w="20" w:type="dxa"/>
            </w:tcMar>
            <w:hideMark/>
          </w:tcPr>
          <w:p w14:paraId="4AD96AF7" w14:textId="77777777" w:rsidR="00000000" w:rsidRDefault="00EE5306">
            <w:pPr>
              <w:spacing w:after="100"/>
              <w:jc w:val="center"/>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14:paraId="11E957B5" w14:textId="77777777" w:rsidR="00000000" w:rsidRDefault="00EE5306">
            <w:pPr>
              <w:spacing w:after="100"/>
              <w:jc w:val="both"/>
              <w:rPr>
                <w:rFonts w:eastAsia="Times New Roman"/>
              </w:rPr>
            </w:pPr>
            <w:hyperlink r:id="rId6" w:history="1">
              <w:r>
                <w:rPr>
                  <w:rStyle w:val="a3"/>
                  <w:rFonts w:eastAsia="Times New Roman"/>
                  <w:sz w:val="20"/>
                  <w:szCs w:val="20"/>
                </w:rPr>
                <w:t>Amended and Restated Certificate of Incorporation of the Company (filed as Exhibit 3.1 to the Company's Registration Statement on Form S-1 (File No. 333-24733) (the "S-</w:t>
              </w:r>
              <w:r>
                <w:rPr>
                  <w:rStyle w:val="a3"/>
                  <w:rFonts w:eastAsia="Times New Roman"/>
                  <w:sz w:val="20"/>
                  <w:szCs w:val="20"/>
                </w:rPr>
                <w:t>1"))</w:t>
              </w:r>
            </w:hyperlink>
          </w:p>
        </w:tc>
      </w:tr>
      <w:tr w:rsidR="00000000" w14:paraId="5896BD26" w14:textId="77777777">
        <w:trPr>
          <w:divId w:val="1207134307"/>
        </w:trPr>
        <w:tc>
          <w:tcPr>
            <w:tcW w:w="0" w:type="auto"/>
            <w:gridSpan w:val="3"/>
            <w:tcMar>
              <w:top w:w="30" w:type="dxa"/>
              <w:left w:w="20" w:type="dxa"/>
              <w:bottom w:w="30" w:type="dxa"/>
              <w:right w:w="20" w:type="dxa"/>
            </w:tcMar>
            <w:hideMark/>
          </w:tcPr>
          <w:p w14:paraId="1EABF1FD" w14:textId="77777777" w:rsidR="00000000" w:rsidRDefault="00EE5306">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14:paraId="456F4429" w14:textId="77777777" w:rsidR="00000000" w:rsidRDefault="00EE5306">
            <w:pPr>
              <w:spacing w:after="100"/>
              <w:jc w:val="both"/>
              <w:rPr>
                <w:rFonts w:eastAsia="Times New Roman"/>
              </w:rPr>
            </w:pPr>
            <w:hyperlink r:id="rId7" w:history="1">
              <w:r>
                <w:rPr>
                  <w:rStyle w:val="a3"/>
                  <w:rFonts w:eastAsia="Times New Roman"/>
                  <w:sz w:val="20"/>
                  <w:szCs w:val="20"/>
                </w:rPr>
                <w:t>Certificate of Amendment to the Amended and Restated Certificate of Incorporation of the Company (filed as Exhibit 3.1 to the Form 8-K filed August 16, 2011)</w:t>
              </w:r>
            </w:hyperlink>
          </w:p>
        </w:tc>
      </w:tr>
      <w:tr w:rsidR="00000000" w14:paraId="38252575" w14:textId="77777777">
        <w:trPr>
          <w:divId w:val="1207134307"/>
        </w:trPr>
        <w:tc>
          <w:tcPr>
            <w:tcW w:w="0" w:type="auto"/>
            <w:gridSpan w:val="3"/>
            <w:tcMar>
              <w:top w:w="30" w:type="dxa"/>
              <w:left w:w="20" w:type="dxa"/>
              <w:bottom w:w="30" w:type="dxa"/>
              <w:right w:w="20" w:type="dxa"/>
            </w:tcMar>
            <w:hideMark/>
          </w:tcPr>
          <w:p w14:paraId="29E335FE" w14:textId="77777777" w:rsidR="00000000" w:rsidRDefault="00EE5306">
            <w:pPr>
              <w:spacing w:after="100"/>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hideMark/>
          </w:tcPr>
          <w:p w14:paraId="0C9B2D4A" w14:textId="77777777" w:rsidR="00000000" w:rsidRDefault="00EE5306">
            <w:pPr>
              <w:spacing w:after="100"/>
              <w:jc w:val="both"/>
              <w:rPr>
                <w:rFonts w:eastAsia="Times New Roman"/>
              </w:rPr>
            </w:pPr>
            <w:hyperlink r:id="rId8" w:history="1">
              <w:r>
                <w:rPr>
                  <w:rStyle w:val="a3"/>
                  <w:rFonts w:eastAsia="Times New Roman"/>
                  <w:sz w:val="20"/>
                  <w:szCs w:val="20"/>
                </w:rPr>
                <w:t>Fourth Amended and Restated By-laws of the Company (filed as Exhibit 3.3 to the Form 10-Q for the quarterly period ended July 1, 2017)</w:t>
              </w:r>
            </w:hyperlink>
          </w:p>
        </w:tc>
      </w:tr>
      <w:tr w:rsidR="00000000" w14:paraId="43B39213" w14:textId="77777777">
        <w:trPr>
          <w:divId w:val="1207134307"/>
        </w:trPr>
        <w:tc>
          <w:tcPr>
            <w:tcW w:w="0" w:type="auto"/>
            <w:gridSpan w:val="3"/>
            <w:tcMar>
              <w:top w:w="30" w:type="dxa"/>
              <w:left w:w="20" w:type="dxa"/>
              <w:bottom w:w="30" w:type="dxa"/>
              <w:right w:w="20" w:type="dxa"/>
            </w:tcMar>
            <w:hideMark/>
          </w:tcPr>
          <w:p w14:paraId="041ACE7A" w14:textId="77777777" w:rsidR="00000000" w:rsidRDefault="00EE5306">
            <w:pPr>
              <w:spacing w:after="100"/>
              <w:jc w:val="center"/>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14:paraId="136FD10D" w14:textId="77777777" w:rsidR="00000000" w:rsidRDefault="00EE5306">
            <w:pPr>
              <w:spacing w:after="100"/>
              <w:jc w:val="both"/>
              <w:rPr>
                <w:rFonts w:eastAsia="Times New Roman"/>
              </w:rPr>
            </w:pPr>
            <w:hyperlink r:id="rId9" w:history="1">
              <w:r>
                <w:rPr>
                  <w:rStyle w:val="a3"/>
                  <w:rFonts w:eastAsia="Times New Roman"/>
                  <w:sz w:val="20"/>
                  <w:szCs w:val="20"/>
                </w:rPr>
                <w:t>Indenture, dated as of September 26, 2013, by and between the Company and Wells Fargo Bank, National Association (including the form of Note) (filed as Exhib</w:t>
              </w:r>
              <w:r>
                <w:rPr>
                  <w:rStyle w:val="a3"/>
                  <w:rFonts w:eastAsia="Times New Roman"/>
                  <w:sz w:val="20"/>
                  <w:szCs w:val="20"/>
                </w:rPr>
                <w:t>it 4.1 to the Form 8-K filed September 26, 2013)</w:t>
              </w:r>
            </w:hyperlink>
          </w:p>
        </w:tc>
      </w:tr>
      <w:tr w:rsidR="00000000" w14:paraId="793F408D" w14:textId="77777777">
        <w:trPr>
          <w:divId w:val="1207134307"/>
        </w:trPr>
        <w:tc>
          <w:tcPr>
            <w:tcW w:w="0" w:type="auto"/>
            <w:gridSpan w:val="3"/>
            <w:tcMar>
              <w:top w:w="30" w:type="dxa"/>
              <w:left w:w="20" w:type="dxa"/>
              <w:bottom w:w="30" w:type="dxa"/>
              <w:right w:w="20" w:type="dxa"/>
            </w:tcMar>
            <w:hideMark/>
          </w:tcPr>
          <w:p w14:paraId="5AF7BF23" w14:textId="77777777" w:rsidR="00000000" w:rsidRDefault="00EE5306">
            <w:pPr>
              <w:spacing w:after="100"/>
              <w:jc w:val="center"/>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14:paraId="6D6C928E" w14:textId="77777777" w:rsidR="00000000" w:rsidRDefault="00EE5306">
            <w:pPr>
              <w:spacing w:after="100"/>
              <w:jc w:val="both"/>
              <w:rPr>
                <w:rFonts w:eastAsia="Times New Roman"/>
              </w:rPr>
            </w:pPr>
            <w:hyperlink r:id="rId10" w:history="1">
              <w:r>
                <w:rPr>
                  <w:rStyle w:val="a3"/>
                  <w:rFonts w:eastAsia="Times New Roman"/>
                  <w:sz w:val="20"/>
                  <w:szCs w:val="20"/>
                </w:rPr>
                <w:t>Second Supplemental Indenture, dated as of August 18, 2015, by and between the Company and Wells Far</w:t>
              </w:r>
              <w:r>
                <w:rPr>
                  <w:rStyle w:val="a3"/>
                  <w:rFonts w:eastAsia="Times New Roman"/>
                  <w:sz w:val="20"/>
                  <w:szCs w:val="20"/>
                </w:rPr>
                <w:t>go Bank, National Association (filed as Exhibit 4.2 to the Form 8-K filed August 18, 2015)</w:t>
              </w:r>
            </w:hyperlink>
          </w:p>
        </w:tc>
      </w:tr>
      <w:tr w:rsidR="00000000" w14:paraId="0586DFAD" w14:textId="77777777">
        <w:trPr>
          <w:divId w:val="1207134307"/>
        </w:trPr>
        <w:tc>
          <w:tcPr>
            <w:tcW w:w="0" w:type="auto"/>
            <w:gridSpan w:val="3"/>
            <w:tcMar>
              <w:top w:w="30" w:type="dxa"/>
              <w:left w:w="20" w:type="dxa"/>
              <w:bottom w:w="30" w:type="dxa"/>
              <w:right w:w="20" w:type="dxa"/>
            </w:tcMar>
            <w:hideMark/>
          </w:tcPr>
          <w:p w14:paraId="0A9C61E1" w14:textId="77777777" w:rsidR="00000000" w:rsidRDefault="00EE5306">
            <w:pPr>
              <w:spacing w:after="100"/>
              <w:jc w:val="center"/>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14:paraId="2C63A392" w14:textId="77777777" w:rsidR="00000000" w:rsidRDefault="00EE5306">
            <w:pPr>
              <w:spacing w:after="100"/>
              <w:jc w:val="both"/>
              <w:rPr>
                <w:rFonts w:eastAsia="Times New Roman"/>
              </w:rPr>
            </w:pPr>
            <w:hyperlink r:id="rId11" w:history="1">
              <w:r>
                <w:rPr>
                  <w:rStyle w:val="a3"/>
                  <w:rFonts w:eastAsia="Times New Roman"/>
                  <w:sz w:val="20"/>
                  <w:szCs w:val="20"/>
                </w:rPr>
                <w:t>Third Supplemental Indenture, dated as of August 9, 2018, by and between Ralph Lauren Corporation and Wells Fargo Bank, National Association (filed as Exhibi</w:t>
              </w:r>
              <w:r>
                <w:rPr>
                  <w:rStyle w:val="a3"/>
                  <w:rFonts w:eastAsia="Times New Roman"/>
                  <w:sz w:val="20"/>
                  <w:szCs w:val="20"/>
                </w:rPr>
                <w:t>t 4.2 to the Form 8-K filed August 9, 2018)</w:t>
              </w:r>
            </w:hyperlink>
          </w:p>
        </w:tc>
      </w:tr>
      <w:tr w:rsidR="00000000" w14:paraId="25CA9BB9" w14:textId="77777777">
        <w:trPr>
          <w:divId w:val="1207134307"/>
        </w:trPr>
        <w:tc>
          <w:tcPr>
            <w:tcW w:w="0" w:type="auto"/>
            <w:gridSpan w:val="3"/>
            <w:tcMar>
              <w:top w:w="30" w:type="dxa"/>
              <w:left w:w="20" w:type="dxa"/>
              <w:bottom w:w="30" w:type="dxa"/>
              <w:right w:w="20" w:type="dxa"/>
            </w:tcMar>
            <w:hideMark/>
          </w:tcPr>
          <w:p w14:paraId="223F95D7" w14:textId="77777777" w:rsidR="00000000" w:rsidRDefault="00EE5306">
            <w:pPr>
              <w:spacing w:after="100"/>
              <w:jc w:val="center"/>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hideMark/>
          </w:tcPr>
          <w:p w14:paraId="7C641019" w14:textId="77777777" w:rsidR="00000000" w:rsidRDefault="00EE5306">
            <w:pPr>
              <w:spacing w:after="100"/>
              <w:jc w:val="both"/>
              <w:rPr>
                <w:rFonts w:eastAsia="Times New Roman"/>
              </w:rPr>
            </w:pPr>
            <w:hyperlink r:id="rId12" w:history="1">
              <w:r>
                <w:rPr>
                  <w:rStyle w:val="a3"/>
                  <w:rFonts w:eastAsia="Times New Roman"/>
                  <w:sz w:val="20"/>
                  <w:szCs w:val="20"/>
                </w:rPr>
                <w:t xml:space="preserve">Fourth Supplemental Indenture, dated as of June 3, 2020, by and between Ralph Lauren Corporation and </w:t>
              </w:r>
              <w:r>
                <w:rPr>
                  <w:rStyle w:val="a3"/>
                  <w:rFonts w:eastAsia="Times New Roman"/>
                  <w:sz w:val="20"/>
                  <w:szCs w:val="20"/>
                </w:rPr>
                <w:t xml:space="preserve">Wells Fargo Bank, National Association (filed as Exhibit 4.2 to the Form 8-K filed June </w:t>
              </w:r>
            </w:hyperlink>
            <w:hyperlink r:id="rId13" w:history="1">
              <w:r>
                <w:rPr>
                  <w:rStyle w:val="a3"/>
                  <w:rFonts w:eastAsia="Times New Roman"/>
                  <w:sz w:val="20"/>
                  <w:szCs w:val="20"/>
                </w:rPr>
                <w:t>4,</w:t>
              </w:r>
            </w:hyperlink>
            <w:hyperlink r:id="rId14" w:history="1">
              <w:r>
                <w:rPr>
                  <w:rStyle w:val="a3"/>
                  <w:rFonts w:eastAsia="Times New Roman"/>
                  <w:sz w:val="20"/>
                  <w:szCs w:val="20"/>
                </w:rPr>
                <w:t xml:space="preserve"> 2020)</w:t>
              </w:r>
            </w:hyperlink>
          </w:p>
        </w:tc>
      </w:tr>
      <w:tr w:rsidR="00000000" w14:paraId="6A007B93" w14:textId="77777777">
        <w:trPr>
          <w:divId w:val="1207134307"/>
        </w:trPr>
        <w:tc>
          <w:tcPr>
            <w:tcW w:w="0" w:type="auto"/>
            <w:gridSpan w:val="3"/>
            <w:tcMar>
              <w:top w:w="30" w:type="dxa"/>
              <w:left w:w="20" w:type="dxa"/>
              <w:bottom w:w="30" w:type="dxa"/>
              <w:right w:w="20" w:type="dxa"/>
            </w:tcMar>
            <w:hideMark/>
          </w:tcPr>
          <w:p w14:paraId="68C4DFCC" w14:textId="77777777" w:rsidR="00000000" w:rsidRDefault="00EE5306">
            <w:pPr>
              <w:spacing w:after="100"/>
              <w:jc w:val="center"/>
              <w:rPr>
                <w:rFonts w:eastAsia="Times New Roman"/>
              </w:rPr>
            </w:pPr>
            <w:r>
              <w:rPr>
                <w:rFonts w:eastAsia="Times New Roman"/>
                <w:color w:val="000000"/>
                <w:sz w:val="20"/>
                <w:szCs w:val="20"/>
              </w:rPr>
              <w:t>4.5</w:t>
            </w:r>
          </w:p>
        </w:tc>
        <w:tc>
          <w:tcPr>
            <w:tcW w:w="0" w:type="auto"/>
            <w:gridSpan w:val="3"/>
            <w:tcMar>
              <w:top w:w="30" w:type="dxa"/>
              <w:left w:w="20" w:type="dxa"/>
              <w:bottom w:w="30" w:type="dxa"/>
              <w:right w:w="20" w:type="dxa"/>
            </w:tcMar>
            <w:hideMark/>
          </w:tcPr>
          <w:p w14:paraId="63CA7BE9" w14:textId="77777777" w:rsidR="00000000" w:rsidRDefault="00EE5306">
            <w:pPr>
              <w:spacing w:after="100"/>
              <w:jc w:val="both"/>
              <w:rPr>
                <w:rFonts w:eastAsia="Times New Roman"/>
              </w:rPr>
            </w:pPr>
            <w:hyperlink r:id="rId15" w:history="1">
              <w:r>
                <w:rPr>
                  <w:rStyle w:val="a3"/>
                  <w:rFonts w:eastAsia="Times New Roman"/>
                  <w:sz w:val="20"/>
                  <w:szCs w:val="20"/>
                </w:rPr>
                <w:t>Description of Securities Registered Under Section 12 of the Exchange Act (filed as Exhibit 4</w:t>
              </w:r>
              <w:r>
                <w:rPr>
                  <w:rStyle w:val="a3"/>
                  <w:rFonts w:eastAsia="Times New Roman"/>
                  <w:sz w:val="20"/>
                  <w:szCs w:val="20"/>
                </w:rPr>
                <w:t xml:space="preserve">.4 to the Form 10-K for the fiscal </w:t>
              </w:r>
            </w:hyperlink>
            <w:hyperlink r:id="rId16" w:history="1">
              <w:r>
                <w:rPr>
                  <w:rStyle w:val="a3"/>
                  <w:rFonts w:eastAsia="Times New Roman"/>
                  <w:sz w:val="20"/>
                  <w:szCs w:val="20"/>
                </w:rPr>
                <w:t>year</w:t>
              </w:r>
            </w:hyperlink>
            <w:hyperlink r:id="rId17" w:history="1">
              <w:r>
                <w:rPr>
                  <w:rStyle w:val="a3"/>
                  <w:rFonts w:eastAsia="Times New Roman"/>
                  <w:sz w:val="20"/>
                  <w:szCs w:val="20"/>
                </w:rPr>
                <w:t xml:space="preserve"> ended March 28, 2020 (the "Fiscal 2020 10-K"))</w:t>
              </w:r>
            </w:hyperlink>
          </w:p>
        </w:tc>
      </w:tr>
      <w:tr w:rsidR="00000000" w14:paraId="25CE32EC" w14:textId="77777777">
        <w:trPr>
          <w:divId w:val="1207134307"/>
        </w:trPr>
        <w:tc>
          <w:tcPr>
            <w:tcW w:w="0" w:type="auto"/>
            <w:gridSpan w:val="3"/>
            <w:tcMar>
              <w:top w:w="30" w:type="dxa"/>
              <w:left w:w="20" w:type="dxa"/>
              <w:bottom w:w="30" w:type="dxa"/>
              <w:right w:w="20" w:type="dxa"/>
            </w:tcMar>
            <w:hideMark/>
          </w:tcPr>
          <w:p w14:paraId="2F919FC1" w14:textId="77777777" w:rsidR="00000000" w:rsidRDefault="00EE5306">
            <w:pPr>
              <w:spacing w:after="100"/>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14:paraId="00AA716E" w14:textId="77777777" w:rsidR="00000000" w:rsidRDefault="00EE5306">
            <w:pPr>
              <w:spacing w:after="100"/>
              <w:jc w:val="both"/>
              <w:rPr>
                <w:rFonts w:eastAsia="Times New Roman"/>
              </w:rPr>
            </w:pPr>
            <w:hyperlink r:id="rId18" w:history="1">
              <w:r>
                <w:rPr>
                  <w:rStyle w:val="a3"/>
                  <w:rFonts w:eastAsia="Times New Roman"/>
                  <w:sz w:val="20"/>
                  <w:szCs w:val="20"/>
                </w:rPr>
                <w:t>Registration Rights Agreement dated as of June </w:t>
              </w:r>
              <w:r>
                <w:rPr>
                  <w:rStyle w:val="a3"/>
                  <w:rFonts w:eastAsia="Times New Roman"/>
                  <w:sz w:val="20"/>
                  <w:szCs w:val="20"/>
                </w:rPr>
                <w:t>9, 1997 by and among Ralph Lauren, GS Capital Partners, L.P., GS Capital Partner PRL Holding I, L.P., GS Capital Partners PRL Holding II, L.P., Stone Street Fund 1994, L.P., Stone Street 1994 Subsidiary Corp., Bridge Street Fund 1994, L.P., and the Company</w:t>
              </w:r>
              <w:r>
                <w:rPr>
                  <w:rStyle w:val="a3"/>
                  <w:rFonts w:eastAsia="Times New Roman"/>
                  <w:sz w:val="20"/>
                  <w:szCs w:val="20"/>
                </w:rPr>
                <w:t xml:space="preserve"> (filed as Exhibit 10.3 to the S-1)</w:t>
              </w:r>
            </w:hyperlink>
          </w:p>
        </w:tc>
      </w:tr>
      <w:tr w:rsidR="00000000" w14:paraId="21995C39" w14:textId="77777777">
        <w:trPr>
          <w:divId w:val="1207134307"/>
        </w:trPr>
        <w:tc>
          <w:tcPr>
            <w:tcW w:w="0" w:type="auto"/>
            <w:gridSpan w:val="3"/>
            <w:tcMar>
              <w:top w:w="30" w:type="dxa"/>
              <w:left w:w="20" w:type="dxa"/>
              <w:bottom w:w="30" w:type="dxa"/>
              <w:right w:w="20" w:type="dxa"/>
            </w:tcMar>
            <w:hideMark/>
          </w:tcPr>
          <w:p w14:paraId="728456C8" w14:textId="77777777" w:rsidR="00000000" w:rsidRDefault="00EE5306">
            <w:pPr>
              <w:spacing w:after="100"/>
              <w:jc w:val="center"/>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14:paraId="5A023433" w14:textId="77777777" w:rsidR="00000000" w:rsidRDefault="00EE5306">
            <w:pPr>
              <w:spacing w:after="100"/>
              <w:jc w:val="both"/>
              <w:rPr>
                <w:rFonts w:eastAsia="Times New Roman"/>
              </w:rPr>
            </w:pPr>
            <w:hyperlink r:id="rId19" w:history="1">
              <w:r>
                <w:rPr>
                  <w:rStyle w:val="a3"/>
                  <w:rFonts w:eastAsia="Times New Roman"/>
                  <w:sz w:val="20"/>
                  <w:szCs w:val="20"/>
                </w:rPr>
                <w:t>Form of Indemnification Agreement between the Company and its Directors and Executive Officers (filed as Exhibit 10.26 to the S-1)†</w:t>
              </w:r>
            </w:hyperlink>
          </w:p>
        </w:tc>
      </w:tr>
      <w:tr w:rsidR="00000000" w14:paraId="400DE6CF" w14:textId="77777777">
        <w:trPr>
          <w:divId w:val="1207134307"/>
        </w:trPr>
        <w:tc>
          <w:tcPr>
            <w:tcW w:w="0" w:type="auto"/>
            <w:gridSpan w:val="3"/>
            <w:tcMar>
              <w:top w:w="30" w:type="dxa"/>
              <w:left w:w="20" w:type="dxa"/>
              <w:bottom w:w="30" w:type="dxa"/>
              <w:right w:w="20" w:type="dxa"/>
            </w:tcMar>
            <w:hideMark/>
          </w:tcPr>
          <w:p w14:paraId="1373CC6E" w14:textId="77777777" w:rsidR="00000000" w:rsidRDefault="00EE5306">
            <w:pPr>
              <w:spacing w:after="100"/>
              <w:jc w:val="center"/>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vAlign w:val="bottom"/>
            <w:hideMark/>
          </w:tcPr>
          <w:p w14:paraId="5C7643A5" w14:textId="77777777" w:rsidR="00000000" w:rsidRDefault="00EE5306">
            <w:pPr>
              <w:spacing w:after="100"/>
              <w:jc w:val="both"/>
              <w:rPr>
                <w:rFonts w:eastAsia="Times New Roman"/>
              </w:rPr>
            </w:pPr>
            <w:hyperlink r:id="rId20" w:history="1">
              <w:r>
                <w:rPr>
                  <w:rStyle w:val="a3"/>
                  <w:rFonts w:eastAsia="Times New Roman"/>
                  <w:sz w:val="20"/>
                  <w:szCs w:val="20"/>
                </w:rPr>
                <w:t>Amended and</w:t>
              </w:r>
              <w:r>
                <w:rPr>
                  <w:rStyle w:val="a3"/>
                  <w:rFonts w:eastAsia="Times New Roman"/>
                  <w:sz w:val="20"/>
                  <w:szCs w:val="20"/>
                </w:rPr>
                <w:t xml:space="preserve"> Restated Employment Agreement, effective as of April 2, 2017, between the Company and Ralph Lauren (filed as Exhibit 10.1 to the Form 8-K filed March 31, 2017)†</w:t>
              </w:r>
            </w:hyperlink>
          </w:p>
        </w:tc>
      </w:tr>
      <w:tr w:rsidR="00000000" w14:paraId="29EA76C3" w14:textId="77777777">
        <w:trPr>
          <w:divId w:val="1207134307"/>
        </w:trPr>
        <w:tc>
          <w:tcPr>
            <w:tcW w:w="0" w:type="auto"/>
            <w:gridSpan w:val="3"/>
            <w:tcMar>
              <w:top w:w="30" w:type="dxa"/>
              <w:left w:w="20" w:type="dxa"/>
              <w:bottom w:w="30" w:type="dxa"/>
              <w:right w:w="20" w:type="dxa"/>
            </w:tcMar>
            <w:hideMark/>
          </w:tcPr>
          <w:p w14:paraId="705C732E" w14:textId="77777777" w:rsidR="00000000" w:rsidRDefault="00EE5306">
            <w:pPr>
              <w:spacing w:after="100"/>
              <w:jc w:val="center"/>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14:paraId="25BB9FB4" w14:textId="77777777" w:rsidR="00000000" w:rsidRDefault="00EE5306">
            <w:pPr>
              <w:spacing w:after="100"/>
              <w:jc w:val="both"/>
              <w:rPr>
                <w:rFonts w:eastAsia="Times New Roman"/>
              </w:rPr>
            </w:pPr>
            <w:hyperlink r:id="rId21" w:history="1">
              <w:r>
                <w:rPr>
                  <w:rStyle w:val="a3"/>
                  <w:rFonts w:eastAsia="Times New Roman"/>
                  <w:sz w:val="20"/>
                  <w:szCs w:val="20"/>
                </w:rPr>
                <w:t>Amendment No. 1 to the Amended and Restated Employment Agreement, dated June 16, 2020, between the Company and Ralph Lauren (filed as Exhibit 10.1 to</w:t>
              </w:r>
              <w:r>
                <w:rPr>
                  <w:rStyle w:val="a3"/>
                  <w:rFonts w:eastAsia="Times New Roman"/>
                  <w:sz w:val="20"/>
                  <w:szCs w:val="20"/>
                </w:rPr>
                <w:t xml:space="preserve"> the Form 10-Q filed August 4, 2020)†</w:t>
              </w:r>
            </w:hyperlink>
          </w:p>
        </w:tc>
      </w:tr>
      <w:tr w:rsidR="00000000" w14:paraId="1A8DAD98" w14:textId="77777777">
        <w:trPr>
          <w:divId w:val="1207134307"/>
        </w:trPr>
        <w:tc>
          <w:tcPr>
            <w:tcW w:w="0" w:type="auto"/>
            <w:gridSpan w:val="3"/>
            <w:tcMar>
              <w:top w:w="30" w:type="dxa"/>
              <w:left w:w="20" w:type="dxa"/>
              <w:bottom w:w="30" w:type="dxa"/>
              <w:right w:w="20" w:type="dxa"/>
            </w:tcMar>
            <w:hideMark/>
          </w:tcPr>
          <w:p w14:paraId="22DADD6D" w14:textId="77777777" w:rsidR="00000000" w:rsidRDefault="00EE5306">
            <w:pPr>
              <w:spacing w:after="100"/>
              <w:jc w:val="center"/>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vAlign w:val="bottom"/>
            <w:hideMark/>
          </w:tcPr>
          <w:p w14:paraId="416D561F" w14:textId="77777777" w:rsidR="00000000" w:rsidRDefault="00EE5306">
            <w:pPr>
              <w:spacing w:after="100"/>
              <w:jc w:val="both"/>
              <w:rPr>
                <w:rFonts w:eastAsia="Times New Roman"/>
              </w:rPr>
            </w:pPr>
            <w:hyperlink r:id="rId22" w:history="1">
              <w:r>
                <w:rPr>
                  <w:rStyle w:val="a3"/>
                  <w:rFonts w:eastAsia="Times New Roman"/>
                  <w:sz w:val="20"/>
                  <w:szCs w:val="20"/>
                </w:rPr>
                <w:t>Employment Agreement, dated May 13, 2017, between the Company and Patrice Louvet (filed as Exhibit 10.1 t</w:t>
              </w:r>
              <w:r>
                <w:rPr>
                  <w:rStyle w:val="a3"/>
                  <w:rFonts w:eastAsia="Times New Roman"/>
                  <w:sz w:val="20"/>
                  <w:szCs w:val="20"/>
                </w:rPr>
                <w:t>o the Form 8-K filed May 17, 2017)†</w:t>
              </w:r>
            </w:hyperlink>
          </w:p>
        </w:tc>
      </w:tr>
      <w:tr w:rsidR="00000000" w14:paraId="00676324" w14:textId="77777777">
        <w:trPr>
          <w:divId w:val="1207134307"/>
        </w:trPr>
        <w:tc>
          <w:tcPr>
            <w:tcW w:w="0" w:type="auto"/>
            <w:gridSpan w:val="3"/>
            <w:tcMar>
              <w:top w:w="30" w:type="dxa"/>
              <w:left w:w="20" w:type="dxa"/>
              <w:bottom w:w="30" w:type="dxa"/>
              <w:right w:w="20" w:type="dxa"/>
            </w:tcMar>
            <w:hideMark/>
          </w:tcPr>
          <w:p w14:paraId="48495AE3" w14:textId="77777777" w:rsidR="00000000" w:rsidRDefault="00EE5306">
            <w:pPr>
              <w:spacing w:after="100"/>
              <w:jc w:val="center"/>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vAlign w:val="bottom"/>
            <w:hideMark/>
          </w:tcPr>
          <w:p w14:paraId="413098EC" w14:textId="77777777" w:rsidR="00000000" w:rsidRDefault="00EE5306">
            <w:pPr>
              <w:spacing w:after="100"/>
              <w:jc w:val="both"/>
              <w:rPr>
                <w:rFonts w:eastAsia="Times New Roman"/>
              </w:rPr>
            </w:pPr>
            <w:hyperlink r:id="rId23" w:history="1">
              <w:r>
                <w:rPr>
                  <w:rStyle w:val="a3"/>
                  <w:rFonts w:eastAsia="Times New Roman"/>
                  <w:sz w:val="20"/>
                  <w:szCs w:val="20"/>
                </w:rPr>
                <w:t>Amendment No. 1 to the Employment Agreement, dated June 30, 2017, between the Company and Patrice Louve</w:t>
              </w:r>
              <w:r>
                <w:rPr>
                  <w:rStyle w:val="a3"/>
                  <w:rFonts w:eastAsia="Times New Roman"/>
                  <w:sz w:val="20"/>
                  <w:szCs w:val="20"/>
                </w:rPr>
                <w:t>t (filed as Exhibit 10.1 to the Form 10-Q for the quarterly period ended July 1, 2017)†</w:t>
              </w:r>
            </w:hyperlink>
          </w:p>
        </w:tc>
      </w:tr>
      <w:tr w:rsidR="00000000" w14:paraId="5E0A4E2E" w14:textId="77777777">
        <w:trPr>
          <w:divId w:val="1207134307"/>
        </w:trPr>
        <w:tc>
          <w:tcPr>
            <w:tcW w:w="0" w:type="auto"/>
            <w:gridSpan w:val="3"/>
            <w:tcMar>
              <w:top w:w="30" w:type="dxa"/>
              <w:left w:w="20" w:type="dxa"/>
              <w:bottom w:w="30" w:type="dxa"/>
              <w:right w:w="20" w:type="dxa"/>
            </w:tcMar>
            <w:hideMark/>
          </w:tcPr>
          <w:p w14:paraId="1953018C" w14:textId="77777777" w:rsidR="00000000" w:rsidRDefault="00EE5306">
            <w:pPr>
              <w:spacing w:after="100"/>
              <w:jc w:val="center"/>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vAlign w:val="bottom"/>
            <w:hideMark/>
          </w:tcPr>
          <w:p w14:paraId="206F0472" w14:textId="77777777" w:rsidR="00000000" w:rsidRDefault="00EE5306">
            <w:pPr>
              <w:spacing w:after="100"/>
              <w:jc w:val="both"/>
              <w:rPr>
                <w:rFonts w:eastAsia="Times New Roman"/>
              </w:rPr>
            </w:pPr>
            <w:hyperlink r:id="rId24" w:history="1">
              <w:r>
                <w:rPr>
                  <w:rStyle w:val="a3"/>
                  <w:rFonts w:eastAsia="Times New Roman"/>
                  <w:sz w:val="20"/>
                  <w:szCs w:val="20"/>
                </w:rPr>
                <w:t xml:space="preserve">Amendment No. 2 to the Employment Agreement, dated </w:t>
              </w:r>
              <w:r>
                <w:rPr>
                  <w:rStyle w:val="a3"/>
                  <w:rFonts w:eastAsia="Times New Roman"/>
                  <w:sz w:val="20"/>
                  <w:szCs w:val="20"/>
                </w:rPr>
                <w:t>June 17, 2020, between the Company and Patrice Louvet (filed as Exhibit 10.2 to the Form 10-Q filed August 4, 2020)†</w:t>
              </w:r>
            </w:hyperlink>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428B6619" w14:textId="77777777">
        <w:trPr>
          <w:jc w:val="center"/>
        </w:trPr>
        <w:tc>
          <w:tcPr>
            <w:tcW w:w="50" w:type="pct"/>
            <w:vAlign w:val="center"/>
            <w:hideMark/>
          </w:tcPr>
          <w:p w14:paraId="4C6612AD" w14:textId="77777777" w:rsidR="00000000" w:rsidRDefault="00EE5306">
            <w:pPr>
              <w:rPr>
                <w:rFonts w:eastAsia="Times New Roman"/>
              </w:rPr>
            </w:pPr>
          </w:p>
        </w:tc>
        <w:tc>
          <w:tcPr>
            <w:tcW w:w="1699" w:type="pct"/>
            <w:vAlign w:val="center"/>
            <w:hideMark/>
          </w:tcPr>
          <w:p w14:paraId="02E75A22" w14:textId="77777777" w:rsidR="00000000" w:rsidRDefault="00EE5306">
            <w:pPr>
              <w:spacing w:after="100"/>
              <w:rPr>
                <w:rFonts w:eastAsia="Times New Roman"/>
                <w:sz w:val="20"/>
                <w:szCs w:val="20"/>
              </w:rPr>
            </w:pPr>
          </w:p>
        </w:tc>
        <w:tc>
          <w:tcPr>
            <w:tcW w:w="5" w:type="pct"/>
            <w:vAlign w:val="center"/>
            <w:hideMark/>
          </w:tcPr>
          <w:p w14:paraId="00797152" w14:textId="77777777" w:rsidR="00000000" w:rsidRDefault="00EE5306">
            <w:pPr>
              <w:spacing w:after="100"/>
              <w:rPr>
                <w:rFonts w:eastAsia="Times New Roman"/>
                <w:sz w:val="20"/>
                <w:szCs w:val="20"/>
              </w:rPr>
            </w:pPr>
          </w:p>
        </w:tc>
        <w:tc>
          <w:tcPr>
            <w:tcW w:w="50" w:type="pct"/>
            <w:vAlign w:val="center"/>
            <w:hideMark/>
          </w:tcPr>
          <w:p w14:paraId="4DFCF549" w14:textId="77777777" w:rsidR="00000000" w:rsidRDefault="00EE5306">
            <w:pPr>
              <w:spacing w:after="100"/>
              <w:rPr>
                <w:rFonts w:eastAsia="Times New Roman"/>
                <w:sz w:val="20"/>
                <w:szCs w:val="20"/>
              </w:rPr>
            </w:pPr>
          </w:p>
        </w:tc>
        <w:tc>
          <w:tcPr>
            <w:tcW w:w="1436" w:type="pct"/>
            <w:vAlign w:val="center"/>
            <w:hideMark/>
          </w:tcPr>
          <w:p w14:paraId="7C5ADF94" w14:textId="77777777" w:rsidR="00000000" w:rsidRDefault="00EE5306">
            <w:pPr>
              <w:spacing w:after="100"/>
              <w:rPr>
                <w:rFonts w:eastAsia="Times New Roman"/>
                <w:sz w:val="20"/>
                <w:szCs w:val="20"/>
              </w:rPr>
            </w:pPr>
          </w:p>
        </w:tc>
        <w:tc>
          <w:tcPr>
            <w:tcW w:w="5" w:type="pct"/>
            <w:vAlign w:val="center"/>
            <w:hideMark/>
          </w:tcPr>
          <w:p w14:paraId="45403DB5" w14:textId="77777777" w:rsidR="00000000" w:rsidRDefault="00EE5306">
            <w:pPr>
              <w:spacing w:after="100"/>
              <w:rPr>
                <w:rFonts w:eastAsia="Times New Roman"/>
                <w:sz w:val="20"/>
                <w:szCs w:val="20"/>
              </w:rPr>
            </w:pPr>
          </w:p>
        </w:tc>
        <w:tc>
          <w:tcPr>
            <w:tcW w:w="50" w:type="pct"/>
            <w:vAlign w:val="center"/>
            <w:hideMark/>
          </w:tcPr>
          <w:p w14:paraId="4C8C15DB" w14:textId="77777777" w:rsidR="00000000" w:rsidRDefault="00EE5306">
            <w:pPr>
              <w:spacing w:after="100"/>
              <w:rPr>
                <w:rFonts w:eastAsia="Times New Roman"/>
                <w:sz w:val="20"/>
                <w:szCs w:val="20"/>
              </w:rPr>
            </w:pPr>
          </w:p>
        </w:tc>
        <w:tc>
          <w:tcPr>
            <w:tcW w:w="1699" w:type="pct"/>
            <w:vAlign w:val="center"/>
            <w:hideMark/>
          </w:tcPr>
          <w:p w14:paraId="352F48E1" w14:textId="77777777" w:rsidR="00000000" w:rsidRDefault="00EE5306">
            <w:pPr>
              <w:spacing w:after="100"/>
              <w:rPr>
                <w:rFonts w:eastAsia="Times New Roman"/>
                <w:sz w:val="20"/>
                <w:szCs w:val="20"/>
              </w:rPr>
            </w:pPr>
          </w:p>
        </w:tc>
        <w:tc>
          <w:tcPr>
            <w:tcW w:w="5" w:type="pct"/>
            <w:vAlign w:val="center"/>
            <w:hideMark/>
          </w:tcPr>
          <w:p w14:paraId="720B9CCD" w14:textId="77777777" w:rsidR="00000000" w:rsidRDefault="00EE5306">
            <w:pPr>
              <w:spacing w:after="100"/>
              <w:rPr>
                <w:rFonts w:eastAsia="Times New Roman"/>
                <w:sz w:val="20"/>
                <w:szCs w:val="20"/>
              </w:rPr>
            </w:pPr>
          </w:p>
        </w:tc>
      </w:tr>
      <w:tr w:rsidR="00000000" w14:paraId="32517718" w14:textId="77777777">
        <w:trPr>
          <w:jc w:val="center"/>
        </w:trPr>
        <w:tc>
          <w:tcPr>
            <w:tcW w:w="0" w:type="auto"/>
            <w:gridSpan w:val="3"/>
            <w:tcMar>
              <w:top w:w="0" w:type="dxa"/>
              <w:left w:w="20" w:type="dxa"/>
              <w:bottom w:w="0" w:type="dxa"/>
              <w:right w:w="20" w:type="dxa"/>
            </w:tcMar>
            <w:vAlign w:val="center"/>
            <w:hideMark/>
          </w:tcPr>
          <w:p w14:paraId="78D8B03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BECED5F" w14:textId="77777777" w:rsidR="00000000" w:rsidRDefault="00EE5306">
            <w:pPr>
              <w:spacing w:after="100"/>
              <w:jc w:val="center"/>
              <w:rPr>
                <w:rFonts w:eastAsia="Times New Roman"/>
              </w:rPr>
            </w:pPr>
            <w:r>
              <w:rPr>
                <w:rFonts w:eastAsia="Times New Roman"/>
                <w:color w:val="000000"/>
                <w:sz w:val="20"/>
                <w:szCs w:val="20"/>
              </w:rPr>
              <w:t>78</w:t>
            </w:r>
          </w:p>
        </w:tc>
        <w:tc>
          <w:tcPr>
            <w:tcW w:w="0" w:type="auto"/>
            <w:gridSpan w:val="3"/>
            <w:tcMar>
              <w:top w:w="0" w:type="dxa"/>
              <w:left w:w="20" w:type="dxa"/>
              <w:bottom w:w="0" w:type="dxa"/>
              <w:right w:w="20" w:type="dxa"/>
            </w:tcMar>
            <w:vAlign w:val="center"/>
            <w:hideMark/>
          </w:tcPr>
          <w:p w14:paraId="3B5B22C3" w14:textId="77777777" w:rsidR="00000000" w:rsidRDefault="00EE5306">
            <w:pPr>
              <w:spacing w:after="100"/>
              <w:jc w:val="center"/>
              <w:rPr>
                <w:rFonts w:eastAsia="Times New Roman"/>
              </w:rPr>
            </w:pPr>
          </w:p>
        </w:tc>
      </w:tr>
    </w:tbl>
    <w:p w14:paraId="7A52AEE7" w14:textId="77777777" w:rsidR="00000000" w:rsidRDefault="00EE5306">
      <w:pPr>
        <w:rPr>
          <w:rFonts w:eastAsia="Times New Roman"/>
        </w:rPr>
      </w:pPr>
      <w:r>
        <w:rPr>
          <w:rFonts w:eastAsia="Times New Roman"/>
        </w:rPr>
        <w:pict w14:anchorId="17F9ABCF">
          <v:rect id="_x0000_i1105" style="width:0;height:1.5pt" o:hralign="center" o:hrstd="t" o:hr="t" fillcolor="#a0a0a0" stroked="f"/>
        </w:pict>
      </w:r>
    </w:p>
    <w:p w14:paraId="510CD64B" w14:textId="77777777" w:rsidR="00000000" w:rsidRDefault="00EE5306">
      <w:pPr>
        <w:divId w:val="848374962"/>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707"/>
        <w:gridCol w:w="36"/>
        <w:gridCol w:w="69"/>
        <w:gridCol w:w="7375"/>
        <w:gridCol w:w="37"/>
      </w:tblGrid>
      <w:tr w:rsidR="00000000" w14:paraId="09FB6A76" w14:textId="77777777">
        <w:trPr>
          <w:divId w:val="2009403611"/>
        </w:trPr>
        <w:tc>
          <w:tcPr>
            <w:tcW w:w="50" w:type="pct"/>
            <w:vAlign w:val="center"/>
            <w:hideMark/>
          </w:tcPr>
          <w:p w14:paraId="7485D72E" w14:textId="77777777" w:rsidR="00000000" w:rsidRDefault="00EE5306">
            <w:pPr>
              <w:rPr>
                <w:rFonts w:eastAsia="Times New Roman"/>
              </w:rPr>
            </w:pPr>
          </w:p>
        </w:tc>
        <w:tc>
          <w:tcPr>
            <w:tcW w:w="435" w:type="pct"/>
            <w:vAlign w:val="center"/>
            <w:hideMark/>
          </w:tcPr>
          <w:p w14:paraId="4D9CFB0B" w14:textId="77777777" w:rsidR="00000000" w:rsidRDefault="00EE5306">
            <w:pPr>
              <w:spacing w:after="100"/>
              <w:rPr>
                <w:rFonts w:eastAsia="Times New Roman"/>
                <w:sz w:val="20"/>
                <w:szCs w:val="20"/>
              </w:rPr>
            </w:pPr>
          </w:p>
        </w:tc>
        <w:tc>
          <w:tcPr>
            <w:tcW w:w="5" w:type="pct"/>
            <w:vAlign w:val="center"/>
            <w:hideMark/>
          </w:tcPr>
          <w:p w14:paraId="1A57AE3D" w14:textId="77777777" w:rsidR="00000000" w:rsidRDefault="00EE5306">
            <w:pPr>
              <w:spacing w:after="100"/>
              <w:rPr>
                <w:rFonts w:eastAsia="Times New Roman"/>
                <w:sz w:val="20"/>
                <w:szCs w:val="20"/>
              </w:rPr>
            </w:pPr>
          </w:p>
        </w:tc>
        <w:tc>
          <w:tcPr>
            <w:tcW w:w="50" w:type="pct"/>
            <w:vAlign w:val="center"/>
            <w:hideMark/>
          </w:tcPr>
          <w:p w14:paraId="30C41A73" w14:textId="77777777" w:rsidR="00000000" w:rsidRDefault="00EE5306">
            <w:pPr>
              <w:spacing w:after="100"/>
              <w:rPr>
                <w:rFonts w:eastAsia="Times New Roman"/>
                <w:sz w:val="20"/>
                <w:szCs w:val="20"/>
              </w:rPr>
            </w:pPr>
          </w:p>
        </w:tc>
        <w:tc>
          <w:tcPr>
            <w:tcW w:w="4454" w:type="pct"/>
            <w:vAlign w:val="center"/>
            <w:hideMark/>
          </w:tcPr>
          <w:p w14:paraId="6E3781C5" w14:textId="77777777" w:rsidR="00000000" w:rsidRDefault="00EE5306">
            <w:pPr>
              <w:spacing w:after="100"/>
              <w:rPr>
                <w:rFonts w:eastAsia="Times New Roman"/>
                <w:sz w:val="20"/>
                <w:szCs w:val="20"/>
              </w:rPr>
            </w:pPr>
          </w:p>
        </w:tc>
        <w:tc>
          <w:tcPr>
            <w:tcW w:w="5" w:type="pct"/>
            <w:vAlign w:val="center"/>
            <w:hideMark/>
          </w:tcPr>
          <w:p w14:paraId="627A5428" w14:textId="77777777" w:rsidR="00000000" w:rsidRDefault="00EE5306">
            <w:pPr>
              <w:spacing w:after="100"/>
              <w:rPr>
                <w:rFonts w:eastAsia="Times New Roman"/>
                <w:sz w:val="20"/>
                <w:szCs w:val="20"/>
              </w:rPr>
            </w:pPr>
          </w:p>
        </w:tc>
      </w:tr>
      <w:tr w:rsidR="00000000" w14:paraId="6A982793" w14:textId="77777777">
        <w:trPr>
          <w:divId w:val="2009403611"/>
        </w:trPr>
        <w:tc>
          <w:tcPr>
            <w:tcW w:w="0" w:type="auto"/>
            <w:gridSpan w:val="3"/>
            <w:tcBorders>
              <w:bottom w:val="single" w:sz="8" w:space="0" w:color="000000"/>
            </w:tcBorders>
            <w:tcMar>
              <w:top w:w="30" w:type="dxa"/>
              <w:left w:w="20" w:type="dxa"/>
              <w:bottom w:w="30" w:type="dxa"/>
              <w:right w:w="20" w:type="dxa"/>
            </w:tcMar>
            <w:vAlign w:val="bottom"/>
            <w:hideMark/>
          </w:tcPr>
          <w:p w14:paraId="0D2FE1E0" w14:textId="77777777" w:rsidR="00000000" w:rsidRDefault="00EE5306">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Borders>
              <w:bottom w:val="single" w:sz="8" w:space="0" w:color="000000"/>
            </w:tcBorders>
            <w:tcMar>
              <w:top w:w="30" w:type="dxa"/>
              <w:left w:w="20" w:type="dxa"/>
              <w:bottom w:w="30" w:type="dxa"/>
              <w:right w:w="20" w:type="dxa"/>
            </w:tcMar>
            <w:vAlign w:val="bottom"/>
            <w:hideMark/>
          </w:tcPr>
          <w:p w14:paraId="00F8F9EA" w14:textId="77777777" w:rsidR="00000000" w:rsidRDefault="00EE5306">
            <w:pPr>
              <w:spacing w:after="100"/>
              <w:jc w:val="center"/>
              <w:rPr>
                <w:rFonts w:eastAsia="Times New Roman"/>
              </w:rPr>
            </w:pPr>
            <w:r>
              <w:rPr>
                <w:rFonts w:eastAsia="Times New Roman"/>
                <w:b/>
                <w:bCs/>
                <w:color w:val="000000"/>
                <w:sz w:val="16"/>
                <w:szCs w:val="16"/>
              </w:rPr>
              <w:t>Description</w:t>
            </w:r>
          </w:p>
        </w:tc>
      </w:tr>
      <w:tr w:rsidR="00000000" w14:paraId="76BC26C5" w14:textId="77777777">
        <w:trPr>
          <w:divId w:val="2009403611"/>
        </w:trPr>
        <w:tc>
          <w:tcPr>
            <w:tcW w:w="0" w:type="auto"/>
            <w:gridSpan w:val="3"/>
            <w:tcMar>
              <w:top w:w="30" w:type="dxa"/>
              <w:left w:w="20" w:type="dxa"/>
              <w:bottom w:w="30" w:type="dxa"/>
              <w:right w:w="20" w:type="dxa"/>
            </w:tcMar>
            <w:hideMark/>
          </w:tcPr>
          <w:p w14:paraId="6A331AA0" w14:textId="77777777" w:rsidR="00000000" w:rsidRDefault="00EE5306">
            <w:pPr>
              <w:spacing w:after="100"/>
              <w:jc w:val="center"/>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vAlign w:val="bottom"/>
            <w:hideMark/>
          </w:tcPr>
          <w:p w14:paraId="45916AD4" w14:textId="77777777" w:rsidR="00000000" w:rsidRDefault="00EE5306">
            <w:pPr>
              <w:spacing w:after="100"/>
              <w:jc w:val="both"/>
              <w:rPr>
                <w:rFonts w:eastAsia="Times New Roman"/>
              </w:rPr>
            </w:pPr>
            <w:hyperlink r:id="rId25" w:history="1">
              <w:r>
                <w:rPr>
                  <w:rStyle w:val="a3"/>
                  <w:rFonts w:eastAsia="Times New Roman"/>
                  <w:sz w:val="20"/>
                  <w:szCs w:val="20"/>
                </w:rPr>
                <w:t xml:space="preserve">Amended and Restated Employment Agreement, effective as of April 4, 2016, between the Company and Valérie Hermann (filed as Exhibit 10.1 to the Form 8-K </w:t>
              </w:r>
              <w:r>
                <w:rPr>
                  <w:rStyle w:val="a3"/>
                  <w:rFonts w:eastAsia="Times New Roman"/>
                  <w:sz w:val="20"/>
                  <w:szCs w:val="20"/>
                </w:rPr>
                <w:t>filed May 4, 2016)†</w:t>
              </w:r>
            </w:hyperlink>
          </w:p>
        </w:tc>
      </w:tr>
      <w:tr w:rsidR="00000000" w14:paraId="7E9597C3" w14:textId="77777777">
        <w:trPr>
          <w:divId w:val="2009403611"/>
        </w:trPr>
        <w:tc>
          <w:tcPr>
            <w:tcW w:w="0" w:type="auto"/>
            <w:gridSpan w:val="3"/>
            <w:tcMar>
              <w:top w:w="30" w:type="dxa"/>
              <w:left w:w="20" w:type="dxa"/>
              <w:bottom w:w="30" w:type="dxa"/>
              <w:right w:w="20" w:type="dxa"/>
            </w:tcMar>
            <w:hideMark/>
          </w:tcPr>
          <w:p w14:paraId="2B285904" w14:textId="77777777" w:rsidR="00000000" w:rsidRDefault="00EE5306">
            <w:pPr>
              <w:spacing w:after="100"/>
              <w:jc w:val="center"/>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hideMark/>
          </w:tcPr>
          <w:p w14:paraId="45EBB543" w14:textId="77777777" w:rsidR="00000000" w:rsidRDefault="00EE5306">
            <w:pPr>
              <w:spacing w:after="100"/>
              <w:jc w:val="both"/>
              <w:rPr>
                <w:rFonts w:eastAsia="Times New Roman"/>
              </w:rPr>
            </w:pPr>
            <w:hyperlink r:id="rId26" w:history="1">
              <w:r>
                <w:rPr>
                  <w:rStyle w:val="a3"/>
                  <w:rFonts w:eastAsia="Times New Roman"/>
                  <w:sz w:val="20"/>
                  <w:szCs w:val="20"/>
                </w:rPr>
                <w:t>Amendment No. 1 to the Amended and Restated Employment Agreement, dated as of November 9, 2016, between the Company and</w:t>
              </w:r>
              <w:r>
                <w:rPr>
                  <w:rStyle w:val="a3"/>
                  <w:rFonts w:eastAsia="Times New Roman"/>
                  <w:sz w:val="20"/>
                  <w:szCs w:val="20"/>
                </w:rPr>
                <w:t xml:space="preserve"> Valérie Hermann (filed as Exhibit 10.1 to the Form 10-Q for the quarterly period ended October 1, 2016)†</w:t>
              </w:r>
            </w:hyperlink>
          </w:p>
        </w:tc>
      </w:tr>
      <w:tr w:rsidR="00000000" w14:paraId="36B63113" w14:textId="77777777">
        <w:trPr>
          <w:divId w:val="2009403611"/>
        </w:trPr>
        <w:tc>
          <w:tcPr>
            <w:tcW w:w="0" w:type="auto"/>
            <w:gridSpan w:val="3"/>
            <w:tcMar>
              <w:top w:w="30" w:type="dxa"/>
              <w:left w:w="20" w:type="dxa"/>
              <w:bottom w:w="30" w:type="dxa"/>
              <w:right w:w="20" w:type="dxa"/>
            </w:tcMar>
            <w:hideMark/>
          </w:tcPr>
          <w:p w14:paraId="4BEC1E88" w14:textId="77777777" w:rsidR="00000000" w:rsidRDefault="00EE5306">
            <w:pPr>
              <w:spacing w:after="100"/>
              <w:jc w:val="center"/>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hideMark/>
          </w:tcPr>
          <w:p w14:paraId="3C5C29A3" w14:textId="77777777" w:rsidR="00000000" w:rsidRDefault="00EE5306">
            <w:pPr>
              <w:spacing w:after="100"/>
              <w:jc w:val="both"/>
              <w:rPr>
                <w:rFonts w:eastAsia="Times New Roman"/>
              </w:rPr>
            </w:pPr>
            <w:hyperlink r:id="rId27" w:history="1">
              <w:r>
                <w:rPr>
                  <w:rStyle w:val="a3"/>
                  <w:rFonts w:eastAsia="Times New Roman"/>
                  <w:sz w:val="20"/>
                  <w:szCs w:val="20"/>
                </w:rPr>
                <w:t xml:space="preserve">Employment Separation Agreement and </w:t>
              </w:r>
              <w:r>
                <w:rPr>
                  <w:rStyle w:val="a3"/>
                  <w:rFonts w:eastAsia="Times New Roman"/>
                  <w:sz w:val="20"/>
                  <w:szCs w:val="20"/>
                </w:rPr>
                <w:t>Release, between the Company and Valérie Hermann (filed as Exhibit 10.1 to the Form 8-K filed July 19, 2019)†</w:t>
              </w:r>
            </w:hyperlink>
          </w:p>
        </w:tc>
      </w:tr>
      <w:tr w:rsidR="00000000" w14:paraId="0EAA0576" w14:textId="77777777">
        <w:trPr>
          <w:divId w:val="2009403611"/>
        </w:trPr>
        <w:tc>
          <w:tcPr>
            <w:tcW w:w="0" w:type="auto"/>
            <w:gridSpan w:val="3"/>
            <w:tcMar>
              <w:top w:w="30" w:type="dxa"/>
              <w:left w:w="20" w:type="dxa"/>
              <w:bottom w:w="30" w:type="dxa"/>
              <w:right w:w="20" w:type="dxa"/>
            </w:tcMar>
            <w:hideMark/>
          </w:tcPr>
          <w:p w14:paraId="06857E19" w14:textId="77777777" w:rsidR="00000000" w:rsidRDefault="00EE5306">
            <w:pPr>
              <w:spacing w:after="100"/>
              <w:jc w:val="center"/>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hideMark/>
          </w:tcPr>
          <w:p w14:paraId="4A43308A" w14:textId="77777777" w:rsidR="00000000" w:rsidRDefault="00EE5306">
            <w:pPr>
              <w:spacing w:after="100"/>
              <w:jc w:val="both"/>
              <w:rPr>
                <w:rFonts w:eastAsia="Times New Roman"/>
              </w:rPr>
            </w:pPr>
            <w:hyperlink r:id="rId28" w:history="1">
              <w:r>
                <w:rPr>
                  <w:rStyle w:val="a3"/>
                  <w:rFonts w:eastAsia="Times New Roman"/>
                  <w:sz w:val="20"/>
                  <w:szCs w:val="20"/>
                </w:rPr>
                <w:t xml:space="preserve">Amendment No. 1 to the Employment Separation Agreement and Release, effective as of November 6, 2019, between the Company and Valérie Hermann (filed </w:t>
              </w:r>
              <w:r>
                <w:rPr>
                  <w:rStyle w:val="a3"/>
                  <w:rFonts w:eastAsia="Times New Roman"/>
                  <w:sz w:val="20"/>
                  <w:szCs w:val="20"/>
                </w:rPr>
                <w:t>as Exhibit 10.1 to the Form 10-Q for the quarterly period ended September 28, 2019)†</w:t>
              </w:r>
            </w:hyperlink>
          </w:p>
        </w:tc>
      </w:tr>
      <w:tr w:rsidR="00000000" w14:paraId="491CFFF6" w14:textId="77777777">
        <w:trPr>
          <w:divId w:val="2009403611"/>
        </w:trPr>
        <w:tc>
          <w:tcPr>
            <w:tcW w:w="0" w:type="auto"/>
            <w:gridSpan w:val="3"/>
            <w:tcMar>
              <w:top w:w="30" w:type="dxa"/>
              <w:left w:w="20" w:type="dxa"/>
              <w:bottom w:w="30" w:type="dxa"/>
              <w:right w:w="20" w:type="dxa"/>
            </w:tcMar>
            <w:hideMark/>
          </w:tcPr>
          <w:p w14:paraId="2BA045DA" w14:textId="77777777" w:rsidR="00000000" w:rsidRDefault="00EE5306">
            <w:pPr>
              <w:spacing w:after="100"/>
              <w:jc w:val="center"/>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hideMark/>
          </w:tcPr>
          <w:p w14:paraId="3EA488B3" w14:textId="77777777" w:rsidR="00000000" w:rsidRDefault="00EE5306">
            <w:pPr>
              <w:spacing w:after="100"/>
              <w:jc w:val="both"/>
              <w:rPr>
                <w:rFonts w:eastAsia="Times New Roman"/>
              </w:rPr>
            </w:pPr>
            <w:hyperlink r:id="rId29" w:history="1">
              <w:r>
                <w:rPr>
                  <w:rStyle w:val="a3"/>
                  <w:rFonts w:eastAsia="Times New Roman"/>
                  <w:sz w:val="20"/>
                  <w:szCs w:val="20"/>
                </w:rPr>
                <w:t>Amended and Restated Employment Agreement, dated February</w:t>
              </w:r>
              <w:r>
                <w:rPr>
                  <w:rStyle w:val="a3"/>
                  <w:rFonts w:eastAsia="Times New Roman"/>
                  <w:sz w:val="20"/>
                  <w:szCs w:val="20"/>
                </w:rPr>
                <w:t xml:space="preserve"> 28, 2019, between the Company and Jane Nielsen (filed as Exhibit 10.1 to the Form 8-K filed March 1, 2019)†</w:t>
              </w:r>
            </w:hyperlink>
          </w:p>
        </w:tc>
      </w:tr>
      <w:tr w:rsidR="00000000" w14:paraId="7EDAAB83" w14:textId="77777777">
        <w:trPr>
          <w:divId w:val="2009403611"/>
        </w:trPr>
        <w:tc>
          <w:tcPr>
            <w:tcW w:w="0" w:type="auto"/>
            <w:gridSpan w:val="3"/>
            <w:tcMar>
              <w:top w:w="30" w:type="dxa"/>
              <w:left w:w="20" w:type="dxa"/>
              <w:bottom w:w="30" w:type="dxa"/>
              <w:right w:w="20" w:type="dxa"/>
            </w:tcMar>
            <w:hideMark/>
          </w:tcPr>
          <w:p w14:paraId="78945E66" w14:textId="77777777" w:rsidR="00000000" w:rsidRDefault="00EE5306">
            <w:pPr>
              <w:spacing w:after="100"/>
              <w:jc w:val="center"/>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hideMark/>
          </w:tcPr>
          <w:p w14:paraId="6EF66DAE" w14:textId="77777777" w:rsidR="00000000" w:rsidRDefault="00EE5306">
            <w:pPr>
              <w:spacing w:after="100"/>
              <w:jc w:val="both"/>
              <w:rPr>
                <w:rFonts w:eastAsia="Times New Roman"/>
              </w:rPr>
            </w:pPr>
            <w:hyperlink r:id="rId30" w:history="1">
              <w:r>
                <w:rPr>
                  <w:rStyle w:val="a3"/>
                  <w:rFonts w:eastAsia="Times New Roman"/>
                  <w:sz w:val="20"/>
                  <w:szCs w:val="20"/>
                </w:rPr>
                <w:t>Amendment No. 1 to the Amende</w:t>
              </w:r>
              <w:r>
                <w:rPr>
                  <w:rStyle w:val="a3"/>
                  <w:rFonts w:eastAsia="Times New Roman"/>
                  <w:sz w:val="20"/>
                  <w:szCs w:val="20"/>
                </w:rPr>
                <w:t>d and Restated Employment Agreement, dated June 17, 2020, between the Company and Jane Nielsen (filed as Exhibit 10.3 to the Form 10-Q filed August 4, 2020)†</w:t>
              </w:r>
            </w:hyperlink>
          </w:p>
        </w:tc>
      </w:tr>
      <w:tr w:rsidR="00000000" w14:paraId="0138F101" w14:textId="77777777">
        <w:trPr>
          <w:divId w:val="2009403611"/>
        </w:trPr>
        <w:tc>
          <w:tcPr>
            <w:tcW w:w="0" w:type="auto"/>
            <w:gridSpan w:val="3"/>
            <w:tcMar>
              <w:top w:w="30" w:type="dxa"/>
              <w:left w:w="20" w:type="dxa"/>
              <w:bottom w:w="30" w:type="dxa"/>
              <w:right w:w="20" w:type="dxa"/>
            </w:tcMar>
            <w:hideMark/>
          </w:tcPr>
          <w:p w14:paraId="25F2B1CF" w14:textId="77777777" w:rsidR="00000000" w:rsidRDefault="00EE5306">
            <w:pPr>
              <w:spacing w:after="100"/>
              <w:jc w:val="center"/>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hideMark/>
          </w:tcPr>
          <w:p w14:paraId="6A9C175B" w14:textId="77777777" w:rsidR="00000000" w:rsidRDefault="00EE5306">
            <w:pPr>
              <w:spacing w:after="100"/>
              <w:jc w:val="both"/>
              <w:rPr>
                <w:rFonts w:eastAsia="Times New Roman"/>
              </w:rPr>
            </w:pPr>
            <w:hyperlink r:id="rId31" w:history="1">
              <w:r>
                <w:rPr>
                  <w:rStyle w:val="a3"/>
                  <w:rFonts w:eastAsia="Times New Roman"/>
                  <w:sz w:val="20"/>
                  <w:szCs w:val="20"/>
                </w:rPr>
                <w:t>Amended and Restated Employment Agreement, effective as of March 31, 2019, between the Company and Howard Smith (filed as Exhibit 10.11 to the Fiscal 2020 10-K)†</w:t>
              </w:r>
            </w:hyperlink>
          </w:p>
        </w:tc>
      </w:tr>
      <w:tr w:rsidR="00000000" w14:paraId="50642284" w14:textId="77777777">
        <w:trPr>
          <w:divId w:val="2009403611"/>
        </w:trPr>
        <w:tc>
          <w:tcPr>
            <w:tcW w:w="0" w:type="auto"/>
            <w:gridSpan w:val="3"/>
            <w:tcMar>
              <w:top w:w="30" w:type="dxa"/>
              <w:left w:w="20" w:type="dxa"/>
              <w:bottom w:w="30" w:type="dxa"/>
              <w:right w:w="20" w:type="dxa"/>
            </w:tcMar>
            <w:hideMark/>
          </w:tcPr>
          <w:p w14:paraId="008258E8" w14:textId="77777777" w:rsidR="00000000" w:rsidRDefault="00EE5306">
            <w:pPr>
              <w:spacing w:after="100"/>
              <w:jc w:val="center"/>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vAlign w:val="bottom"/>
            <w:hideMark/>
          </w:tcPr>
          <w:p w14:paraId="23996FD6" w14:textId="77777777" w:rsidR="00000000" w:rsidRDefault="00EE5306">
            <w:pPr>
              <w:spacing w:after="100"/>
              <w:jc w:val="both"/>
              <w:rPr>
                <w:rFonts w:eastAsia="Times New Roman"/>
              </w:rPr>
            </w:pPr>
            <w:hyperlink r:id="rId32" w:history="1">
              <w:r>
                <w:rPr>
                  <w:rStyle w:val="a3"/>
                  <w:rFonts w:eastAsia="Times New Roman"/>
                  <w:sz w:val="20"/>
                  <w:szCs w:val="20"/>
                </w:rPr>
                <w:t>Restricted Stock Unit Award Agreement, dated as of June 8, 2004, between the Company and Ralph Lauren (filed as Exhibit 10.15 to the Company's Annual Report on Form 10-K for the fiscal year ended April 2, 2005)†</w:t>
              </w:r>
            </w:hyperlink>
          </w:p>
        </w:tc>
      </w:tr>
      <w:tr w:rsidR="00000000" w14:paraId="7842FC13" w14:textId="77777777">
        <w:trPr>
          <w:divId w:val="2009403611"/>
        </w:trPr>
        <w:tc>
          <w:tcPr>
            <w:tcW w:w="0" w:type="auto"/>
            <w:gridSpan w:val="3"/>
            <w:tcMar>
              <w:top w:w="30" w:type="dxa"/>
              <w:left w:w="20" w:type="dxa"/>
              <w:bottom w:w="30" w:type="dxa"/>
              <w:right w:w="20" w:type="dxa"/>
            </w:tcMar>
            <w:hideMark/>
          </w:tcPr>
          <w:p w14:paraId="2C8D153B" w14:textId="77777777" w:rsidR="00000000" w:rsidRDefault="00EE5306">
            <w:pPr>
              <w:spacing w:after="100"/>
              <w:jc w:val="center"/>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hideMark/>
          </w:tcPr>
          <w:p w14:paraId="3B74508D" w14:textId="77777777" w:rsidR="00000000" w:rsidRDefault="00EE5306">
            <w:pPr>
              <w:spacing w:after="100"/>
              <w:jc w:val="both"/>
              <w:rPr>
                <w:rFonts w:eastAsia="Times New Roman"/>
              </w:rPr>
            </w:pPr>
            <w:hyperlink r:id="rId33" w:history="1">
              <w:r>
                <w:rPr>
                  <w:rStyle w:val="a3"/>
                  <w:rFonts w:eastAsia="Times New Roman"/>
                  <w:sz w:val="20"/>
                  <w:szCs w:val="20"/>
                </w:rPr>
                <w:t>Executive Officer Annual Incentive Plan, as amended as of August 10, 2017 (filed as Exhibit 10.2 to the Form 10-Q for the quarterly period ended July 1, 2017)†</w:t>
              </w:r>
            </w:hyperlink>
          </w:p>
        </w:tc>
      </w:tr>
      <w:tr w:rsidR="00000000" w14:paraId="5AB80A19" w14:textId="77777777">
        <w:trPr>
          <w:divId w:val="2009403611"/>
        </w:trPr>
        <w:tc>
          <w:tcPr>
            <w:tcW w:w="0" w:type="auto"/>
            <w:gridSpan w:val="3"/>
            <w:tcMar>
              <w:top w:w="30" w:type="dxa"/>
              <w:left w:w="20" w:type="dxa"/>
              <w:bottom w:w="30" w:type="dxa"/>
              <w:right w:w="20" w:type="dxa"/>
            </w:tcMar>
            <w:hideMark/>
          </w:tcPr>
          <w:p w14:paraId="3CCD505A" w14:textId="77777777" w:rsidR="00000000" w:rsidRDefault="00EE5306">
            <w:pPr>
              <w:spacing w:after="100"/>
              <w:jc w:val="center"/>
              <w:rPr>
                <w:rFonts w:eastAsia="Times New Roman"/>
              </w:rPr>
            </w:pPr>
            <w:r>
              <w:rPr>
                <w:rFonts w:eastAsia="Times New Roman"/>
                <w:color w:val="000000"/>
                <w:sz w:val="20"/>
                <w:szCs w:val="20"/>
              </w:rPr>
              <w:t>1</w:t>
            </w:r>
            <w:r>
              <w:rPr>
                <w:rFonts w:eastAsia="Times New Roman"/>
                <w:color w:val="000000"/>
                <w:sz w:val="20"/>
                <w:szCs w:val="20"/>
              </w:rPr>
              <w:t>0.17</w:t>
            </w:r>
          </w:p>
        </w:tc>
        <w:tc>
          <w:tcPr>
            <w:tcW w:w="0" w:type="auto"/>
            <w:gridSpan w:val="3"/>
            <w:tcMar>
              <w:top w:w="30" w:type="dxa"/>
              <w:left w:w="20" w:type="dxa"/>
              <w:bottom w:w="30" w:type="dxa"/>
              <w:right w:w="20" w:type="dxa"/>
            </w:tcMar>
            <w:hideMark/>
          </w:tcPr>
          <w:p w14:paraId="2B905275" w14:textId="77777777" w:rsidR="00000000" w:rsidRDefault="00EE5306">
            <w:pPr>
              <w:spacing w:after="100"/>
              <w:jc w:val="both"/>
              <w:rPr>
                <w:rFonts w:eastAsia="Times New Roman"/>
              </w:rPr>
            </w:pPr>
            <w:hyperlink r:id="rId34" w:history="1">
              <w:r>
                <w:rPr>
                  <w:rStyle w:val="a3"/>
                  <w:rFonts w:eastAsia="Times New Roman"/>
                  <w:sz w:val="20"/>
                  <w:szCs w:val="20"/>
                </w:rPr>
                <w:t>Executive Officer Annual Incentive Plan, as amended as of May 20, 2020 (filed as Exhibit 10.14 to the Fiscal 2020 10-K)†</w:t>
              </w:r>
            </w:hyperlink>
          </w:p>
        </w:tc>
      </w:tr>
      <w:tr w:rsidR="00000000" w14:paraId="47B7ACA8" w14:textId="77777777">
        <w:trPr>
          <w:divId w:val="2009403611"/>
        </w:trPr>
        <w:tc>
          <w:tcPr>
            <w:tcW w:w="0" w:type="auto"/>
            <w:gridSpan w:val="3"/>
            <w:tcMar>
              <w:top w:w="30" w:type="dxa"/>
              <w:left w:w="20" w:type="dxa"/>
              <w:bottom w:w="30" w:type="dxa"/>
              <w:right w:w="20" w:type="dxa"/>
            </w:tcMar>
            <w:hideMark/>
          </w:tcPr>
          <w:p w14:paraId="616858BE" w14:textId="77777777" w:rsidR="00000000" w:rsidRDefault="00EE5306">
            <w:pPr>
              <w:spacing w:after="100"/>
              <w:jc w:val="center"/>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vAlign w:val="bottom"/>
            <w:hideMark/>
          </w:tcPr>
          <w:p w14:paraId="7B214DEE" w14:textId="77777777" w:rsidR="00000000" w:rsidRDefault="00EE5306">
            <w:pPr>
              <w:spacing w:after="100"/>
              <w:jc w:val="both"/>
              <w:rPr>
                <w:rFonts w:eastAsia="Times New Roman"/>
              </w:rPr>
            </w:pPr>
            <w:hyperlink r:id="rId35" w:history="1">
              <w:r>
                <w:rPr>
                  <w:rStyle w:val="a3"/>
                  <w:rFonts w:eastAsia="Times New Roman"/>
                  <w:sz w:val="20"/>
                  <w:szCs w:val="20"/>
                </w:rPr>
                <w:t>1997 Long-Term Stock Incentive Plan, as Amended and Restated as of August 12, 2004 (filed as Exhibit 99.1 to the Form 8-K filed October 4, 2004)†</w:t>
              </w:r>
            </w:hyperlink>
          </w:p>
        </w:tc>
      </w:tr>
      <w:tr w:rsidR="00000000" w14:paraId="0BCA404C" w14:textId="77777777">
        <w:trPr>
          <w:divId w:val="2009403611"/>
        </w:trPr>
        <w:tc>
          <w:tcPr>
            <w:tcW w:w="0" w:type="auto"/>
            <w:gridSpan w:val="3"/>
            <w:tcMar>
              <w:top w:w="30" w:type="dxa"/>
              <w:left w:w="20" w:type="dxa"/>
              <w:bottom w:w="30" w:type="dxa"/>
              <w:right w:w="20" w:type="dxa"/>
            </w:tcMar>
            <w:hideMark/>
          </w:tcPr>
          <w:p w14:paraId="6C6772FC" w14:textId="77777777" w:rsidR="00000000" w:rsidRDefault="00EE5306">
            <w:pPr>
              <w:spacing w:after="100"/>
              <w:jc w:val="center"/>
              <w:rPr>
                <w:rFonts w:eastAsia="Times New Roman"/>
              </w:rPr>
            </w:pPr>
            <w:r>
              <w:rPr>
                <w:rFonts w:eastAsia="Times New Roman"/>
                <w:color w:val="000000"/>
                <w:sz w:val="20"/>
                <w:szCs w:val="20"/>
              </w:rPr>
              <w:t>1</w:t>
            </w:r>
            <w:r>
              <w:rPr>
                <w:rFonts w:eastAsia="Times New Roman"/>
                <w:color w:val="000000"/>
                <w:sz w:val="20"/>
                <w:szCs w:val="20"/>
              </w:rPr>
              <w:t>0.19</w:t>
            </w:r>
          </w:p>
        </w:tc>
        <w:tc>
          <w:tcPr>
            <w:tcW w:w="0" w:type="auto"/>
            <w:gridSpan w:val="3"/>
            <w:tcMar>
              <w:top w:w="30" w:type="dxa"/>
              <w:left w:w="20" w:type="dxa"/>
              <w:bottom w:w="30" w:type="dxa"/>
              <w:right w:w="20" w:type="dxa"/>
            </w:tcMar>
            <w:hideMark/>
          </w:tcPr>
          <w:p w14:paraId="57B31219" w14:textId="77777777" w:rsidR="00000000" w:rsidRDefault="00EE5306">
            <w:pPr>
              <w:spacing w:after="100"/>
              <w:jc w:val="both"/>
              <w:rPr>
                <w:rFonts w:eastAsia="Times New Roman"/>
              </w:rPr>
            </w:pPr>
            <w:hyperlink r:id="rId36" w:history="1">
              <w:r>
                <w:rPr>
                  <w:rStyle w:val="a3"/>
                  <w:rFonts w:eastAsia="Times New Roman"/>
                  <w:sz w:val="20"/>
                  <w:szCs w:val="20"/>
                </w:rPr>
                <w:t>Amendment, as of June 30, 2006, to the 1997 Long-Term Stock Incentive Plan, as Amended and Restated as of August 12, 2004 (filed as Exhibit 10.4 to t</w:t>
              </w:r>
              <w:r>
                <w:rPr>
                  <w:rStyle w:val="a3"/>
                  <w:rFonts w:eastAsia="Times New Roman"/>
                  <w:sz w:val="20"/>
                  <w:szCs w:val="20"/>
                </w:rPr>
                <w:t>he Form 10-Q for the quarterly period ended July 1, 2006)†</w:t>
              </w:r>
            </w:hyperlink>
          </w:p>
        </w:tc>
      </w:tr>
      <w:tr w:rsidR="00000000" w14:paraId="61C719B1" w14:textId="77777777">
        <w:trPr>
          <w:divId w:val="2009403611"/>
        </w:trPr>
        <w:tc>
          <w:tcPr>
            <w:tcW w:w="0" w:type="auto"/>
            <w:gridSpan w:val="3"/>
            <w:tcMar>
              <w:top w:w="30" w:type="dxa"/>
              <w:left w:w="20" w:type="dxa"/>
              <w:bottom w:w="30" w:type="dxa"/>
              <w:right w:w="20" w:type="dxa"/>
            </w:tcMar>
            <w:hideMark/>
          </w:tcPr>
          <w:p w14:paraId="691156B5" w14:textId="77777777" w:rsidR="00000000" w:rsidRDefault="00EE5306">
            <w:pPr>
              <w:spacing w:after="100"/>
              <w:jc w:val="center"/>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hideMark/>
          </w:tcPr>
          <w:p w14:paraId="5938594F" w14:textId="77777777" w:rsidR="00000000" w:rsidRDefault="00EE5306">
            <w:pPr>
              <w:spacing w:after="100"/>
              <w:jc w:val="both"/>
              <w:rPr>
                <w:rFonts w:eastAsia="Times New Roman"/>
              </w:rPr>
            </w:pPr>
            <w:hyperlink r:id="rId37" w:history="1">
              <w:r>
                <w:rPr>
                  <w:rStyle w:val="a3"/>
                  <w:rFonts w:eastAsia="Times New Roman"/>
                  <w:sz w:val="20"/>
                  <w:szCs w:val="20"/>
                </w:rPr>
                <w:t>Amendment No. 2, dated as of May 21, 2009, to the 1997 Long-Term Stock Incentive Plan</w:t>
              </w:r>
              <w:r>
                <w:rPr>
                  <w:rStyle w:val="a3"/>
                  <w:rFonts w:eastAsia="Times New Roman"/>
                  <w:sz w:val="20"/>
                  <w:szCs w:val="20"/>
                </w:rPr>
                <w:t>, as Amended and Restated as of August 12, 2004 (filed as Exhibit 10.26 to the Company's Annual Report on Form 10-K for the fiscal year ended March 28, 2009)†</w:t>
              </w:r>
            </w:hyperlink>
          </w:p>
        </w:tc>
      </w:tr>
      <w:tr w:rsidR="00000000" w14:paraId="3B526DD7" w14:textId="77777777">
        <w:trPr>
          <w:divId w:val="2009403611"/>
        </w:trPr>
        <w:tc>
          <w:tcPr>
            <w:tcW w:w="0" w:type="auto"/>
            <w:gridSpan w:val="3"/>
            <w:tcMar>
              <w:top w:w="30" w:type="dxa"/>
              <w:left w:w="20" w:type="dxa"/>
              <w:bottom w:w="30" w:type="dxa"/>
              <w:right w:w="20" w:type="dxa"/>
            </w:tcMar>
            <w:hideMark/>
          </w:tcPr>
          <w:p w14:paraId="2E318E04" w14:textId="77777777" w:rsidR="00000000" w:rsidRDefault="00EE5306">
            <w:pPr>
              <w:spacing w:after="100"/>
              <w:jc w:val="center"/>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hideMark/>
          </w:tcPr>
          <w:p w14:paraId="3E220CD0" w14:textId="77777777" w:rsidR="00000000" w:rsidRDefault="00EE5306">
            <w:pPr>
              <w:spacing w:after="100"/>
              <w:jc w:val="both"/>
              <w:rPr>
                <w:rFonts w:eastAsia="Times New Roman"/>
              </w:rPr>
            </w:pPr>
            <w:hyperlink r:id="rId38" w:history="1">
              <w:r>
                <w:rPr>
                  <w:rStyle w:val="a3"/>
                  <w:rFonts w:eastAsia="Times New Roman"/>
                  <w:sz w:val="20"/>
                  <w:szCs w:val="20"/>
                </w:rPr>
                <w:t>Amended and Restated 2010 Long-Term Incentive Plan, amended as of August 11, 2016 (filed as Exhibit 10.4 to the Form 10-Q for the quarterly period en</w:t>
              </w:r>
              <w:r>
                <w:rPr>
                  <w:rStyle w:val="a3"/>
                  <w:rFonts w:eastAsia="Times New Roman"/>
                  <w:sz w:val="20"/>
                  <w:szCs w:val="20"/>
                </w:rPr>
                <w:t>ded July 2, 2016)†</w:t>
              </w:r>
            </w:hyperlink>
          </w:p>
        </w:tc>
      </w:tr>
      <w:tr w:rsidR="00000000" w14:paraId="1A429C46" w14:textId="77777777">
        <w:trPr>
          <w:divId w:val="2009403611"/>
        </w:trPr>
        <w:tc>
          <w:tcPr>
            <w:tcW w:w="0" w:type="auto"/>
            <w:gridSpan w:val="3"/>
            <w:tcMar>
              <w:top w:w="30" w:type="dxa"/>
              <w:left w:w="20" w:type="dxa"/>
              <w:bottom w:w="30" w:type="dxa"/>
              <w:right w:w="20" w:type="dxa"/>
            </w:tcMar>
            <w:hideMark/>
          </w:tcPr>
          <w:p w14:paraId="644CA89F" w14:textId="77777777" w:rsidR="00000000" w:rsidRDefault="00EE5306">
            <w:pPr>
              <w:spacing w:after="100"/>
              <w:jc w:val="center"/>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hideMark/>
          </w:tcPr>
          <w:p w14:paraId="6BEDBB98" w14:textId="77777777" w:rsidR="00000000" w:rsidRDefault="00EE5306">
            <w:pPr>
              <w:spacing w:after="100"/>
              <w:jc w:val="both"/>
              <w:rPr>
                <w:rFonts w:eastAsia="Times New Roman"/>
              </w:rPr>
            </w:pPr>
            <w:hyperlink r:id="rId39" w:anchor="tx729878_104" w:history="1">
              <w:r>
                <w:rPr>
                  <w:rStyle w:val="a3"/>
                  <w:rFonts w:eastAsia="Times New Roman"/>
                  <w:sz w:val="20"/>
                  <w:szCs w:val="20"/>
                </w:rPr>
                <w:t>2019 Long-Term Stock Incentive Plan (filed as Appendix C to the Company's Definitive Proxy Statement dated June 21, 2019)†</w:t>
              </w:r>
            </w:hyperlink>
          </w:p>
        </w:tc>
      </w:tr>
      <w:tr w:rsidR="00000000" w14:paraId="4086A8BA" w14:textId="77777777">
        <w:trPr>
          <w:divId w:val="2009403611"/>
        </w:trPr>
        <w:tc>
          <w:tcPr>
            <w:tcW w:w="0" w:type="auto"/>
            <w:gridSpan w:val="3"/>
            <w:tcMar>
              <w:top w:w="30" w:type="dxa"/>
              <w:left w:w="20" w:type="dxa"/>
              <w:bottom w:w="30" w:type="dxa"/>
              <w:right w:w="20" w:type="dxa"/>
            </w:tcMar>
            <w:hideMark/>
          </w:tcPr>
          <w:p w14:paraId="0871EC32" w14:textId="77777777" w:rsidR="00000000" w:rsidRDefault="00EE5306">
            <w:pPr>
              <w:spacing w:after="100"/>
              <w:jc w:val="center"/>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vAlign w:val="bottom"/>
            <w:hideMark/>
          </w:tcPr>
          <w:p w14:paraId="157EE793" w14:textId="77777777" w:rsidR="00000000" w:rsidRDefault="00EE5306">
            <w:pPr>
              <w:spacing w:after="100"/>
              <w:jc w:val="both"/>
              <w:rPr>
                <w:rFonts w:eastAsia="Times New Roman"/>
              </w:rPr>
            </w:pPr>
            <w:hyperlink r:id="rId40" w:history="1">
              <w:r>
                <w:rPr>
                  <w:rStyle w:val="a3"/>
                  <w:rFonts w:eastAsia="Times New Roman"/>
                  <w:sz w:val="20"/>
                  <w:szCs w:val="20"/>
                </w:rPr>
                <w:t>Cliff Restrict</w:t>
              </w:r>
              <w:r>
                <w:rPr>
                  <w:rStyle w:val="a3"/>
                  <w:rFonts w:eastAsia="Times New Roman"/>
                  <w:sz w:val="20"/>
                  <w:szCs w:val="20"/>
                </w:rPr>
                <w:t xml:space="preserve">ed Performance Share Unit Award Overview containing the standard terms of cliff restricted performance share unit awards under the Amended and Restated 2010 Long-Term Stock Incentive Plan (filed as Exhibit 10.25 to the Company's Annual Report on Form 10-K </w:t>
              </w:r>
              <w:r>
                <w:rPr>
                  <w:rStyle w:val="a3"/>
                  <w:rFonts w:eastAsia="Times New Roman"/>
                  <w:sz w:val="20"/>
                  <w:szCs w:val="20"/>
                </w:rPr>
                <w:t>for the fiscal year ended March 29, 2014 (the "Fiscal 2014 10-K"))†</w:t>
              </w:r>
            </w:hyperlink>
          </w:p>
        </w:tc>
      </w:tr>
      <w:tr w:rsidR="00000000" w14:paraId="0C2D28B4" w14:textId="77777777">
        <w:trPr>
          <w:divId w:val="2009403611"/>
        </w:trPr>
        <w:tc>
          <w:tcPr>
            <w:tcW w:w="0" w:type="auto"/>
            <w:gridSpan w:val="3"/>
            <w:tcMar>
              <w:top w:w="30" w:type="dxa"/>
              <w:left w:w="20" w:type="dxa"/>
              <w:bottom w:w="30" w:type="dxa"/>
              <w:right w:w="20" w:type="dxa"/>
            </w:tcMar>
            <w:hideMark/>
          </w:tcPr>
          <w:p w14:paraId="0903B580" w14:textId="77777777" w:rsidR="00000000" w:rsidRDefault="00EE5306">
            <w:pPr>
              <w:spacing w:after="100"/>
              <w:jc w:val="center"/>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hideMark/>
          </w:tcPr>
          <w:p w14:paraId="6E569F60" w14:textId="77777777" w:rsidR="00000000" w:rsidRDefault="00EE5306">
            <w:pPr>
              <w:spacing w:after="100"/>
              <w:jc w:val="both"/>
              <w:rPr>
                <w:rFonts w:eastAsia="Times New Roman"/>
              </w:rPr>
            </w:pPr>
            <w:hyperlink r:id="rId41" w:history="1">
              <w:r>
                <w:rPr>
                  <w:rStyle w:val="a3"/>
                  <w:rFonts w:eastAsia="Times New Roman"/>
                  <w:sz w:val="20"/>
                  <w:szCs w:val="20"/>
                </w:rPr>
                <w:t xml:space="preserve">Pro-Rata Restricted Performance Share Unit Award Overview containing </w:t>
              </w:r>
              <w:r>
                <w:rPr>
                  <w:rStyle w:val="a3"/>
                  <w:rFonts w:eastAsia="Times New Roman"/>
                  <w:sz w:val="20"/>
                  <w:szCs w:val="20"/>
                </w:rPr>
                <w:t>the standard terms of restricted performance share unit awards under the Amended and Restated 2010 Long-Term Stock Incentive Plan (filed as Exhibit 10.26 to the Fiscal 2014 10-K)†</w:t>
              </w:r>
            </w:hyperlink>
          </w:p>
        </w:tc>
      </w:tr>
      <w:tr w:rsidR="00000000" w14:paraId="7B4664DE" w14:textId="77777777">
        <w:trPr>
          <w:divId w:val="2009403611"/>
        </w:trPr>
        <w:tc>
          <w:tcPr>
            <w:tcW w:w="0" w:type="auto"/>
            <w:gridSpan w:val="3"/>
            <w:tcMar>
              <w:top w:w="30" w:type="dxa"/>
              <w:left w:w="20" w:type="dxa"/>
              <w:bottom w:w="30" w:type="dxa"/>
              <w:right w:w="20" w:type="dxa"/>
            </w:tcMar>
            <w:hideMark/>
          </w:tcPr>
          <w:p w14:paraId="3B7F3A90" w14:textId="77777777" w:rsidR="00000000" w:rsidRDefault="00EE5306">
            <w:pPr>
              <w:spacing w:after="100"/>
              <w:jc w:val="center"/>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hideMark/>
          </w:tcPr>
          <w:p w14:paraId="1AF6707E" w14:textId="77777777" w:rsidR="00000000" w:rsidRDefault="00EE5306">
            <w:pPr>
              <w:spacing w:after="100"/>
              <w:jc w:val="both"/>
              <w:rPr>
                <w:rFonts w:eastAsia="Times New Roman"/>
              </w:rPr>
            </w:pPr>
            <w:hyperlink r:id="rId42" w:history="1">
              <w:r>
                <w:rPr>
                  <w:rStyle w:val="a3"/>
                  <w:rFonts w:eastAsia="Times New Roman"/>
                  <w:sz w:val="20"/>
                  <w:szCs w:val="20"/>
                </w:rPr>
                <w:t xml:space="preserve">Stock Option Award Overview containing the standard terms of stock option awards under the Amended and Restated 2010 Long-Term Stock Incentive Plan </w:t>
              </w:r>
              <w:r>
                <w:rPr>
                  <w:rStyle w:val="a3"/>
                  <w:rFonts w:eastAsia="Times New Roman"/>
                  <w:sz w:val="20"/>
                  <w:szCs w:val="20"/>
                </w:rPr>
                <w:t>(filed as Exhibit 10.27 to the Fiscal 2014 10-K)†</w:t>
              </w:r>
            </w:hyperlink>
          </w:p>
        </w:tc>
      </w:tr>
      <w:tr w:rsidR="00000000" w14:paraId="2832CB6B" w14:textId="77777777">
        <w:trPr>
          <w:divId w:val="2009403611"/>
        </w:trPr>
        <w:tc>
          <w:tcPr>
            <w:tcW w:w="0" w:type="auto"/>
            <w:gridSpan w:val="3"/>
            <w:tcMar>
              <w:top w:w="30" w:type="dxa"/>
              <w:left w:w="20" w:type="dxa"/>
              <w:bottom w:w="30" w:type="dxa"/>
              <w:right w:w="20" w:type="dxa"/>
            </w:tcMar>
            <w:hideMark/>
          </w:tcPr>
          <w:p w14:paraId="56988358" w14:textId="77777777" w:rsidR="00000000" w:rsidRDefault="00EE5306">
            <w:pPr>
              <w:spacing w:after="100"/>
              <w:jc w:val="center"/>
              <w:rPr>
                <w:rFonts w:eastAsia="Times New Roman"/>
              </w:rPr>
            </w:pPr>
            <w:r>
              <w:rPr>
                <w:rFonts w:eastAsia="Times New Roman"/>
                <w:color w:val="000000"/>
                <w:sz w:val="20"/>
                <w:szCs w:val="20"/>
              </w:rPr>
              <w:t>10.26</w:t>
            </w:r>
          </w:p>
        </w:tc>
        <w:tc>
          <w:tcPr>
            <w:tcW w:w="0" w:type="auto"/>
            <w:gridSpan w:val="3"/>
            <w:tcMar>
              <w:top w:w="30" w:type="dxa"/>
              <w:left w:w="20" w:type="dxa"/>
              <w:bottom w:w="30" w:type="dxa"/>
              <w:right w:w="20" w:type="dxa"/>
            </w:tcMar>
            <w:hideMark/>
          </w:tcPr>
          <w:p w14:paraId="33F3B9FC" w14:textId="77777777" w:rsidR="00000000" w:rsidRDefault="00EE5306">
            <w:pPr>
              <w:spacing w:after="100"/>
              <w:jc w:val="both"/>
              <w:rPr>
                <w:rFonts w:eastAsia="Times New Roman"/>
              </w:rPr>
            </w:pPr>
            <w:hyperlink r:id="rId43" w:history="1">
              <w:r>
                <w:rPr>
                  <w:rStyle w:val="a3"/>
                  <w:rFonts w:eastAsia="Times New Roman"/>
                  <w:sz w:val="20"/>
                  <w:szCs w:val="20"/>
                </w:rPr>
                <w:t>Cliff Restricted Performance Share Unit with TSR Modifier Award Overview containing the</w:t>
              </w:r>
              <w:r>
                <w:rPr>
                  <w:rStyle w:val="a3"/>
                  <w:rFonts w:eastAsia="Times New Roman"/>
                  <w:sz w:val="20"/>
                  <w:szCs w:val="20"/>
                </w:rPr>
                <w:t xml:space="preserve"> standard terms of cliff restricted performance share unit awards under the Amended and Restated 2010 Long-Term Stock Incentive Plan (filed as Exhibit 10.28 to the Fiscal 2014 10-K)†</w:t>
              </w:r>
            </w:hyperlink>
          </w:p>
        </w:tc>
      </w:tr>
      <w:tr w:rsidR="00000000" w14:paraId="2C688CAE" w14:textId="77777777">
        <w:trPr>
          <w:divId w:val="2009403611"/>
        </w:trPr>
        <w:tc>
          <w:tcPr>
            <w:tcW w:w="0" w:type="auto"/>
            <w:gridSpan w:val="3"/>
            <w:tcMar>
              <w:top w:w="30" w:type="dxa"/>
              <w:left w:w="20" w:type="dxa"/>
              <w:bottom w:w="30" w:type="dxa"/>
              <w:right w:w="20" w:type="dxa"/>
            </w:tcMar>
            <w:hideMark/>
          </w:tcPr>
          <w:p w14:paraId="3FB29DAA" w14:textId="77777777" w:rsidR="00000000" w:rsidRDefault="00EE5306">
            <w:pPr>
              <w:spacing w:after="100"/>
              <w:jc w:val="center"/>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vAlign w:val="bottom"/>
            <w:hideMark/>
          </w:tcPr>
          <w:p w14:paraId="42575BC6" w14:textId="77777777" w:rsidR="00000000" w:rsidRDefault="00EE5306">
            <w:pPr>
              <w:spacing w:after="100"/>
              <w:jc w:val="both"/>
              <w:rPr>
                <w:rFonts w:eastAsia="Times New Roman"/>
              </w:rPr>
            </w:pPr>
            <w:hyperlink r:id="rId44" w:history="1">
              <w:r>
                <w:rPr>
                  <w:rStyle w:val="a3"/>
                  <w:rFonts w:eastAsia="Times New Roman"/>
                  <w:sz w:val="20"/>
                  <w:szCs w:val="20"/>
                </w:rPr>
                <w:t>Form of Performance Share Unit Award Agreement under the Amended and Restated 2010 Long-Term Stock Incentive Plan (filed as Exhibit 10.38 to the Company's Annual Report on Form 10-K for the fiscal year ended Ma</w:t>
              </w:r>
              <w:r>
                <w:rPr>
                  <w:rStyle w:val="a3"/>
                  <w:rFonts w:eastAsia="Times New Roman"/>
                  <w:sz w:val="20"/>
                  <w:szCs w:val="20"/>
                </w:rPr>
                <w:t>rch 28, 2015 (the "Fiscal 2015 10-K"))†</w:t>
              </w:r>
            </w:hyperlink>
          </w:p>
        </w:tc>
      </w:tr>
      <w:tr w:rsidR="00000000" w14:paraId="5E9F358C" w14:textId="77777777">
        <w:trPr>
          <w:divId w:val="2009403611"/>
        </w:trPr>
        <w:tc>
          <w:tcPr>
            <w:tcW w:w="0" w:type="auto"/>
            <w:gridSpan w:val="3"/>
            <w:tcMar>
              <w:top w:w="30" w:type="dxa"/>
              <w:left w:w="20" w:type="dxa"/>
              <w:bottom w:w="30" w:type="dxa"/>
              <w:right w:w="20" w:type="dxa"/>
            </w:tcMar>
            <w:hideMark/>
          </w:tcPr>
          <w:p w14:paraId="41E9A935" w14:textId="77777777" w:rsidR="00000000" w:rsidRDefault="00EE5306">
            <w:pPr>
              <w:spacing w:after="100"/>
              <w:jc w:val="center"/>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14:paraId="3C0D205C" w14:textId="77777777" w:rsidR="00000000" w:rsidRDefault="00EE5306">
            <w:pPr>
              <w:spacing w:after="100"/>
              <w:jc w:val="both"/>
              <w:rPr>
                <w:rFonts w:eastAsia="Times New Roman"/>
              </w:rPr>
            </w:pPr>
            <w:hyperlink r:id="rId45" w:history="1">
              <w:r>
                <w:rPr>
                  <w:rStyle w:val="a3"/>
                  <w:rFonts w:eastAsia="Times New Roman"/>
                  <w:sz w:val="20"/>
                  <w:szCs w:val="20"/>
                </w:rPr>
                <w:t>Form of Performance-Based Restricted Stock Unit Award Agreement under the Amended and Restated 2010 Long-Term Stock Incentive Plan (filed as Exhibit</w:t>
              </w:r>
              <w:r>
                <w:rPr>
                  <w:rStyle w:val="a3"/>
                  <w:rFonts w:eastAsia="Times New Roman"/>
                  <w:sz w:val="20"/>
                  <w:szCs w:val="20"/>
                </w:rPr>
                <w:t xml:space="preserve"> 10.39 to the Fiscal 2015 10-K)†</w:t>
              </w:r>
            </w:hyperlink>
          </w:p>
        </w:tc>
      </w:tr>
      <w:tr w:rsidR="00000000" w14:paraId="54818ECD" w14:textId="77777777">
        <w:trPr>
          <w:divId w:val="2009403611"/>
        </w:trPr>
        <w:tc>
          <w:tcPr>
            <w:tcW w:w="0" w:type="auto"/>
            <w:gridSpan w:val="3"/>
            <w:tcMar>
              <w:top w:w="30" w:type="dxa"/>
              <w:left w:w="20" w:type="dxa"/>
              <w:bottom w:w="30" w:type="dxa"/>
              <w:right w:w="20" w:type="dxa"/>
            </w:tcMar>
            <w:hideMark/>
          </w:tcPr>
          <w:p w14:paraId="1CD62AAE" w14:textId="77777777" w:rsidR="00000000" w:rsidRDefault="00EE5306">
            <w:pPr>
              <w:spacing w:after="100"/>
              <w:jc w:val="center"/>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vAlign w:val="bottom"/>
            <w:hideMark/>
          </w:tcPr>
          <w:p w14:paraId="5F30217D" w14:textId="77777777" w:rsidR="00000000" w:rsidRDefault="00EE5306">
            <w:pPr>
              <w:spacing w:after="100"/>
              <w:jc w:val="both"/>
              <w:rPr>
                <w:rFonts w:eastAsia="Times New Roman"/>
              </w:rPr>
            </w:pPr>
            <w:hyperlink r:id="rId46" w:history="1">
              <w:r>
                <w:rPr>
                  <w:rStyle w:val="a3"/>
                  <w:rFonts w:eastAsia="Times New Roman"/>
                  <w:sz w:val="20"/>
                  <w:szCs w:val="20"/>
                </w:rPr>
                <w:t>Form of Restricted Stock Unit Award Agreement under the Amended and Restated 2010 Long-Term Stock Incenti</w:t>
              </w:r>
              <w:r>
                <w:rPr>
                  <w:rStyle w:val="a3"/>
                  <w:rFonts w:eastAsia="Times New Roman"/>
                  <w:sz w:val="20"/>
                  <w:szCs w:val="20"/>
                </w:rPr>
                <w:t>ve Plan (filed as Exhibit 10.1 to the Form 10-Q for the quarterly period ended June 27, 2015)†</w:t>
              </w:r>
            </w:hyperlink>
          </w:p>
        </w:tc>
      </w:tr>
      <w:tr w:rsidR="00000000" w14:paraId="2A00AD86" w14:textId="77777777">
        <w:trPr>
          <w:divId w:val="2009403611"/>
        </w:trPr>
        <w:tc>
          <w:tcPr>
            <w:tcW w:w="0" w:type="auto"/>
            <w:gridSpan w:val="3"/>
            <w:tcMar>
              <w:top w:w="30" w:type="dxa"/>
              <w:left w:w="20" w:type="dxa"/>
              <w:bottom w:w="30" w:type="dxa"/>
              <w:right w:w="20" w:type="dxa"/>
            </w:tcMar>
            <w:hideMark/>
          </w:tcPr>
          <w:p w14:paraId="095038E0" w14:textId="77777777" w:rsidR="00000000" w:rsidRDefault="00EE5306">
            <w:pPr>
              <w:spacing w:after="100"/>
              <w:jc w:val="center"/>
              <w:rPr>
                <w:rFonts w:eastAsia="Times New Roman"/>
              </w:rPr>
            </w:pPr>
            <w:r>
              <w:rPr>
                <w:rFonts w:eastAsia="Times New Roman"/>
                <w:color w:val="000000"/>
                <w:sz w:val="20"/>
                <w:szCs w:val="20"/>
              </w:rPr>
              <w:t>10.30</w:t>
            </w:r>
          </w:p>
        </w:tc>
        <w:tc>
          <w:tcPr>
            <w:tcW w:w="0" w:type="auto"/>
            <w:gridSpan w:val="3"/>
            <w:tcMar>
              <w:top w:w="30" w:type="dxa"/>
              <w:left w:w="20" w:type="dxa"/>
              <w:bottom w:w="30" w:type="dxa"/>
              <w:right w:w="20" w:type="dxa"/>
            </w:tcMar>
            <w:hideMark/>
          </w:tcPr>
          <w:p w14:paraId="65A29A27" w14:textId="77777777" w:rsidR="00000000" w:rsidRDefault="00EE5306">
            <w:pPr>
              <w:spacing w:after="100"/>
              <w:jc w:val="both"/>
              <w:rPr>
                <w:rFonts w:eastAsia="Times New Roman"/>
              </w:rPr>
            </w:pPr>
            <w:hyperlink r:id="rId47" w:history="1">
              <w:r>
                <w:rPr>
                  <w:rStyle w:val="a3"/>
                  <w:rFonts w:eastAsia="Times New Roman"/>
                  <w:sz w:val="20"/>
                  <w:szCs w:val="20"/>
                </w:rPr>
                <w:t>Performance Share Unit Award Overview containing the standard terms of performance share unit awards under the Amended and Restated 2010 Long-Term St</w:t>
              </w:r>
              <w:r>
                <w:rPr>
                  <w:rStyle w:val="a3"/>
                  <w:rFonts w:eastAsia="Times New Roman"/>
                  <w:sz w:val="20"/>
                  <w:szCs w:val="20"/>
                </w:rPr>
                <w:t>ock Incentive Plan (filed as Exhibit 10.1 to the Form 10-Q for the quarterly period ended September 30, 2017)†</w:t>
              </w:r>
            </w:hyperlink>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743D9D6F" w14:textId="77777777">
        <w:trPr>
          <w:jc w:val="center"/>
        </w:trPr>
        <w:tc>
          <w:tcPr>
            <w:tcW w:w="50" w:type="pct"/>
            <w:vAlign w:val="center"/>
            <w:hideMark/>
          </w:tcPr>
          <w:p w14:paraId="770DC1F9" w14:textId="77777777" w:rsidR="00000000" w:rsidRDefault="00EE5306">
            <w:pPr>
              <w:rPr>
                <w:rFonts w:eastAsia="Times New Roman"/>
              </w:rPr>
            </w:pPr>
          </w:p>
        </w:tc>
        <w:tc>
          <w:tcPr>
            <w:tcW w:w="1699" w:type="pct"/>
            <w:vAlign w:val="center"/>
            <w:hideMark/>
          </w:tcPr>
          <w:p w14:paraId="65D7548E" w14:textId="77777777" w:rsidR="00000000" w:rsidRDefault="00EE5306">
            <w:pPr>
              <w:spacing w:after="100"/>
              <w:rPr>
                <w:rFonts w:eastAsia="Times New Roman"/>
                <w:sz w:val="20"/>
                <w:szCs w:val="20"/>
              </w:rPr>
            </w:pPr>
          </w:p>
        </w:tc>
        <w:tc>
          <w:tcPr>
            <w:tcW w:w="5" w:type="pct"/>
            <w:vAlign w:val="center"/>
            <w:hideMark/>
          </w:tcPr>
          <w:p w14:paraId="10D3C965" w14:textId="77777777" w:rsidR="00000000" w:rsidRDefault="00EE5306">
            <w:pPr>
              <w:spacing w:after="100"/>
              <w:rPr>
                <w:rFonts w:eastAsia="Times New Roman"/>
                <w:sz w:val="20"/>
                <w:szCs w:val="20"/>
              </w:rPr>
            </w:pPr>
          </w:p>
        </w:tc>
        <w:tc>
          <w:tcPr>
            <w:tcW w:w="50" w:type="pct"/>
            <w:vAlign w:val="center"/>
            <w:hideMark/>
          </w:tcPr>
          <w:p w14:paraId="27E1DA32" w14:textId="77777777" w:rsidR="00000000" w:rsidRDefault="00EE5306">
            <w:pPr>
              <w:spacing w:after="100"/>
              <w:rPr>
                <w:rFonts w:eastAsia="Times New Roman"/>
                <w:sz w:val="20"/>
                <w:szCs w:val="20"/>
              </w:rPr>
            </w:pPr>
          </w:p>
        </w:tc>
        <w:tc>
          <w:tcPr>
            <w:tcW w:w="1436" w:type="pct"/>
            <w:vAlign w:val="center"/>
            <w:hideMark/>
          </w:tcPr>
          <w:p w14:paraId="1E7C73FA" w14:textId="77777777" w:rsidR="00000000" w:rsidRDefault="00EE5306">
            <w:pPr>
              <w:spacing w:after="100"/>
              <w:rPr>
                <w:rFonts w:eastAsia="Times New Roman"/>
                <w:sz w:val="20"/>
                <w:szCs w:val="20"/>
              </w:rPr>
            </w:pPr>
          </w:p>
        </w:tc>
        <w:tc>
          <w:tcPr>
            <w:tcW w:w="5" w:type="pct"/>
            <w:vAlign w:val="center"/>
            <w:hideMark/>
          </w:tcPr>
          <w:p w14:paraId="277A000F" w14:textId="77777777" w:rsidR="00000000" w:rsidRDefault="00EE5306">
            <w:pPr>
              <w:spacing w:after="100"/>
              <w:rPr>
                <w:rFonts w:eastAsia="Times New Roman"/>
                <w:sz w:val="20"/>
                <w:szCs w:val="20"/>
              </w:rPr>
            </w:pPr>
          </w:p>
        </w:tc>
        <w:tc>
          <w:tcPr>
            <w:tcW w:w="50" w:type="pct"/>
            <w:vAlign w:val="center"/>
            <w:hideMark/>
          </w:tcPr>
          <w:p w14:paraId="0E6108CF" w14:textId="77777777" w:rsidR="00000000" w:rsidRDefault="00EE5306">
            <w:pPr>
              <w:spacing w:after="100"/>
              <w:rPr>
                <w:rFonts w:eastAsia="Times New Roman"/>
                <w:sz w:val="20"/>
                <w:szCs w:val="20"/>
              </w:rPr>
            </w:pPr>
          </w:p>
        </w:tc>
        <w:tc>
          <w:tcPr>
            <w:tcW w:w="1699" w:type="pct"/>
            <w:vAlign w:val="center"/>
            <w:hideMark/>
          </w:tcPr>
          <w:p w14:paraId="3B9B9A02" w14:textId="77777777" w:rsidR="00000000" w:rsidRDefault="00EE5306">
            <w:pPr>
              <w:spacing w:after="100"/>
              <w:rPr>
                <w:rFonts w:eastAsia="Times New Roman"/>
                <w:sz w:val="20"/>
                <w:szCs w:val="20"/>
              </w:rPr>
            </w:pPr>
          </w:p>
        </w:tc>
        <w:tc>
          <w:tcPr>
            <w:tcW w:w="5" w:type="pct"/>
            <w:vAlign w:val="center"/>
            <w:hideMark/>
          </w:tcPr>
          <w:p w14:paraId="5B700A07" w14:textId="77777777" w:rsidR="00000000" w:rsidRDefault="00EE5306">
            <w:pPr>
              <w:spacing w:after="100"/>
              <w:rPr>
                <w:rFonts w:eastAsia="Times New Roman"/>
                <w:sz w:val="20"/>
                <w:szCs w:val="20"/>
              </w:rPr>
            </w:pPr>
          </w:p>
        </w:tc>
      </w:tr>
      <w:tr w:rsidR="00000000" w14:paraId="6A85C527" w14:textId="77777777">
        <w:trPr>
          <w:jc w:val="center"/>
        </w:trPr>
        <w:tc>
          <w:tcPr>
            <w:tcW w:w="0" w:type="auto"/>
            <w:gridSpan w:val="3"/>
            <w:tcMar>
              <w:top w:w="0" w:type="dxa"/>
              <w:left w:w="20" w:type="dxa"/>
              <w:bottom w:w="0" w:type="dxa"/>
              <w:right w:w="20" w:type="dxa"/>
            </w:tcMar>
            <w:vAlign w:val="center"/>
            <w:hideMark/>
          </w:tcPr>
          <w:p w14:paraId="7ACDA4EE"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E3D372C" w14:textId="77777777" w:rsidR="00000000" w:rsidRDefault="00EE5306">
            <w:pPr>
              <w:spacing w:after="100"/>
              <w:jc w:val="center"/>
              <w:rPr>
                <w:rFonts w:eastAsia="Times New Roman"/>
              </w:rPr>
            </w:pPr>
            <w:r>
              <w:rPr>
                <w:rFonts w:eastAsia="Times New Roman"/>
                <w:color w:val="000000"/>
                <w:sz w:val="20"/>
                <w:szCs w:val="20"/>
              </w:rPr>
              <w:t>79</w:t>
            </w:r>
          </w:p>
        </w:tc>
        <w:tc>
          <w:tcPr>
            <w:tcW w:w="0" w:type="auto"/>
            <w:gridSpan w:val="3"/>
            <w:tcMar>
              <w:top w:w="0" w:type="dxa"/>
              <w:left w:w="20" w:type="dxa"/>
              <w:bottom w:w="0" w:type="dxa"/>
              <w:right w:w="20" w:type="dxa"/>
            </w:tcMar>
            <w:vAlign w:val="center"/>
            <w:hideMark/>
          </w:tcPr>
          <w:p w14:paraId="4D7A5E70" w14:textId="77777777" w:rsidR="00000000" w:rsidRDefault="00EE5306">
            <w:pPr>
              <w:spacing w:after="100"/>
              <w:jc w:val="center"/>
              <w:rPr>
                <w:rFonts w:eastAsia="Times New Roman"/>
              </w:rPr>
            </w:pPr>
          </w:p>
        </w:tc>
      </w:tr>
    </w:tbl>
    <w:p w14:paraId="28E95A89" w14:textId="77777777" w:rsidR="00000000" w:rsidRDefault="00EE5306">
      <w:pPr>
        <w:rPr>
          <w:rFonts w:eastAsia="Times New Roman"/>
        </w:rPr>
      </w:pPr>
      <w:r>
        <w:rPr>
          <w:rFonts w:eastAsia="Times New Roman"/>
        </w:rPr>
        <w:pict w14:anchorId="6040E802">
          <v:rect id="_x0000_i1106" style="width:0;height:1.5pt" o:hralign="center" o:hrstd="t" o:hr="t" fillcolor="#a0a0a0" stroked="f"/>
        </w:pict>
      </w:r>
    </w:p>
    <w:p w14:paraId="1B430CCB" w14:textId="77777777" w:rsidR="00000000" w:rsidRDefault="00EE5306">
      <w:pPr>
        <w:divId w:val="28992789"/>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707"/>
        <w:gridCol w:w="36"/>
        <w:gridCol w:w="69"/>
        <w:gridCol w:w="7375"/>
        <w:gridCol w:w="37"/>
      </w:tblGrid>
      <w:tr w:rsidR="00000000" w14:paraId="722D23F0" w14:textId="77777777">
        <w:trPr>
          <w:divId w:val="292248333"/>
        </w:trPr>
        <w:tc>
          <w:tcPr>
            <w:tcW w:w="50" w:type="pct"/>
            <w:vAlign w:val="center"/>
            <w:hideMark/>
          </w:tcPr>
          <w:p w14:paraId="764E851C" w14:textId="77777777" w:rsidR="00000000" w:rsidRDefault="00EE5306">
            <w:pPr>
              <w:rPr>
                <w:rFonts w:eastAsia="Times New Roman"/>
              </w:rPr>
            </w:pPr>
          </w:p>
        </w:tc>
        <w:tc>
          <w:tcPr>
            <w:tcW w:w="435" w:type="pct"/>
            <w:vAlign w:val="center"/>
            <w:hideMark/>
          </w:tcPr>
          <w:p w14:paraId="3D557A4F" w14:textId="77777777" w:rsidR="00000000" w:rsidRDefault="00EE5306">
            <w:pPr>
              <w:spacing w:after="100"/>
              <w:rPr>
                <w:rFonts w:eastAsia="Times New Roman"/>
                <w:sz w:val="20"/>
                <w:szCs w:val="20"/>
              </w:rPr>
            </w:pPr>
          </w:p>
        </w:tc>
        <w:tc>
          <w:tcPr>
            <w:tcW w:w="5" w:type="pct"/>
            <w:vAlign w:val="center"/>
            <w:hideMark/>
          </w:tcPr>
          <w:p w14:paraId="1341FB59" w14:textId="77777777" w:rsidR="00000000" w:rsidRDefault="00EE5306">
            <w:pPr>
              <w:spacing w:after="100"/>
              <w:rPr>
                <w:rFonts w:eastAsia="Times New Roman"/>
                <w:sz w:val="20"/>
                <w:szCs w:val="20"/>
              </w:rPr>
            </w:pPr>
          </w:p>
        </w:tc>
        <w:tc>
          <w:tcPr>
            <w:tcW w:w="50" w:type="pct"/>
            <w:vAlign w:val="center"/>
            <w:hideMark/>
          </w:tcPr>
          <w:p w14:paraId="65544638" w14:textId="77777777" w:rsidR="00000000" w:rsidRDefault="00EE5306">
            <w:pPr>
              <w:spacing w:after="100"/>
              <w:rPr>
                <w:rFonts w:eastAsia="Times New Roman"/>
                <w:sz w:val="20"/>
                <w:szCs w:val="20"/>
              </w:rPr>
            </w:pPr>
          </w:p>
        </w:tc>
        <w:tc>
          <w:tcPr>
            <w:tcW w:w="4454" w:type="pct"/>
            <w:vAlign w:val="center"/>
            <w:hideMark/>
          </w:tcPr>
          <w:p w14:paraId="6D16B7B8" w14:textId="77777777" w:rsidR="00000000" w:rsidRDefault="00EE5306">
            <w:pPr>
              <w:spacing w:after="100"/>
              <w:rPr>
                <w:rFonts w:eastAsia="Times New Roman"/>
                <w:sz w:val="20"/>
                <w:szCs w:val="20"/>
              </w:rPr>
            </w:pPr>
          </w:p>
        </w:tc>
        <w:tc>
          <w:tcPr>
            <w:tcW w:w="5" w:type="pct"/>
            <w:vAlign w:val="center"/>
            <w:hideMark/>
          </w:tcPr>
          <w:p w14:paraId="1B9304D5" w14:textId="77777777" w:rsidR="00000000" w:rsidRDefault="00EE5306">
            <w:pPr>
              <w:spacing w:after="100"/>
              <w:rPr>
                <w:rFonts w:eastAsia="Times New Roman"/>
                <w:sz w:val="20"/>
                <w:szCs w:val="20"/>
              </w:rPr>
            </w:pPr>
          </w:p>
        </w:tc>
      </w:tr>
      <w:tr w:rsidR="00000000" w14:paraId="0647DFDA" w14:textId="77777777">
        <w:trPr>
          <w:divId w:val="292248333"/>
        </w:trPr>
        <w:tc>
          <w:tcPr>
            <w:tcW w:w="0" w:type="auto"/>
            <w:gridSpan w:val="3"/>
            <w:tcBorders>
              <w:bottom w:val="single" w:sz="8" w:space="0" w:color="000000"/>
            </w:tcBorders>
            <w:tcMar>
              <w:top w:w="30" w:type="dxa"/>
              <w:left w:w="20" w:type="dxa"/>
              <w:bottom w:w="30" w:type="dxa"/>
              <w:right w:w="20" w:type="dxa"/>
            </w:tcMar>
            <w:vAlign w:val="bottom"/>
            <w:hideMark/>
          </w:tcPr>
          <w:p w14:paraId="48C88FBE" w14:textId="77777777" w:rsidR="00000000" w:rsidRDefault="00EE5306">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Borders>
              <w:bottom w:val="single" w:sz="8" w:space="0" w:color="000000"/>
            </w:tcBorders>
            <w:tcMar>
              <w:top w:w="30" w:type="dxa"/>
              <w:left w:w="20" w:type="dxa"/>
              <w:bottom w:w="30" w:type="dxa"/>
              <w:right w:w="20" w:type="dxa"/>
            </w:tcMar>
            <w:vAlign w:val="bottom"/>
            <w:hideMark/>
          </w:tcPr>
          <w:p w14:paraId="513F590B" w14:textId="77777777" w:rsidR="00000000" w:rsidRDefault="00EE5306">
            <w:pPr>
              <w:spacing w:after="100"/>
              <w:jc w:val="center"/>
              <w:rPr>
                <w:rFonts w:eastAsia="Times New Roman"/>
              </w:rPr>
            </w:pPr>
            <w:r>
              <w:rPr>
                <w:rFonts w:eastAsia="Times New Roman"/>
                <w:b/>
                <w:bCs/>
                <w:color w:val="000000"/>
                <w:sz w:val="16"/>
                <w:szCs w:val="16"/>
              </w:rPr>
              <w:t>Description</w:t>
            </w:r>
          </w:p>
        </w:tc>
      </w:tr>
      <w:tr w:rsidR="00000000" w14:paraId="6D0FA196" w14:textId="77777777">
        <w:trPr>
          <w:divId w:val="292248333"/>
        </w:trPr>
        <w:tc>
          <w:tcPr>
            <w:tcW w:w="0" w:type="auto"/>
            <w:gridSpan w:val="3"/>
            <w:tcMar>
              <w:top w:w="30" w:type="dxa"/>
              <w:left w:w="20" w:type="dxa"/>
              <w:bottom w:w="30" w:type="dxa"/>
              <w:right w:w="20" w:type="dxa"/>
            </w:tcMar>
            <w:hideMark/>
          </w:tcPr>
          <w:p w14:paraId="0E637468" w14:textId="77777777" w:rsidR="00000000" w:rsidRDefault="00EE5306">
            <w:pPr>
              <w:spacing w:after="100"/>
              <w:jc w:val="center"/>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14:paraId="187574D4" w14:textId="77777777" w:rsidR="00000000" w:rsidRDefault="00EE5306">
            <w:pPr>
              <w:spacing w:after="100"/>
              <w:jc w:val="both"/>
              <w:rPr>
                <w:rFonts w:eastAsia="Times New Roman"/>
              </w:rPr>
            </w:pPr>
            <w:hyperlink r:id="rId48" w:history="1">
              <w:r>
                <w:rPr>
                  <w:rStyle w:val="a3"/>
                  <w:rFonts w:eastAsia="Times New Roman"/>
                  <w:sz w:val="20"/>
                  <w:szCs w:val="20"/>
                </w:rPr>
                <w:t>Performance-Based Restricted Stock Unit - Award Notification containing the standard terms of performance-based restricted stock unit awards under th</w:t>
              </w:r>
              <w:r>
                <w:rPr>
                  <w:rStyle w:val="a3"/>
                  <w:rFonts w:eastAsia="Times New Roman"/>
                  <w:sz w:val="20"/>
                  <w:szCs w:val="20"/>
                </w:rPr>
                <w:t>e Amended and Restated 2010 Long-Term Stock Incentive Plan (filed as Exhibit 10.2 to the Form 10-Q for the quarterly period ended September 30, 2017)†</w:t>
              </w:r>
            </w:hyperlink>
          </w:p>
        </w:tc>
      </w:tr>
      <w:tr w:rsidR="00000000" w14:paraId="6DE2C797" w14:textId="77777777">
        <w:trPr>
          <w:divId w:val="292248333"/>
        </w:trPr>
        <w:tc>
          <w:tcPr>
            <w:tcW w:w="0" w:type="auto"/>
            <w:gridSpan w:val="3"/>
            <w:tcMar>
              <w:top w:w="30" w:type="dxa"/>
              <w:left w:w="20" w:type="dxa"/>
              <w:bottom w:w="30" w:type="dxa"/>
              <w:right w:w="20" w:type="dxa"/>
            </w:tcMar>
            <w:hideMark/>
          </w:tcPr>
          <w:p w14:paraId="0BB6D6A8" w14:textId="77777777" w:rsidR="00000000" w:rsidRDefault="00EE5306">
            <w:pPr>
              <w:spacing w:after="100"/>
              <w:jc w:val="center"/>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14:paraId="00559286" w14:textId="77777777" w:rsidR="00000000" w:rsidRDefault="00EE5306">
            <w:pPr>
              <w:spacing w:after="100"/>
              <w:jc w:val="both"/>
              <w:rPr>
                <w:rFonts w:eastAsia="Times New Roman"/>
              </w:rPr>
            </w:pPr>
            <w:hyperlink r:id="rId49" w:history="1">
              <w:r>
                <w:rPr>
                  <w:rStyle w:val="a3"/>
                  <w:rFonts w:eastAsia="Times New Roman"/>
                  <w:sz w:val="20"/>
                  <w:szCs w:val="20"/>
                </w:rPr>
                <w:t>Restricted Stock Unit Overview containing the standard terms of restricted stock unit awards under the Amended and Restated 2010 Long-Term Stock Incentive Plan (filed as Exhibit 10.3 to the Form 10-Q for the quarterly period ended September 30</w:t>
              </w:r>
              <w:r>
                <w:rPr>
                  <w:rStyle w:val="a3"/>
                  <w:rFonts w:eastAsia="Times New Roman"/>
                  <w:sz w:val="20"/>
                  <w:szCs w:val="20"/>
                </w:rPr>
                <w:t>, 2017)†</w:t>
              </w:r>
            </w:hyperlink>
          </w:p>
        </w:tc>
      </w:tr>
      <w:tr w:rsidR="00000000" w14:paraId="77E530D4" w14:textId="77777777">
        <w:trPr>
          <w:divId w:val="292248333"/>
        </w:trPr>
        <w:tc>
          <w:tcPr>
            <w:tcW w:w="0" w:type="auto"/>
            <w:gridSpan w:val="3"/>
            <w:tcMar>
              <w:top w:w="30" w:type="dxa"/>
              <w:left w:w="20" w:type="dxa"/>
              <w:bottom w:w="30" w:type="dxa"/>
              <w:right w:w="20" w:type="dxa"/>
            </w:tcMar>
            <w:hideMark/>
          </w:tcPr>
          <w:p w14:paraId="300FCC71" w14:textId="77777777" w:rsidR="00000000" w:rsidRDefault="00EE5306">
            <w:pPr>
              <w:spacing w:after="100"/>
              <w:jc w:val="center"/>
              <w:rPr>
                <w:rFonts w:eastAsia="Times New Roman"/>
              </w:rPr>
            </w:pPr>
            <w:r>
              <w:rPr>
                <w:rFonts w:eastAsia="Times New Roman"/>
                <w:color w:val="000000"/>
                <w:sz w:val="20"/>
                <w:szCs w:val="20"/>
              </w:rPr>
              <w:t>10.33</w:t>
            </w:r>
          </w:p>
        </w:tc>
        <w:tc>
          <w:tcPr>
            <w:tcW w:w="0" w:type="auto"/>
            <w:gridSpan w:val="3"/>
            <w:tcMar>
              <w:top w:w="30" w:type="dxa"/>
              <w:left w:w="20" w:type="dxa"/>
              <w:bottom w:w="30" w:type="dxa"/>
              <w:right w:w="20" w:type="dxa"/>
            </w:tcMar>
            <w:hideMark/>
          </w:tcPr>
          <w:p w14:paraId="6922D228" w14:textId="77777777" w:rsidR="00000000" w:rsidRDefault="00EE5306">
            <w:pPr>
              <w:spacing w:after="100"/>
              <w:jc w:val="both"/>
              <w:rPr>
                <w:rFonts w:eastAsia="Times New Roman"/>
              </w:rPr>
            </w:pPr>
            <w:hyperlink r:id="rId50" w:history="1">
              <w:r>
                <w:rPr>
                  <w:rStyle w:val="a3"/>
                  <w:rFonts w:eastAsia="Times New Roman"/>
                  <w:sz w:val="20"/>
                  <w:szCs w:val="20"/>
                </w:rPr>
                <w:t>Performance Share Unit Award Overview containing the standard terms of performance share unit awards under the Amended and Restat</w:t>
              </w:r>
              <w:r>
                <w:rPr>
                  <w:rStyle w:val="a3"/>
                  <w:rFonts w:eastAsia="Times New Roman"/>
                  <w:sz w:val="20"/>
                  <w:szCs w:val="20"/>
                </w:rPr>
                <w:t>ed 2010 Long-Term Stock Incentive Plan (filed as Exhibit 10.1 to the Form 10-Q for the quarterly period ended December 29, 2018)†</w:t>
              </w:r>
            </w:hyperlink>
          </w:p>
        </w:tc>
      </w:tr>
      <w:tr w:rsidR="00000000" w14:paraId="75597675" w14:textId="77777777">
        <w:trPr>
          <w:divId w:val="292248333"/>
        </w:trPr>
        <w:tc>
          <w:tcPr>
            <w:tcW w:w="0" w:type="auto"/>
            <w:gridSpan w:val="3"/>
            <w:tcMar>
              <w:top w:w="30" w:type="dxa"/>
              <w:left w:w="20" w:type="dxa"/>
              <w:bottom w:w="30" w:type="dxa"/>
              <w:right w:w="20" w:type="dxa"/>
            </w:tcMar>
            <w:hideMark/>
          </w:tcPr>
          <w:p w14:paraId="2E8F2F3A" w14:textId="77777777" w:rsidR="00000000" w:rsidRDefault="00EE5306">
            <w:pPr>
              <w:spacing w:after="100"/>
              <w:jc w:val="center"/>
              <w:rPr>
                <w:rFonts w:eastAsia="Times New Roman"/>
              </w:rPr>
            </w:pPr>
            <w:r>
              <w:rPr>
                <w:rFonts w:eastAsia="Times New Roman"/>
                <w:color w:val="000000"/>
                <w:sz w:val="20"/>
                <w:szCs w:val="20"/>
              </w:rPr>
              <w:t>10.34</w:t>
            </w:r>
          </w:p>
        </w:tc>
        <w:tc>
          <w:tcPr>
            <w:tcW w:w="0" w:type="auto"/>
            <w:gridSpan w:val="3"/>
            <w:tcMar>
              <w:top w:w="30" w:type="dxa"/>
              <w:left w:w="20" w:type="dxa"/>
              <w:bottom w:w="30" w:type="dxa"/>
              <w:right w:w="20" w:type="dxa"/>
            </w:tcMar>
            <w:hideMark/>
          </w:tcPr>
          <w:p w14:paraId="46138170" w14:textId="77777777" w:rsidR="00000000" w:rsidRDefault="00EE5306">
            <w:pPr>
              <w:spacing w:after="100"/>
              <w:jc w:val="both"/>
              <w:rPr>
                <w:rFonts w:eastAsia="Times New Roman"/>
              </w:rPr>
            </w:pPr>
            <w:hyperlink r:id="rId51" w:history="1">
              <w:r>
                <w:rPr>
                  <w:rStyle w:val="a3"/>
                  <w:rFonts w:eastAsia="Times New Roman"/>
                  <w:sz w:val="20"/>
                  <w:szCs w:val="20"/>
                </w:rPr>
                <w:t>Performance-Based Restricted Stock Unit - Award Notification containing the standard terms of performance-based restricted stock unit awards under th</w:t>
              </w:r>
              <w:r>
                <w:rPr>
                  <w:rStyle w:val="a3"/>
                  <w:rFonts w:eastAsia="Times New Roman"/>
                  <w:sz w:val="20"/>
                  <w:szCs w:val="20"/>
                </w:rPr>
                <w:t>e Amended and Restated 2010 Long-Term Stock Incentive Plan (filed as Exhibit 10.2 to the Form 10-Q for the quarterly period ended December 29, 2018)†</w:t>
              </w:r>
            </w:hyperlink>
          </w:p>
        </w:tc>
      </w:tr>
      <w:tr w:rsidR="00000000" w14:paraId="6DC42892" w14:textId="77777777">
        <w:trPr>
          <w:divId w:val="292248333"/>
        </w:trPr>
        <w:tc>
          <w:tcPr>
            <w:tcW w:w="0" w:type="auto"/>
            <w:gridSpan w:val="3"/>
            <w:tcMar>
              <w:top w:w="30" w:type="dxa"/>
              <w:left w:w="20" w:type="dxa"/>
              <w:bottom w:w="30" w:type="dxa"/>
              <w:right w:w="20" w:type="dxa"/>
            </w:tcMar>
            <w:hideMark/>
          </w:tcPr>
          <w:p w14:paraId="04225F5E" w14:textId="77777777" w:rsidR="00000000" w:rsidRDefault="00EE5306">
            <w:pPr>
              <w:spacing w:after="100"/>
              <w:jc w:val="center"/>
              <w:rPr>
                <w:rFonts w:eastAsia="Times New Roman"/>
              </w:rPr>
            </w:pPr>
            <w:r>
              <w:rPr>
                <w:rFonts w:eastAsia="Times New Roman"/>
                <w:color w:val="000000"/>
                <w:sz w:val="20"/>
                <w:szCs w:val="20"/>
              </w:rPr>
              <w:t>10.35</w:t>
            </w:r>
          </w:p>
        </w:tc>
        <w:tc>
          <w:tcPr>
            <w:tcW w:w="0" w:type="auto"/>
            <w:gridSpan w:val="3"/>
            <w:tcMar>
              <w:top w:w="30" w:type="dxa"/>
              <w:left w:w="20" w:type="dxa"/>
              <w:bottom w:w="30" w:type="dxa"/>
              <w:right w:w="20" w:type="dxa"/>
            </w:tcMar>
            <w:hideMark/>
          </w:tcPr>
          <w:p w14:paraId="35B14C2D" w14:textId="77777777" w:rsidR="00000000" w:rsidRDefault="00EE5306">
            <w:pPr>
              <w:spacing w:after="100"/>
              <w:jc w:val="both"/>
              <w:rPr>
                <w:rFonts w:eastAsia="Times New Roman"/>
              </w:rPr>
            </w:pPr>
            <w:hyperlink r:id="rId52" w:history="1">
              <w:r>
                <w:rPr>
                  <w:rStyle w:val="a3"/>
                  <w:rFonts w:eastAsia="Times New Roman"/>
                  <w:sz w:val="20"/>
                  <w:szCs w:val="20"/>
                </w:rPr>
                <w:t>Restricted Stock Unit Overview containing the standard terms of restricted stock unit awards under the Amended and Restated 2010 Long-Term Stock Ince</w:t>
              </w:r>
              <w:r>
                <w:rPr>
                  <w:rStyle w:val="a3"/>
                  <w:rFonts w:eastAsia="Times New Roman"/>
                  <w:sz w:val="20"/>
                  <w:szCs w:val="20"/>
                </w:rPr>
                <w:t>ntive Plan (filed as Exhibit 10.3 to the Form 10-Q for the quarterly period December 29, 2018)†</w:t>
              </w:r>
            </w:hyperlink>
          </w:p>
        </w:tc>
      </w:tr>
      <w:tr w:rsidR="00000000" w14:paraId="082610FC" w14:textId="77777777">
        <w:trPr>
          <w:divId w:val="292248333"/>
        </w:trPr>
        <w:tc>
          <w:tcPr>
            <w:tcW w:w="0" w:type="auto"/>
            <w:gridSpan w:val="3"/>
            <w:tcMar>
              <w:top w:w="30" w:type="dxa"/>
              <w:left w:w="20" w:type="dxa"/>
              <w:bottom w:w="30" w:type="dxa"/>
              <w:right w:w="20" w:type="dxa"/>
            </w:tcMar>
            <w:hideMark/>
          </w:tcPr>
          <w:p w14:paraId="19555B28" w14:textId="77777777" w:rsidR="00000000" w:rsidRDefault="00EE5306">
            <w:pPr>
              <w:spacing w:after="100"/>
              <w:jc w:val="center"/>
              <w:rPr>
                <w:rFonts w:eastAsia="Times New Roman"/>
              </w:rPr>
            </w:pPr>
            <w:r>
              <w:rPr>
                <w:rFonts w:eastAsia="Times New Roman"/>
                <w:color w:val="000000"/>
                <w:sz w:val="20"/>
                <w:szCs w:val="20"/>
              </w:rPr>
              <w:t>10.36</w:t>
            </w:r>
          </w:p>
        </w:tc>
        <w:tc>
          <w:tcPr>
            <w:tcW w:w="0" w:type="auto"/>
            <w:gridSpan w:val="3"/>
            <w:tcMar>
              <w:top w:w="30" w:type="dxa"/>
              <w:left w:w="20" w:type="dxa"/>
              <w:bottom w:w="30" w:type="dxa"/>
              <w:right w:w="20" w:type="dxa"/>
            </w:tcMar>
            <w:hideMark/>
          </w:tcPr>
          <w:p w14:paraId="7A96D995" w14:textId="77777777" w:rsidR="00000000" w:rsidRDefault="00EE5306">
            <w:pPr>
              <w:spacing w:after="100"/>
              <w:jc w:val="both"/>
              <w:rPr>
                <w:rFonts w:eastAsia="Times New Roman"/>
              </w:rPr>
            </w:pPr>
            <w:hyperlink r:id="rId53" w:history="1">
              <w:r>
                <w:rPr>
                  <w:rStyle w:val="a3"/>
                  <w:rFonts w:eastAsia="Times New Roman"/>
                  <w:sz w:val="20"/>
                  <w:szCs w:val="20"/>
                </w:rPr>
                <w:t>Performance Share Unit Award Overview cont</w:t>
              </w:r>
              <w:r>
                <w:rPr>
                  <w:rStyle w:val="a3"/>
                  <w:rFonts w:eastAsia="Times New Roman"/>
                  <w:sz w:val="20"/>
                  <w:szCs w:val="20"/>
                </w:rPr>
                <w:t>aining the standard terms of performance share unit awards under the Amended and Restated 2010 Long-Term Stock Incentive Plan (filed as Exhibit 10.2 to the Form 10-Q for the quarterly period ended June 29, 2019)†</w:t>
              </w:r>
            </w:hyperlink>
          </w:p>
        </w:tc>
      </w:tr>
      <w:tr w:rsidR="00000000" w14:paraId="08F07425" w14:textId="77777777">
        <w:trPr>
          <w:divId w:val="292248333"/>
        </w:trPr>
        <w:tc>
          <w:tcPr>
            <w:tcW w:w="0" w:type="auto"/>
            <w:gridSpan w:val="3"/>
            <w:tcMar>
              <w:top w:w="30" w:type="dxa"/>
              <w:left w:w="20" w:type="dxa"/>
              <w:bottom w:w="30" w:type="dxa"/>
              <w:right w:w="20" w:type="dxa"/>
            </w:tcMar>
            <w:hideMark/>
          </w:tcPr>
          <w:p w14:paraId="37663DBB" w14:textId="77777777" w:rsidR="00000000" w:rsidRDefault="00EE5306">
            <w:pPr>
              <w:spacing w:after="100"/>
              <w:jc w:val="center"/>
              <w:rPr>
                <w:rFonts w:eastAsia="Times New Roman"/>
              </w:rPr>
            </w:pPr>
            <w:r>
              <w:rPr>
                <w:rFonts w:eastAsia="Times New Roman"/>
                <w:color w:val="000000"/>
                <w:sz w:val="20"/>
                <w:szCs w:val="20"/>
              </w:rPr>
              <w:t>10.37</w:t>
            </w:r>
          </w:p>
        </w:tc>
        <w:tc>
          <w:tcPr>
            <w:tcW w:w="0" w:type="auto"/>
            <w:gridSpan w:val="3"/>
            <w:tcMar>
              <w:top w:w="30" w:type="dxa"/>
              <w:left w:w="20" w:type="dxa"/>
              <w:bottom w:w="30" w:type="dxa"/>
              <w:right w:w="20" w:type="dxa"/>
            </w:tcMar>
            <w:hideMark/>
          </w:tcPr>
          <w:p w14:paraId="685B12E3" w14:textId="77777777" w:rsidR="00000000" w:rsidRDefault="00EE5306">
            <w:pPr>
              <w:spacing w:after="100"/>
              <w:jc w:val="both"/>
              <w:rPr>
                <w:rFonts w:eastAsia="Times New Roman"/>
              </w:rPr>
            </w:pPr>
            <w:hyperlink r:id="rId54" w:history="1">
              <w:r>
                <w:rPr>
                  <w:rStyle w:val="a3"/>
                  <w:rFonts w:eastAsia="Times New Roman"/>
                  <w:sz w:val="20"/>
                  <w:szCs w:val="20"/>
                </w:rPr>
                <w:t>One-time Fiscal 2020 Performance Share Unit - Award Notification containing the standard terms of the one-time Fiscal 2020 performance share unit awa</w:t>
              </w:r>
              <w:r>
                <w:rPr>
                  <w:rStyle w:val="a3"/>
                  <w:rFonts w:eastAsia="Times New Roman"/>
                  <w:sz w:val="20"/>
                  <w:szCs w:val="20"/>
                </w:rPr>
                <w:t>rds under the Amended and Restated 2010 Long-Term Stock Incentive Plan (filed as Exhibit 10.3 to the Form 10-Q for the quarterly period ended June 29, 2019)†</w:t>
              </w:r>
            </w:hyperlink>
          </w:p>
        </w:tc>
      </w:tr>
      <w:tr w:rsidR="00000000" w14:paraId="7DBFB528" w14:textId="77777777">
        <w:trPr>
          <w:divId w:val="292248333"/>
        </w:trPr>
        <w:tc>
          <w:tcPr>
            <w:tcW w:w="0" w:type="auto"/>
            <w:gridSpan w:val="3"/>
            <w:tcMar>
              <w:top w:w="30" w:type="dxa"/>
              <w:left w:w="20" w:type="dxa"/>
              <w:bottom w:w="30" w:type="dxa"/>
              <w:right w:w="20" w:type="dxa"/>
            </w:tcMar>
            <w:hideMark/>
          </w:tcPr>
          <w:p w14:paraId="0BA47594" w14:textId="77777777" w:rsidR="00000000" w:rsidRDefault="00EE5306">
            <w:pPr>
              <w:spacing w:after="100"/>
              <w:jc w:val="center"/>
              <w:rPr>
                <w:rFonts w:eastAsia="Times New Roman"/>
              </w:rPr>
            </w:pPr>
            <w:r>
              <w:rPr>
                <w:rFonts w:eastAsia="Times New Roman"/>
                <w:color w:val="000000"/>
                <w:sz w:val="20"/>
                <w:szCs w:val="20"/>
              </w:rPr>
              <w:t>10.38</w:t>
            </w:r>
          </w:p>
        </w:tc>
        <w:tc>
          <w:tcPr>
            <w:tcW w:w="0" w:type="auto"/>
            <w:gridSpan w:val="3"/>
            <w:tcMar>
              <w:top w:w="30" w:type="dxa"/>
              <w:left w:w="20" w:type="dxa"/>
              <w:bottom w:w="30" w:type="dxa"/>
              <w:right w:w="20" w:type="dxa"/>
            </w:tcMar>
            <w:hideMark/>
          </w:tcPr>
          <w:p w14:paraId="3F3F62D7" w14:textId="77777777" w:rsidR="00000000" w:rsidRDefault="00EE5306">
            <w:pPr>
              <w:spacing w:after="100"/>
              <w:jc w:val="both"/>
              <w:rPr>
                <w:rFonts w:eastAsia="Times New Roman"/>
              </w:rPr>
            </w:pPr>
            <w:hyperlink r:id="rId55" w:history="1">
              <w:r>
                <w:rPr>
                  <w:rStyle w:val="a3"/>
                  <w:rFonts w:eastAsia="Times New Roman"/>
                  <w:sz w:val="20"/>
                  <w:szCs w:val="20"/>
                </w:rPr>
                <w:t xml:space="preserve">Restricted Stock Unit Overview containing the standard terms of restricted stock unit awards under the Amended and Restated 2010 Long-Term Stock Incentive Plan (filed as Exhibit 10.4 to the Form 10-Q for the quarterly period ended June </w:t>
              </w:r>
              <w:r>
                <w:rPr>
                  <w:rStyle w:val="a3"/>
                  <w:rFonts w:eastAsia="Times New Roman"/>
                  <w:sz w:val="20"/>
                  <w:szCs w:val="20"/>
                </w:rPr>
                <w:t>29, 2019)†</w:t>
              </w:r>
            </w:hyperlink>
          </w:p>
        </w:tc>
      </w:tr>
      <w:tr w:rsidR="00000000" w14:paraId="2F641024" w14:textId="77777777">
        <w:trPr>
          <w:divId w:val="292248333"/>
        </w:trPr>
        <w:tc>
          <w:tcPr>
            <w:tcW w:w="0" w:type="auto"/>
            <w:gridSpan w:val="3"/>
            <w:tcMar>
              <w:top w:w="30" w:type="dxa"/>
              <w:left w:w="20" w:type="dxa"/>
              <w:bottom w:w="30" w:type="dxa"/>
              <w:right w:w="20" w:type="dxa"/>
            </w:tcMar>
            <w:hideMark/>
          </w:tcPr>
          <w:p w14:paraId="3E95C4AE" w14:textId="77777777" w:rsidR="00000000" w:rsidRDefault="00EE5306">
            <w:pPr>
              <w:spacing w:after="100"/>
              <w:jc w:val="center"/>
              <w:rPr>
                <w:rFonts w:eastAsia="Times New Roman"/>
              </w:rPr>
            </w:pPr>
            <w:r>
              <w:rPr>
                <w:rFonts w:eastAsia="Times New Roman"/>
                <w:color w:val="000000"/>
                <w:sz w:val="20"/>
                <w:szCs w:val="20"/>
              </w:rPr>
              <w:t>10.39</w:t>
            </w:r>
          </w:p>
        </w:tc>
        <w:tc>
          <w:tcPr>
            <w:tcW w:w="0" w:type="auto"/>
            <w:gridSpan w:val="3"/>
            <w:tcMar>
              <w:top w:w="30" w:type="dxa"/>
              <w:left w:w="20" w:type="dxa"/>
              <w:bottom w:w="30" w:type="dxa"/>
              <w:right w:w="20" w:type="dxa"/>
            </w:tcMar>
            <w:hideMark/>
          </w:tcPr>
          <w:p w14:paraId="12A71883" w14:textId="77777777" w:rsidR="00000000" w:rsidRDefault="00EE5306">
            <w:pPr>
              <w:spacing w:after="100"/>
              <w:jc w:val="both"/>
              <w:rPr>
                <w:rFonts w:eastAsia="Times New Roman"/>
              </w:rPr>
            </w:pPr>
            <w:hyperlink r:id="rId56" w:history="1">
              <w:r>
                <w:rPr>
                  <w:rStyle w:val="a3"/>
                  <w:rFonts w:eastAsia="Times New Roman"/>
                  <w:sz w:val="20"/>
                  <w:szCs w:val="20"/>
                </w:rPr>
                <w:t>Performance Share Unit Award Overview containing the standard terms of performance share unit awards under the 2019 Long-Term S</w:t>
              </w:r>
              <w:r>
                <w:rPr>
                  <w:rStyle w:val="a3"/>
                  <w:rFonts w:eastAsia="Times New Roman"/>
                  <w:sz w:val="20"/>
                  <w:szCs w:val="20"/>
                </w:rPr>
                <w:t>tock Incentive Plan (filed as Exhibit 10.2 to the Form 10-Q for the quarterly period ended September 28, 2019)†</w:t>
              </w:r>
            </w:hyperlink>
          </w:p>
        </w:tc>
      </w:tr>
      <w:tr w:rsidR="00000000" w14:paraId="05929D40" w14:textId="77777777">
        <w:trPr>
          <w:divId w:val="292248333"/>
        </w:trPr>
        <w:tc>
          <w:tcPr>
            <w:tcW w:w="0" w:type="auto"/>
            <w:gridSpan w:val="3"/>
            <w:tcMar>
              <w:top w:w="30" w:type="dxa"/>
              <w:left w:w="20" w:type="dxa"/>
              <w:bottom w:w="30" w:type="dxa"/>
              <w:right w:w="20" w:type="dxa"/>
            </w:tcMar>
            <w:hideMark/>
          </w:tcPr>
          <w:p w14:paraId="2CCBF18C" w14:textId="77777777" w:rsidR="00000000" w:rsidRDefault="00EE5306">
            <w:pPr>
              <w:spacing w:after="100"/>
              <w:jc w:val="center"/>
              <w:rPr>
                <w:rFonts w:eastAsia="Times New Roman"/>
              </w:rPr>
            </w:pPr>
            <w:r>
              <w:rPr>
                <w:rFonts w:eastAsia="Times New Roman"/>
                <w:color w:val="000000"/>
                <w:sz w:val="20"/>
                <w:szCs w:val="20"/>
              </w:rPr>
              <w:t>10.40</w:t>
            </w:r>
          </w:p>
        </w:tc>
        <w:tc>
          <w:tcPr>
            <w:tcW w:w="0" w:type="auto"/>
            <w:gridSpan w:val="3"/>
            <w:tcMar>
              <w:top w:w="30" w:type="dxa"/>
              <w:left w:w="20" w:type="dxa"/>
              <w:bottom w:w="30" w:type="dxa"/>
              <w:right w:w="20" w:type="dxa"/>
            </w:tcMar>
            <w:hideMark/>
          </w:tcPr>
          <w:p w14:paraId="26FE51BE" w14:textId="77777777" w:rsidR="00000000" w:rsidRDefault="00EE5306">
            <w:pPr>
              <w:spacing w:after="100"/>
              <w:jc w:val="both"/>
              <w:rPr>
                <w:rFonts w:eastAsia="Times New Roman"/>
              </w:rPr>
            </w:pPr>
            <w:hyperlink r:id="rId57" w:history="1">
              <w:r>
                <w:rPr>
                  <w:rStyle w:val="a3"/>
                  <w:rFonts w:eastAsia="Times New Roman"/>
                  <w:sz w:val="20"/>
                  <w:szCs w:val="20"/>
                </w:rPr>
                <w:t xml:space="preserve">Form of Performance-Based </w:t>
              </w:r>
              <w:r>
                <w:rPr>
                  <w:rStyle w:val="a3"/>
                  <w:rFonts w:eastAsia="Times New Roman"/>
                  <w:sz w:val="20"/>
                  <w:szCs w:val="20"/>
                </w:rPr>
                <w:t>Restricted Stock Unit Award Notification under the 2019 Long-Term Stock Incentive Plan (filed as Exhibit 10.3 to the Form 10-Q for the quarterly period ended September 28, 2019)†</w:t>
              </w:r>
            </w:hyperlink>
          </w:p>
        </w:tc>
      </w:tr>
      <w:tr w:rsidR="00000000" w14:paraId="235DE53E" w14:textId="77777777">
        <w:trPr>
          <w:divId w:val="292248333"/>
        </w:trPr>
        <w:tc>
          <w:tcPr>
            <w:tcW w:w="0" w:type="auto"/>
            <w:gridSpan w:val="3"/>
            <w:tcMar>
              <w:top w:w="30" w:type="dxa"/>
              <w:left w:w="20" w:type="dxa"/>
              <w:bottom w:w="30" w:type="dxa"/>
              <w:right w:w="20" w:type="dxa"/>
            </w:tcMar>
            <w:hideMark/>
          </w:tcPr>
          <w:p w14:paraId="64A74EB4" w14:textId="77777777" w:rsidR="00000000" w:rsidRDefault="00EE5306">
            <w:pPr>
              <w:spacing w:after="100"/>
              <w:jc w:val="center"/>
              <w:rPr>
                <w:rFonts w:eastAsia="Times New Roman"/>
              </w:rPr>
            </w:pPr>
            <w:r>
              <w:rPr>
                <w:rFonts w:eastAsia="Times New Roman"/>
                <w:color w:val="000000"/>
                <w:sz w:val="20"/>
                <w:szCs w:val="20"/>
              </w:rPr>
              <w:t>10.41</w:t>
            </w:r>
          </w:p>
        </w:tc>
        <w:tc>
          <w:tcPr>
            <w:tcW w:w="0" w:type="auto"/>
            <w:gridSpan w:val="3"/>
            <w:tcMar>
              <w:top w:w="30" w:type="dxa"/>
              <w:left w:w="20" w:type="dxa"/>
              <w:bottom w:w="30" w:type="dxa"/>
              <w:right w:w="20" w:type="dxa"/>
            </w:tcMar>
            <w:hideMark/>
          </w:tcPr>
          <w:p w14:paraId="018340E9" w14:textId="77777777" w:rsidR="00000000" w:rsidRDefault="00EE5306">
            <w:pPr>
              <w:spacing w:after="100"/>
              <w:jc w:val="both"/>
              <w:rPr>
                <w:rFonts w:eastAsia="Times New Roman"/>
              </w:rPr>
            </w:pPr>
            <w:hyperlink r:id="rId58" w:history="1">
              <w:r>
                <w:rPr>
                  <w:rStyle w:val="a3"/>
                  <w:rFonts w:eastAsia="Times New Roman"/>
                  <w:sz w:val="20"/>
                  <w:szCs w:val="20"/>
                </w:rPr>
                <w:t xml:space="preserve">Restricted Stock Unit Overview containing the standard terms of restricted stock unit awards under the 2019 Long-Term Stock Incentive Plan (filed as </w:t>
              </w:r>
              <w:r>
                <w:rPr>
                  <w:rStyle w:val="a3"/>
                  <w:rFonts w:eastAsia="Times New Roman"/>
                  <w:sz w:val="20"/>
                  <w:szCs w:val="20"/>
                </w:rPr>
                <w:t>Exhibit 10.4 to the Form 10-Q for the quarterly period ended September 28, 2019)†</w:t>
              </w:r>
            </w:hyperlink>
          </w:p>
        </w:tc>
      </w:tr>
      <w:tr w:rsidR="00000000" w14:paraId="1F22C995" w14:textId="77777777">
        <w:trPr>
          <w:divId w:val="292248333"/>
        </w:trPr>
        <w:tc>
          <w:tcPr>
            <w:tcW w:w="0" w:type="auto"/>
            <w:gridSpan w:val="3"/>
            <w:tcMar>
              <w:top w:w="30" w:type="dxa"/>
              <w:left w:w="20" w:type="dxa"/>
              <w:bottom w:w="30" w:type="dxa"/>
              <w:right w:w="20" w:type="dxa"/>
            </w:tcMar>
            <w:hideMark/>
          </w:tcPr>
          <w:p w14:paraId="643030A6" w14:textId="77777777" w:rsidR="00000000" w:rsidRDefault="00EE5306">
            <w:pPr>
              <w:spacing w:after="100"/>
              <w:jc w:val="center"/>
              <w:rPr>
                <w:rFonts w:eastAsia="Times New Roman"/>
              </w:rPr>
            </w:pPr>
            <w:r>
              <w:rPr>
                <w:rFonts w:eastAsia="Times New Roman"/>
                <w:color w:val="000000"/>
                <w:sz w:val="20"/>
                <w:szCs w:val="20"/>
              </w:rPr>
              <w:t>10.42</w:t>
            </w:r>
          </w:p>
        </w:tc>
        <w:tc>
          <w:tcPr>
            <w:tcW w:w="0" w:type="auto"/>
            <w:gridSpan w:val="3"/>
            <w:tcMar>
              <w:top w:w="30" w:type="dxa"/>
              <w:left w:w="20" w:type="dxa"/>
              <w:bottom w:w="30" w:type="dxa"/>
              <w:right w:w="20" w:type="dxa"/>
            </w:tcMar>
            <w:hideMark/>
          </w:tcPr>
          <w:p w14:paraId="27C72D54" w14:textId="77777777" w:rsidR="00000000" w:rsidRDefault="00EE5306">
            <w:pPr>
              <w:spacing w:after="100"/>
              <w:jc w:val="both"/>
              <w:rPr>
                <w:rFonts w:eastAsia="Times New Roman"/>
              </w:rPr>
            </w:pPr>
            <w:hyperlink r:id="rId59" w:history="1">
              <w:r>
                <w:rPr>
                  <w:rStyle w:val="a3"/>
                  <w:rFonts w:eastAsia="Times New Roman"/>
                  <w:sz w:val="20"/>
                  <w:szCs w:val="20"/>
                </w:rPr>
                <w:t>Form of Non-Employee Director Restricted Stock Unit Awar</w:t>
              </w:r>
              <w:r>
                <w:rPr>
                  <w:rStyle w:val="a3"/>
                  <w:rFonts w:eastAsia="Times New Roman"/>
                  <w:sz w:val="20"/>
                  <w:szCs w:val="20"/>
                </w:rPr>
                <w:t>d Agreement under the 2019 Long-Term Stock Incentive Plan (filed as Exhibit 10.5 to the Form 10-Q for the quarterly period ended September 28, 2019)†</w:t>
              </w:r>
            </w:hyperlink>
          </w:p>
        </w:tc>
      </w:tr>
      <w:tr w:rsidR="00000000" w14:paraId="631032FC" w14:textId="77777777">
        <w:trPr>
          <w:divId w:val="292248333"/>
        </w:trPr>
        <w:tc>
          <w:tcPr>
            <w:tcW w:w="0" w:type="auto"/>
            <w:gridSpan w:val="3"/>
            <w:tcMar>
              <w:top w:w="30" w:type="dxa"/>
              <w:left w:w="20" w:type="dxa"/>
              <w:bottom w:w="30" w:type="dxa"/>
              <w:right w:w="20" w:type="dxa"/>
            </w:tcMar>
            <w:hideMark/>
          </w:tcPr>
          <w:p w14:paraId="149C1958" w14:textId="77777777" w:rsidR="00000000" w:rsidRDefault="00EE5306">
            <w:pPr>
              <w:spacing w:after="100"/>
              <w:jc w:val="center"/>
              <w:rPr>
                <w:rFonts w:eastAsia="Times New Roman"/>
              </w:rPr>
            </w:pPr>
            <w:r>
              <w:rPr>
                <w:rFonts w:eastAsia="Times New Roman"/>
                <w:color w:val="000000"/>
                <w:sz w:val="20"/>
                <w:szCs w:val="20"/>
              </w:rPr>
              <w:t>10.43</w:t>
            </w:r>
          </w:p>
        </w:tc>
        <w:tc>
          <w:tcPr>
            <w:tcW w:w="0" w:type="auto"/>
            <w:gridSpan w:val="3"/>
            <w:tcMar>
              <w:top w:w="30" w:type="dxa"/>
              <w:left w:w="20" w:type="dxa"/>
              <w:bottom w:w="30" w:type="dxa"/>
              <w:right w:w="20" w:type="dxa"/>
            </w:tcMar>
            <w:hideMark/>
          </w:tcPr>
          <w:p w14:paraId="438511FF" w14:textId="77777777" w:rsidR="00000000" w:rsidRDefault="00EE5306">
            <w:pPr>
              <w:spacing w:after="100"/>
              <w:jc w:val="both"/>
              <w:rPr>
                <w:rFonts w:eastAsia="Times New Roman"/>
              </w:rPr>
            </w:pPr>
            <w:hyperlink r:id="rId60" w:history="1">
              <w:r>
                <w:rPr>
                  <w:rStyle w:val="a3"/>
                  <w:rFonts w:eastAsia="Times New Roman"/>
                  <w:sz w:val="20"/>
                  <w:szCs w:val="20"/>
                </w:rPr>
                <w:t xml:space="preserve">Form of Non-Employee Director Restricted Stock Unit Award Agreement under the 2019 Long-Term Stock Incentive Plan (filed as Exhibit 10.1 to the Form </w:t>
              </w:r>
              <w:r>
                <w:rPr>
                  <w:rStyle w:val="a3"/>
                  <w:rFonts w:eastAsia="Times New Roman"/>
                  <w:sz w:val="20"/>
                  <w:szCs w:val="20"/>
                </w:rPr>
                <w:t>10-Q filed November 5, 2020)†</w:t>
              </w:r>
            </w:hyperlink>
          </w:p>
        </w:tc>
      </w:tr>
      <w:tr w:rsidR="00000000" w14:paraId="0B57E2AD" w14:textId="77777777">
        <w:trPr>
          <w:divId w:val="292248333"/>
        </w:trPr>
        <w:tc>
          <w:tcPr>
            <w:tcW w:w="0" w:type="auto"/>
            <w:gridSpan w:val="3"/>
            <w:tcMar>
              <w:top w:w="30" w:type="dxa"/>
              <w:left w:w="20" w:type="dxa"/>
              <w:bottom w:w="30" w:type="dxa"/>
              <w:right w:w="20" w:type="dxa"/>
            </w:tcMar>
            <w:hideMark/>
          </w:tcPr>
          <w:p w14:paraId="7F80D518" w14:textId="77777777" w:rsidR="00000000" w:rsidRDefault="00EE5306">
            <w:pPr>
              <w:spacing w:after="100"/>
              <w:jc w:val="center"/>
              <w:rPr>
                <w:rFonts w:eastAsia="Times New Roman"/>
              </w:rPr>
            </w:pPr>
            <w:r>
              <w:rPr>
                <w:rFonts w:eastAsia="Times New Roman"/>
                <w:color w:val="000000"/>
                <w:sz w:val="20"/>
                <w:szCs w:val="20"/>
              </w:rPr>
              <w:t>10.44</w:t>
            </w:r>
          </w:p>
        </w:tc>
        <w:tc>
          <w:tcPr>
            <w:tcW w:w="0" w:type="auto"/>
            <w:gridSpan w:val="3"/>
            <w:tcMar>
              <w:top w:w="30" w:type="dxa"/>
              <w:left w:w="20" w:type="dxa"/>
              <w:bottom w:w="30" w:type="dxa"/>
              <w:right w:w="20" w:type="dxa"/>
            </w:tcMar>
            <w:hideMark/>
          </w:tcPr>
          <w:p w14:paraId="0C7BFAF9" w14:textId="77777777" w:rsidR="00000000" w:rsidRDefault="00EE5306">
            <w:pPr>
              <w:spacing w:after="100"/>
              <w:jc w:val="both"/>
              <w:rPr>
                <w:rFonts w:eastAsia="Times New Roman"/>
              </w:rPr>
            </w:pPr>
            <w:hyperlink r:id="rId61" w:history="1">
              <w:r>
                <w:rPr>
                  <w:rStyle w:val="a3"/>
                  <w:rFonts w:eastAsia="Times New Roman"/>
                  <w:sz w:val="20"/>
                  <w:szCs w:val="20"/>
                </w:rPr>
                <w:t>Form of Cliff Restricted Stock Award Agreement under the 2019 Long-Term Stock Incentive Plan (filed as Exhibit 10.2 to the Form 10-Q filed November 5, 2020)†</w:t>
              </w:r>
            </w:hyperlink>
          </w:p>
        </w:tc>
      </w:tr>
      <w:tr w:rsidR="00000000" w14:paraId="66B163BD" w14:textId="77777777">
        <w:trPr>
          <w:divId w:val="292248333"/>
        </w:trPr>
        <w:tc>
          <w:tcPr>
            <w:tcW w:w="0" w:type="auto"/>
            <w:gridSpan w:val="3"/>
            <w:tcMar>
              <w:top w:w="30" w:type="dxa"/>
              <w:left w:w="20" w:type="dxa"/>
              <w:bottom w:w="30" w:type="dxa"/>
              <w:right w:w="20" w:type="dxa"/>
            </w:tcMar>
            <w:hideMark/>
          </w:tcPr>
          <w:p w14:paraId="459FAD83" w14:textId="77777777" w:rsidR="00000000" w:rsidRDefault="00EE5306">
            <w:pPr>
              <w:spacing w:after="100"/>
              <w:jc w:val="center"/>
              <w:rPr>
                <w:rFonts w:eastAsia="Times New Roman"/>
              </w:rPr>
            </w:pPr>
            <w:r>
              <w:rPr>
                <w:rFonts w:eastAsia="Times New Roman"/>
                <w:color w:val="000000"/>
                <w:sz w:val="20"/>
                <w:szCs w:val="20"/>
              </w:rPr>
              <w:t>10.45</w:t>
            </w:r>
          </w:p>
        </w:tc>
        <w:tc>
          <w:tcPr>
            <w:tcW w:w="0" w:type="auto"/>
            <w:gridSpan w:val="3"/>
            <w:tcMar>
              <w:top w:w="30" w:type="dxa"/>
              <w:left w:w="20" w:type="dxa"/>
              <w:bottom w:w="30" w:type="dxa"/>
              <w:right w:w="20" w:type="dxa"/>
            </w:tcMar>
            <w:hideMark/>
          </w:tcPr>
          <w:p w14:paraId="19D049F1" w14:textId="77777777" w:rsidR="00000000" w:rsidRDefault="00EE5306">
            <w:pPr>
              <w:spacing w:after="100"/>
              <w:jc w:val="both"/>
              <w:rPr>
                <w:rFonts w:eastAsia="Times New Roman"/>
              </w:rPr>
            </w:pPr>
            <w:hyperlink r:id="rId62" w:history="1">
              <w:r>
                <w:rPr>
                  <w:rStyle w:val="a3"/>
                  <w:rFonts w:eastAsia="Times New Roman"/>
                  <w:sz w:val="20"/>
                  <w:szCs w:val="20"/>
                </w:rPr>
                <w:t>Form of Pro-Rata Restricted Stock Unit Award Agreement under the 2019 Long-Term Stock Incentive Plan (filed as Exhibit 10.3 to the Form 10-Q filed November 5, 2020)†</w:t>
              </w:r>
            </w:hyperlink>
          </w:p>
        </w:tc>
      </w:tr>
      <w:tr w:rsidR="00000000" w14:paraId="7A2BB6D7" w14:textId="77777777">
        <w:trPr>
          <w:divId w:val="292248333"/>
        </w:trPr>
        <w:tc>
          <w:tcPr>
            <w:tcW w:w="0" w:type="auto"/>
            <w:gridSpan w:val="3"/>
            <w:tcMar>
              <w:top w:w="30" w:type="dxa"/>
              <w:left w:w="20" w:type="dxa"/>
              <w:bottom w:w="30" w:type="dxa"/>
              <w:right w:w="20" w:type="dxa"/>
            </w:tcMar>
            <w:hideMark/>
          </w:tcPr>
          <w:p w14:paraId="3E4C248C" w14:textId="77777777" w:rsidR="00000000" w:rsidRDefault="00EE5306">
            <w:pPr>
              <w:spacing w:after="100"/>
              <w:jc w:val="center"/>
              <w:rPr>
                <w:rFonts w:eastAsia="Times New Roman"/>
              </w:rPr>
            </w:pPr>
            <w:r>
              <w:rPr>
                <w:rFonts w:eastAsia="Times New Roman"/>
                <w:color w:val="000000"/>
                <w:sz w:val="20"/>
                <w:szCs w:val="20"/>
              </w:rPr>
              <w:t>10.46</w:t>
            </w:r>
          </w:p>
        </w:tc>
        <w:tc>
          <w:tcPr>
            <w:tcW w:w="0" w:type="auto"/>
            <w:gridSpan w:val="3"/>
            <w:tcMar>
              <w:top w:w="30" w:type="dxa"/>
              <w:left w:w="20" w:type="dxa"/>
              <w:bottom w:w="30" w:type="dxa"/>
              <w:right w:w="20" w:type="dxa"/>
            </w:tcMar>
            <w:hideMark/>
          </w:tcPr>
          <w:p w14:paraId="0A22F55D" w14:textId="77777777" w:rsidR="00000000" w:rsidRDefault="00EE5306">
            <w:pPr>
              <w:spacing w:after="100"/>
              <w:jc w:val="both"/>
              <w:rPr>
                <w:rFonts w:eastAsia="Times New Roman"/>
              </w:rPr>
            </w:pPr>
            <w:hyperlink r:id="rId63" w:history="1">
              <w:r>
                <w:rPr>
                  <w:rStyle w:val="a3"/>
                  <w:rFonts w:eastAsia="Times New Roman"/>
                  <w:sz w:val="20"/>
                  <w:szCs w:val="20"/>
                </w:rPr>
                <w:t>Amended and Restated Polo Ralph Lauren Supplemental Executive Retirement Plan (filed as Exhibit 10.1 to the Company's Form 10-Q for the quarterly period ended December 31, 2005)†</w:t>
              </w:r>
            </w:hyperlink>
          </w:p>
        </w:tc>
      </w:tr>
      <w:tr w:rsidR="00000000" w14:paraId="0A883B04" w14:textId="77777777">
        <w:trPr>
          <w:divId w:val="292248333"/>
        </w:trPr>
        <w:tc>
          <w:tcPr>
            <w:tcW w:w="0" w:type="auto"/>
            <w:gridSpan w:val="3"/>
            <w:tcMar>
              <w:top w:w="30" w:type="dxa"/>
              <w:left w:w="20" w:type="dxa"/>
              <w:bottom w:w="30" w:type="dxa"/>
              <w:right w:w="20" w:type="dxa"/>
            </w:tcMar>
            <w:hideMark/>
          </w:tcPr>
          <w:p w14:paraId="7A124FF0" w14:textId="77777777" w:rsidR="00000000" w:rsidRDefault="00EE5306">
            <w:pPr>
              <w:spacing w:after="100"/>
              <w:jc w:val="center"/>
              <w:rPr>
                <w:rFonts w:eastAsia="Times New Roman"/>
              </w:rPr>
            </w:pPr>
            <w:r>
              <w:rPr>
                <w:rFonts w:eastAsia="Times New Roman"/>
                <w:color w:val="000000"/>
                <w:sz w:val="20"/>
                <w:szCs w:val="20"/>
              </w:rPr>
              <w:t>10.47</w:t>
            </w:r>
          </w:p>
        </w:tc>
        <w:tc>
          <w:tcPr>
            <w:tcW w:w="0" w:type="auto"/>
            <w:gridSpan w:val="3"/>
            <w:tcMar>
              <w:top w:w="30" w:type="dxa"/>
              <w:left w:w="20" w:type="dxa"/>
              <w:bottom w:w="30" w:type="dxa"/>
              <w:right w:w="20" w:type="dxa"/>
            </w:tcMar>
            <w:hideMark/>
          </w:tcPr>
          <w:p w14:paraId="2B919184" w14:textId="77777777" w:rsidR="00000000" w:rsidRDefault="00EE5306">
            <w:pPr>
              <w:spacing w:after="100"/>
              <w:jc w:val="both"/>
              <w:rPr>
                <w:rFonts w:eastAsia="Times New Roman"/>
              </w:rPr>
            </w:pPr>
            <w:hyperlink r:id="rId64" w:history="1">
              <w:r>
                <w:rPr>
                  <w:rStyle w:val="a3"/>
                  <w:rFonts w:eastAsia="Times New Roman"/>
                  <w:sz w:val="20"/>
                  <w:szCs w:val="20"/>
                </w:rPr>
                <w:t>Credit Agreement, dated as of August 12, 2019 and as amended by the First Amendment, dated as of May 26, 2020, among the Company, Ralph Lauren Europe Sàrl, RL Finance B.V</w:t>
              </w:r>
              <w:r>
                <w:rPr>
                  <w:rStyle w:val="a3"/>
                  <w:rFonts w:eastAsia="Times New Roman"/>
                  <w:sz w:val="20"/>
                  <w:szCs w:val="20"/>
                </w:rPr>
                <w:t>. and Ralph Lauren Asia Pacific Limited as the borrowers, the lenders party thereto, Bank of America, N.A., as syndication agent, Wells Fargo Bank, N.A., HSBC Bank USA, N.A., ING Bank N.V., Dublin Branch, and Deutsche Bank Securities Inc., as co-documentat</w:t>
              </w:r>
              <w:r>
                <w:rPr>
                  <w:rStyle w:val="a3"/>
                  <w:rFonts w:eastAsia="Times New Roman"/>
                  <w:sz w:val="20"/>
                  <w:szCs w:val="20"/>
                </w:rPr>
                <w:t xml:space="preserve">ion agents, and JPMorgan Chase Bank, N.A., as administrative agent (filed as Exhibit </w:t>
              </w:r>
            </w:hyperlink>
            <w:hyperlink r:id="rId65" w:history="1">
              <w:r>
                <w:rPr>
                  <w:rStyle w:val="a3"/>
                  <w:rFonts w:eastAsia="Times New Roman"/>
                  <w:sz w:val="20"/>
                  <w:szCs w:val="20"/>
                </w:rPr>
                <w:t>10.41</w:t>
              </w:r>
            </w:hyperlink>
            <w:hyperlink r:id="rId66" w:history="1">
              <w:r>
                <w:rPr>
                  <w:rStyle w:val="a3"/>
                  <w:rFonts w:eastAsia="Times New Roman"/>
                  <w:sz w:val="20"/>
                  <w:szCs w:val="20"/>
                </w:rPr>
                <w:t xml:space="preserve"> to the Fiscal 2020 10-K)</w:t>
              </w:r>
            </w:hyperlink>
          </w:p>
        </w:tc>
      </w:tr>
      <w:tr w:rsidR="00000000" w14:paraId="1703A80A" w14:textId="77777777">
        <w:trPr>
          <w:divId w:val="292248333"/>
        </w:trPr>
        <w:tc>
          <w:tcPr>
            <w:tcW w:w="0" w:type="auto"/>
            <w:gridSpan w:val="3"/>
            <w:tcMar>
              <w:top w:w="30" w:type="dxa"/>
              <w:left w:w="20" w:type="dxa"/>
              <w:bottom w:w="30" w:type="dxa"/>
              <w:right w:w="20" w:type="dxa"/>
            </w:tcMar>
            <w:hideMark/>
          </w:tcPr>
          <w:p w14:paraId="274CB590" w14:textId="77777777" w:rsidR="00000000" w:rsidRDefault="00EE5306">
            <w:pPr>
              <w:spacing w:after="100"/>
              <w:jc w:val="center"/>
              <w:rPr>
                <w:rFonts w:eastAsia="Times New Roman"/>
              </w:rPr>
            </w:pPr>
            <w:r>
              <w:rPr>
                <w:rFonts w:eastAsia="Times New Roman"/>
                <w:color w:val="000000"/>
                <w:sz w:val="20"/>
                <w:szCs w:val="20"/>
              </w:rPr>
              <w:t>14.1</w:t>
            </w:r>
          </w:p>
        </w:tc>
        <w:tc>
          <w:tcPr>
            <w:tcW w:w="0" w:type="auto"/>
            <w:gridSpan w:val="3"/>
            <w:tcMar>
              <w:top w:w="30" w:type="dxa"/>
              <w:left w:w="20" w:type="dxa"/>
              <w:bottom w:w="30" w:type="dxa"/>
              <w:right w:w="20" w:type="dxa"/>
            </w:tcMar>
            <w:hideMark/>
          </w:tcPr>
          <w:p w14:paraId="44DE1620" w14:textId="77777777" w:rsidR="00000000" w:rsidRDefault="00EE5306">
            <w:pPr>
              <w:spacing w:after="100"/>
              <w:jc w:val="both"/>
              <w:rPr>
                <w:rFonts w:eastAsia="Times New Roman"/>
              </w:rPr>
            </w:pPr>
            <w:hyperlink r:id="rId67" w:history="1">
              <w:r>
                <w:rPr>
                  <w:rStyle w:val="a3"/>
                  <w:rFonts w:eastAsia="Times New Roman"/>
                  <w:sz w:val="20"/>
                  <w:szCs w:val="20"/>
                </w:rPr>
                <w:t>Code of Ethics for Principal Executive Officers and Senior Financial Officers (filed as Exhibit 14.1 to the Company's Annual Report on Form 10-K for the fis</w:t>
              </w:r>
              <w:r>
                <w:rPr>
                  <w:rStyle w:val="a3"/>
                  <w:rFonts w:eastAsia="Times New Roman"/>
                  <w:sz w:val="20"/>
                  <w:szCs w:val="20"/>
                </w:rPr>
                <w:t>cal year ended March 29, 2003 and available, as amended, on the Company's Internet site)</w:t>
              </w:r>
            </w:hyperlink>
          </w:p>
        </w:tc>
      </w:tr>
      <w:tr w:rsidR="00000000" w14:paraId="3938814C" w14:textId="77777777">
        <w:trPr>
          <w:divId w:val="292248333"/>
        </w:trPr>
        <w:tc>
          <w:tcPr>
            <w:tcW w:w="0" w:type="auto"/>
            <w:gridSpan w:val="3"/>
            <w:tcMar>
              <w:top w:w="30" w:type="dxa"/>
              <w:left w:w="20" w:type="dxa"/>
              <w:bottom w:w="30" w:type="dxa"/>
              <w:right w:w="20" w:type="dxa"/>
            </w:tcMar>
            <w:hideMark/>
          </w:tcPr>
          <w:p w14:paraId="02523604" w14:textId="77777777" w:rsidR="00000000" w:rsidRDefault="00EE5306">
            <w:pPr>
              <w:spacing w:after="100"/>
              <w:jc w:val="center"/>
              <w:rPr>
                <w:rFonts w:eastAsia="Times New Roman"/>
              </w:rPr>
            </w:pPr>
            <w:r>
              <w:rPr>
                <w:rFonts w:eastAsia="Times New Roman"/>
                <w:color w:val="000000"/>
                <w:sz w:val="20"/>
                <w:szCs w:val="20"/>
              </w:rPr>
              <w:t>14.2</w:t>
            </w:r>
          </w:p>
        </w:tc>
        <w:tc>
          <w:tcPr>
            <w:tcW w:w="0" w:type="auto"/>
            <w:gridSpan w:val="3"/>
            <w:tcMar>
              <w:top w:w="30" w:type="dxa"/>
              <w:left w:w="20" w:type="dxa"/>
              <w:bottom w:w="30" w:type="dxa"/>
              <w:right w:w="20" w:type="dxa"/>
            </w:tcMar>
            <w:hideMark/>
          </w:tcPr>
          <w:p w14:paraId="26EEFBA4" w14:textId="77777777" w:rsidR="00000000" w:rsidRDefault="00EE5306">
            <w:pPr>
              <w:spacing w:after="100"/>
              <w:jc w:val="both"/>
              <w:rPr>
                <w:rFonts w:eastAsia="Times New Roman"/>
              </w:rPr>
            </w:pPr>
            <w:hyperlink r:id="rId68" w:history="1">
              <w:r>
                <w:rPr>
                  <w:rStyle w:val="a3"/>
                  <w:rFonts w:eastAsia="Times New Roman"/>
                  <w:sz w:val="20"/>
                  <w:szCs w:val="20"/>
                </w:rPr>
                <w:t>Code of Business Conduct and Ethics of the Company (filed as Exhibit 14.1 to the Form 10-Q for the quarterly period ended June 27, 2015 and available, as amended, on the Company's Internet site)</w:t>
              </w:r>
            </w:hyperlink>
          </w:p>
        </w:tc>
      </w:tr>
      <w:tr w:rsidR="00000000" w14:paraId="333474B9" w14:textId="77777777">
        <w:trPr>
          <w:divId w:val="292248333"/>
        </w:trPr>
        <w:tc>
          <w:tcPr>
            <w:tcW w:w="0" w:type="auto"/>
            <w:gridSpan w:val="3"/>
            <w:tcMar>
              <w:top w:w="30" w:type="dxa"/>
              <w:left w:w="20" w:type="dxa"/>
              <w:bottom w:w="30" w:type="dxa"/>
              <w:right w:w="20" w:type="dxa"/>
            </w:tcMar>
            <w:hideMark/>
          </w:tcPr>
          <w:p w14:paraId="47C50C5D" w14:textId="77777777" w:rsidR="00000000" w:rsidRDefault="00EE5306">
            <w:pPr>
              <w:spacing w:after="100"/>
              <w:jc w:val="center"/>
              <w:rPr>
                <w:rFonts w:eastAsia="Times New Roman"/>
              </w:rPr>
            </w:pPr>
            <w:r>
              <w:rPr>
                <w:rFonts w:eastAsia="Times New Roman"/>
                <w:color w:val="000000"/>
                <w:sz w:val="20"/>
                <w:szCs w:val="20"/>
              </w:rPr>
              <w:t>21.1*</w:t>
            </w:r>
          </w:p>
        </w:tc>
        <w:tc>
          <w:tcPr>
            <w:tcW w:w="0" w:type="auto"/>
            <w:gridSpan w:val="3"/>
            <w:tcMar>
              <w:top w:w="30" w:type="dxa"/>
              <w:left w:w="20" w:type="dxa"/>
              <w:bottom w:w="30" w:type="dxa"/>
              <w:right w:w="20" w:type="dxa"/>
            </w:tcMar>
            <w:hideMark/>
          </w:tcPr>
          <w:p w14:paraId="6D7817C3" w14:textId="77777777" w:rsidR="00000000" w:rsidRDefault="00EE5306">
            <w:pPr>
              <w:spacing w:after="100"/>
              <w:jc w:val="both"/>
              <w:rPr>
                <w:rFonts w:eastAsia="Times New Roman"/>
              </w:rPr>
            </w:pPr>
            <w:hyperlink r:id="rId69" w:history="1">
              <w:r>
                <w:rPr>
                  <w:rStyle w:val="a3"/>
                  <w:rFonts w:eastAsia="Times New Roman"/>
                  <w:sz w:val="20"/>
                  <w:szCs w:val="20"/>
                </w:rPr>
                <w:t>List of</w:t>
              </w:r>
            </w:hyperlink>
            <w:hyperlink r:id="rId70" w:history="1">
              <w:r>
                <w:rPr>
                  <w:rStyle w:val="a3"/>
                  <w:rFonts w:eastAsia="Times New Roman"/>
                  <w:sz w:val="20"/>
                  <w:szCs w:val="20"/>
                </w:rPr>
                <w:t xml:space="preserve"> Subsidiaries of the Company</w:t>
              </w:r>
            </w:hyperlink>
          </w:p>
        </w:tc>
      </w:tr>
      <w:tr w:rsidR="00000000" w14:paraId="7E992CF2" w14:textId="77777777">
        <w:trPr>
          <w:divId w:val="292248333"/>
        </w:trPr>
        <w:tc>
          <w:tcPr>
            <w:tcW w:w="0" w:type="auto"/>
            <w:gridSpan w:val="3"/>
            <w:tcMar>
              <w:top w:w="30" w:type="dxa"/>
              <w:left w:w="20" w:type="dxa"/>
              <w:bottom w:w="30" w:type="dxa"/>
              <w:right w:w="20" w:type="dxa"/>
            </w:tcMar>
            <w:hideMark/>
          </w:tcPr>
          <w:p w14:paraId="7E6EB1CC" w14:textId="77777777" w:rsidR="00000000" w:rsidRDefault="00EE5306">
            <w:pPr>
              <w:spacing w:after="100"/>
              <w:jc w:val="center"/>
              <w:rPr>
                <w:rFonts w:eastAsia="Times New Roman"/>
              </w:rPr>
            </w:pPr>
            <w:r>
              <w:rPr>
                <w:rFonts w:eastAsia="Times New Roman"/>
                <w:color w:val="000000"/>
                <w:sz w:val="20"/>
                <w:szCs w:val="20"/>
              </w:rPr>
              <w:t>23.1*</w:t>
            </w:r>
          </w:p>
        </w:tc>
        <w:tc>
          <w:tcPr>
            <w:tcW w:w="0" w:type="auto"/>
            <w:gridSpan w:val="3"/>
            <w:tcMar>
              <w:top w:w="30" w:type="dxa"/>
              <w:left w:w="20" w:type="dxa"/>
              <w:bottom w:w="30" w:type="dxa"/>
              <w:right w:w="20" w:type="dxa"/>
            </w:tcMar>
            <w:hideMark/>
          </w:tcPr>
          <w:p w14:paraId="77A7E215" w14:textId="77777777" w:rsidR="00000000" w:rsidRDefault="00EE5306">
            <w:pPr>
              <w:spacing w:after="100"/>
              <w:jc w:val="both"/>
              <w:rPr>
                <w:rFonts w:eastAsia="Times New Roman"/>
              </w:rPr>
            </w:pPr>
            <w:hyperlink r:id="rId71" w:history="1">
              <w:r>
                <w:rPr>
                  <w:rStyle w:val="a3"/>
                  <w:rFonts w:eastAsia="Times New Roman"/>
                  <w:sz w:val="20"/>
                  <w:szCs w:val="20"/>
                </w:rPr>
                <w:t>Consent of Ernst &amp; Young LLP</w:t>
              </w:r>
            </w:hyperlink>
          </w:p>
        </w:tc>
      </w:tr>
      <w:tr w:rsidR="00000000" w14:paraId="50C3396C" w14:textId="77777777">
        <w:trPr>
          <w:divId w:val="292248333"/>
        </w:trPr>
        <w:tc>
          <w:tcPr>
            <w:tcW w:w="0" w:type="auto"/>
            <w:gridSpan w:val="3"/>
            <w:tcMar>
              <w:top w:w="30" w:type="dxa"/>
              <w:left w:w="20" w:type="dxa"/>
              <w:bottom w:w="30" w:type="dxa"/>
              <w:right w:w="20" w:type="dxa"/>
            </w:tcMar>
            <w:hideMark/>
          </w:tcPr>
          <w:p w14:paraId="555E40B7" w14:textId="77777777" w:rsidR="00000000" w:rsidRDefault="00EE5306">
            <w:pPr>
              <w:spacing w:after="100"/>
              <w:jc w:val="center"/>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14:paraId="1BE58F9D" w14:textId="77777777" w:rsidR="00000000" w:rsidRDefault="00EE5306">
            <w:pPr>
              <w:spacing w:after="100"/>
              <w:jc w:val="both"/>
              <w:rPr>
                <w:rFonts w:eastAsia="Times New Roman"/>
              </w:rPr>
            </w:pPr>
            <w:hyperlink r:id="rId72" w:history="1">
              <w:r>
                <w:rPr>
                  <w:rStyle w:val="a3"/>
                  <w:rFonts w:eastAsia="Times New Roman"/>
                  <w:sz w:val="20"/>
                  <w:szCs w:val="20"/>
                </w:rPr>
                <w:t>Certification of Principal Executive Officer pursuant to 17 CFR 240.13a-14(a)</w:t>
              </w:r>
            </w:hyperlink>
          </w:p>
        </w:tc>
      </w:tr>
      <w:tr w:rsidR="00000000" w14:paraId="18EA4767" w14:textId="77777777">
        <w:trPr>
          <w:divId w:val="292248333"/>
        </w:trPr>
        <w:tc>
          <w:tcPr>
            <w:tcW w:w="0" w:type="auto"/>
            <w:gridSpan w:val="3"/>
            <w:tcMar>
              <w:top w:w="30" w:type="dxa"/>
              <w:left w:w="20" w:type="dxa"/>
              <w:bottom w:w="30" w:type="dxa"/>
              <w:right w:w="20" w:type="dxa"/>
            </w:tcMar>
            <w:hideMark/>
          </w:tcPr>
          <w:p w14:paraId="6C7ED7B2" w14:textId="77777777" w:rsidR="00000000" w:rsidRDefault="00EE5306">
            <w:pPr>
              <w:spacing w:after="100"/>
              <w:jc w:val="center"/>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14:paraId="5925C458" w14:textId="77777777" w:rsidR="00000000" w:rsidRDefault="00EE5306">
            <w:pPr>
              <w:spacing w:after="100"/>
              <w:jc w:val="both"/>
              <w:rPr>
                <w:rFonts w:eastAsia="Times New Roman"/>
              </w:rPr>
            </w:pPr>
            <w:hyperlink r:id="rId73" w:history="1">
              <w:r>
                <w:rPr>
                  <w:rStyle w:val="a3"/>
                  <w:rFonts w:eastAsia="Times New Roman"/>
                  <w:sz w:val="20"/>
                  <w:szCs w:val="20"/>
                </w:rPr>
                <w:t>Certification of Principal Financial Officer pursuant to 17 CFR 240.13a-14(a)</w:t>
              </w:r>
            </w:hyperlink>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7E064F72" w14:textId="77777777">
        <w:trPr>
          <w:jc w:val="center"/>
        </w:trPr>
        <w:tc>
          <w:tcPr>
            <w:tcW w:w="50" w:type="pct"/>
            <w:vAlign w:val="center"/>
            <w:hideMark/>
          </w:tcPr>
          <w:p w14:paraId="6EC1EF51" w14:textId="77777777" w:rsidR="00000000" w:rsidRDefault="00EE5306">
            <w:pPr>
              <w:rPr>
                <w:rFonts w:eastAsia="Times New Roman"/>
              </w:rPr>
            </w:pPr>
          </w:p>
        </w:tc>
        <w:tc>
          <w:tcPr>
            <w:tcW w:w="1699" w:type="pct"/>
            <w:vAlign w:val="center"/>
            <w:hideMark/>
          </w:tcPr>
          <w:p w14:paraId="2106D969" w14:textId="77777777" w:rsidR="00000000" w:rsidRDefault="00EE5306">
            <w:pPr>
              <w:spacing w:after="100"/>
              <w:rPr>
                <w:rFonts w:eastAsia="Times New Roman"/>
                <w:sz w:val="20"/>
                <w:szCs w:val="20"/>
              </w:rPr>
            </w:pPr>
          </w:p>
        </w:tc>
        <w:tc>
          <w:tcPr>
            <w:tcW w:w="5" w:type="pct"/>
            <w:vAlign w:val="center"/>
            <w:hideMark/>
          </w:tcPr>
          <w:p w14:paraId="1ECF42AD" w14:textId="77777777" w:rsidR="00000000" w:rsidRDefault="00EE5306">
            <w:pPr>
              <w:spacing w:after="100"/>
              <w:rPr>
                <w:rFonts w:eastAsia="Times New Roman"/>
                <w:sz w:val="20"/>
                <w:szCs w:val="20"/>
              </w:rPr>
            </w:pPr>
          </w:p>
        </w:tc>
        <w:tc>
          <w:tcPr>
            <w:tcW w:w="50" w:type="pct"/>
            <w:vAlign w:val="center"/>
            <w:hideMark/>
          </w:tcPr>
          <w:p w14:paraId="103D9CCD" w14:textId="77777777" w:rsidR="00000000" w:rsidRDefault="00EE5306">
            <w:pPr>
              <w:spacing w:after="100"/>
              <w:rPr>
                <w:rFonts w:eastAsia="Times New Roman"/>
                <w:sz w:val="20"/>
                <w:szCs w:val="20"/>
              </w:rPr>
            </w:pPr>
          </w:p>
        </w:tc>
        <w:tc>
          <w:tcPr>
            <w:tcW w:w="1436" w:type="pct"/>
            <w:vAlign w:val="center"/>
            <w:hideMark/>
          </w:tcPr>
          <w:p w14:paraId="26B50F8F" w14:textId="77777777" w:rsidR="00000000" w:rsidRDefault="00EE5306">
            <w:pPr>
              <w:spacing w:after="100"/>
              <w:rPr>
                <w:rFonts w:eastAsia="Times New Roman"/>
                <w:sz w:val="20"/>
                <w:szCs w:val="20"/>
              </w:rPr>
            </w:pPr>
          </w:p>
        </w:tc>
        <w:tc>
          <w:tcPr>
            <w:tcW w:w="5" w:type="pct"/>
            <w:vAlign w:val="center"/>
            <w:hideMark/>
          </w:tcPr>
          <w:p w14:paraId="0B22A570" w14:textId="77777777" w:rsidR="00000000" w:rsidRDefault="00EE5306">
            <w:pPr>
              <w:spacing w:after="100"/>
              <w:rPr>
                <w:rFonts w:eastAsia="Times New Roman"/>
                <w:sz w:val="20"/>
                <w:szCs w:val="20"/>
              </w:rPr>
            </w:pPr>
          </w:p>
        </w:tc>
        <w:tc>
          <w:tcPr>
            <w:tcW w:w="50" w:type="pct"/>
            <w:vAlign w:val="center"/>
            <w:hideMark/>
          </w:tcPr>
          <w:p w14:paraId="4B316DEA" w14:textId="77777777" w:rsidR="00000000" w:rsidRDefault="00EE5306">
            <w:pPr>
              <w:spacing w:after="100"/>
              <w:rPr>
                <w:rFonts w:eastAsia="Times New Roman"/>
                <w:sz w:val="20"/>
                <w:szCs w:val="20"/>
              </w:rPr>
            </w:pPr>
          </w:p>
        </w:tc>
        <w:tc>
          <w:tcPr>
            <w:tcW w:w="1699" w:type="pct"/>
            <w:vAlign w:val="center"/>
            <w:hideMark/>
          </w:tcPr>
          <w:p w14:paraId="425274A3" w14:textId="77777777" w:rsidR="00000000" w:rsidRDefault="00EE5306">
            <w:pPr>
              <w:spacing w:after="100"/>
              <w:rPr>
                <w:rFonts w:eastAsia="Times New Roman"/>
                <w:sz w:val="20"/>
                <w:szCs w:val="20"/>
              </w:rPr>
            </w:pPr>
          </w:p>
        </w:tc>
        <w:tc>
          <w:tcPr>
            <w:tcW w:w="5" w:type="pct"/>
            <w:vAlign w:val="center"/>
            <w:hideMark/>
          </w:tcPr>
          <w:p w14:paraId="705167C1" w14:textId="77777777" w:rsidR="00000000" w:rsidRDefault="00EE5306">
            <w:pPr>
              <w:spacing w:after="100"/>
              <w:rPr>
                <w:rFonts w:eastAsia="Times New Roman"/>
                <w:sz w:val="20"/>
                <w:szCs w:val="20"/>
              </w:rPr>
            </w:pPr>
          </w:p>
        </w:tc>
      </w:tr>
      <w:tr w:rsidR="00000000" w14:paraId="7829E386" w14:textId="77777777">
        <w:trPr>
          <w:jc w:val="center"/>
        </w:trPr>
        <w:tc>
          <w:tcPr>
            <w:tcW w:w="0" w:type="auto"/>
            <w:gridSpan w:val="3"/>
            <w:tcMar>
              <w:top w:w="0" w:type="dxa"/>
              <w:left w:w="20" w:type="dxa"/>
              <w:bottom w:w="0" w:type="dxa"/>
              <w:right w:w="20" w:type="dxa"/>
            </w:tcMar>
            <w:vAlign w:val="center"/>
            <w:hideMark/>
          </w:tcPr>
          <w:p w14:paraId="5322BDD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6D939C4" w14:textId="77777777" w:rsidR="00000000" w:rsidRDefault="00EE5306">
            <w:pPr>
              <w:spacing w:after="100"/>
              <w:jc w:val="center"/>
              <w:rPr>
                <w:rFonts w:eastAsia="Times New Roman"/>
              </w:rPr>
            </w:pPr>
            <w:r>
              <w:rPr>
                <w:rFonts w:eastAsia="Times New Roman"/>
                <w:color w:val="000000"/>
                <w:sz w:val="20"/>
                <w:szCs w:val="20"/>
              </w:rPr>
              <w:t>80</w:t>
            </w:r>
          </w:p>
        </w:tc>
        <w:tc>
          <w:tcPr>
            <w:tcW w:w="0" w:type="auto"/>
            <w:gridSpan w:val="3"/>
            <w:tcMar>
              <w:top w:w="0" w:type="dxa"/>
              <w:left w:w="20" w:type="dxa"/>
              <w:bottom w:w="0" w:type="dxa"/>
              <w:right w:w="20" w:type="dxa"/>
            </w:tcMar>
            <w:vAlign w:val="center"/>
            <w:hideMark/>
          </w:tcPr>
          <w:p w14:paraId="068A068C" w14:textId="77777777" w:rsidR="00000000" w:rsidRDefault="00EE5306">
            <w:pPr>
              <w:spacing w:after="100"/>
              <w:jc w:val="center"/>
              <w:rPr>
                <w:rFonts w:eastAsia="Times New Roman"/>
              </w:rPr>
            </w:pPr>
          </w:p>
        </w:tc>
      </w:tr>
    </w:tbl>
    <w:p w14:paraId="7A0A947F" w14:textId="77777777" w:rsidR="00000000" w:rsidRDefault="00EE5306">
      <w:pPr>
        <w:rPr>
          <w:rFonts w:eastAsia="Times New Roman"/>
        </w:rPr>
      </w:pPr>
      <w:r>
        <w:rPr>
          <w:rFonts w:eastAsia="Times New Roman"/>
        </w:rPr>
        <w:pict w14:anchorId="35117D54">
          <v:rect id="_x0000_i1107" style="width:0;height:1.5pt" o:hralign="center" o:hrstd="t" o:hr="t" fillcolor="#a0a0a0" stroked="f"/>
        </w:pict>
      </w:r>
    </w:p>
    <w:p w14:paraId="02EFC00E" w14:textId="77777777" w:rsidR="00000000" w:rsidRDefault="00EE5306">
      <w:pPr>
        <w:divId w:val="169896625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90"/>
        <w:gridCol w:w="782"/>
        <w:gridCol w:w="36"/>
        <w:gridCol w:w="38"/>
        <w:gridCol w:w="7311"/>
        <w:gridCol w:w="36"/>
      </w:tblGrid>
      <w:tr w:rsidR="00000000" w14:paraId="0A170898" w14:textId="77777777">
        <w:trPr>
          <w:divId w:val="757678254"/>
        </w:trPr>
        <w:tc>
          <w:tcPr>
            <w:tcW w:w="50" w:type="pct"/>
            <w:vAlign w:val="center"/>
            <w:hideMark/>
          </w:tcPr>
          <w:p w14:paraId="42A78C90" w14:textId="77777777" w:rsidR="00000000" w:rsidRDefault="00EE5306">
            <w:pPr>
              <w:rPr>
                <w:rFonts w:eastAsia="Times New Roman"/>
              </w:rPr>
            </w:pPr>
          </w:p>
        </w:tc>
        <w:tc>
          <w:tcPr>
            <w:tcW w:w="435" w:type="pct"/>
            <w:vAlign w:val="center"/>
            <w:hideMark/>
          </w:tcPr>
          <w:p w14:paraId="30C841FD" w14:textId="77777777" w:rsidR="00000000" w:rsidRDefault="00EE5306">
            <w:pPr>
              <w:spacing w:after="100"/>
              <w:rPr>
                <w:rFonts w:eastAsia="Times New Roman"/>
                <w:sz w:val="20"/>
                <w:szCs w:val="20"/>
              </w:rPr>
            </w:pPr>
          </w:p>
        </w:tc>
        <w:tc>
          <w:tcPr>
            <w:tcW w:w="5" w:type="pct"/>
            <w:vAlign w:val="center"/>
            <w:hideMark/>
          </w:tcPr>
          <w:p w14:paraId="0D9850F1" w14:textId="77777777" w:rsidR="00000000" w:rsidRDefault="00EE5306">
            <w:pPr>
              <w:spacing w:after="100"/>
              <w:rPr>
                <w:rFonts w:eastAsia="Times New Roman"/>
                <w:sz w:val="20"/>
                <w:szCs w:val="20"/>
              </w:rPr>
            </w:pPr>
          </w:p>
        </w:tc>
        <w:tc>
          <w:tcPr>
            <w:tcW w:w="50" w:type="pct"/>
            <w:vAlign w:val="center"/>
            <w:hideMark/>
          </w:tcPr>
          <w:p w14:paraId="2765F2B6" w14:textId="77777777" w:rsidR="00000000" w:rsidRDefault="00EE5306">
            <w:pPr>
              <w:spacing w:after="100"/>
              <w:rPr>
                <w:rFonts w:eastAsia="Times New Roman"/>
                <w:sz w:val="20"/>
                <w:szCs w:val="20"/>
              </w:rPr>
            </w:pPr>
          </w:p>
        </w:tc>
        <w:tc>
          <w:tcPr>
            <w:tcW w:w="4454" w:type="pct"/>
            <w:vAlign w:val="center"/>
            <w:hideMark/>
          </w:tcPr>
          <w:p w14:paraId="0D1CFCB3" w14:textId="77777777" w:rsidR="00000000" w:rsidRDefault="00EE5306">
            <w:pPr>
              <w:spacing w:after="100"/>
              <w:rPr>
                <w:rFonts w:eastAsia="Times New Roman"/>
                <w:sz w:val="20"/>
                <w:szCs w:val="20"/>
              </w:rPr>
            </w:pPr>
          </w:p>
        </w:tc>
        <w:tc>
          <w:tcPr>
            <w:tcW w:w="5" w:type="pct"/>
            <w:vAlign w:val="center"/>
            <w:hideMark/>
          </w:tcPr>
          <w:p w14:paraId="2C170491" w14:textId="77777777" w:rsidR="00000000" w:rsidRDefault="00EE5306">
            <w:pPr>
              <w:spacing w:after="100"/>
              <w:rPr>
                <w:rFonts w:eastAsia="Times New Roman"/>
                <w:sz w:val="20"/>
                <w:szCs w:val="20"/>
              </w:rPr>
            </w:pPr>
          </w:p>
        </w:tc>
      </w:tr>
      <w:tr w:rsidR="00000000" w14:paraId="3F5FD662" w14:textId="77777777">
        <w:trPr>
          <w:divId w:val="757678254"/>
        </w:trPr>
        <w:tc>
          <w:tcPr>
            <w:tcW w:w="0" w:type="auto"/>
            <w:gridSpan w:val="3"/>
            <w:tcBorders>
              <w:bottom w:val="single" w:sz="8" w:space="0" w:color="000000"/>
            </w:tcBorders>
            <w:tcMar>
              <w:top w:w="30" w:type="dxa"/>
              <w:left w:w="20" w:type="dxa"/>
              <w:bottom w:w="30" w:type="dxa"/>
              <w:right w:w="20" w:type="dxa"/>
            </w:tcMar>
            <w:vAlign w:val="bottom"/>
            <w:hideMark/>
          </w:tcPr>
          <w:p w14:paraId="30B1617F" w14:textId="77777777" w:rsidR="00000000" w:rsidRDefault="00EE5306">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Borders>
              <w:bottom w:val="single" w:sz="8" w:space="0" w:color="000000"/>
            </w:tcBorders>
            <w:tcMar>
              <w:top w:w="30" w:type="dxa"/>
              <w:left w:w="20" w:type="dxa"/>
              <w:bottom w:w="30" w:type="dxa"/>
              <w:right w:w="20" w:type="dxa"/>
            </w:tcMar>
            <w:vAlign w:val="bottom"/>
            <w:hideMark/>
          </w:tcPr>
          <w:p w14:paraId="1FF61A68" w14:textId="77777777" w:rsidR="00000000" w:rsidRDefault="00EE5306">
            <w:pPr>
              <w:spacing w:after="100"/>
              <w:jc w:val="center"/>
              <w:rPr>
                <w:rFonts w:eastAsia="Times New Roman"/>
              </w:rPr>
            </w:pPr>
            <w:r>
              <w:rPr>
                <w:rFonts w:eastAsia="Times New Roman"/>
                <w:b/>
                <w:bCs/>
                <w:color w:val="000000"/>
                <w:sz w:val="16"/>
                <w:szCs w:val="16"/>
              </w:rPr>
              <w:t>Description</w:t>
            </w:r>
          </w:p>
        </w:tc>
      </w:tr>
      <w:tr w:rsidR="00000000" w14:paraId="76A6DD4A" w14:textId="77777777">
        <w:trPr>
          <w:divId w:val="757678254"/>
        </w:trPr>
        <w:tc>
          <w:tcPr>
            <w:tcW w:w="0" w:type="auto"/>
            <w:gridSpan w:val="3"/>
            <w:tcMar>
              <w:top w:w="30" w:type="dxa"/>
              <w:left w:w="20" w:type="dxa"/>
              <w:bottom w:w="30" w:type="dxa"/>
              <w:right w:w="20" w:type="dxa"/>
            </w:tcMar>
            <w:hideMark/>
          </w:tcPr>
          <w:p w14:paraId="5AB035D5" w14:textId="77777777" w:rsidR="00000000" w:rsidRDefault="00EE5306">
            <w:pPr>
              <w:spacing w:after="100"/>
              <w:jc w:val="center"/>
              <w:rPr>
                <w:rFonts w:eastAsia="Times New Roman"/>
              </w:rPr>
            </w:pPr>
            <w:r>
              <w:rPr>
                <w:rFonts w:eastAsia="Times New Roman"/>
                <w:color w:val="000000"/>
                <w:sz w:val="20"/>
                <w:szCs w:val="20"/>
              </w:rPr>
              <w:t>32.1*</w:t>
            </w:r>
          </w:p>
        </w:tc>
        <w:tc>
          <w:tcPr>
            <w:tcW w:w="0" w:type="auto"/>
            <w:gridSpan w:val="3"/>
            <w:tcMar>
              <w:top w:w="30" w:type="dxa"/>
              <w:left w:w="20" w:type="dxa"/>
              <w:bottom w:w="30" w:type="dxa"/>
              <w:right w:w="20" w:type="dxa"/>
            </w:tcMar>
            <w:hideMark/>
          </w:tcPr>
          <w:p w14:paraId="350E0A1D" w14:textId="77777777" w:rsidR="00000000" w:rsidRDefault="00EE5306">
            <w:pPr>
              <w:spacing w:after="100"/>
              <w:jc w:val="both"/>
              <w:rPr>
                <w:rFonts w:eastAsia="Times New Roman"/>
              </w:rPr>
            </w:pPr>
            <w:hyperlink r:id="rId74" w:history="1">
              <w:r>
                <w:rPr>
                  <w:rStyle w:val="a3"/>
                  <w:rFonts w:eastAsia="Times New Roman"/>
                  <w:sz w:val="20"/>
                  <w:szCs w:val="20"/>
                </w:rPr>
                <w:t>Certification of Principal Executive Officer pursuant to 18 U.S.C. Section </w:t>
              </w:r>
              <w:r>
                <w:rPr>
                  <w:rStyle w:val="a3"/>
                  <w:rFonts w:eastAsia="Times New Roman"/>
                  <w:sz w:val="20"/>
                  <w:szCs w:val="20"/>
                </w:rPr>
                <w:t>1350, as adopted pursuant to Section 906 of the Sarbanes-Oxley Act of 2002</w:t>
              </w:r>
            </w:hyperlink>
          </w:p>
        </w:tc>
      </w:tr>
      <w:tr w:rsidR="00000000" w14:paraId="10F6898E" w14:textId="77777777">
        <w:trPr>
          <w:divId w:val="757678254"/>
        </w:trPr>
        <w:tc>
          <w:tcPr>
            <w:tcW w:w="0" w:type="auto"/>
            <w:gridSpan w:val="3"/>
            <w:tcMar>
              <w:top w:w="30" w:type="dxa"/>
              <w:left w:w="20" w:type="dxa"/>
              <w:bottom w:w="30" w:type="dxa"/>
              <w:right w:w="20" w:type="dxa"/>
            </w:tcMar>
            <w:hideMark/>
          </w:tcPr>
          <w:p w14:paraId="7A844927" w14:textId="77777777" w:rsidR="00000000" w:rsidRDefault="00EE5306">
            <w:pPr>
              <w:spacing w:after="100"/>
              <w:jc w:val="center"/>
              <w:rPr>
                <w:rFonts w:eastAsia="Times New Roman"/>
              </w:rPr>
            </w:pPr>
            <w:r>
              <w:rPr>
                <w:rFonts w:eastAsia="Times New Roman"/>
                <w:color w:val="000000"/>
                <w:sz w:val="20"/>
                <w:szCs w:val="20"/>
              </w:rPr>
              <w:t>32.2*</w:t>
            </w:r>
          </w:p>
        </w:tc>
        <w:tc>
          <w:tcPr>
            <w:tcW w:w="0" w:type="auto"/>
            <w:gridSpan w:val="3"/>
            <w:tcMar>
              <w:top w:w="30" w:type="dxa"/>
              <w:left w:w="20" w:type="dxa"/>
              <w:bottom w:w="30" w:type="dxa"/>
              <w:right w:w="20" w:type="dxa"/>
            </w:tcMar>
            <w:hideMark/>
          </w:tcPr>
          <w:p w14:paraId="3FF76550" w14:textId="77777777" w:rsidR="00000000" w:rsidRDefault="00EE5306">
            <w:pPr>
              <w:spacing w:after="100"/>
              <w:jc w:val="both"/>
              <w:rPr>
                <w:rFonts w:eastAsia="Times New Roman"/>
              </w:rPr>
            </w:pPr>
            <w:hyperlink r:id="rId75" w:history="1">
              <w:r>
                <w:rPr>
                  <w:rStyle w:val="a3"/>
                  <w:rFonts w:eastAsia="Times New Roman"/>
                  <w:sz w:val="20"/>
                  <w:szCs w:val="20"/>
                </w:rPr>
                <w:t>Certification of Principal Financial Officer pursuant to 18 U.S.C. Section 1350, as adopted pursuant to Section 906 of the Sarban</w:t>
              </w:r>
              <w:r>
                <w:rPr>
                  <w:rStyle w:val="a3"/>
                  <w:rFonts w:eastAsia="Times New Roman"/>
                  <w:sz w:val="20"/>
                  <w:szCs w:val="20"/>
                </w:rPr>
                <w:t>es-Oxley Act of 2002</w:t>
              </w:r>
            </w:hyperlink>
          </w:p>
        </w:tc>
      </w:tr>
      <w:tr w:rsidR="00000000" w14:paraId="651E3F92" w14:textId="77777777">
        <w:trPr>
          <w:divId w:val="757678254"/>
        </w:trPr>
        <w:tc>
          <w:tcPr>
            <w:tcW w:w="0" w:type="auto"/>
            <w:gridSpan w:val="3"/>
            <w:tcMar>
              <w:top w:w="30" w:type="dxa"/>
              <w:left w:w="20" w:type="dxa"/>
              <w:bottom w:w="30" w:type="dxa"/>
              <w:right w:w="20" w:type="dxa"/>
            </w:tcMar>
            <w:hideMark/>
          </w:tcPr>
          <w:p w14:paraId="5D07B7BE" w14:textId="77777777" w:rsidR="00000000" w:rsidRDefault="00EE5306">
            <w:pPr>
              <w:spacing w:after="100"/>
              <w:jc w:val="center"/>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14:paraId="0C20E5D8" w14:textId="77777777" w:rsidR="00000000" w:rsidRDefault="00EE5306">
            <w:pPr>
              <w:spacing w:after="100"/>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14:paraId="651D8133" w14:textId="77777777">
        <w:trPr>
          <w:divId w:val="757678254"/>
        </w:trPr>
        <w:tc>
          <w:tcPr>
            <w:tcW w:w="0" w:type="auto"/>
            <w:gridSpan w:val="3"/>
            <w:tcMar>
              <w:top w:w="30" w:type="dxa"/>
              <w:left w:w="20" w:type="dxa"/>
              <w:bottom w:w="30" w:type="dxa"/>
              <w:right w:w="20" w:type="dxa"/>
            </w:tcMar>
            <w:hideMark/>
          </w:tcPr>
          <w:p w14:paraId="5479B568" w14:textId="77777777" w:rsidR="00000000" w:rsidRDefault="00EE5306">
            <w:pPr>
              <w:spacing w:after="100"/>
              <w:jc w:val="center"/>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14:paraId="5C3129CD" w14:textId="77777777" w:rsidR="00000000" w:rsidRDefault="00EE5306">
            <w:pPr>
              <w:spacing w:after="100"/>
              <w:jc w:val="both"/>
              <w:rPr>
                <w:rFonts w:eastAsia="Times New Roman"/>
              </w:rPr>
            </w:pPr>
            <w:r>
              <w:rPr>
                <w:rFonts w:eastAsia="Times New Roman"/>
                <w:color w:val="000000"/>
                <w:sz w:val="20"/>
                <w:szCs w:val="20"/>
              </w:rPr>
              <w:t>XBRL Taxonomy Extension Schema Document.</w:t>
            </w:r>
          </w:p>
        </w:tc>
      </w:tr>
      <w:tr w:rsidR="00000000" w14:paraId="1F406AEE" w14:textId="77777777">
        <w:trPr>
          <w:divId w:val="757678254"/>
        </w:trPr>
        <w:tc>
          <w:tcPr>
            <w:tcW w:w="0" w:type="auto"/>
            <w:gridSpan w:val="3"/>
            <w:tcMar>
              <w:top w:w="30" w:type="dxa"/>
              <w:left w:w="20" w:type="dxa"/>
              <w:bottom w:w="30" w:type="dxa"/>
              <w:right w:w="20" w:type="dxa"/>
            </w:tcMar>
            <w:hideMark/>
          </w:tcPr>
          <w:p w14:paraId="37F278AA" w14:textId="77777777" w:rsidR="00000000" w:rsidRDefault="00EE5306">
            <w:pPr>
              <w:spacing w:after="100"/>
              <w:jc w:val="center"/>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14:paraId="6C0BE440" w14:textId="77777777" w:rsidR="00000000" w:rsidRDefault="00EE5306">
            <w:pPr>
              <w:spacing w:after="100"/>
              <w:jc w:val="both"/>
              <w:rPr>
                <w:rFonts w:eastAsia="Times New Roman"/>
              </w:rPr>
            </w:pPr>
            <w:r>
              <w:rPr>
                <w:rFonts w:eastAsia="Times New Roman"/>
                <w:color w:val="000000"/>
                <w:sz w:val="20"/>
                <w:szCs w:val="20"/>
              </w:rPr>
              <w:t>XBRL Taxonomy Extension Calculation Linkbase Document.</w:t>
            </w:r>
          </w:p>
        </w:tc>
      </w:tr>
      <w:tr w:rsidR="00000000" w14:paraId="2FE7C373" w14:textId="77777777">
        <w:trPr>
          <w:divId w:val="757678254"/>
        </w:trPr>
        <w:tc>
          <w:tcPr>
            <w:tcW w:w="0" w:type="auto"/>
            <w:gridSpan w:val="3"/>
            <w:tcMar>
              <w:top w:w="30" w:type="dxa"/>
              <w:left w:w="20" w:type="dxa"/>
              <w:bottom w:w="30" w:type="dxa"/>
              <w:right w:w="20" w:type="dxa"/>
            </w:tcMar>
            <w:hideMark/>
          </w:tcPr>
          <w:p w14:paraId="0552F3B9" w14:textId="77777777" w:rsidR="00000000" w:rsidRDefault="00EE5306">
            <w:pPr>
              <w:spacing w:after="100"/>
              <w:jc w:val="center"/>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14:paraId="5A5CA9B7" w14:textId="77777777" w:rsidR="00000000" w:rsidRDefault="00EE5306">
            <w:pPr>
              <w:spacing w:after="100"/>
              <w:jc w:val="both"/>
              <w:rPr>
                <w:rFonts w:eastAsia="Times New Roman"/>
              </w:rPr>
            </w:pPr>
            <w:r>
              <w:rPr>
                <w:rFonts w:eastAsia="Times New Roman"/>
                <w:color w:val="000000"/>
                <w:sz w:val="20"/>
                <w:szCs w:val="20"/>
              </w:rPr>
              <w:t>XBRL Taxonomy Extension Definition Linkbase Document.</w:t>
            </w:r>
          </w:p>
        </w:tc>
      </w:tr>
      <w:tr w:rsidR="00000000" w14:paraId="761E857D" w14:textId="77777777">
        <w:trPr>
          <w:divId w:val="757678254"/>
        </w:trPr>
        <w:tc>
          <w:tcPr>
            <w:tcW w:w="0" w:type="auto"/>
            <w:gridSpan w:val="3"/>
            <w:tcMar>
              <w:top w:w="30" w:type="dxa"/>
              <w:left w:w="20" w:type="dxa"/>
              <w:bottom w:w="30" w:type="dxa"/>
              <w:right w:w="20" w:type="dxa"/>
            </w:tcMar>
            <w:hideMark/>
          </w:tcPr>
          <w:p w14:paraId="6941D0D1" w14:textId="77777777" w:rsidR="00000000" w:rsidRDefault="00EE5306">
            <w:pPr>
              <w:spacing w:after="100"/>
              <w:jc w:val="center"/>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14:paraId="1CF4CB0D" w14:textId="77777777" w:rsidR="00000000" w:rsidRDefault="00EE5306">
            <w:pPr>
              <w:spacing w:after="100"/>
              <w:jc w:val="both"/>
              <w:rPr>
                <w:rFonts w:eastAsia="Times New Roman"/>
              </w:rPr>
            </w:pPr>
            <w:r>
              <w:rPr>
                <w:rFonts w:eastAsia="Times New Roman"/>
                <w:color w:val="000000"/>
                <w:sz w:val="20"/>
                <w:szCs w:val="20"/>
              </w:rPr>
              <w:t>XBRL Taxonomy Extension Label Linkbase Document.</w:t>
            </w:r>
          </w:p>
        </w:tc>
      </w:tr>
      <w:tr w:rsidR="00000000" w14:paraId="3E5BF4DC" w14:textId="77777777">
        <w:trPr>
          <w:divId w:val="757678254"/>
        </w:trPr>
        <w:tc>
          <w:tcPr>
            <w:tcW w:w="0" w:type="auto"/>
            <w:gridSpan w:val="3"/>
            <w:tcMar>
              <w:top w:w="30" w:type="dxa"/>
              <w:left w:w="20" w:type="dxa"/>
              <w:bottom w:w="30" w:type="dxa"/>
              <w:right w:w="20" w:type="dxa"/>
            </w:tcMar>
            <w:hideMark/>
          </w:tcPr>
          <w:p w14:paraId="0BF40F77" w14:textId="77777777" w:rsidR="00000000" w:rsidRDefault="00EE5306">
            <w:pPr>
              <w:spacing w:after="100"/>
              <w:jc w:val="center"/>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14:paraId="2D01EFDE" w14:textId="77777777" w:rsidR="00000000" w:rsidRDefault="00EE5306">
            <w:pPr>
              <w:spacing w:after="100"/>
              <w:jc w:val="both"/>
              <w:rPr>
                <w:rFonts w:eastAsia="Times New Roman"/>
              </w:rPr>
            </w:pPr>
            <w:r>
              <w:rPr>
                <w:rFonts w:eastAsia="Times New Roman"/>
                <w:color w:val="000000"/>
                <w:sz w:val="20"/>
                <w:szCs w:val="20"/>
              </w:rPr>
              <w:t>XBRL Taxonomy Extension Presentation Linkbase Document.</w:t>
            </w:r>
          </w:p>
        </w:tc>
      </w:tr>
    </w:tbl>
    <w:p w14:paraId="68CD7443" w14:textId="77777777" w:rsidR="00000000" w:rsidRDefault="00EE5306">
      <w:pPr>
        <w:jc w:val="both"/>
        <w:divId w:val="1761414216"/>
        <w:rPr>
          <w:rFonts w:eastAsia="Times New Roman"/>
        </w:rPr>
      </w:pPr>
      <w:r>
        <w:rPr>
          <w:rFonts w:eastAsia="Times New Roman"/>
          <w:color w:val="000000"/>
          <w:sz w:val="20"/>
          <w:szCs w:val="20"/>
        </w:rPr>
        <w:t>Exhibits </w:t>
      </w:r>
      <w:r>
        <w:rPr>
          <w:rFonts w:eastAsia="Times New Roman"/>
          <w:color w:val="000000"/>
          <w:sz w:val="20"/>
          <w:szCs w:val="20"/>
        </w:rPr>
        <w:t>32.1 and 32.2 shall not be deemed "filed" for purposes of Section 18 of the Securities Exchange Act of 1934, or otherwise subject to the liability of that Section. Such exhibits shall not be deemed incorporated by reference into any filing under the Securi</w:t>
      </w:r>
      <w:r>
        <w:rPr>
          <w:rFonts w:eastAsia="Times New Roman"/>
          <w:color w:val="000000"/>
          <w:sz w:val="20"/>
          <w:szCs w:val="20"/>
        </w:rPr>
        <w:t>ties Act of 1933 or Securities Exchange Act of 1934.</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14:paraId="37C21485" w14:textId="77777777">
        <w:trPr>
          <w:divId w:val="1983927827"/>
        </w:trPr>
        <w:tc>
          <w:tcPr>
            <w:tcW w:w="50" w:type="pct"/>
            <w:vAlign w:val="center"/>
            <w:hideMark/>
          </w:tcPr>
          <w:p w14:paraId="2CF20E1A" w14:textId="77777777" w:rsidR="00000000" w:rsidRDefault="00EE5306">
            <w:pPr>
              <w:jc w:val="both"/>
              <w:rPr>
                <w:rFonts w:eastAsia="Times New Roman"/>
              </w:rPr>
            </w:pPr>
          </w:p>
        </w:tc>
        <w:tc>
          <w:tcPr>
            <w:tcW w:w="4945" w:type="pct"/>
            <w:vAlign w:val="center"/>
            <w:hideMark/>
          </w:tcPr>
          <w:p w14:paraId="5D13B42A" w14:textId="77777777" w:rsidR="00000000" w:rsidRDefault="00EE5306">
            <w:pPr>
              <w:spacing w:after="100"/>
              <w:rPr>
                <w:rFonts w:eastAsia="Times New Roman"/>
                <w:sz w:val="20"/>
                <w:szCs w:val="20"/>
              </w:rPr>
            </w:pPr>
          </w:p>
        </w:tc>
        <w:tc>
          <w:tcPr>
            <w:tcW w:w="5" w:type="pct"/>
            <w:vAlign w:val="center"/>
            <w:hideMark/>
          </w:tcPr>
          <w:p w14:paraId="57F39C5A" w14:textId="77777777" w:rsidR="00000000" w:rsidRDefault="00EE5306">
            <w:pPr>
              <w:spacing w:after="100"/>
              <w:rPr>
                <w:rFonts w:eastAsia="Times New Roman"/>
                <w:sz w:val="20"/>
                <w:szCs w:val="20"/>
              </w:rPr>
            </w:pPr>
          </w:p>
        </w:tc>
      </w:tr>
      <w:tr w:rsidR="00000000" w14:paraId="4C41F533" w14:textId="77777777">
        <w:trPr>
          <w:divId w:val="1983927827"/>
          <w:trHeight w:val="60"/>
        </w:trPr>
        <w:tc>
          <w:tcPr>
            <w:tcW w:w="0" w:type="auto"/>
            <w:gridSpan w:val="3"/>
            <w:tcBorders>
              <w:bottom w:val="single" w:sz="8" w:space="0" w:color="000000"/>
            </w:tcBorders>
            <w:tcMar>
              <w:top w:w="0" w:type="dxa"/>
              <w:left w:w="20" w:type="dxa"/>
              <w:bottom w:w="0" w:type="dxa"/>
              <w:right w:w="20" w:type="dxa"/>
            </w:tcMar>
            <w:vAlign w:val="center"/>
            <w:hideMark/>
          </w:tcPr>
          <w:p w14:paraId="2B99F468" w14:textId="77777777" w:rsidR="00000000" w:rsidRDefault="00EE5306">
            <w:pPr>
              <w:spacing w:after="100"/>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7872"/>
        <w:gridCol w:w="144"/>
      </w:tblGrid>
      <w:tr w:rsidR="00000000" w14:paraId="3B0D9BAB" w14:textId="77777777">
        <w:tc>
          <w:tcPr>
            <w:tcW w:w="50" w:type="pct"/>
            <w:vAlign w:val="center"/>
            <w:hideMark/>
          </w:tcPr>
          <w:p w14:paraId="196880F1" w14:textId="77777777" w:rsidR="00000000" w:rsidRDefault="00EE5306">
            <w:pPr>
              <w:rPr>
                <w:rFonts w:eastAsia="Times New Roman"/>
              </w:rPr>
            </w:pPr>
          </w:p>
        </w:tc>
        <w:tc>
          <w:tcPr>
            <w:tcW w:w="142" w:type="pct"/>
            <w:vAlign w:val="center"/>
            <w:hideMark/>
          </w:tcPr>
          <w:p w14:paraId="5927681A" w14:textId="77777777" w:rsidR="00000000" w:rsidRDefault="00EE5306">
            <w:pPr>
              <w:spacing w:after="100"/>
              <w:rPr>
                <w:rFonts w:eastAsia="Times New Roman"/>
                <w:sz w:val="20"/>
                <w:szCs w:val="20"/>
              </w:rPr>
            </w:pPr>
          </w:p>
        </w:tc>
        <w:tc>
          <w:tcPr>
            <w:tcW w:w="5" w:type="pct"/>
            <w:vAlign w:val="center"/>
            <w:hideMark/>
          </w:tcPr>
          <w:p w14:paraId="57D1A362" w14:textId="77777777" w:rsidR="00000000" w:rsidRDefault="00EE5306">
            <w:pPr>
              <w:spacing w:after="100"/>
              <w:rPr>
                <w:rFonts w:eastAsia="Times New Roman"/>
                <w:sz w:val="20"/>
                <w:szCs w:val="20"/>
              </w:rPr>
            </w:pPr>
          </w:p>
        </w:tc>
        <w:tc>
          <w:tcPr>
            <w:tcW w:w="50" w:type="pct"/>
            <w:vAlign w:val="center"/>
            <w:hideMark/>
          </w:tcPr>
          <w:p w14:paraId="2075BCB2" w14:textId="77777777" w:rsidR="00000000" w:rsidRDefault="00EE5306">
            <w:pPr>
              <w:spacing w:after="100"/>
              <w:rPr>
                <w:rFonts w:eastAsia="Times New Roman"/>
                <w:sz w:val="20"/>
                <w:szCs w:val="20"/>
              </w:rPr>
            </w:pPr>
          </w:p>
        </w:tc>
        <w:tc>
          <w:tcPr>
            <w:tcW w:w="4747" w:type="pct"/>
            <w:vAlign w:val="center"/>
            <w:hideMark/>
          </w:tcPr>
          <w:p w14:paraId="5FD4C730" w14:textId="77777777" w:rsidR="00000000" w:rsidRDefault="00EE5306">
            <w:pPr>
              <w:spacing w:after="100"/>
              <w:rPr>
                <w:rFonts w:eastAsia="Times New Roman"/>
                <w:sz w:val="20"/>
                <w:szCs w:val="20"/>
              </w:rPr>
            </w:pPr>
          </w:p>
        </w:tc>
        <w:tc>
          <w:tcPr>
            <w:tcW w:w="5" w:type="pct"/>
            <w:vAlign w:val="center"/>
            <w:hideMark/>
          </w:tcPr>
          <w:p w14:paraId="00EA6411" w14:textId="77777777" w:rsidR="00000000" w:rsidRDefault="00EE5306">
            <w:pPr>
              <w:spacing w:after="100"/>
              <w:rPr>
                <w:rFonts w:eastAsia="Times New Roman"/>
                <w:sz w:val="20"/>
                <w:szCs w:val="20"/>
              </w:rPr>
            </w:pPr>
          </w:p>
        </w:tc>
      </w:tr>
      <w:tr w:rsidR="00000000" w14:paraId="020DE7C6" w14:textId="77777777">
        <w:tc>
          <w:tcPr>
            <w:tcW w:w="0" w:type="auto"/>
            <w:gridSpan w:val="3"/>
            <w:tcMar>
              <w:top w:w="30" w:type="dxa"/>
              <w:left w:w="20" w:type="dxa"/>
              <w:bottom w:w="30" w:type="dxa"/>
              <w:right w:w="20" w:type="dxa"/>
            </w:tcMar>
            <w:hideMark/>
          </w:tcPr>
          <w:p w14:paraId="1419D182" w14:textId="77777777" w:rsidR="00000000" w:rsidRDefault="00EE5306">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3D8713C3" w14:textId="77777777" w:rsidR="00000000" w:rsidRDefault="00EE5306">
            <w:pPr>
              <w:spacing w:after="100"/>
              <w:rPr>
                <w:rFonts w:eastAsia="Times New Roman"/>
              </w:rPr>
            </w:pPr>
            <w:r>
              <w:rPr>
                <w:rFonts w:eastAsia="Times New Roman"/>
                <w:color w:val="000000"/>
                <w:sz w:val="20"/>
                <w:szCs w:val="20"/>
              </w:rPr>
              <w:t>Filed herewith.</w:t>
            </w:r>
          </w:p>
        </w:tc>
      </w:tr>
      <w:tr w:rsidR="00000000" w14:paraId="29AE428B" w14:textId="77777777">
        <w:tc>
          <w:tcPr>
            <w:tcW w:w="0" w:type="auto"/>
            <w:gridSpan w:val="3"/>
            <w:tcMar>
              <w:top w:w="30" w:type="dxa"/>
              <w:left w:w="20" w:type="dxa"/>
              <w:bottom w:w="30" w:type="dxa"/>
              <w:right w:w="20" w:type="dxa"/>
            </w:tcMar>
            <w:hideMark/>
          </w:tcPr>
          <w:p w14:paraId="6A8158CA" w14:textId="77777777" w:rsidR="00000000" w:rsidRDefault="00EE5306">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7F38309F" w14:textId="77777777" w:rsidR="00000000" w:rsidRDefault="00EE5306">
            <w:pPr>
              <w:spacing w:after="100"/>
              <w:rPr>
                <w:rFonts w:eastAsia="Times New Roman"/>
              </w:rPr>
            </w:pPr>
            <w:r>
              <w:rPr>
                <w:rFonts w:eastAsia="Times New Roman"/>
                <w:color w:val="000000"/>
                <w:sz w:val="20"/>
                <w:szCs w:val="20"/>
              </w:rPr>
              <w:t>Management contract or compensatory plan or arrangement.</w:t>
            </w:r>
          </w:p>
        </w:tc>
      </w:tr>
    </w:tbl>
    <w:p w14:paraId="1D3B8EDD" w14:textId="77777777" w:rsidR="00000000" w:rsidRDefault="00EE5306">
      <w:pPr>
        <w:jc w:val="center"/>
        <w:divId w:val="287273857"/>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50470C2" w14:textId="77777777">
        <w:trPr>
          <w:divId w:val="287273857"/>
          <w:jc w:val="center"/>
        </w:trPr>
        <w:tc>
          <w:tcPr>
            <w:tcW w:w="50" w:type="pct"/>
            <w:vAlign w:val="center"/>
            <w:hideMark/>
          </w:tcPr>
          <w:p w14:paraId="10E468E3" w14:textId="77777777" w:rsidR="00000000" w:rsidRDefault="00EE5306">
            <w:pPr>
              <w:rPr>
                <w:rFonts w:eastAsia="Times New Roman"/>
              </w:rPr>
            </w:pPr>
          </w:p>
        </w:tc>
        <w:tc>
          <w:tcPr>
            <w:tcW w:w="1699" w:type="pct"/>
            <w:vAlign w:val="center"/>
            <w:hideMark/>
          </w:tcPr>
          <w:p w14:paraId="25989393" w14:textId="77777777" w:rsidR="00000000" w:rsidRDefault="00EE5306">
            <w:pPr>
              <w:spacing w:after="100"/>
              <w:rPr>
                <w:rFonts w:eastAsia="Times New Roman"/>
                <w:sz w:val="20"/>
                <w:szCs w:val="20"/>
              </w:rPr>
            </w:pPr>
          </w:p>
        </w:tc>
        <w:tc>
          <w:tcPr>
            <w:tcW w:w="5" w:type="pct"/>
            <w:vAlign w:val="center"/>
            <w:hideMark/>
          </w:tcPr>
          <w:p w14:paraId="69623056" w14:textId="77777777" w:rsidR="00000000" w:rsidRDefault="00EE5306">
            <w:pPr>
              <w:spacing w:after="100"/>
              <w:rPr>
                <w:rFonts w:eastAsia="Times New Roman"/>
                <w:sz w:val="20"/>
                <w:szCs w:val="20"/>
              </w:rPr>
            </w:pPr>
          </w:p>
        </w:tc>
        <w:tc>
          <w:tcPr>
            <w:tcW w:w="50" w:type="pct"/>
            <w:vAlign w:val="center"/>
            <w:hideMark/>
          </w:tcPr>
          <w:p w14:paraId="76E54D72" w14:textId="77777777" w:rsidR="00000000" w:rsidRDefault="00EE5306">
            <w:pPr>
              <w:spacing w:after="100"/>
              <w:rPr>
                <w:rFonts w:eastAsia="Times New Roman"/>
                <w:sz w:val="20"/>
                <w:szCs w:val="20"/>
              </w:rPr>
            </w:pPr>
          </w:p>
        </w:tc>
        <w:tc>
          <w:tcPr>
            <w:tcW w:w="1436" w:type="pct"/>
            <w:vAlign w:val="center"/>
            <w:hideMark/>
          </w:tcPr>
          <w:p w14:paraId="55D9186E" w14:textId="77777777" w:rsidR="00000000" w:rsidRDefault="00EE5306">
            <w:pPr>
              <w:spacing w:after="100"/>
              <w:rPr>
                <w:rFonts w:eastAsia="Times New Roman"/>
                <w:sz w:val="20"/>
                <w:szCs w:val="20"/>
              </w:rPr>
            </w:pPr>
          </w:p>
        </w:tc>
        <w:tc>
          <w:tcPr>
            <w:tcW w:w="5" w:type="pct"/>
            <w:vAlign w:val="center"/>
            <w:hideMark/>
          </w:tcPr>
          <w:p w14:paraId="048B2448" w14:textId="77777777" w:rsidR="00000000" w:rsidRDefault="00EE5306">
            <w:pPr>
              <w:spacing w:after="100"/>
              <w:rPr>
                <w:rFonts w:eastAsia="Times New Roman"/>
                <w:sz w:val="20"/>
                <w:szCs w:val="20"/>
              </w:rPr>
            </w:pPr>
          </w:p>
        </w:tc>
        <w:tc>
          <w:tcPr>
            <w:tcW w:w="50" w:type="pct"/>
            <w:vAlign w:val="center"/>
            <w:hideMark/>
          </w:tcPr>
          <w:p w14:paraId="68FB9C58" w14:textId="77777777" w:rsidR="00000000" w:rsidRDefault="00EE5306">
            <w:pPr>
              <w:spacing w:after="100"/>
              <w:rPr>
                <w:rFonts w:eastAsia="Times New Roman"/>
                <w:sz w:val="20"/>
                <w:szCs w:val="20"/>
              </w:rPr>
            </w:pPr>
          </w:p>
        </w:tc>
        <w:tc>
          <w:tcPr>
            <w:tcW w:w="1699" w:type="pct"/>
            <w:vAlign w:val="center"/>
            <w:hideMark/>
          </w:tcPr>
          <w:p w14:paraId="17A9D308" w14:textId="77777777" w:rsidR="00000000" w:rsidRDefault="00EE5306">
            <w:pPr>
              <w:spacing w:after="100"/>
              <w:rPr>
                <w:rFonts w:eastAsia="Times New Roman"/>
                <w:sz w:val="20"/>
                <w:szCs w:val="20"/>
              </w:rPr>
            </w:pPr>
          </w:p>
        </w:tc>
        <w:tc>
          <w:tcPr>
            <w:tcW w:w="5" w:type="pct"/>
            <w:vAlign w:val="center"/>
            <w:hideMark/>
          </w:tcPr>
          <w:p w14:paraId="6911A56F" w14:textId="77777777" w:rsidR="00000000" w:rsidRDefault="00EE5306">
            <w:pPr>
              <w:spacing w:after="100"/>
              <w:rPr>
                <w:rFonts w:eastAsia="Times New Roman"/>
                <w:sz w:val="20"/>
                <w:szCs w:val="20"/>
              </w:rPr>
            </w:pPr>
          </w:p>
        </w:tc>
      </w:tr>
      <w:tr w:rsidR="00000000" w14:paraId="49489592" w14:textId="77777777">
        <w:trPr>
          <w:divId w:val="287273857"/>
          <w:jc w:val="center"/>
        </w:trPr>
        <w:tc>
          <w:tcPr>
            <w:tcW w:w="0" w:type="auto"/>
            <w:gridSpan w:val="3"/>
            <w:tcMar>
              <w:top w:w="0" w:type="dxa"/>
              <w:left w:w="20" w:type="dxa"/>
              <w:bottom w:w="0" w:type="dxa"/>
              <w:right w:w="20" w:type="dxa"/>
            </w:tcMar>
            <w:vAlign w:val="center"/>
            <w:hideMark/>
          </w:tcPr>
          <w:p w14:paraId="7666AFB8"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C701F9A" w14:textId="77777777" w:rsidR="00000000" w:rsidRDefault="00EE5306">
            <w:pPr>
              <w:spacing w:after="100"/>
              <w:jc w:val="center"/>
              <w:rPr>
                <w:rFonts w:eastAsia="Times New Roman"/>
              </w:rPr>
            </w:pPr>
            <w:r>
              <w:rPr>
                <w:rFonts w:eastAsia="Times New Roman"/>
                <w:color w:val="000000"/>
                <w:sz w:val="20"/>
                <w:szCs w:val="20"/>
              </w:rPr>
              <w:t>81</w:t>
            </w:r>
          </w:p>
        </w:tc>
        <w:tc>
          <w:tcPr>
            <w:tcW w:w="0" w:type="auto"/>
            <w:gridSpan w:val="3"/>
            <w:tcMar>
              <w:top w:w="0" w:type="dxa"/>
              <w:left w:w="20" w:type="dxa"/>
              <w:bottom w:w="0" w:type="dxa"/>
              <w:right w:w="20" w:type="dxa"/>
            </w:tcMar>
            <w:vAlign w:val="center"/>
            <w:hideMark/>
          </w:tcPr>
          <w:p w14:paraId="5479373A" w14:textId="77777777" w:rsidR="00000000" w:rsidRDefault="00EE5306">
            <w:pPr>
              <w:spacing w:after="100"/>
              <w:jc w:val="center"/>
              <w:rPr>
                <w:rFonts w:eastAsia="Times New Roman"/>
              </w:rPr>
            </w:pPr>
          </w:p>
        </w:tc>
      </w:tr>
    </w:tbl>
    <w:p w14:paraId="009ED24B" w14:textId="77777777" w:rsidR="00000000" w:rsidRDefault="00EE5306">
      <w:pPr>
        <w:rPr>
          <w:rFonts w:eastAsia="Times New Roman"/>
        </w:rPr>
      </w:pPr>
      <w:r>
        <w:rPr>
          <w:rFonts w:eastAsia="Times New Roman"/>
        </w:rPr>
        <w:pict w14:anchorId="7B01C8DE">
          <v:rect id="_x0000_i1108" style="width:0;height:1.5pt" o:hralign="center" o:hrstd="t" o:hr="t" fillcolor="#a0a0a0" stroked="f"/>
        </w:pict>
      </w:r>
    </w:p>
    <w:p w14:paraId="67F628F6" w14:textId="77777777" w:rsidR="00000000" w:rsidRDefault="00EE5306">
      <w:pPr>
        <w:divId w:val="1665156955"/>
        <w:rPr>
          <w:rFonts w:eastAsia="Times New Roman"/>
        </w:rPr>
      </w:pPr>
    </w:p>
    <w:p w14:paraId="698E5B87" w14:textId="77777777" w:rsidR="00000000" w:rsidRDefault="00EE5306">
      <w:pPr>
        <w:jc w:val="center"/>
        <w:divId w:val="1604071555"/>
        <w:rPr>
          <w:rFonts w:eastAsia="Times New Roman"/>
        </w:rPr>
      </w:pPr>
      <w:r>
        <w:rPr>
          <w:rFonts w:eastAsia="Times New Roman"/>
          <w:b/>
          <w:bCs/>
          <w:color w:val="000000"/>
          <w:sz w:val="20"/>
          <w:szCs w:val="20"/>
        </w:rPr>
        <w:t>SIGNATURES</w:t>
      </w:r>
    </w:p>
    <w:p w14:paraId="155A4082" w14:textId="77777777" w:rsidR="00000000" w:rsidRDefault="00EE5306">
      <w:pPr>
        <w:ind w:firstLine="540"/>
        <w:jc w:val="both"/>
        <w:divId w:val="576331447"/>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14:paraId="4269755F" w14:textId="77777777" w:rsidR="00000000" w:rsidRDefault="00EE5306">
      <w:pPr>
        <w:ind w:firstLine="495"/>
        <w:divId w:val="1989699694"/>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3587"/>
        <w:gridCol w:w="36"/>
        <w:gridCol w:w="81"/>
        <w:gridCol w:w="240"/>
        <w:gridCol w:w="36"/>
        <w:gridCol w:w="50"/>
        <w:gridCol w:w="4157"/>
        <w:gridCol w:w="37"/>
      </w:tblGrid>
      <w:tr w:rsidR="00000000" w14:paraId="35B08036" w14:textId="77777777">
        <w:trPr>
          <w:divId w:val="640309534"/>
        </w:trPr>
        <w:tc>
          <w:tcPr>
            <w:tcW w:w="50" w:type="pct"/>
            <w:vAlign w:val="center"/>
            <w:hideMark/>
          </w:tcPr>
          <w:p w14:paraId="62C8958D" w14:textId="77777777" w:rsidR="00000000" w:rsidRDefault="00EE5306">
            <w:pPr>
              <w:ind w:firstLine="495"/>
              <w:rPr>
                <w:rFonts w:eastAsia="Times New Roman"/>
              </w:rPr>
            </w:pPr>
          </w:p>
        </w:tc>
        <w:tc>
          <w:tcPr>
            <w:tcW w:w="2170" w:type="pct"/>
            <w:vAlign w:val="center"/>
            <w:hideMark/>
          </w:tcPr>
          <w:p w14:paraId="441E2C79" w14:textId="77777777" w:rsidR="00000000" w:rsidRDefault="00EE5306">
            <w:pPr>
              <w:spacing w:after="100"/>
              <w:rPr>
                <w:rFonts w:eastAsia="Times New Roman"/>
                <w:sz w:val="20"/>
                <w:szCs w:val="20"/>
              </w:rPr>
            </w:pPr>
          </w:p>
        </w:tc>
        <w:tc>
          <w:tcPr>
            <w:tcW w:w="5" w:type="pct"/>
            <w:vAlign w:val="center"/>
            <w:hideMark/>
          </w:tcPr>
          <w:p w14:paraId="549CE729" w14:textId="77777777" w:rsidR="00000000" w:rsidRDefault="00EE5306">
            <w:pPr>
              <w:spacing w:after="100"/>
              <w:rPr>
                <w:rFonts w:eastAsia="Times New Roman"/>
                <w:sz w:val="20"/>
                <w:szCs w:val="20"/>
              </w:rPr>
            </w:pPr>
          </w:p>
        </w:tc>
        <w:tc>
          <w:tcPr>
            <w:tcW w:w="50" w:type="pct"/>
            <w:vAlign w:val="center"/>
            <w:hideMark/>
          </w:tcPr>
          <w:p w14:paraId="225CFB7E" w14:textId="77777777" w:rsidR="00000000" w:rsidRDefault="00EE5306">
            <w:pPr>
              <w:spacing w:after="100"/>
              <w:rPr>
                <w:rFonts w:eastAsia="Times New Roman"/>
                <w:sz w:val="20"/>
                <w:szCs w:val="20"/>
              </w:rPr>
            </w:pPr>
          </w:p>
        </w:tc>
        <w:tc>
          <w:tcPr>
            <w:tcW w:w="149" w:type="pct"/>
            <w:vAlign w:val="center"/>
            <w:hideMark/>
          </w:tcPr>
          <w:p w14:paraId="6428E451" w14:textId="77777777" w:rsidR="00000000" w:rsidRDefault="00EE5306">
            <w:pPr>
              <w:spacing w:after="100"/>
              <w:rPr>
                <w:rFonts w:eastAsia="Times New Roman"/>
                <w:sz w:val="20"/>
                <w:szCs w:val="20"/>
              </w:rPr>
            </w:pPr>
          </w:p>
        </w:tc>
        <w:tc>
          <w:tcPr>
            <w:tcW w:w="5" w:type="pct"/>
            <w:vAlign w:val="center"/>
            <w:hideMark/>
          </w:tcPr>
          <w:p w14:paraId="0FCBE593" w14:textId="77777777" w:rsidR="00000000" w:rsidRDefault="00EE5306">
            <w:pPr>
              <w:spacing w:after="100"/>
              <w:rPr>
                <w:rFonts w:eastAsia="Times New Roman"/>
                <w:sz w:val="20"/>
                <w:szCs w:val="20"/>
              </w:rPr>
            </w:pPr>
          </w:p>
        </w:tc>
        <w:tc>
          <w:tcPr>
            <w:tcW w:w="50" w:type="pct"/>
            <w:vAlign w:val="center"/>
            <w:hideMark/>
          </w:tcPr>
          <w:p w14:paraId="1C32EC55" w14:textId="77777777" w:rsidR="00000000" w:rsidRDefault="00EE5306">
            <w:pPr>
              <w:spacing w:after="100"/>
              <w:rPr>
                <w:rFonts w:eastAsia="Times New Roman"/>
                <w:sz w:val="20"/>
                <w:szCs w:val="20"/>
              </w:rPr>
            </w:pPr>
          </w:p>
        </w:tc>
        <w:tc>
          <w:tcPr>
            <w:tcW w:w="2514" w:type="pct"/>
            <w:vAlign w:val="center"/>
            <w:hideMark/>
          </w:tcPr>
          <w:p w14:paraId="68A127A2" w14:textId="77777777" w:rsidR="00000000" w:rsidRDefault="00EE5306">
            <w:pPr>
              <w:spacing w:after="100"/>
              <w:rPr>
                <w:rFonts w:eastAsia="Times New Roman"/>
                <w:sz w:val="20"/>
                <w:szCs w:val="20"/>
              </w:rPr>
            </w:pPr>
          </w:p>
        </w:tc>
        <w:tc>
          <w:tcPr>
            <w:tcW w:w="5" w:type="pct"/>
            <w:vAlign w:val="center"/>
            <w:hideMark/>
          </w:tcPr>
          <w:p w14:paraId="097A58E2" w14:textId="77777777" w:rsidR="00000000" w:rsidRDefault="00EE5306">
            <w:pPr>
              <w:spacing w:after="100"/>
              <w:rPr>
                <w:rFonts w:eastAsia="Times New Roman"/>
                <w:sz w:val="20"/>
                <w:szCs w:val="20"/>
              </w:rPr>
            </w:pPr>
          </w:p>
        </w:tc>
      </w:tr>
      <w:tr w:rsidR="00000000" w14:paraId="1CC60367" w14:textId="77777777">
        <w:trPr>
          <w:divId w:val="640309534"/>
        </w:trPr>
        <w:tc>
          <w:tcPr>
            <w:tcW w:w="0" w:type="auto"/>
            <w:gridSpan w:val="3"/>
            <w:tcMar>
              <w:top w:w="0" w:type="dxa"/>
              <w:left w:w="20" w:type="dxa"/>
              <w:bottom w:w="0" w:type="dxa"/>
              <w:right w:w="20" w:type="dxa"/>
            </w:tcMar>
            <w:vAlign w:val="center"/>
            <w:hideMark/>
          </w:tcPr>
          <w:p w14:paraId="4F33749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40D21BF" w14:textId="77777777" w:rsidR="00000000" w:rsidRDefault="00EE5306">
            <w:pPr>
              <w:spacing w:after="100"/>
              <w:jc w:val="right"/>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6D46226" w14:textId="77777777" w:rsidR="00000000" w:rsidRDefault="00EE5306">
            <w:pPr>
              <w:spacing w:after="100"/>
              <w:jc w:val="center"/>
              <w:rPr>
                <w:rFonts w:eastAsia="Times New Roman"/>
              </w:rPr>
            </w:pPr>
            <w:r>
              <w:rPr>
                <w:rFonts w:eastAsia="Times New Roman"/>
                <w:color w:val="000000"/>
                <w:sz w:val="20"/>
                <w:szCs w:val="20"/>
              </w:rPr>
              <w:t>RALPH LAUREN CORPORATION</w:t>
            </w:r>
          </w:p>
        </w:tc>
      </w:tr>
      <w:tr w:rsidR="00000000" w14:paraId="013DF5C7" w14:textId="77777777">
        <w:trPr>
          <w:divId w:val="640309534"/>
          <w:trHeight w:val="300"/>
        </w:trPr>
        <w:tc>
          <w:tcPr>
            <w:tcW w:w="0" w:type="auto"/>
            <w:gridSpan w:val="3"/>
            <w:tcMar>
              <w:top w:w="0" w:type="dxa"/>
              <w:left w:w="20" w:type="dxa"/>
              <w:bottom w:w="0" w:type="dxa"/>
              <w:right w:w="20" w:type="dxa"/>
            </w:tcMar>
            <w:vAlign w:val="center"/>
            <w:hideMark/>
          </w:tcPr>
          <w:p w14:paraId="737D57B6"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A9AE465"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38B329" w14:textId="77777777" w:rsidR="00000000" w:rsidRDefault="00EE5306">
            <w:pPr>
              <w:spacing w:after="100"/>
              <w:rPr>
                <w:rFonts w:eastAsia="Times New Roman"/>
                <w:sz w:val="20"/>
                <w:szCs w:val="20"/>
              </w:rPr>
            </w:pPr>
          </w:p>
        </w:tc>
      </w:tr>
      <w:tr w:rsidR="00000000" w14:paraId="4BAA3BCD" w14:textId="77777777">
        <w:trPr>
          <w:divId w:val="640309534"/>
        </w:trPr>
        <w:tc>
          <w:tcPr>
            <w:tcW w:w="0" w:type="auto"/>
            <w:gridSpan w:val="3"/>
            <w:tcMar>
              <w:top w:w="0" w:type="dxa"/>
              <w:left w:w="20" w:type="dxa"/>
              <w:bottom w:w="0" w:type="dxa"/>
              <w:right w:w="20" w:type="dxa"/>
            </w:tcMar>
            <w:vAlign w:val="center"/>
            <w:hideMark/>
          </w:tcPr>
          <w:p w14:paraId="410A8A8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C70BEC6" w14:textId="77777777" w:rsidR="00000000" w:rsidRDefault="00EE5306">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1C53888D"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6"/>
                <w:szCs w:val="16"/>
              </w:rPr>
              <w:t>S</w:t>
            </w:r>
            <w:r>
              <w:rPr>
                <w:rFonts w:eastAsia="Times New Roman"/>
                <w:color w:val="000000"/>
                <w:sz w:val="20"/>
                <w:szCs w:val="20"/>
              </w:rPr>
              <w:t>/</w:t>
            </w:r>
            <w:r>
              <w:rPr>
                <w:rFonts w:eastAsia="Times New Roman"/>
                <w:color w:val="000000"/>
                <w:sz w:val="20"/>
                <w:szCs w:val="20"/>
              </w:rPr>
              <w:t>    JANE HAMILTON NIELSEN     </w:t>
            </w:r>
          </w:p>
        </w:tc>
      </w:tr>
      <w:tr w:rsidR="00000000" w14:paraId="4D11C968" w14:textId="77777777">
        <w:trPr>
          <w:divId w:val="640309534"/>
        </w:trPr>
        <w:tc>
          <w:tcPr>
            <w:tcW w:w="0" w:type="auto"/>
            <w:gridSpan w:val="3"/>
            <w:tcMar>
              <w:top w:w="0" w:type="dxa"/>
              <w:left w:w="20" w:type="dxa"/>
              <w:bottom w:w="0" w:type="dxa"/>
              <w:right w:w="20" w:type="dxa"/>
            </w:tcMar>
            <w:vAlign w:val="center"/>
            <w:hideMark/>
          </w:tcPr>
          <w:p w14:paraId="5CC4F240"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A8E65BC"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3E180AB" w14:textId="77777777" w:rsidR="00000000" w:rsidRDefault="00EE5306">
            <w:pPr>
              <w:spacing w:after="100"/>
              <w:jc w:val="center"/>
              <w:rPr>
                <w:rFonts w:eastAsia="Times New Roman"/>
              </w:rPr>
            </w:pPr>
            <w:r>
              <w:rPr>
                <w:rFonts w:eastAsia="Times New Roman"/>
                <w:color w:val="000000"/>
                <w:sz w:val="20"/>
                <w:szCs w:val="20"/>
              </w:rPr>
              <w:t>Jane Hamilton Nielsen</w:t>
            </w:r>
          </w:p>
        </w:tc>
      </w:tr>
      <w:tr w:rsidR="00000000" w14:paraId="4A32336D" w14:textId="77777777">
        <w:trPr>
          <w:divId w:val="640309534"/>
        </w:trPr>
        <w:tc>
          <w:tcPr>
            <w:tcW w:w="0" w:type="auto"/>
            <w:gridSpan w:val="3"/>
            <w:tcMar>
              <w:top w:w="0" w:type="dxa"/>
              <w:left w:w="20" w:type="dxa"/>
              <w:bottom w:w="0" w:type="dxa"/>
              <w:right w:w="20" w:type="dxa"/>
            </w:tcMar>
            <w:vAlign w:val="center"/>
            <w:hideMark/>
          </w:tcPr>
          <w:p w14:paraId="3E6877D8"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8CA63D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7664A04" w14:textId="77777777" w:rsidR="00000000" w:rsidRDefault="00EE5306">
            <w:pPr>
              <w:spacing w:after="100"/>
              <w:jc w:val="center"/>
              <w:rPr>
                <w:rFonts w:eastAsia="Times New Roman"/>
              </w:rPr>
            </w:pPr>
            <w:r>
              <w:rPr>
                <w:rFonts w:eastAsia="Times New Roman"/>
                <w:i/>
                <w:iCs/>
                <w:color w:val="000000"/>
                <w:sz w:val="20"/>
                <w:szCs w:val="20"/>
              </w:rPr>
              <w:t>Chief Operating Officer and Chief Financial Officer</w:t>
            </w:r>
          </w:p>
        </w:tc>
      </w:tr>
      <w:tr w:rsidR="00000000" w14:paraId="16A0F226" w14:textId="77777777">
        <w:trPr>
          <w:divId w:val="640309534"/>
        </w:trPr>
        <w:tc>
          <w:tcPr>
            <w:tcW w:w="0" w:type="auto"/>
            <w:gridSpan w:val="3"/>
            <w:tcMar>
              <w:top w:w="0" w:type="dxa"/>
              <w:left w:w="20" w:type="dxa"/>
              <w:bottom w:w="0" w:type="dxa"/>
              <w:right w:w="20" w:type="dxa"/>
            </w:tcMar>
            <w:vAlign w:val="center"/>
            <w:hideMark/>
          </w:tcPr>
          <w:p w14:paraId="02EBAA61"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5F3ED2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9DEE26B" w14:textId="77777777" w:rsidR="00000000" w:rsidRDefault="00EE5306">
            <w:pPr>
              <w:spacing w:after="100"/>
              <w:jc w:val="center"/>
              <w:rPr>
                <w:rFonts w:eastAsia="Times New Roman"/>
              </w:rPr>
            </w:pPr>
            <w:r>
              <w:rPr>
                <w:rFonts w:eastAsia="Times New Roman"/>
                <w:i/>
                <w:iCs/>
                <w:color w:val="000000"/>
                <w:sz w:val="20"/>
                <w:szCs w:val="20"/>
              </w:rPr>
              <w:t>(Principal Financial and Accounting Officer)</w:t>
            </w:r>
          </w:p>
        </w:tc>
      </w:tr>
      <w:tr w:rsidR="00000000" w14:paraId="3A993A42" w14:textId="77777777">
        <w:trPr>
          <w:divId w:val="640309534"/>
        </w:trPr>
        <w:tc>
          <w:tcPr>
            <w:tcW w:w="0" w:type="auto"/>
            <w:gridSpan w:val="3"/>
            <w:tcMar>
              <w:top w:w="30" w:type="dxa"/>
              <w:left w:w="20" w:type="dxa"/>
              <w:bottom w:w="30" w:type="dxa"/>
              <w:right w:w="20" w:type="dxa"/>
            </w:tcMar>
            <w:vAlign w:val="bottom"/>
            <w:hideMark/>
          </w:tcPr>
          <w:p w14:paraId="37765606" w14:textId="77777777" w:rsidR="00000000" w:rsidRDefault="00EE5306">
            <w:pPr>
              <w:spacing w:after="100"/>
              <w:rPr>
                <w:rFonts w:eastAsia="Times New Roman"/>
              </w:rPr>
            </w:pPr>
            <w:r>
              <w:rPr>
                <w:rFonts w:eastAsia="Times New Roman"/>
                <w:color w:val="000000"/>
                <w:sz w:val="20"/>
                <w:szCs w:val="20"/>
              </w:rPr>
              <w:t>Date: May 20, 2021</w:t>
            </w:r>
          </w:p>
        </w:tc>
        <w:tc>
          <w:tcPr>
            <w:tcW w:w="0" w:type="auto"/>
            <w:gridSpan w:val="3"/>
            <w:tcMar>
              <w:top w:w="0" w:type="dxa"/>
              <w:left w:w="20" w:type="dxa"/>
              <w:bottom w:w="0" w:type="dxa"/>
              <w:right w:w="20" w:type="dxa"/>
            </w:tcMar>
            <w:vAlign w:val="center"/>
            <w:hideMark/>
          </w:tcPr>
          <w:p w14:paraId="51CF0330"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0DBA2E91" w14:textId="77777777" w:rsidR="00000000" w:rsidRDefault="00EE5306">
            <w:pPr>
              <w:spacing w:after="100"/>
              <w:rPr>
                <w:rFonts w:eastAsia="Times New Roman"/>
                <w:sz w:val="20"/>
                <w:szCs w:val="20"/>
              </w:rPr>
            </w:pPr>
          </w:p>
        </w:tc>
      </w:tr>
    </w:tbl>
    <w:p w14:paraId="235CB7B1" w14:textId="77777777" w:rsidR="00000000" w:rsidRDefault="00EE5306">
      <w:pPr>
        <w:jc w:val="center"/>
        <w:rPr>
          <w:rFonts w:eastAsia="Times New Roman"/>
        </w:rPr>
      </w:pPr>
    </w:p>
    <w:p w14:paraId="36FFC03E" w14:textId="77777777" w:rsidR="00000000" w:rsidRDefault="00EE5306">
      <w:pPr>
        <w:ind w:firstLine="540"/>
        <w:jc w:val="both"/>
        <w:divId w:val="1860923672"/>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4978" w:type="pct"/>
        <w:tblCellMar>
          <w:top w:w="15" w:type="dxa"/>
          <w:left w:w="15" w:type="dxa"/>
          <w:bottom w:w="15" w:type="dxa"/>
          <w:right w:w="15" w:type="dxa"/>
        </w:tblCellMar>
        <w:tblLook w:val="04A0" w:firstRow="1" w:lastRow="0" w:firstColumn="1" w:lastColumn="0" w:noHBand="0" w:noVBand="1"/>
      </w:tblPr>
      <w:tblGrid>
        <w:gridCol w:w="58"/>
        <w:gridCol w:w="2714"/>
        <w:gridCol w:w="38"/>
        <w:gridCol w:w="36"/>
        <w:gridCol w:w="116"/>
        <w:gridCol w:w="36"/>
        <w:gridCol w:w="58"/>
        <w:gridCol w:w="3393"/>
        <w:gridCol w:w="38"/>
        <w:gridCol w:w="36"/>
        <w:gridCol w:w="116"/>
        <w:gridCol w:w="36"/>
        <w:gridCol w:w="58"/>
        <w:gridCol w:w="1500"/>
        <w:gridCol w:w="36"/>
      </w:tblGrid>
      <w:tr w:rsidR="00000000" w14:paraId="13582B8E" w14:textId="77777777">
        <w:trPr>
          <w:divId w:val="2006546064"/>
        </w:trPr>
        <w:tc>
          <w:tcPr>
            <w:tcW w:w="50" w:type="pct"/>
            <w:vAlign w:val="center"/>
            <w:hideMark/>
          </w:tcPr>
          <w:p w14:paraId="0C7ED42E" w14:textId="77777777" w:rsidR="00000000" w:rsidRDefault="00EE5306">
            <w:pPr>
              <w:ind w:firstLine="540"/>
              <w:jc w:val="both"/>
              <w:rPr>
                <w:rFonts w:eastAsia="Times New Roman"/>
              </w:rPr>
            </w:pPr>
          </w:p>
        </w:tc>
        <w:tc>
          <w:tcPr>
            <w:tcW w:w="1655" w:type="pct"/>
            <w:vAlign w:val="center"/>
            <w:hideMark/>
          </w:tcPr>
          <w:p w14:paraId="789EB163" w14:textId="77777777" w:rsidR="00000000" w:rsidRDefault="00EE5306">
            <w:pPr>
              <w:spacing w:after="100"/>
              <w:rPr>
                <w:rFonts w:eastAsia="Times New Roman"/>
                <w:sz w:val="20"/>
                <w:szCs w:val="20"/>
              </w:rPr>
            </w:pPr>
          </w:p>
        </w:tc>
        <w:tc>
          <w:tcPr>
            <w:tcW w:w="5" w:type="pct"/>
            <w:vAlign w:val="center"/>
            <w:hideMark/>
          </w:tcPr>
          <w:p w14:paraId="7B082A82" w14:textId="77777777" w:rsidR="00000000" w:rsidRDefault="00EE5306">
            <w:pPr>
              <w:spacing w:after="100"/>
              <w:rPr>
                <w:rFonts w:eastAsia="Times New Roman"/>
                <w:sz w:val="20"/>
                <w:szCs w:val="20"/>
              </w:rPr>
            </w:pPr>
          </w:p>
        </w:tc>
        <w:tc>
          <w:tcPr>
            <w:tcW w:w="5" w:type="pct"/>
            <w:vAlign w:val="center"/>
            <w:hideMark/>
          </w:tcPr>
          <w:p w14:paraId="0353ADB3" w14:textId="77777777" w:rsidR="00000000" w:rsidRDefault="00EE5306">
            <w:pPr>
              <w:spacing w:after="100"/>
              <w:rPr>
                <w:rFonts w:eastAsia="Times New Roman"/>
                <w:sz w:val="20"/>
                <w:szCs w:val="20"/>
              </w:rPr>
            </w:pPr>
          </w:p>
        </w:tc>
        <w:tc>
          <w:tcPr>
            <w:tcW w:w="85" w:type="pct"/>
            <w:vAlign w:val="center"/>
            <w:hideMark/>
          </w:tcPr>
          <w:p w14:paraId="3C3B51DE" w14:textId="77777777" w:rsidR="00000000" w:rsidRDefault="00EE5306">
            <w:pPr>
              <w:spacing w:after="100"/>
              <w:rPr>
                <w:rFonts w:eastAsia="Times New Roman"/>
                <w:sz w:val="20"/>
                <w:szCs w:val="20"/>
              </w:rPr>
            </w:pPr>
          </w:p>
        </w:tc>
        <w:tc>
          <w:tcPr>
            <w:tcW w:w="5" w:type="pct"/>
            <w:vAlign w:val="center"/>
            <w:hideMark/>
          </w:tcPr>
          <w:p w14:paraId="4AC08113" w14:textId="77777777" w:rsidR="00000000" w:rsidRDefault="00EE5306">
            <w:pPr>
              <w:spacing w:after="100"/>
              <w:rPr>
                <w:rFonts w:eastAsia="Times New Roman"/>
                <w:sz w:val="20"/>
                <w:szCs w:val="20"/>
              </w:rPr>
            </w:pPr>
          </w:p>
        </w:tc>
        <w:tc>
          <w:tcPr>
            <w:tcW w:w="50" w:type="pct"/>
            <w:vAlign w:val="center"/>
            <w:hideMark/>
          </w:tcPr>
          <w:p w14:paraId="5624950F" w14:textId="77777777" w:rsidR="00000000" w:rsidRDefault="00EE5306">
            <w:pPr>
              <w:spacing w:after="100"/>
              <w:rPr>
                <w:rFonts w:eastAsia="Times New Roman"/>
                <w:sz w:val="20"/>
                <w:szCs w:val="20"/>
              </w:rPr>
            </w:pPr>
          </w:p>
        </w:tc>
        <w:tc>
          <w:tcPr>
            <w:tcW w:w="2066" w:type="pct"/>
            <w:vAlign w:val="center"/>
            <w:hideMark/>
          </w:tcPr>
          <w:p w14:paraId="54775483" w14:textId="77777777" w:rsidR="00000000" w:rsidRDefault="00EE5306">
            <w:pPr>
              <w:spacing w:after="100"/>
              <w:rPr>
                <w:rFonts w:eastAsia="Times New Roman"/>
                <w:sz w:val="20"/>
                <w:szCs w:val="20"/>
              </w:rPr>
            </w:pPr>
          </w:p>
        </w:tc>
        <w:tc>
          <w:tcPr>
            <w:tcW w:w="5" w:type="pct"/>
            <w:vAlign w:val="center"/>
            <w:hideMark/>
          </w:tcPr>
          <w:p w14:paraId="00F20D4B" w14:textId="77777777" w:rsidR="00000000" w:rsidRDefault="00EE5306">
            <w:pPr>
              <w:spacing w:after="100"/>
              <w:rPr>
                <w:rFonts w:eastAsia="Times New Roman"/>
                <w:sz w:val="20"/>
                <w:szCs w:val="20"/>
              </w:rPr>
            </w:pPr>
          </w:p>
        </w:tc>
        <w:tc>
          <w:tcPr>
            <w:tcW w:w="5" w:type="pct"/>
            <w:vAlign w:val="center"/>
            <w:hideMark/>
          </w:tcPr>
          <w:p w14:paraId="60F4B8B5" w14:textId="77777777" w:rsidR="00000000" w:rsidRDefault="00EE5306">
            <w:pPr>
              <w:spacing w:after="100"/>
              <w:rPr>
                <w:rFonts w:eastAsia="Times New Roman"/>
                <w:sz w:val="20"/>
                <w:szCs w:val="20"/>
              </w:rPr>
            </w:pPr>
          </w:p>
        </w:tc>
        <w:tc>
          <w:tcPr>
            <w:tcW w:w="85" w:type="pct"/>
            <w:vAlign w:val="center"/>
            <w:hideMark/>
          </w:tcPr>
          <w:p w14:paraId="275ED604" w14:textId="77777777" w:rsidR="00000000" w:rsidRDefault="00EE5306">
            <w:pPr>
              <w:spacing w:after="100"/>
              <w:rPr>
                <w:rFonts w:eastAsia="Times New Roman"/>
                <w:sz w:val="20"/>
                <w:szCs w:val="20"/>
              </w:rPr>
            </w:pPr>
          </w:p>
        </w:tc>
        <w:tc>
          <w:tcPr>
            <w:tcW w:w="5" w:type="pct"/>
            <w:vAlign w:val="center"/>
            <w:hideMark/>
          </w:tcPr>
          <w:p w14:paraId="7C4529B9" w14:textId="77777777" w:rsidR="00000000" w:rsidRDefault="00EE5306">
            <w:pPr>
              <w:spacing w:after="100"/>
              <w:rPr>
                <w:rFonts w:eastAsia="Times New Roman"/>
                <w:sz w:val="20"/>
                <w:szCs w:val="20"/>
              </w:rPr>
            </w:pPr>
          </w:p>
        </w:tc>
        <w:tc>
          <w:tcPr>
            <w:tcW w:w="50" w:type="pct"/>
            <w:vAlign w:val="center"/>
            <w:hideMark/>
          </w:tcPr>
          <w:p w14:paraId="045E88FC" w14:textId="77777777" w:rsidR="00000000" w:rsidRDefault="00EE5306">
            <w:pPr>
              <w:spacing w:after="100"/>
              <w:rPr>
                <w:rFonts w:eastAsia="Times New Roman"/>
                <w:sz w:val="20"/>
                <w:szCs w:val="20"/>
              </w:rPr>
            </w:pPr>
          </w:p>
        </w:tc>
        <w:tc>
          <w:tcPr>
            <w:tcW w:w="921" w:type="pct"/>
            <w:vAlign w:val="center"/>
            <w:hideMark/>
          </w:tcPr>
          <w:p w14:paraId="39B9D8E1" w14:textId="77777777" w:rsidR="00000000" w:rsidRDefault="00EE5306">
            <w:pPr>
              <w:spacing w:after="100"/>
              <w:rPr>
                <w:rFonts w:eastAsia="Times New Roman"/>
                <w:sz w:val="20"/>
                <w:szCs w:val="20"/>
              </w:rPr>
            </w:pPr>
          </w:p>
        </w:tc>
        <w:tc>
          <w:tcPr>
            <w:tcW w:w="5" w:type="pct"/>
            <w:vAlign w:val="center"/>
            <w:hideMark/>
          </w:tcPr>
          <w:p w14:paraId="29C20575" w14:textId="77777777" w:rsidR="00000000" w:rsidRDefault="00EE5306">
            <w:pPr>
              <w:spacing w:after="100"/>
              <w:rPr>
                <w:rFonts w:eastAsia="Times New Roman"/>
                <w:sz w:val="20"/>
                <w:szCs w:val="20"/>
              </w:rPr>
            </w:pPr>
          </w:p>
        </w:tc>
      </w:tr>
      <w:tr w:rsidR="00000000" w14:paraId="05717BC8" w14:textId="77777777">
        <w:trPr>
          <w:divId w:val="2006546064"/>
        </w:trPr>
        <w:tc>
          <w:tcPr>
            <w:tcW w:w="0" w:type="auto"/>
            <w:gridSpan w:val="3"/>
            <w:tcMar>
              <w:top w:w="30" w:type="dxa"/>
              <w:left w:w="20" w:type="dxa"/>
              <w:bottom w:w="30" w:type="dxa"/>
              <w:right w:w="20" w:type="dxa"/>
            </w:tcMar>
            <w:hideMark/>
          </w:tcPr>
          <w:p w14:paraId="388B9617" w14:textId="77777777" w:rsidR="00000000" w:rsidRDefault="00EE5306">
            <w:pPr>
              <w:spacing w:after="100"/>
              <w:jc w:val="center"/>
              <w:rPr>
                <w:rFonts w:eastAsia="Times New Roman"/>
              </w:rPr>
            </w:pPr>
            <w:r>
              <w:rPr>
                <w:rFonts w:eastAsia="Times New Roman"/>
                <w:b/>
                <w:bCs/>
                <w:color w:val="000000"/>
                <w:sz w:val="20"/>
                <w:szCs w:val="20"/>
                <w:u w:val="single"/>
              </w:rPr>
              <w:t>Signature</w:t>
            </w:r>
          </w:p>
        </w:tc>
        <w:tc>
          <w:tcPr>
            <w:tcW w:w="0" w:type="auto"/>
            <w:gridSpan w:val="3"/>
            <w:tcMar>
              <w:top w:w="0" w:type="dxa"/>
              <w:left w:w="20" w:type="dxa"/>
              <w:bottom w:w="0" w:type="dxa"/>
              <w:right w:w="20" w:type="dxa"/>
            </w:tcMar>
            <w:vAlign w:val="center"/>
            <w:hideMark/>
          </w:tcPr>
          <w:p w14:paraId="5E09D056"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98A673B" w14:textId="77777777" w:rsidR="00000000" w:rsidRDefault="00EE5306">
            <w:pPr>
              <w:spacing w:after="100"/>
              <w:jc w:val="center"/>
              <w:rPr>
                <w:rFonts w:eastAsia="Times New Roman"/>
              </w:rPr>
            </w:pPr>
            <w:r>
              <w:rPr>
                <w:rFonts w:eastAsia="Times New Roman"/>
                <w:b/>
                <w:bCs/>
                <w:color w:val="000000"/>
                <w:sz w:val="20"/>
                <w:szCs w:val="20"/>
                <w:u w:val="single"/>
              </w:rPr>
              <w:t>Title</w:t>
            </w:r>
          </w:p>
        </w:tc>
        <w:tc>
          <w:tcPr>
            <w:tcW w:w="0" w:type="auto"/>
            <w:gridSpan w:val="3"/>
            <w:tcMar>
              <w:top w:w="0" w:type="dxa"/>
              <w:left w:w="20" w:type="dxa"/>
              <w:bottom w:w="0" w:type="dxa"/>
              <w:right w:w="20" w:type="dxa"/>
            </w:tcMar>
            <w:vAlign w:val="center"/>
            <w:hideMark/>
          </w:tcPr>
          <w:p w14:paraId="0DA7232B"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hideMark/>
          </w:tcPr>
          <w:p w14:paraId="5FFCEF34" w14:textId="77777777" w:rsidR="00000000" w:rsidRDefault="00EE5306">
            <w:pPr>
              <w:spacing w:after="100"/>
              <w:jc w:val="center"/>
              <w:rPr>
                <w:rFonts w:eastAsia="Times New Roman"/>
              </w:rPr>
            </w:pPr>
            <w:r>
              <w:rPr>
                <w:rFonts w:eastAsia="Times New Roman"/>
                <w:b/>
                <w:bCs/>
                <w:color w:val="000000"/>
                <w:sz w:val="20"/>
                <w:szCs w:val="20"/>
                <w:u w:val="single"/>
              </w:rPr>
              <w:t>Date</w:t>
            </w:r>
          </w:p>
        </w:tc>
      </w:tr>
      <w:tr w:rsidR="00000000" w14:paraId="17038221" w14:textId="77777777">
        <w:trPr>
          <w:divId w:val="2006546064"/>
          <w:trHeight w:val="240"/>
        </w:trPr>
        <w:tc>
          <w:tcPr>
            <w:tcW w:w="0" w:type="auto"/>
            <w:gridSpan w:val="3"/>
            <w:tcMar>
              <w:top w:w="0" w:type="dxa"/>
              <w:left w:w="20" w:type="dxa"/>
              <w:bottom w:w="0" w:type="dxa"/>
              <w:right w:w="20" w:type="dxa"/>
            </w:tcMar>
            <w:vAlign w:val="center"/>
            <w:hideMark/>
          </w:tcPr>
          <w:p w14:paraId="6DA64B9F"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FAFF3C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289547"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F3992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47A7F7" w14:textId="77777777" w:rsidR="00000000" w:rsidRDefault="00EE5306">
            <w:pPr>
              <w:spacing w:after="100"/>
              <w:rPr>
                <w:rFonts w:eastAsia="Times New Roman"/>
                <w:sz w:val="20"/>
                <w:szCs w:val="20"/>
              </w:rPr>
            </w:pPr>
          </w:p>
        </w:tc>
      </w:tr>
      <w:tr w:rsidR="00000000" w14:paraId="404FC16C" w14:textId="77777777">
        <w:trPr>
          <w:divId w:val="2006546064"/>
          <w:trHeight w:val="300"/>
        </w:trPr>
        <w:tc>
          <w:tcPr>
            <w:tcW w:w="0" w:type="auto"/>
            <w:gridSpan w:val="3"/>
            <w:tcMar>
              <w:top w:w="30" w:type="dxa"/>
              <w:left w:w="20" w:type="dxa"/>
              <w:bottom w:w="30" w:type="dxa"/>
              <w:right w:w="20" w:type="dxa"/>
            </w:tcMar>
            <w:vAlign w:val="bottom"/>
            <w:hideMark/>
          </w:tcPr>
          <w:p w14:paraId="7CA3E5D4"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RALPH LAUREN</w:t>
            </w:r>
          </w:p>
        </w:tc>
        <w:tc>
          <w:tcPr>
            <w:tcW w:w="0" w:type="auto"/>
            <w:gridSpan w:val="3"/>
            <w:tcMar>
              <w:top w:w="0" w:type="dxa"/>
              <w:left w:w="20" w:type="dxa"/>
              <w:bottom w:w="0" w:type="dxa"/>
              <w:right w:w="20" w:type="dxa"/>
            </w:tcMar>
            <w:vAlign w:val="center"/>
            <w:hideMark/>
          </w:tcPr>
          <w:p w14:paraId="36B4FEE9"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58A40516" w14:textId="77777777" w:rsidR="00000000" w:rsidRDefault="00EE5306">
            <w:pPr>
              <w:spacing w:after="100"/>
              <w:rPr>
                <w:rFonts w:eastAsia="Times New Roman"/>
              </w:rPr>
            </w:pPr>
            <w:r>
              <w:rPr>
                <w:rFonts w:eastAsia="Times New Roman"/>
                <w:color w:val="000000"/>
                <w:sz w:val="20"/>
                <w:szCs w:val="20"/>
              </w:rPr>
              <w:t>Executive Chairman, Chief Creative Officer, and Director</w:t>
            </w:r>
          </w:p>
        </w:tc>
        <w:tc>
          <w:tcPr>
            <w:tcW w:w="0" w:type="auto"/>
            <w:gridSpan w:val="3"/>
            <w:vMerge w:val="restart"/>
            <w:tcMar>
              <w:top w:w="0" w:type="dxa"/>
              <w:left w:w="20" w:type="dxa"/>
              <w:bottom w:w="0" w:type="dxa"/>
              <w:right w:w="20" w:type="dxa"/>
            </w:tcMar>
            <w:vAlign w:val="center"/>
            <w:hideMark/>
          </w:tcPr>
          <w:p w14:paraId="27641208"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45148C1B"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32F390FF" w14:textId="77777777">
        <w:trPr>
          <w:divId w:val="2006546064"/>
          <w:trHeight w:val="300"/>
        </w:trPr>
        <w:tc>
          <w:tcPr>
            <w:tcW w:w="0" w:type="auto"/>
            <w:gridSpan w:val="3"/>
            <w:tcBorders>
              <w:top w:val="single" w:sz="8" w:space="0" w:color="000000"/>
            </w:tcBorders>
            <w:tcMar>
              <w:top w:w="30" w:type="dxa"/>
              <w:left w:w="20" w:type="dxa"/>
              <w:bottom w:w="30" w:type="dxa"/>
              <w:right w:w="20" w:type="dxa"/>
            </w:tcMar>
            <w:vAlign w:val="bottom"/>
            <w:hideMark/>
          </w:tcPr>
          <w:p w14:paraId="4EBC2F5D" w14:textId="77777777" w:rsidR="00000000" w:rsidRDefault="00EE5306">
            <w:pPr>
              <w:spacing w:after="100"/>
              <w:jc w:val="center"/>
              <w:divId w:val="1547334690"/>
              <w:rPr>
                <w:rFonts w:eastAsia="Times New Roman"/>
              </w:rPr>
            </w:pPr>
            <w:r>
              <w:rPr>
                <w:rFonts w:eastAsia="Times New Roman"/>
                <w:color w:val="000000"/>
                <w:sz w:val="20"/>
                <w:szCs w:val="20"/>
              </w:rPr>
              <w:t>Ralph Lauren</w:t>
            </w:r>
          </w:p>
        </w:tc>
        <w:tc>
          <w:tcPr>
            <w:tcW w:w="0" w:type="auto"/>
            <w:gridSpan w:val="3"/>
            <w:tcMar>
              <w:top w:w="0" w:type="dxa"/>
              <w:left w:w="20" w:type="dxa"/>
              <w:bottom w:w="0" w:type="dxa"/>
              <w:right w:w="20" w:type="dxa"/>
            </w:tcMar>
            <w:vAlign w:val="center"/>
            <w:hideMark/>
          </w:tcPr>
          <w:p w14:paraId="2471E88A" w14:textId="77777777" w:rsidR="00000000" w:rsidRDefault="00EE5306">
            <w:pPr>
              <w:spacing w:after="100"/>
              <w:jc w:val="center"/>
              <w:rPr>
                <w:rFonts w:eastAsia="Times New Roman"/>
              </w:rPr>
            </w:pPr>
          </w:p>
        </w:tc>
        <w:tc>
          <w:tcPr>
            <w:tcW w:w="0" w:type="auto"/>
            <w:gridSpan w:val="3"/>
            <w:vMerge/>
            <w:vAlign w:val="center"/>
            <w:hideMark/>
          </w:tcPr>
          <w:p w14:paraId="40F2C33C" w14:textId="77777777" w:rsidR="00000000" w:rsidRDefault="00EE5306">
            <w:pPr>
              <w:spacing w:after="100"/>
              <w:rPr>
                <w:rFonts w:eastAsia="Times New Roman"/>
              </w:rPr>
            </w:pPr>
          </w:p>
        </w:tc>
        <w:tc>
          <w:tcPr>
            <w:tcW w:w="0" w:type="auto"/>
            <w:gridSpan w:val="3"/>
            <w:vMerge/>
            <w:vAlign w:val="center"/>
            <w:hideMark/>
          </w:tcPr>
          <w:p w14:paraId="3C38AB1D" w14:textId="77777777" w:rsidR="00000000" w:rsidRDefault="00EE5306">
            <w:pPr>
              <w:spacing w:after="100"/>
              <w:rPr>
                <w:rFonts w:eastAsia="Times New Roman"/>
              </w:rPr>
            </w:pPr>
          </w:p>
        </w:tc>
        <w:tc>
          <w:tcPr>
            <w:tcW w:w="0" w:type="auto"/>
            <w:gridSpan w:val="3"/>
            <w:vMerge/>
            <w:vAlign w:val="center"/>
            <w:hideMark/>
          </w:tcPr>
          <w:p w14:paraId="65095AF7" w14:textId="77777777" w:rsidR="00000000" w:rsidRDefault="00EE5306">
            <w:pPr>
              <w:spacing w:after="100"/>
              <w:rPr>
                <w:rFonts w:eastAsia="Times New Roman"/>
              </w:rPr>
            </w:pPr>
          </w:p>
        </w:tc>
      </w:tr>
      <w:tr w:rsidR="00000000" w14:paraId="1BA6F071" w14:textId="77777777">
        <w:trPr>
          <w:divId w:val="2006546064"/>
          <w:trHeight w:val="240"/>
        </w:trPr>
        <w:tc>
          <w:tcPr>
            <w:tcW w:w="0" w:type="auto"/>
            <w:gridSpan w:val="3"/>
            <w:tcMar>
              <w:top w:w="0" w:type="dxa"/>
              <w:left w:w="20" w:type="dxa"/>
              <w:bottom w:w="0" w:type="dxa"/>
              <w:right w:w="20" w:type="dxa"/>
            </w:tcMar>
            <w:vAlign w:val="center"/>
            <w:hideMark/>
          </w:tcPr>
          <w:p w14:paraId="450E4341"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36EC6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190D4F"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203EE8"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1A0E63" w14:textId="77777777" w:rsidR="00000000" w:rsidRDefault="00EE5306">
            <w:pPr>
              <w:spacing w:after="100"/>
              <w:rPr>
                <w:rFonts w:eastAsia="Times New Roman"/>
                <w:sz w:val="20"/>
                <w:szCs w:val="20"/>
              </w:rPr>
            </w:pPr>
          </w:p>
        </w:tc>
      </w:tr>
      <w:tr w:rsidR="00000000" w14:paraId="639171BA" w14:textId="77777777">
        <w:trPr>
          <w:divId w:val="2006546064"/>
          <w:trHeight w:val="300"/>
        </w:trPr>
        <w:tc>
          <w:tcPr>
            <w:tcW w:w="0" w:type="auto"/>
            <w:gridSpan w:val="3"/>
            <w:tcMar>
              <w:top w:w="30" w:type="dxa"/>
              <w:left w:w="20" w:type="dxa"/>
              <w:bottom w:w="30" w:type="dxa"/>
              <w:right w:w="20" w:type="dxa"/>
            </w:tcMar>
            <w:vAlign w:val="bottom"/>
            <w:hideMark/>
          </w:tcPr>
          <w:p w14:paraId="6E62D7EB"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PATRICE LOUVET</w:t>
            </w:r>
          </w:p>
        </w:tc>
        <w:tc>
          <w:tcPr>
            <w:tcW w:w="0" w:type="auto"/>
            <w:gridSpan w:val="3"/>
            <w:tcMar>
              <w:top w:w="0" w:type="dxa"/>
              <w:left w:w="20" w:type="dxa"/>
              <w:bottom w:w="0" w:type="dxa"/>
              <w:right w:w="20" w:type="dxa"/>
            </w:tcMar>
            <w:vAlign w:val="center"/>
            <w:hideMark/>
          </w:tcPr>
          <w:p w14:paraId="61024D67"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30604C26" w14:textId="77777777" w:rsidR="00000000" w:rsidRDefault="00EE5306">
            <w:pPr>
              <w:spacing w:after="100"/>
              <w:rPr>
                <w:rFonts w:eastAsia="Times New Roman"/>
              </w:rPr>
            </w:pPr>
            <w:r>
              <w:rPr>
                <w:rFonts w:eastAsia="Times New Roman"/>
                <w:color w:val="000000"/>
                <w:sz w:val="20"/>
                <w:szCs w:val="20"/>
              </w:rPr>
              <w:t>President, Chief Executive Officer, and Director (Principal Executive Officer)</w:t>
            </w:r>
          </w:p>
        </w:tc>
        <w:tc>
          <w:tcPr>
            <w:tcW w:w="0" w:type="auto"/>
            <w:gridSpan w:val="3"/>
            <w:vMerge w:val="restart"/>
            <w:tcMar>
              <w:top w:w="0" w:type="dxa"/>
              <w:left w:w="20" w:type="dxa"/>
              <w:bottom w:w="0" w:type="dxa"/>
              <w:right w:w="20" w:type="dxa"/>
            </w:tcMar>
            <w:vAlign w:val="center"/>
            <w:hideMark/>
          </w:tcPr>
          <w:p w14:paraId="79561E93"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77DFE642"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719C50CA" w14:textId="77777777">
        <w:trPr>
          <w:divId w:val="2006546064"/>
          <w:trHeight w:val="300"/>
        </w:trPr>
        <w:tc>
          <w:tcPr>
            <w:tcW w:w="0" w:type="auto"/>
            <w:gridSpan w:val="3"/>
            <w:tcBorders>
              <w:top w:val="single" w:sz="8" w:space="0" w:color="000000"/>
            </w:tcBorders>
            <w:tcMar>
              <w:top w:w="30" w:type="dxa"/>
              <w:left w:w="20" w:type="dxa"/>
              <w:bottom w:w="30" w:type="dxa"/>
              <w:right w:w="20" w:type="dxa"/>
            </w:tcMar>
            <w:vAlign w:val="bottom"/>
            <w:hideMark/>
          </w:tcPr>
          <w:p w14:paraId="5DC4E13B" w14:textId="77777777" w:rsidR="00000000" w:rsidRDefault="00EE5306">
            <w:pPr>
              <w:spacing w:after="100"/>
              <w:jc w:val="center"/>
              <w:divId w:val="1879509257"/>
              <w:rPr>
                <w:rFonts w:eastAsia="Times New Roman"/>
              </w:rPr>
            </w:pPr>
            <w:r>
              <w:rPr>
                <w:rFonts w:eastAsia="Times New Roman"/>
                <w:color w:val="000000"/>
                <w:sz w:val="20"/>
                <w:szCs w:val="20"/>
              </w:rPr>
              <w:t>Patrice Louvet</w:t>
            </w:r>
          </w:p>
        </w:tc>
        <w:tc>
          <w:tcPr>
            <w:tcW w:w="0" w:type="auto"/>
            <w:gridSpan w:val="3"/>
            <w:tcMar>
              <w:top w:w="0" w:type="dxa"/>
              <w:left w:w="20" w:type="dxa"/>
              <w:bottom w:w="0" w:type="dxa"/>
              <w:right w:w="20" w:type="dxa"/>
            </w:tcMar>
            <w:vAlign w:val="center"/>
            <w:hideMark/>
          </w:tcPr>
          <w:p w14:paraId="65018D84" w14:textId="77777777" w:rsidR="00000000" w:rsidRDefault="00EE5306">
            <w:pPr>
              <w:spacing w:after="100"/>
              <w:jc w:val="center"/>
              <w:rPr>
                <w:rFonts w:eastAsia="Times New Roman"/>
              </w:rPr>
            </w:pPr>
          </w:p>
        </w:tc>
        <w:tc>
          <w:tcPr>
            <w:tcW w:w="0" w:type="auto"/>
            <w:gridSpan w:val="3"/>
            <w:vMerge/>
            <w:vAlign w:val="center"/>
            <w:hideMark/>
          </w:tcPr>
          <w:p w14:paraId="079EEF2D" w14:textId="77777777" w:rsidR="00000000" w:rsidRDefault="00EE5306">
            <w:pPr>
              <w:spacing w:after="100"/>
              <w:rPr>
                <w:rFonts w:eastAsia="Times New Roman"/>
              </w:rPr>
            </w:pPr>
          </w:p>
        </w:tc>
        <w:tc>
          <w:tcPr>
            <w:tcW w:w="0" w:type="auto"/>
            <w:gridSpan w:val="3"/>
            <w:vMerge/>
            <w:vAlign w:val="center"/>
            <w:hideMark/>
          </w:tcPr>
          <w:p w14:paraId="774A4C3D" w14:textId="77777777" w:rsidR="00000000" w:rsidRDefault="00EE5306">
            <w:pPr>
              <w:spacing w:after="100"/>
              <w:rPr>
                <w:rFonts w:eastAsia="Times New Roman"/>
              </w:rPr>
            </w:pPr>
          </w:p>
        </w:tc>
        <w:tc>
          <w:tcPr>
            <w:tcW w:w="0" w:type="auto"/>
            <w:gridSpan w:val="3"/>
            <w:vMerge/>
            <w:vAlign w:val="center"/>
            <w:hideMark/>
          </w:tcPr>
          <w:p w14:paraId="785BB785" w14:textId="77777777" w:rsidR="00000000" w:rsidRDefault="00EE5306">
            <w:pPr>
              <w:spacing w:after="100"/>
              <w:rPr>
                <w:rFonts w:eastAsia="Times New Roman"/>
              </w:rPr>
            </w:pPr>
          </w:p>
        </w:tc>
      </w:tr>
      <w:tr w:rsidR="00000000" w14:paraId="4E35CD8A" w14:textId="77777777">
        <w:trPr>
          <w:divId w:val="2006546064"/>
          <w:trHeight w:val="240"/>
        </w:trPr>
        <w:tc>
          <w:tcPr>
            <w:tcW w:w="0" w:type="auto"/>
            <w:gridSpan w:val="3"/>
            <w:tcMar>
              <w:top w:w="0" w:type="dxa"/>
              <w:left w:w="20" w:type="dxa"/>
              <w:bottom w:w="0" w:type="dxa"/>
              <w:right w:w="20" w:type="dxa"/>
            </w:tcMar>
            <w:vAlign w:val="center"/>
            <w:hideMark/>
          </w:tcPr>
          <w:p w14:paraId="14D44FB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03F75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341A0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D8119B"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283995" w14:textId="77777777" w:rsidR="00000000" w:rsidRDefault="00EE5306">
            <w:pPr>
              <w:spacing w:after="100"/>
              <w:rPr>
                <w:rFonts w:eastAsia="Times New Roman"/>
                <w:sz w:val="20"/>
                <w:szCs w:val="20"/>
              </w:rPr>
            </w:pPr>
          </w:p>
        </w:tc>
      </w:tr>
      <w:tr w:rsidR="00000000" w14:paraId="3CF07C25" w14:textId="77777777">
        <w:trPr>
          <w:divId w:val="2006546064"/>
          <w:trHeight w:val="300"/>
        </w:trPr>
        <w:tc>
          <w:tcPr>
            <w:tcW w:w="0" w:type="auto"/>
            <w:gridSpan w:val="3"/>
            <w:tcMar>
              <w:top w:w="30" w:type="dxa"/>
              <w:left w:w="20" w:type="dxa"/>
              <w:bottom w:w="30" w:type="dxa"/>
              <w:right w:w="20" w:type="dxa"/>
            </w:tcMar>
            <w:vAlign w:val="bottom"/>
            <w:hideMark/>
          </w:tcPr>
          <w:p w14:paraId="011AFAC2"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JANE HAMILTON NIELSEN</w:t>
            </w:r>
          </w:p>
        </w:tc>
        <w:tc>
          <w:tcPr>
            <w:tcW w:w="0" w:type="auto"/>
            <w:gridSpan w:val="3"/>
            <w:tcMar>
              <w:top w:w="0" w:type="dxa"/>
              <w:left w:w="20" w:type="dxa"/>
              <w:bottom w:w="0" w:type="dxa"/>
              <w:right w:w="20" w:type="dxa"/>
            </w:tcMar>
            <w:vAlign w:val="center"/>
            <w:hideMark/>
          </w:tcPr>
          <w:p w14:paraId="03128CDE"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79B2D073" w14:textId="77777777" w:rsidR="00000000" w:rsidRDefault="00EE5306">
            <w:pPr>
              <w:spacing w:after="100"/>
              <w:rPr>
                <w:rFonts w:eastAsia="Times New Roman"/>
              </w:rPr>
            </w:pPr>
            <w:r>
              <w:rPr>
                <w:rFonts w:eastAsia="Times New Roman"/>
                <w:color w:val="000000"/>
                <w:sz w:val="20"/>
                <w:szCs w:val="20"/>
              </w:rPr>
              <w:t>Chief Operating Officer and Chief Financial Officer (Principal Financial and Accounting Officer)</w:t>
            </w:r>
          </w:p>
        </w:tc>
        <w:tc>
          <w:tcPr>
            <w:tcW w:w="0" w:type="auto"/>
            <w:gridSpan w:val="3"/>
            <w:vMerge w:val="restart"/>
            <w:tcMar>
              <w:top w:w="0" w:type="dxa"/>
              <w:left w:w="20" w:type="dxa"/>
              <w:bottom w:w="0" w:type="dxa"/>
              <w:right w:w="20" w:type="dxa"/>
            </w:tcMar>
            <w:vAlign w:val="center"/>
            <w:hideMark/>
          </w:tcPr>
          <w:p w14:paraId="5BF3D322"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33F79A8A"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44BE6643" w14:textId="77777777">
        <w:trPr>
          <w:divId w:val="2006546064"/>
          <w:trHeight w:val="300"/>
        </w:trPr>
        <w:tc>
          <w:tcPr>
            <w:tcW w:w="0" w:type="auto"/>
            <w:gridSpan w:val="3"/>
            <w:tcBorders>
              <w:top w:val="single" w:sz="8" w:space="0" w:color="000000"/>
            </w:tcBorders>
            <w:tcMar>
              <w:top w:w="30" w:type="dxa"/>
              <w:left w:w="20" w:type="dxa"/>
              <w:bottom w:w="30" w:type="dxa"/>
              <w:right w:w="20" w:type="dxa"/>
            </w:tcMar>
            <w:vAlign w:val="bottom"/>
            <w:hideMark/>
          </w:tcPr>
          <w:p w14:paraId="70D77360" w14:textId="77777777" w:rsidR="00000000" w:rsidRDefault="00EE5306">
            <w:pPr>
              <w:spacing w:after="100"/>
              <w:jc w:val="center"/>
              <w:divId w:val="697194232"/>
              <w:rPr>
                <w:rFonts w:eastAsia="Times New Roman"/>
              </w:rPr>
            </w:pPr>
            <w:r>
              <w:rPr>
                <w:rFonts w:eastAsia="Times New Roman"/>
                <w:color w:val="000000"/>
                <w:sz w:val="20"/>
                <w:szCs w:val="20"/>
              </w:rPr>
              <w:t>Jane Hamilton Nielsen</w:t>
            </w:r>
          </w:p>
        </w:tc>
        <w:tc>
          <w:tcPr>
            <w:tcW w:w="0" w:type="auto"/>
            <w:gridSpan w:val="3"/>
            <w:tcMar>
              <w:top w:w="0" w:type="dxa"/>
              <w:left w:w="20" w:type="dxa"/>
              <w:bottom w:w="0" w:type="dxa"/>
              <w:right w:w="20" w:type="dxa"/>
            </w:tcMar>
            <w:vAlign w:val="center"/>
            <w:hideMark/>
          </w:tcPr>
          <w:p w14:paraId="14722536" w14:textId="77777777" w:rsidR="00000000" w:rsidRDefault="00EE5306">
            <w:pPr>
              <w:spacing w:after="100"/>
              <w:jc w:val="center"/>
              <w:rPr>
                <w:rFonts w:eastAsia="Times New Roman"/>
              </w:rPr>
            </w:pPr>
          </w:p>
        </w:tc>
        <w:tc>
          <w:tcPr>
            <w:tcW w:w="0" w:type="auto"/>
            <w:gridSpan w:val="3"/>
            <w:vMerge/>
            <w:vAlign w:val="center"/>
            <w:hideMark/>
          </w:tcPr>
          <w:p w14:paraId="7A0A3B7E" w14:textId="77777777" w:rsidR="00000000" w:rsidRDefault="00EE5306">
            <w:pPr>
              <w:spacing w:after="100"/>
              <w:rPr>
                <w:rFonts w:eastAsia="Times New Roman"/>
              </w:rPr>
            </w:pPr>
          </w:p>
        </w:tc>
        <w:tc>
          <w:tcPr>
            <w:tcW w:w="0" w:type="auto"/>
            <w:gridSpan w:val="3"/>
            <w:vMerge/>
            <w:vAlign w:val="center"/>
            <w:hideMark/>
          </w:tcPr>
          <w:p w14:paraId="7599376C" w14:textId="77777777" w:rsidR="00000000" w:rsidRDefault="00EE5306">
            <w:pPr>
              <w:spacing w:after="100"/>
              <w:rPr>
                <w:rFonts w:eastAsia="Times New Roman"/>
              </w:rPr>
            </w:pPr>
          </w:p>
        </w:tc>
        <w:tc>
          <w:tcPr>
            <w:tcW w:w="0" w:type="auto"/>
            <w:gridSpan w:val="3"/>
            <w:vMerge/>
            <w:vAlign w:val="center"/>
            <w:hideMark/>
          </w:tcPr>
          <w:p w14:paraId="11F024BF" w14:textId="77777777" w:rsidR="00000000" w:rsidRDefault="00EE5306">
            <w:pPr>
              <w:spacing w:after="100"/>
              <w:rPr>
                <w:rFonts w:eastAsia="Times New Roman"/>
              </w:rPr>
            </w:pPr>
          </w:p>
        </w:tc>
      </w:tr>
      <w:tr w:rsidR="00000000" w14:paraId="4A2C8276" w14:textId="77777777">
        <w:trPr>
          <w:divId w:val="2006546064"/>
          <w:trHeight w:val="240"/>
        </w:trPr>
        <w:tc>
          <w:tcPr>
            <w:tcW w:w="0" w:type="auto"/>
            <w:gridSpan w:val="3"/>
            <w:tcMar>
              <w:top w:w="0" w:type="dxa"/>
              <w:left w:w="20" w:type="dxa"/>
              <w:bottom w:w="0" w:type="dxa"/>
              <w:right w:w="20" w:type="dxa"/>
            </w:tcMar>
            <w:vAlign w:val="center"/>
            <w:hideMark/>
          </w:tcPr>
          <w:p w14:paraId="5765FEF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F42A4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06644B"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42792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2F646E" w14:textId="77777777" w:rsidR="00000000" w:rsidRDefault="00EE5306">
            <w:pPr>
              <w:spacing w:after="100"/>
              <w:rPr>
                <w:rFonts w:eastAsia="Times New Roman"/>
                <w:sz w:val="20"/>
                <w:szCs w:val="20"/>
              </w:rPr>
            </w:pPr>
          </w:p>
        </w:tc>
      </w:tr>
      <w:tr w:rsidR="00000000" w14:paraId="5E1EDBEA" w14:textId="77777777">
        <w:trPr>
          <w:divId w:val="2006546064"/>
          <w:trHeight w:val="300"/>
        </w:trPr>
        <w:tc>
          <w:tcPr>
            <w:tcW w:w="0" w:type="auto"/>
            <w:gridSpan w:val="3"/>
            <w:tcMar>
              <w:top w:w="30" w:type="dxa"/>
              <w:left w:w="20" w:type="dxa"/>
              <w:bottom w:w="30" w:type="dxa"/>
              <w:right w:w="20" w:type="dxa"/>
            </w:tcMar>
            <w:vAlign w:val="bottom"/>
            <w:hideMark/>
          </w:tcPr>
          <w:p w14:paraId="2895D30B" w14:textId="77777777" w:rsidR="00000000" w:rsidRDefault="00EE5306">
            <w:pPr>
              <w:spacing w:after="100"/>
              <w:jc w:val="center"/>
              <w:rPr>
                <w:rFonts w:eastAsia="Times New Roman"/>
              </w:rPr>
            </w:pPr>
            <w:r>
              <w:rPr>
                <w:rFonts w:eastAsia="Times New Roman"/>
                <w:color w:val="000000"/>
                <w:sz w:val="20"/>
                <w:szCs w:val="20"/>
              </w:rPr>
              <w:t>/s/    DAVID LAUREN</w:t>
            </w:r>
          </w:p>
        </w:tc>
        <w:tc>
          <w:tcPr>
            <w:tcW w:w="0" w:type="auto"/>
            <w:gridSpan w:val="3"/>
            <w:tcMar>
              <w:top w:w="0" w:type="dxa"/>
              <w:left w:w="20" w:type="dxa"/>
              <w:bottom w:w="0" w:type="dxa"/>
              <w:right w:w="20" w:type="dxa"/>
            </w:tcMar>
            <w:vAlign w:val="center"/>
            <w:hideMark/>
          </w:tcPr>
          <w:p w14:paraId="16CE0F3C"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7A2B3A26" w14:textId="77777777" w:rsidR="00000000" w:rsidRDefault="00EE5306">
            <w:pPr>
              <w:spacing w:after="100"/>
              <w:rPr>
                <w:rFonts w:eastAsia="Times New Roman"/>
              </w:rPr>
            </w:pPr>
            <w:r>
              <w:rPr>
                <w:rFonts w:eastAsia="Times New Roman"/>
                <w:color w:val="000000"/>
                <w:sz w:val="20"/>
                <w:szCs w:val="20"/>
              </w:rPr>
              <w:t>Vice Chairman, Chief Innovation Officer, Strategic Advisor to the CEO, and Director</w:t>
            </w:r>
          </w:p>
        </w:tc>
        <w:tc>
          <w:tcPr>
            <w:tcW w:w="0" w:type="auto"/>
            <w:gridSpan w:val="3"/>
            <w:vMerge w:val="restart"/>
            <w:tcMar>
              <w:top w:w="0" w:type="dxa"/>
              <w:left w:w="20" w:type="dxa"/>
              <w:bottom w:w="0" w:type="dxa"/>
              <w:right w:w="20" w:type="dxa"/>
            </w:tcMar>
            <w:vAlign w:val="center"/>
            <w:hideMark/>
          </w:tcPr>
          <w:p w14:paraId="6762BD56"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52067E0F"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490F2F85" w14:textId="77777777">
        <w:trPr>
          <w:divId w:val="2006546064"/>
          <w:trHeight w:val="300"/>
        </w:trPr>
        <w:tc>
          <w:tcPr>
            <w:tcW w:w="0" w:type="auto"/>
            <w:gridSpan w:val="3"/>
            <w:tcBorders>
              <w:top w:val="single" w:sz="8" w:space="0" w:color="000000"/>
            </w:tcBorders>
            <w:tcMar>
              <w:top w:w="30" w:type="dxa"/>
              <w:left w:w="20" w:type="dxa"/>
              <w:bottom w:w="30" w:type="dxa"/>
              <w:right w:w="20" w:type="dxa"/>
            </w:tcMar>
            <w:vAlign w:val="bottom"/>
            <w:hideMark/>
          </w:tcPr>
          <w:p w14:paraId="60E7915F" w14:textId="77777777" w:rsidR="00000000" w:rsidRDefault="00EE5306">
            <w:pPr>
              <w:spacing w:after="100"/>
              <w:jc w:val="center"/>
              <w:rPr>
                <w:rFonts w:eastAsia="Times New Roman"/>
              </w:rPr>
            </w:pPr>
            <w:r>
              <w:rPr>
                <w:rFonts w:eastAsia="Times New Roman"/>
                <w:color w:val="000000"/>
                <w:sz w:val="20"/>
                <w:szCs w:val="20"/>
              </w:rPr>
              <w:t>David Lauren</w:t>
            </w:r>
          </w:p>
        </w:tc>
        <w:tc>
          <w:tcPr>
            <w:tcW w:w="0" w:type="auto"/>
            <w:gridSpan w:val="3"/>
            <w:tcMar>
              <w:top w:w="0" w:type="dxa"/>
              <w:left w:w="20" w:type="dxa"/>
              <w:bottom w:w="0" w:type="dxa"/>
              <w:right w:w="20" w:type="dxa"/>
            </w:tcMar>
            <w:vAlign w:val="center"/>
            <w:hideMark/>
          </w:tcPr>
          <w:p w14:paraId="2EC0E2E6" w14:textId="77777777" w:rsidR="00000000" w:rsidRDefault="00EE5306">
            <w:pPr>
              <w:spacing w:after="100"/>
              <w:jc w:val="center"/>
              <w:rPr>
                <w:rFonts w:eastAsia="Times New Roman"/>
              </w:rPr>
            </w:pPr>
          </w:p>
        </w:tc>
        <w:tc>
          <w:tcPr>
            <w:tcW w:w="0" w:type="auto"/>
            <w:gridSpan w:val="3"/>
            <w:vMerge/>
            <w:vAlign w:val="center"/>
            <w:hideMark/>
          </w:tcPr>
          <w:p w14:paraId="38CD4EEC" w14:textId="77777777" w:rsidR="00000000" w:rsidRDefault="00EE5306">
            <w:pPr>
              <w:spacing w:after="100"/>
              <w:rPr>
                <w:rFonts w:eastAsia="Times New Roman"/>
              </w:rPr>
            </w:pPr>
          </w:p>
        </w:tc>
        <w:tc>
          <w:tcPr>
            <w:tcW w:w="0" w:type="auto"/>
            <w:gridSpan w:val="3"/>
            <w:vMerge/>
            <w:vAlign w:val="center"/>
            <w:hideMark/>
          </w:tcPr>
          <w:p w14:paraId="37598482" w14:textId="77777777" w:rsidR="00000000" w:rsidRDefault="00EE5306">
            <w:pPr>
              <w:spacing w:after="100"/>
              <w:rPr>
                <w:rFonts w:eastAsia="Times New Roman"/>
              </w:rPr>
            </w:pPr>
          </w:p>
        </w:tc>
        <w:tc>
          <w:tcPr>
            <w:tcW w:w="0" w:type="auto"/>
            <w:gridSpan w:val="3"/>
            <w:vMerge/>
            <w:vAlign w:val="center"/>
            <w:hideMark/>
          </w:tcPr>
          <w:p w14:paraId="003D41BA" w14:textId="77777777" w:rsidR="00000000" w:rsidRDefault="00EE5306">
            <w:pPr>
              <w:spacing w:after="100"/>
              <w:rPr>
                <w:rFonts w:eastAsia="Times New Roman"/>
              </w:rPr>
            </w:pPr>
          </w:p>
        </w:tc>
      </w:tr>
      <w:tr w:rsidR="00000000" w14:paraId="34EB2913" w14:textId="77777777">
        <w:trPr>
          <w:divId w:val="2006546064"/>
          <w:trHeight w:val="240"/>
        </w:trPr>
        <w:tc>
          <w:tcPr>
            <w:tcW w:w="0" w:type="auto"/>
            <w:gridSpan w:val="3"/>
            <w:tcMar>
              <w:top w:w="0" w:type="dxa"/>
              <w:left w:w="20" w:type="dxa"/>
              <w:bottom w:w="0" w:type="dxa"/>
              <w:right w:w="20" w:type="dxa"/>
            </w:tcMar>
            <w:vAlign w:val="center"/>
            <w:hideMark/>
          </w:tcPr>
          <w:p w14:paraId="669EEEF0"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414B72"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F84196"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F8E3FF"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4F7292" w14:textId="77777777" w:rsidR="00000000" w:rsidRDefault="00EE5306">
            <w:pPr>
              <w:spacing w:after="100"/>
              <w:rPr>
                <w:rFonts w:eastAsia="Times New Roman"/>
                <w:sz w:val="20"/>
                <w:szCs w:val="20"/>
              </w:rPr>
            </w:pPr>
          </w:p>
        </w:tc>
      </w:tr>
      <w:tr w:rsidR="00000000" w14:paraId="462F7ADE" w14:textId="77777777">
        <w:trPr>
          <w:divId w:val="2006546064"/>
          <w:trHeight w:val="300"/>
        </w:trPr>
        <w:tc>
          <w:tcPr>
            <w:tcW w:w="0" w:type="auto"/>
            <w:gridSpan w:val="3"/>
            <w:tcMar>
              <w:top w:w="30" w:type="dxa"/>
              <w:left w:w="20" w:type="dxa"/>
              <w:bottom w:w="30" w:type="dxa"/>
              <w:right w:w="20" w:type="dxa"/>
            </w:tcMar>
            <w:vAlign w:val="bottom"/>
            <w:hideMark/>
          </w:tcPr>
          <w:p w14:paraId="3C93962B" w14:textId="77777777" w:rsidR="00000000" w:rsidRDefault="00EE5306">
            <w:pPr>
              <w:spacing w:after="100"/>
              <w:jc w:val="center"/>
              <w:rPr>
                <w:rFonts w:eastAsia="Times New Roman"/>
              </w:rPr>
            </w:pPr>
            <w:r>
              <w:rPr>
                <w:rFonts w:eastAsia="Times New Roman"/>
                <w:color w:val="000000"/>
                <w:sz w:val="20"/>
                <w:szCs w:val="20"/>
              </w:rPr>
              <w:t>/s/    ANDREW HOWARD SMITH</w:t>
            </w:r>
          </w:p>
        </w:tc>
        <w:tc>
          <w:tcPr>
            <w:tcW w:w="0" w:type="auto"/>
            <w:gridSpan w:val="3"/>
            <w:tcMar>
              <w:top w:w="0" w:type="dxa"/>
              <w:left w:w="20" w:type="dxa"/>
              <w:bottom w:w="0" w:type="dxa"/>
              <w:right w:w="20" w:type="dxa"/>
            </w:tcMar>
            <w:vAlign w:val="center"/>
            <w:hideMark/>
          </w:tcPr>
          <w:p w14:paraId="04F4C86A"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3DB9475A" w14:textId="77777777" w:rsidR="00000000" w:rsidRDefault="00EE5306">
            <w:pPr>
              <w:spacing w:after="100"/>
              <w:rPr>
                <w:rFonts w:eastAsia="Times New Roman"/>
              </w:rPr>
            </w:pPr>
            <w:r>
              <w:rPr>
                <w:rFonts w:eastAsia="Times New Roman"/>
                <w:color w:val="000000"/>
                <w:sz w:val="20"/>
                <w:szCs w:val="20"/>
              </w:rPr>
              <w:t>Chief Commercial Officer and Director</w:t>
            </w:r>
          </w:p>
        </w:tc>
        <w:tc>
          <w:tcPr>
            <w:tcW w:w="0" w:type="auto"/>
            <w:gridSpan w:val="3"/>
            <w:tcMar>
              <w:top w:w="0" w:type="dxa"/>
              <w:left w:w="20" w:type="dxa"/>
              <w:bottom w:w="0" w:type="dxa"/>
              <w:right w:w="20" w:type="dxa"/>
            </w:tcMar>
            <w:vAlign w:val="center"/>
            <w:hideMark/>
          </w:tcPr>
          <w:p w14:paraId="07F30E0F"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126EF812"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16F88873" w14:textId="77777777">
        <w:trPr>
          <w:divId w:val="2006546064"/>
          <w:trHeight w:val="300"/>
        </w:trPr>
        <w:tc>
          <w:tcPr>
            <w:tcW w:w="0" w:type="auto"/>
            <w:gridSpan w:val="3"/>
            <w:tcBorders>
              <w:top w:val="single" w:sz="8" w:space="0" w:color="000000"/>
            </w:tcBorders>
            <w:tcMar>
              <w:top w:w="30" w:type="dxa"/>
              <w:left w:w="20" w:type="dxa"/>
              <w:bottom w:w="30" w:type="dxa"/>
              <w:right w:w="20" w:type="dxa"/>
            </w:tcMar>
            <w:vAlign w:val="bottom"/>
            <w:hideMark/>
          </w:tcPr>
          <w:p w14:paraId="2689768F" w14:textId="77777777" w:rsidR="00000000" w:rsidRDefault="00EE5306">
            <w:pPr>
              <w:spacing w:after="100"/>
              <w:jc w:val="center"/>
              <w:rPr>
                <w:rFonts w:eastAsia="Times New Roman"/>
              </w:rPr>
            </w:pPr>
            <w:r>
              <w:rPr>
                <w:rFonts w:eastAsia="Times New Roman"/>
                <w:color w:val="000000"/>
                <w:sz w:val="20"/>
                <w:szCs w:val="20"/>
              </w:rPr>
              <w:t>Andrew Howard Smith</w:t>
            </w:r>
          </w:p>
        </w:tc>
        <w:tc>
          <w:tcPr>
            <w:tcW w:w="0" w:type="auto"/>
            <w:gridSpan w:val="3"/>
            <w:tcMar>
              <w:top w:w="0" w:type="dxa"/>
              <w:left w:w="20" w:type="dxa"/>
              <w:bottom w:w="0" w:type="dxa"/>
              <w:right w:w="20" w:type="dxa"/>
            </w:tcMar>
            <w:vAlign w:val="center"/>
            <w:hideMark/>
          </w:tcPr>
          <w:p w14:paraId="0296129C" w14:textId="77777777" w:rsidR="00000000" w:rsidRDefault="00EE5306">
            <w:pPr>
              <w:spacing w:after="100"/>
              <w:jc w:val="center"/>
              <w:rPr>
                <w:rFonts w:eastAsia="Times New Roman"/>
              </w:rPr>
            </w:pPr>
          </w:p>
        </w:tc>
        <w:tc>
          <w:tcPr>
            <w:tcW w:w="0" w:type="auto"/>
            <w:gridSpan w:val="3"/>
            <w:vMerge/>
            <w:vAlign w:val="center"/>
            <w:hideMark/>
          </w:tcPr>
          <w:p w14:paraId="5254A929"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14EA7679" w14:textId="77777777" w:rsidR="00000000" w:rsidRDefault="00EE5306">
            <w:pPr>
              <w:spacing w:after="100"/>
              <w:rPr>
                <w:rFonts w:eastAsia="Times New Roman"/>
                <w:sz w:val="20"/>
                <w:szCs w:val="20"/>
              </w:rPr>
            </w:pPr>
          </w:p>
        </w:tc>
        <w:tc>
          <w:tcPr>
            <w:tcW w:w="0" w:type="auto"/>
            <w:gridSpan w:val="3"/>
            <w:vMerge/>
            <w:vAlign w:val="center"/>
            <w:hideMark/>
          </w:tcPr>
          <w:p w14:paraId="01CFABA5" w14:textId="77777777" w:rsidR="00000000" w:rsidRDefault="00EE5306">
            <w:pPr>
              <w:spacing w:after="100"/>
              <w:rPr>
                <w:rFonts w:eastAsia="Times New Roman"/>
              </w:rPr>
            </w:pPr>
          </w:p>
        </w:tc>
      </w:tr>
      <w:tr w:rsidR="00000000" w14:paraId="0B5D2CCB" w14:textId="77777777">
        <w:trPr>
          <w:divId w:val="2006546064"/>
          <w:trHeight w:val="300"/>
        </w:trPr>
        <w:tc>
          <w:tcPr>
            <w:tcW w:w="0" w:type="auto"/>
            <w:gridSpan w:val="3"/>
            <w:tcMar>
              <w:top w:w="0" w:type="dxa"/>
              <w:left w:w="20" w:type="dxa"/>
              <w:bottom w:w="0" w:type="dxa"/>
              <w:right w:w="20" w:type="dxa"/>
            </w:tcMar>
            <w:vAlign w:val="center"/>
            <w:hideMark/>
          </w:tcPr>
          <w:p w14:paraId="57975D66"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E6F6A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926F3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C264EF"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A6DC46" w14:textId="77777777" w:rsidR="00000000" w:rsidRDefault="00EE5306">
            <w:pPr>
              <w:spacing w:after="100"/>
              <w:rPr>
                <w:rFonts w:eastAsia="Times New Roman"/>
                <w:sz w:val="20"/>
                <w:szCs w:val="20"/>
              </w:rPr>
            </w:pPr>
          </w:p>
        </w:tc>
      </w:tr>
      <w:tr w:rsidR="00000000" w14:paraId="411E7BA6" w14:textId="77777777">
        <w:trPr>
          <w:divId w:val="2006546064"/>
          <w:trHeight w:val="300"/>
        </w:trPr>
        <w:tc>
          <w:tcPr>
            <w:tcW w:w="0" w:type="auto"/>
            <w:gridSpan w:val="3"/>
            <w:tcMar>
              <w:top w:w="30" w:type="dxa"/>
              <w:left w:w="20" w:type="dxa"/>
              <w:bottom w:w="30" w:type="dxa"/>
              <w:right w:w="20" w:type="dxa"/>
            </w:tcMar>
            <w:vAlign w:val="bottom"/>
            <w:hideMark/>
          </w:tcPr>
          <w:p w14:paraId="108C268A"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ANGELA AHRENDTS</w:t>
            </w:r>
          </w:p>
        </w:tc>
        <w:tc>
          <w:tcPr>
            <w:tcW w:w="0" w:type="auto"/>
            <w:gridSpan w:val="3"/>
            <w:tcMar>
              <w:top w:w="0" w:type="dxa"/>
              <w:left w:w="20" w:type="dxa"/>
              <w:bottom w:w="0" w:type="dxa"/>
              <w:right w:w="20" w:type="dxa"/>
            </w:tcMar>
            <w:vAlign w:val="center"/>
            <w:hideMark/>
          </w:tcPr>
          <w:p w14:paraId="6BAF37D9"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3BFE771E" w14:textId="77777777" w:rsidR="00000000" w:rsidRDefault="00EE5306">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14:paraId="2C2C9A55"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46297FF4"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4EEBF847" w14:textId="77777777">
        <w:trPr>
          <w:divId w:val="2006546064"/>
          <w:trHeight w:val="300"/>
        </w:trPr>
        <w:tc>
          <w:tcPr>
            <w:tcW w:w="0" w:type="auto"/>
            <w:gridSpan w:val="3"/>
            <w:tcBorders>
              <w:top w:val="single" w:sz="8" w:space="0" w:color="000000"/>
            </w:tcBorders>
            <w:tcMar>
              <w:top w:w="30" w:type="dxa"/>
              <w:left w:w="20" w:type="dxa"/>
              <w:bottom w:w="30" w:type="dxa"/>
              <w:right w:w="20" w:type="dxa"/>
            </w:tcMar>
            <w:vAlign w:val="bottom"/>
            <w:hideMark/>
          </w:tcPr>
          <w:p w14:paraId="497A5822" w14:textId="77777777" w:rsidR="00000000" w:rsidRDefault="00EE5306">
            <w:pPr>
              <w:spacing w:after="100"/>
              <w:jc w:val="center"/>
              <w:rPr>
                <w:rFonts w:eastAsia="Times New Roman"/>
              </w:rPr>
            </w:pPr>
            <w:r>
              <w:rPr>
                <w:rFonts w:eastAsia="Times New Roman"/>
                <w:color w:val="000000"/>
                <w:sz w:val="20"/>
                <w:szCs w:val="20"/>
              </w:rPr>
              <w:t>Angela Ahrendts</w:t>
            </w:r>
          </w:p>
        </w:tc>
        <w:tc>
          <w:tcPr>
            <w:tcW w:w="0" w:type="auto"/>
            <w:gridSpan w:val="3"/>
            <w:tcMar>
              <w:top w:w="0" w:type="dxa"/>
              <w:left w:w="20" w:type="dxa"/>
              <w:bottom w:w="0" w:type="dxa"/>
              <w:right w:w="20" w:type="dxa"/>
            </w:tcMar>
            <w:vAlign w:val="center"/>
            <w:hideMark/>
          </w:tcPr>
          <w:p w14:paraId="7593FF78" w14:textId="77777777" w:rsidR="00000000" w:rsidRDefault="00EE5306">
            <w:pPr>
              <w:spacing w:after="100"/>
              <w:jc w:val="center"/>
              <w:rPr>
                <w:rFonts w:eastAsia="Times New Roman"/>
              </w:rPr>
            </w:pPr>
          </w:p>
        </w:tc>
        <w:tc>
          <w:tcPr>
            <w:tcW w:w="0" w:type="auto"/>
            <w:gridSpan w:val="3"/>
            <w:vMerge/>
            <w:vAlign w:val="center"/>
            <w:hideMark/>
          </w:tcPr>
          <w:p w14:paraId="49BC86BE" w14:textId="77777777" w:rsidR="00000000" w:rsidRDefault="00EE5306">
            <w:pPr>
              <w:spacing w:after="100"/>
              <w:rPr>
                <w:rFonts w:eastAsia="Times New Roman"/>
              </w:rPr>
            </w:pPr>
          </w:p>
        </w:tc>
        <w:tc>
          <w:tcPr>
            <w:tcW w:w="0" w:type="auto"/>
            <w:gridSpan w:val="3"/>
            <w:vMerge/>
            <w:vAlign w:val="center"/>
            <w:hideMark/>
          </w:tcPr>
          <w:p w14:paraId="608A1371" w14:textId="77777777" w:rsidR="00000000" w:rsidRDefault="00EE5306">
            <w:pPr>
              <w:spacing w:after="100"/>
              <w:rPr>
                <w:rFonts w:eastAsia="Times New Roman"/>
              </w:rPr>
            </w:pPr>
          </w:p>
        </w:tc>
        <w:tc>
          <w:tcPr>
            <w:tcW w:w="0" w:type="auto"/>
            <w:gridSpan w:val="3"/>
            <w:vMerge/>
            <w:vAlign w:val="center"/>
            <w:hideMark/>
          </w:tcPr>
          <w:p w14:paraId="2C18CFE3" w14:textId="77777777" w:rsidR="00000000" w:rsidRDefault="00EE5306">
            <w:pPr>
              <w:spacing w:after="100"/>
              <w:rPr>
                <w:rFonts w:eastAsia="Times New Roman"/>
              </w:rPr>
            </w:pPr>
          </w:p>
        </w:tc>
      </w:tr>
      <w:tr w:rsidR="00000000" w14:paraId="3F664525" w14:textId="77777777">
        <w:trPr>
          <w:divId w:val="2006546064"/>
          <w:trHeight w:val="240"/>
        </w:trPr>
        <w:tc>
          <w:tcPr>
            <w:tcW w:w="0" w:type="auto"/>
            <w:gridSpan w:val="3"/>
            <w:tcMar>
              <w:top w:w="0" w:type="dxa"/>
              <w:left w:w="20" w:type="dxa"/>
              <w:bottom w:w="0" w:type="dxa"/>
              <w:right w:w="20" w:type="dxa"/>
            </w:tcMar>
            <w:vAlign w:val="center"/>
            <w:hideMark/>
          </w:tcPr>
          <w:p w14:paraId="4DA09A3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4891A3"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07DE66"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EBD423"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35F78A" w14:textId="77777777" w:rsidR="00000000" w:rsidRDefault="00EE5306">
            <w:pPr>
              <w:spacing w:after="100"/>
              <w:rPr>
                <w:rFonts w:eastAsia="Times New Roman"/>
                <w:sz w:val="20"/>
                <w:szCs w:val="20"/>
              </w:rPr>
            </w:pPr>
          </w:p>
        </w:tc>
      </w:tr>
      <w:tr w:rsidR="00000000" w14:paraId="0A3710EF" w14:textId="77777777">
        <w:trPr>
          <w:divId w:val="2006546064"/>
          <w:trHeight w:val="300"/>
        </w:trPr>
        <w:tc>
          <w:tcPr>
            <w:tcW w:w="0" w:type="auto"/>
            <w:gridSpan w:val="3"/>
            <w:tcMar>
              <w:top w:w="30" w:type="dxa"/>
              <w:left w:w="20" w:type="dxa"/>
              <w:bottom w:w="30" w:type="dxa"/>
              <w:right w:w="20" w:type="dxa"/>
            </w:tcMar>
            <w:vAlign w:val="bottom"/>
            <w:hideMark/>
          </w:tcPr>
          <w:p w14:paraId="51777861"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JOHN R. ALCHIN</w:t>
            </w:r>
          </w:p>
        </w:tc>
        <w:tc>
          <w:tcPr>
            <w:tcW w:w="0" w:type="auto"/>
            <w:gridSpan w:val="3"/>
            <w:tcMar>
              <w:top w:w="0" w:type="dxa"/>
              <w:left w:w="20" w:type="dxa"/>
              <w:bottom w:w="0" w:type="dxa"/>
              <w:right w:w="20" w:type="dxa"/>
            </w:tcMar>
            <w:vAlign w:val="center"/>
            <w:hideMark/>
          </w:tcPr>
          <w:p w14:paraId="6F51F634"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365F2858" w14:textId="77777777" w:rsidR="00000000" w:rsidRDefault="00EE5306">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14:paraId="7B9B90C1"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1A0D45AF"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5E16DEA4" w14:textId="77777777">
        <w:trPr>
          <w:divId w:val="2006546064"/>
          <w:trHeight w:val="300"/>
        </w:trPr>
        <w:tc>
          <w:tcPr>
            <w:tcW w:w="0" w:type="auto"/>
            <w:gridSpan w:val="3"/>
            <w:tcBorders>
              <w:top w:val="single" w:sz="8" w:space="0" w:color="000000"/>
            </w:tcBorders>
            <w:tcMar>
              <w:top w:w="30" w:type="dxa"/>
              <w:left w:w="20" w:type="dxa"/>
              <w:bottom w:w="30" w:type="dxa"/>
              <w:right w:w="20" w:type="dxa"/>
            </w:tcMar>
            <w:vAlign w:val="bottom"/>
            <w:hideMark/>
          </w:tcPr>
          <w:p w14:paraId="7D9169CD" w14:textId="77777777" w:rsidR="00000000" w:rsidRDefault="00EE5306">
            <w:pPr>
              <w:spacing w:after="100"/>
              <w:jc w:val="center"/>
              <w:rPr>
                <w:rFonts w:eastAsia="Times New Roman"/>
              </w:rPr>
            </w:pPr>
            <w:r>
              <w:rPr>
                <w:rFonts w:eastAsia="Times New Roman"/>
                <w:color w:val="000000"/>
                <w:sz w:val="20"/>
                <w:szCs w:val="20"/>
              </w:rPr>
              <w:t>John R. Alchin</w:t>
            </w:r>
          </w:p>
        </w:tc>
        <w:tc>
          <w:tcPr>
            <w:tcW w:w="0" w:type="auto"/>
            <w:gridSpan w:val="3"/>
            <w:tcMar>
              <w:top w:w="0" w:type="dxa"/>
              <w:left w:w="20" w:type="dxa"/>
              <w:bottom w:w="0" w:type="dxa"/>
              <w:right w:w="20" w:type="dxa"/>
            </w:tcMar>
            <w:vAlign w:val="center"/>
            <w:hideMark/>
          </w:tcPr>
          <w:p w14:paraId="4E94DA87" w14:textId="77777777" w:rsidR="00000000" w:rsidRDefault="00EE5306">
            <w:pPr>
              <w:spacing w:after="100"/>
              <w:jc w:val="center"/>
              <w:rPr>
                <w:rFonts w:eastAsia="Times New Roman"/>
              </w:rPr>
            </w:pPr>
          </w:p>
        </w:tc>
        <w:tc>
          <w:tcPr>
            <w:tcW w:w="0" w:type="auto"/>
            <w:gridSpan w:val="3"/>
            <w:vMerge/>
            <w:vAlign w:val="center"/>
            <w:hideMark/>
          </w:tcPr>
          <w:p w14:paraId="3F904D07" w14:textId="77777777" w:rsidR="00000000" w:rsidRDefault="00EE5306">
            <w:pPr>
              <w:spacing w:after="100"/>
              <w:rPr>
                <w:rFonts w:eastAsia="Times New Roman"/>
              </w:rPr>
            </w:pPr>
          </w:p>
        </w:tc>
        <w:tc>
          <w:tcPr>
            <w:tcW w:w="0" w:type="auto"/>
            <w:gridSpan w:val="3"/>
            <w:vMerge/>
            <w:vAlign w:val="center"/>
            <w:hideMark/>
          </w:tcPr>
          <w:p w14:paraId="1DE7D32C" w14:textId="77777777" w:rsidR="00000000" w:rsidRDefault="00EE5306">
            <w:pPr>
              <w:spacing w:after="100"/>
              <w:rPr>
                <w:rFonts w:eastAsia="Times New Roman"/>
              </w:rPr>
            </w:pPr>
          </w:p>
        </w:tc>
        <w:tc>
          <w:tcPr>
            <w:tcW w:w="0" w:type="auto"/>
            <w:gridSpan w:val="3"/>
            <w:vMerge/>
            <w:vAlign w:val="center"/>
            <w:hideMark/>
          </w:tcPr>
          <w:p w14:paraId="619CF95A" w14:textId="77777777" w:rsidR="00000000" w:rsidRDefault="00EE5306">
            <w:pPr>
              <w:spacing w:after="100"/>
              <w:rPr>
                <w:rFonts w:eastAsia="Times New Roman"/>
              </w:rPr>
            </w:pPr>
          </w:p>
        </w:tc>
      </w:tr>
      <w:tr w:rsidR="00000000" w14:paraId="654A5FC0" w14:textId="77777777">
        <w:trPr>
          <w:divId w:val="2006546064"/>
          <w:trHeight w:val="240"/>
        </w:trPr>
        <w:tc>
          <w:tcPr>
            <w:tcW w:w="0" w:type="auto"/>
            <w:gridSpan w:val="3"/>
            <w:tcMar>
              <w:top w:w="0" w:type="dxa"/>
              <w:left w:w="20" w:type="dxa"/>
              <w:bottom w:w="0" w:type="dxa"/>
              <w:right w:w="20" w:type="dxa"/>
            </w:tcMar>
            <w:vAlign w:val="center"/>
            <w:hideMark/>
          </w:tcPr>
          <w:p w14:paraId="2E681777"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58FA8F"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9120FB"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AB1FA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E9A420" w14:textId="77777777" w:rsidR="00000000" w:rsidRDefault="00EE5306">
            <w:pPr>
              <w:spacing w:after="100"/>
              <w:rPr>
                <w:rFonts w:eastAsia="Times New Roman"/>
                <w:sz w:val="20"/>
                <w:szCs w:val="20"/>
              </w:rPr>
            </w:pPr>
          </w:p>
        </w:tc>
      </w:tr>
      <w:tr w:rsidR="00000000" w14:paraId="41AD73E8" w14:textId="77777777">
        <w:trPr>
          <w:divId w:val="2006546064"/>
          <w:trHeight w:val="300"/>
        </w:trPr>
        <w:tc>
          <w:tcPr>
            <w:tcW w:w="0" w:type="auto"/>
            <w:gridSpan w:val="3"/>
            <w:tcMar>
              <w:top w:w="30" w:type="dxa"/>
              <w:left w:w="20" w:type="dxa"/>
              <w:bottom w:w="30" w:type="dxa"/>
              <w:right w:w="20" w:type="dxa"/>
            </w:tcMar>
            <w:vAlign w:val="bottom"/>
            <w:hideMark/>
          </w:tcPr>
          <w:p w14:paraId="714839F7"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FRANK A. BENNACK, JR.</w:t>
            </w:r>
          </w:p>
        </w:tc>
        <w:tc>
          <w:tcPr>
            <w:tcW w:w="0" w:type="auto"/>
            <w:gridSpan w:val="3"/>
            <w:tcMar>
              <w:top w:w="0" w:type="dxa"/>
              <w:left w:w="20" w:type="dxa"/>
              <w:bottom w:w="0" w:type="dxa"/>
              <w:right w:w="20" w:type="dxa"/>
            </w:tcMar>
            <w:vAlign w:val="center"/>
            <w:hideMark/>
          </w:tcPr>
          <w:p w14:paraId="7AE4A42D"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307B3E78" w14:textId="77777777" w:rsidR="00000000" w:rsidRDefault="00EE5306">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14:paraId="03185FA2"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59197BC1"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3D53D814" w14:textId="77777777">
        <w:trPr>
          <w:divId w:val="2006546064"/>
          <w:trHeight w:val="300"/>
        </w:trPr>
        <w:tc>
          <w:tcPr>
            <w:tcW w:w="0" w:type="auto"/>
            <w:gridSpan w:val="3"/>
            <w:tcBorders>
              <w:top w:val="single" w:sz="8" w:space="0" w:color="000000"/>
            </w:tcBorders>
            <w:tcMar>
              <w:top w:w="30" w:type="dxa"/>
              <w:left w:w="20" w:type="dxa"/>
              <w:bottom w:w="30" w:type="dxa"/>
              <w:right w:w="20" w:type="dxa"/>
            </w:tcMar>
            <w:vAlign w:val="bottom"/>
            <w:hideMark/>
          </w:tcPr>
          <w:p w14:paraId="36445F20" w14:textId="77777777" w:rsidR="00000000" w:rsidRDefault="00EE5306">
            <w:pPr>
              <w:spacing w:after="100"/>
              <w:jc w:val="center"/>
              <w:rPr>
                <w:rFonts w:eastAsia="Times New Roman"/>
              </w:rPr>
            </w:pPr>
            <w:r>
              <w:rPr>
                <w:rFonts w:eastAsia="Times New Roman"/>
                <w:color w:val="000000"/>
                <w:sz w:val="20"/>
                <w:szCs w:val="20"/>
              </w:rPr>
              <w:t>Frank A. Bennack, Jr.</w:t>
            </w:r>
          </w:p>
        </w:tc>
        <w:tc>
          <w:tcPr>
            <w:tcW w:w="0" w:type="auto"/>
            <w:gridSpan w:val="3"/>
            <w:tcMar>
              <w:top w:w="0" w:type="dxa"/>
              <w:left w:w="20" w:type="dxa"/>
              <w:bottom w:w="0" w:type="dxa"/>
              <w:right w:w="20" w:type="dxa"/>
            </w:tcMar>
            <w:vAlign w:val="center"/>
            <w:hideMark/>
          </w:tcPr>
          <w:p w14:paraId="78023247" w14:textId="77777777" w:rsidR="00000000" w:rsidRDefault="00EE5306">
            <w:pPr>
              <w:spacing w:after="100"/>
              <w:jc w:val="center"/>
              <w:rPr>
                <w:rFonts w:eastAsia="Times New Roman"/>
              </w:rPr>
            </w:pPr>
          </w:p>
        </w:tc>
        <w:tc>
          <w:tcPr>
            <w:tcW w:w="0" w:type="auto"/>
            <w:gridSpan w:val="3"/>
            <w:vMerge/>
            <w:vAlign w:val="center"/>
            <w:hideMark/>
          </w:tcPr>
          <w:p w14:paraId="074FBDF7" w14:textId="77777777" w:rsidR="00000000" w:rsidRDefault="00EE5306">
            <w:pPr>
              <w:spacing w:after="100"/>
              <w:rPr>
                <w:rFonts w:eastAsia="Times New Roman"/>
              </w:rPr>
            </w:pPr>
          </w:p>
        </w:tc>
        <w:tc>
          <w:tcPr>
            <w:tcW w:w="0" w:type="auto"/>
            <w:gridSpan w:val="3"/>
            <w:vMerge/>
            <w:vAlign w:val="center"/>
            <w:hideMark/>
          </w:tcPr>
          <w:p w14:paraId="19375D10" w14:textId="77777777" w:rsidR="00000000" w:rsidRDefault="00EE5306">
            <w:pPr>
              <w:spacing w:after="100"/>
              <w:rPr>
                <w:rFonts w:eastAsia="Times New Roman"/>
              </w:rPr>
            </w:pPr>
          </w:p>
        </w:tc>
        <w:tc>
          <w:tcPr>
            <w:tcW w:w="0" w:type="auto"/>
            <w:gridSpan w:val="3"/>
            <w:vMerge/>
            <w:vAlign w:val="center"/>
            <w:hideMark/>
          </w:tcPr>
          <w:p w14:paraId="7BF9E85B" w14:textId="77777777" w:rsidR="00000000" w:rsidRDefault="00EE5306">
            <w:pPr>
              <w:spacing w:after="100"/>
              <w:rPr>
                <w:rFonts w:eastAsia="Times New Roman"/>
              </w:rPr>
            </w:pPr>
          </w:p>
        </w:tc>
      </w:tr>
      <w:tr w:rsidR="00000000" w14:paraId="2B58595E" w14:textId="77777777">
        <w:trPr>
          <w:divId w:val="2006546064"/>
          <w:trHeight w:val="240"/>
        </w:trPr>
        <w:tc>
          <w:tcPr>
            <w:tcW w:w="0" w:type="auto"/>
            <w:gridSpan w:val="3"/>
            <w:tcMar>
              <w:top w:w="0" w:type="dxa"/>
              <w:left w:w="20" w:type="dxa"/>
              <w:bottom w:w="0" w:type="dxa"/>
              <w:right w:w="20" w:type="dxa"/>
            </w:tcMar>
            <w:vAlign w:val="center"/>
            <w:hideMark/>
          </w:tcPr>
          <w:p w14:paraId="54955C31"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FEB758"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CC61E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D4472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B9F0D1" w14:textId="77777777" w:rsidR="00000000" w:rsidRDefault="00EE5306">
            <w:pPr>
              <w:spacing w:after="100"/>
              <w:rPr>
                <w:rFonts w:eastAsia="Times New Roman"/>
                <w:sz w:val="20"/>
                <w:szCs w:val="20"/>
              </w:rPr>
            </w:pPr>
          </w:p>
        </w:tc>
      </w:tr>
      <w:tr w:rsidR="00000000" w14:paraId="2F8B89B9" w14:textId="77777777">
        <w:trPr>
          <w:divId w:val="2006546064"/>
          <w:trHeight w:val="300"/>
        </w:trPr>
        <w:tc>
          <w:tcPr>
            <w:tcW w:w="0" w:type="auto"/>
            <w:gridSpan w:val="3"/>
            <w:tcMar>
              <w:top w:w="30" w:type="dxa"/>
              <w:left w:w="20" w:type="dxa"/>
              <w:bottom w:w="30" w:type="dxa"/>
              <w:right w:w="20" w:type="dxa"/>
            </w:tcMar>
            <w:vAlign w:val="bottom"/>
            <w:hideMark/>
          </w:tcPr>
          <w:p w14:paraId="77694403"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JOEL L. FLEISHMAN</w:t>
            </w:r>
          </w:p>
        </w:tc>
        <w:tc>
          <w:tcPr>
            <w:tcW w:w="0" w:type="auto"/>
            <w:gridSpan w:val="3"/>
            <w:tcMar>
              <w:top w:w="0" w:type="dxa"/>
              <w:left w:w="20" w:type="dxa"/>
              <w:bottom w:w="0" w:type="dxa"/>
              <w:right w:w="20" w:type="dxa"/>
            </w:tcMar>
            <w:vAlign w:val="center"/>
            <w:hideMark/>
          </w:tcPr>
          <w:p w14:paraId="1C631144"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1F9A2004" w14:textId="77777777" w:rsidR="00000000" w:rsidRDefault="00EE5306">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14:paraId="76CB09C6"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6642E657"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2B1AEE6D" w14:textId="77777777">
        <w:trPr>
          <w:divId w:val="2006546064"/>
          <w:trHeight w:val="300"/>
        </w:trPr>
        <w:tc>
          <w:tcPr>
            <w:tcW w:w="0" w:type="auto"/>
            <w:gridSpan w:val="3"/>
            <w:tcBorders>
              <w:top w:val="single" w:sz="8" w:space="0" w:color="000000"/>
            </w:tcBorders>
            <w:tcMar>
              <w:top w:w="30" w:type="dxa"/>
              <w:left w:w="20" w:type="dxa"/>
              <w:bottom w:w="30" w:type="dxa"/>
              <w:right w:w="20" w:type="dxa"/>
            </w:tcMar>
            <w:vAlign w:val="bottom"/>
            <w:hideMark/>
          </w:tcPr>
          <w:p w14:paraId="172F4A30" w14:textId="77777777" w:rsidR="00000000" w:rsidRDefault="00EE5306">
            <w:pPr>
              <w:spacing w:after="100"/>
              <w:jc w:val="center"/>
              <w:divId w:val="400367322"/>
              <w:rPr>
                <w:rFonts w:eastAsia="Times New Roman"/>
              </w:rPr>
            </w:pPr>
            <w:r>
              <w:rPr>
                <w:rFonts w:eastAsia="Times New Roman"/>
                <w:color w:val="000000"/>
                <w:sz w:val="20"/>
                <w:szCs w:val="20"/>
              </w:rPr>
              <w:t>Joel L. Fleishman</w:t>
            </w:r>
          </w:p>
        </w:tc>
        <w:tc>
          <w:tcPr>
            <w:tcW w:w="0" w:type="auto"/>
            <w:gridSpan w:val="3"/>
            <w:tcMar>
              <w:top w:w="0" w:type="dxa"/>
              <w:left w:w="20" w:type="dxa"/>
              <w:bottom w:w="0" w:type="dxa"/>
              <w:right w:w="20" w:type="dxa"/>
            </w:tcMar>
            <w:vAlign w:val="center"/>
            <w:hideMark/>
          </w:tcPr>
          <w:p w14:paraId="0C3DCDF6" w14:textId="77777777" w:rsidR="00000000" w:rsidRDefault="00EE5306">
            <w:pPr>
              <w:spacing w:after="100"/>
              <w:jc w:val="center"/>
              <w:rPr>
                <w:rFonts w:eastAsia="Times New Roman"/>
              </w:rPr>
            </w:pPr>
          </w:p>
        </w:tc>
        <w:tc>
          <w:tcPr>
            <w:tcW w:w="0" w:type="auto"/>
            <w:gridSpan w:val="3"/>
            <w:vMerge/>
            <w:vAlign w:val="center"/>
            <w:hideMark/>
          </w:tcPr>
          <w:p w14:paraId="3A130486" w14:textId="77777777" w:rsidR="00000000" w:rsidRDefault="00EE5306">
            <w:pPr>
              <w:spacing w:after="100"/>
              <w:rPr>
                <w:rFonts w:eastAsia="Times New Roman"/>
              </w:rPr>
            </w:pPr>
          </w:p>
        </w:tc>
        <w:tc>
          <w:tcPr>
            <w:tcW w:w="0" w:type="auto"/>
            <w:gridSpan w:val="3"/>
            <w:vMerge/>
            <w:vAlign w:val="center"/>
            <w:hideMark/>
          </w:tcPr>
          <w:p w14:paraId="06A15E54" w14:textId="77777777" w:rsidR="00000000" w:rsidRDefault="00EE5306">
            <w:pPr>
              <w:spacing w:after="100"/>
              <w:rPr>
                <w:rFonts w:eastAsia="Times New Roman"/>
              </w:rPr>
            </w:pPr>
          </w:p>
        </w:tc>
        <w:tc>
          <w:tcPr>
            <w:tcW w:w="0" w:type="auto"/>
            <w:gridSpan w:val="3"/>
            <w:vMerge/>
            <w:vAlign w:val="center"/>
            <w:hideMark/>
          </w:tcPr>
          <w:p w14:paraId="77AC613A" w14:textId="77777777" w:rsidR="00000000" w:rsidRDefault="00EE5306">
            <w:pPr>
              <w:spacing w:after="100"/>
              <w:rPr>
                <w:rFonts w:eastAsia="Times New Roman"/>
              </w:rPr>
            </w:pPr>
          </w:p>
        </w:tc>
      </w:tr>
      <w:tr w:rsidR="00000000" w14:paraId="13FAF04D" w14:textId="77777777">
        <w:trPr>
          <w:divId w:val="2006546064"/>
          <w:trHeight w:val="300"/>
        </w:trPr>
        <w:tc>
          <w:tcPr>
            <w:tcW w:w="0" w:type="auto"/>
            <w:gridSpan w:val="3"/>
            <w:tcMar>
              <w:top w:w="0" w:type="dxa"/>
              <w:left w:w="20" w:type="dxa"/>
              <w:bottom w:w="0" w:type="dxa"/>
              <w:right w:w="20" w:type="dxa"/>
            </w:tcMar>
            <w:vAlign w:val="center"/>
            <w:hideMark/>
          </w:tcPr>
          <w:p w14:paraId="433984EB"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AD037D"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6B9D43"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7CFECA"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4750FD" w14:textId="77777777" w:rsidR="00000000" w:rsidRDefault="00EE5306">
            <w:pPr>
              <w:spacing w:after="100"/>
              <w:rPr>
                <w:rFonts w:eastAsia="Times New Roman"/>
                <w:sz w:val="20"/>
                <w:szCs w:val="20"/>
              </w:rPr>
            </w:pPr>
          </w:p>
        </w:tc>
      </w:tr>
      <w:tr w:rsidR="00000000" w14:paraId="1BFFB0D9" w14:textId="77777777">
        <w:trPr>
          <w:divId w:val="2006546064"/>
          <w:trHeight w:val="300"/>
        </w:trPr>
        <w:tc>
          <w:tcPr>
            <w:tcW w:w="0" w:type="auto"/>
            <w:gridSpan w:val="3"/>
            <w:tcMar>
              <w:top w:w="30" w:type="dxa"/>
              <w:left w:w="20" w:type="dxa"/>
              <w:bottom w:w="30" w:type="dxa"/>
              <w:right w:w="20" w:type="dxa"/>
            </w:tcMar>
            <w:vAlign w:val="bottom"/>
            <w:hideMark/>
          </w:tcPr>
          <w:p w14:paraId="1CE16D27" w14:textId="77777777" w:rsidR="00000000" w:rsidRDefault="00EE5306">
            <w:pPr>
              <w:spacing w:after="100"/>
              <w:jc w:val="center"/>
              <w:rPr>
                <w:rFonts w:eastAsia="Times New Roman"/>
              </w:rPr>
            </w:pPr>
            <w:r>
              <w:rPr>
                <w:rFonts w:eastAsia="Times New Roman"/>
                <w:color w:val="000000"/>
                <w:sz w:val="20"/>
                <w:szCs w:val="20"/>
              </w:rPr>
              <w:t>/s/    </w:t>
            </w:r>
            <w:r>
              <w:rPr>
                <w:rFonts w:eastAsia="Times New Roman"/>
                <w:color w:val="000000"/>
                <w:sz w:val="20"/>
                <w:szCs w:val="20"/>
              </w:rPr>
              <w:t>MICHAEL A. GEORGE</w:t>
            </w:r>
          </w:p>
        </w:tc>
        <w:tc>
          <w:tcPr>
            <w:tcW w:w="0" w:type="auto"/>
            <w:gridSpan w:val="3"/>
            <w:tcMar>
              <w:top w:w="0" w:type="dxa"/>
              <w:left w:w="20" w:type="dxa"/>
              <w:bottom w:w="0" w:type="dxa"/>
              <w:right w:w="20" w:type="dxa"/>
            </w:tcMar>
            <w:vAlign w:val="center"/>
            <w:hideMark/>
          </w:tcPr>
          <w:p w14:paraId="0F2526F8"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1F54BB9B" w14:textId="77777777" w:rsidR="00000000" w:rsidRDefault="00EE530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10ADF60A"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7CC4911B"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59A43E97" w14:textId="77777777">
        <w:trPr>
          <w:divId w:val="2006546064"/>
          <w:trHeight w:val="300"/>
        </w:trPr>
        <w:tc>
          <w:tcPr>
            <w:tcW w:w="0" w:type="auto"/>
            <w:gridSpan w:val="3"/>
            <w:tcBorders>
              <w:top w:val="single" w:sz="8" w:space="0" w:color="000000"/>
            </w:tcBorders>
            <w:tcMar>
              <w:top w:w="30" w:type="dxa"/>
              <w:left w:w="20" w:type="dxa"/>
              <w:bottom w:w="30" w:type="dxa"/>
              <w:right w:w="20" w:type="dxa"/>
            </w:tcMar>
            <w:vAlign w:val="bottom"/>
            <w:hideMark/>
          </w:tcPr>
          <w:p w14:paraId="3B302802" w14:textId="77777777" w:rsidR="00000000" w:rsidRDefault="00EE5306">
            <w:pPr>
              <w:spacing w:after="100"/>
              <w:jc w:val="center"/>
              <w:rPr>
                <w:rFonts w:eastAsia="Times New Roman"/>
              </w:rPr>
            </w:pPr>
            <w:r>
              <w:rPr>
                <w:rFonts w:eastAsia="Times New Roman"/>
                <w:color w:val="000000"/>
                <w:sz w:val="20"/>
                <w:szCs w:val="20"/>
              </w:rPr>
              <w:t>Michael A. George</w:t>
            </w:r>
          </w:p>
        </w:tc>
        <w:tc>
          <w:tcPr>
            <w:tcW w:w="0" w:type="auto"/>
            <w:gridSpan w:val="3"/>
            <w:tcMar>
              <w:top w:w="0" w:type="dxa"/>
              <w:left w:w="20" w:type="dxa"/>
              <w:bottom w:w="0" w:type="dxa"/>
              <w:right w:w="20" w:type="dxa"/>
            </w:tcMar>
            <w:vAlign w:val="center"/>
            <w:hideMark/>
          </w:tcPr>
          <w:p w14:paraId="417BB0E3" w14:textId="77777777" w:rsidR="00000000" w:rsidRDefault="00EE5306">
            <w:pPr>
              <w:spacing w:after="100"/>
              <w:jc w:val="center"/>
              <w:rPr>
                <w:rFonts w:eastAsia="Times New Roman"/>
              </w:rPr>
            </w:pPr>
          </w:p>
        </w:tc>
        <w:tc>
          <w:tcPr>
            <w:tcW w:w="0" w:type="auto"/>
            <w:gridSpan w:val="3"/>
            <w:vMerge/>
            <w:vAlign w:val="center"/>
            <w:hideMark/>
          </w:tcPr>
          <w:p w14:paraId="413DDE57"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7D877C54" w14:textId="77777777" w:rsidR="00000000" w:rsidRDefault="00EE5306">
            <w:pPr>
              <w:spacing w:after="100"/>
              <w:rPr>
                <w:rFonts w:eastAsia="Times New Roman"/>
                <w:sz w:val="20"/>
                <w:szCs w:val="20"/>
              </w:rPr>
            </w:pPr>
          </w:p>
        </w:tc>
        <w:tc>
          <w:tcPr>
            <w:tcW w:w="0" w:type="auto"/>
            <w:gridSpan w:val="3"/>
            <w:vMerge/>
            <w:vAlign w:val="center"/>
            <w:hideMark/>
          </w:tcPr>
          <w:p w14:paraId="51B9A2B8" w14:textId="77777777" w:rsidR="00000000" w:rsidRDefault="00EE5306">
            <w:pPr>
              <w:spacing w:after="100"/>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6659BC43" w14:textId="77777777">
        <w:trPr>
          <w:jc w:val="center"/>
        </w:trPr>
        <w:tc>
          <w:tcPr>
            <w:tcW w:w="50" w:type="pct"/>
            <w:vAlign w:val="center"/>
            <w:hideMark/>
          </w:tcPr>
          <w:p w14:paraId="0D020737" w14:textId="77777777" w:rsidR="00000000" w:rsidRDefault="00EE5306">
            <w:pPr>
              <w:rPr>
                <w:rFonts w:eastAsia="Times New Roman"/>
              </w:rPr>
            </w:pPr>
          </w:p>
        </w:tc>
        <w:tc>
          <w:tcPr>
            <w:tcW w:w="1699" w:type="pct"/>
            <w:vAlign w:val="center"/>
            <w:hideMark/>
          </w:tcPr>
          <w:p w14:paraId="21DB9316" w14:textId="77777777" w:rsidR="00000000" w:rsidRDefault="00EE5306">
            <w:pPr>
              <w:spacing w:after="100"/>
              <w:rPr>
                <w:rFonts w:eastAsia="Times New Roman"/>
                <w:sz w:val="20"/>
                <w:szCs w:val="20"/>
              </w:rPr>
            </w:pPr>
          </w:p>
        </w:tc>
        <w:tc>
          <w:tcPr>
            <w:tcW w:w="5" w:type="pct"/>
            <w:vAlign w:val="center"/>
            <w:hideMark/>
          </w:tcPr>
          <w:p w14:paraId="7FA67F1E" w14:textId="77777777" w:rsidR="00000000" w:rsidRDefault="00EE5306">
            <w:pPr>
              <w:spacing w:after="100"/>
              <w:rPr>
                <w:rFonts w:eastAsia="Times New Roman"/>
                <w:sz w:val="20"/>
                <w:szCs w:val="20"/>
              </w:rPr>
            </w:pPr>
          </w:p>
        </w:tc>
        <w:tc>
          <w:tcPr>
            <w:tcW w:w="50" w:type="pct"/>
            <w:vAlign w:val="center"/>
            <w:hideMark/>
          </w:tcPr>
          <w:p w14:paraId="316790B8" w14:textId="77777777" w:rsidR="00000000" w:rsidRDefault="00EE5306">
            <w:pPr>
              <w:spacing w:after="100"/>
              <w:rPr>
                <w:rFonts w:eastAsia="Times New Roman"/>
                <w:sz w:val="20"/>
                <w:szCs w:val="20"/>
              </w:rPr>
            </w:pPr>
          </w:p>
        </w:tc>
        <w:tc>
          <w:tcPr>
            <w:tcW w:w="1436" w:type="pct"/>
            <w:vAlign w:val="center"/>
            <w:hideMark/>
          </w:tcPr>
          <w:p w14:paraId="6D27AF31" w14:textId="77777777" w:rsidR="00000000" w:rsidRDefault="00EE5306">
            <w:pPr>
              <w:spacing w:after="100"/>
              <w:rPr>
                <w:rFonts w:eastAsia="Times New Roman"/>
                <w:sz w:val="20"/>
                <w:szCs w:val="20"/>
              </w:rPr>
            </w:pPr>
          </w:p>
        </w:tc>
        <w:tc>
          <w:tcPr>
            <w:tcW w:w="5" w:type="pct"/>
            <w:vAlign w:val="center"/>
            <w:hideMark/>
          </w:tcPr>
          <w:p w14:paraId="2678EE87" w14:textId="77777777" w:rsidR="00000000" w:rsidRDefault="00EE5306">
            <w:pPr>
              <w:spacing w:after="100"/>
              <w:rPr>
                <w:rFonts w:eastAsia="Times New Roman"/>
                <w:sz w:val="20"/>
                <w:szCs w:val="20"/>
              </w:rPr>
            </w:pPr>
          </w:p>
        </w:tc>
        <w:tc>
          <w:tcPr>
            <w:tcW w:w="50" w:type="pct"/>
            <w:vAlign w:val="center"/>
            <w:hideMark/>
          </w:tcPr>
          <w:p w14:paraId="0863711C" w14:textId="77777777" w:rsidR="00000000" w:rsidRDefault="00EE5306">
            <w:pPr>
              <w:spacing w:after="100"/>
              <w:rPr>
                <w:rFonts w:eastAsia="Times New Roman"/>
                <w:sz w:val="20"/>
                <w:szCs w:val="20"/>
              </w:rPr>
            </w:pPr>
          </w:p>
        </w:tc>
        <w:tc>
          <w:tcPr>
            <w:tcW w:w="1699" w:type="pct"/>
            <w:vAlign w:val="center"/>
            <w:hideMark/>
          </w:tcPr>
          <w:p w14:paraId="69F6FE42" w14:textId="77777777" w:rsidR="00000000" w:rsidRDefault="00EE5306">
            <w:pPr>
              <w:spacing w:after="100"/>
              <w:rPr>
                <w:rFonts w:eastAsia="Times New Roman"/>
                <w:sz w:val="20"/>
                <w:szCs w:val="20"/>
              </w:rPr>
            </w:pPr>
          </w:p>
        </w:tc>
        <w:tc>
          <w:tcPr>
            <w:tcW w:w="5" w:type="pct"/>
            <w:vAlign w:val="center"/>
            <w:hideMark/>
          </w:tcPr>
          <w:p w14:paraId="438527EE" w14:textId="77777777" w:rsidR="00000000" w:rsidRDefault="00EE5306">
            <w:pPr>
              <w:spacing w:after="100"/>
              <w:rPr>
                <w:rFonts w:eastAsia="Times New Roman"/>
                <w:sz w:val="20"/>
                <w:szCs w:val="20"/>
              </w:rPr>
            </w:pPr>
          </w:p>
        </w:tc>
      </w:tr>
      <w:tr w:rsidR="00000000" w14:paraId="07E5F267" w14:textId="77777777">
        <w:trPr>
          <w:jc w:val="center"/>
        </w:trPr>
        <w:tc>
          <w:tcPr>
            <w:tcW w:w="0" w:type="auto"/>
            <w:gridSpan w:val="3"/>
            <w:tcMar>
              <w:top w:w="0" w:type="dxa"/>
              <w:left w:w="20" w:type="dxa"/>
              <w:bottom w:w="0" w:type="dxa"/>
              <w:right w:w="20" w:type="dxa"/>
            </w:tcMar>
            <w:vAlign w:val="center"/>
            <w:hideMark/>
          </w:tcPr>
          <w:p w14:paraId="1B98384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9B3986B" w14:textId="77777777" w:rsidR="00000000" w:rsidRDefault="00EE5306">
            <w:pPr>
              <w:spacing w:after="100"/>
              <w:jc w:val="center"/>
              <w:rPr>
                <w:rFonts w:eastAsia="Times New Roman"/>
              </w:rPr>
            </w:pPr>
            <w:r>
              <w:rPr>
                <w:rFonts w:eastAsia="Times New Roman"/>
                <w:color w:val="000000"/>
                <w:sz w:val="20"/>
                <w:szCs w:val="20"/>
              </w:rPr>
              <w:t>82</w:t>
            </w:r>
          </w:p>
        </w:tc>
        <w:tc>
          <w:tcPr>
            <w:tcW w:w="0" w:type="auto"/>
            <w:gridSpan w:val="3"/>
            <w:tcMar>
              <w:top w:w="0" w:type="dxa"/>
              <w:left w:w="20" w:type="dxa"/>
              <w:bottom w:w="0" w:type="dxa"/>
              <w:right w:w="20" w:type="dxa"/>
            </w:tcMar>
            <w:vAlign w:val="center"/>
            <w:hideMark/>
          </w:tcPr>
          <w:p w14:paraId="39EB032F" w14:textId="77777777" w:rsidR="00000000" w:rsidRDefault="00EE5306">
            <w:pPr>
              <w:spacing w:after="100"/>
              <w:jc w:val="center"/>
              <w:rPr>
                <w:rFonts w:eastAsia="Times New Roman"/>
              </w:rPr>
            </w:pPr>
          </w:p>
        </w:tc>
      </w:tr>
    </w:tbl>
    <w:p w14:paraId="1B91021B" w14:textId="77777777" w:rsidR="00000000" w:rsidRDefault="00EE5306">
      <w:pPr>
        <w:rPr>
          <w:rFonts w:eastAsia="Times New Roman"/>
        </w:rPr>
      </w:pPr>
      <w:r>
        <w:rPr>
          <w:rFonts w:eastAsia="Times New Roman"/>
        </w:rPr>
        <w:pict w14:anchorId="0E83E62F">
          <v:rect id="_x0000_i1109" style="width:0;height:1.5pt" o:hralign="center" o:hrstd="t" o:hr="t" fillcolor="#a0a0a0" stroked="f"/>
        </w:pict>
      </w:r>
    </w:p>
    <w:p w14:paraId="250A917D" w14:textId="77777777" w:rsidR="00000000" w:rsidRDefault="00EE5306">
      <w:pPr>
        <w:divId w:val="2140607715"/>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714"/>
        <w:gridCol w:w="36"/>
        <w:gridCol w:w="36"/>
        <w:gridCol w:w="116"/>
        <w:gridCol w:w="36"/>
        <w:gridCol w:w="58"/>
        <w:gridCol w:w="3394"/>
        <w:gridCol w:w="36"/>
        <w:gridCol w:w="36"/>
        <w:gridCol w:w="117"/>
        <w:gridCol w:w="36"/>
        <w:gridCol w:w="59"/>
        <w:gridCol w:w="1501"/>
        <w:gridCol w:w="36"/>
      </w:tblGrid>
      <w:tr w:rsidR="00000000" w14:paraId="26B42DEA" w14:textId="77777777">
        <w:trPr>
          <w:divId w:val="36274033"/>
        </w:trPr>
        <w:tc>
          <w:tcPr>
            <w:tcW w:w="50" w:type="pct"/>
            <w:vAlign w:val="center"/>
            <w:hideMark/>
          </w:tcPr>
          <w:p w14:paraId="217C2D6C" w14:textId="77777777" w:rsidR="00000000" w:rsidRDefault="00EE5306">
            <w:pPr>
              <w:rPr>
                <w:rFonts w:eastAsia="Times New Roman"/>
              </w:rPr>
            </w:pPr>
          </w:p>
        </w:tc>
        <w:tc>
          <w:tcPr>
            <w:tcW w:w="1655" w:type="pct"/>
            <w:vAlign w:val="center"/>
            <w:hideMark/>
          </w:tcPr>
          <w:p w14:paraId="33E746E0" w14:textId="77777777" w:rsidR="00000000" w:rsidRDefault="00EE5306">
            <w:pPr>
              <w:spacing w:after="100"/>
              <w:rPr>
                <w:rFonts w:eastAsia="Times New Roman"/>
                <w:sz w:val="20"/>
                <w:szCs w:val="20"/>
              </w:rPr>
            </w:pPr>
          </w:p>
        </w:tc>
        <w:tc>
          <w:tcPr>
            <w:tcW w:w="5" w:type="pct"/>
            <w:vAlign w:val="center"/>
            <w:hideMark/>
          </w:tcPr>
          <w:p w14:paraId="4A96D385" w14:textId="77777777" w:rsidR="00000000" w:rsidRDefault="00EE5306">
            <w:pPr>
              <w:spacing w:after="100"/>
              <w:rPr>
                <w:rFonts w:eastAsia="Times New Roman"/>
                <w:sz w:val="20"/>
                <w:szCs w:val="20"/>
              </w:rPr>
            </w:pPr>
          </w:p>
        </w:tc>
        <w:tc>
          <w:tcPr>
            <w:tcW w:w="5" w:type="pct"/>
            <w:vAlign w:val="center"/>
            <w:hideMark/>
          </w:tcPr>
          <w:p w14:paraId="173D6E7C" w14:textId="77777777" w:rsidR="00000000" w:rsidRDefault="00EE5306">
            <w:pPr>
              <w:spacing w:after="100"/>
              <w:rPr>
                <w:rFonts w:eastAsia="Times New Roman"/>
                <w:sz w:val="20"/>
                <w:szCs w:val="20"/>
              </w:rPr>
            </w:pPr>
          </w:p>
        </w:tc>
        <w:tc>
          <w:tcPr>
            <w:tcW w:w="85" w:type="pct"/>
            <w:vAlign w:val="center"/>
            <w:hideMark/>
          </w:tcPr>
          <w:p w14:paraId="2AC4445E" w14:textId="77777777" w:rsidR="00000000" w:rsidRDefault="00EE5306">
            <w:pPr>
              <w:spacing w:after="100"/>
              <w:rPr>
                <w:rFonts w:eastAsia="Times New Roman"/>
                <w:sz w:val="20"/>
                <w:szCs w:val="20"/>
              </w:rPr>
            </w:pPr>
          </w:p>
        </w:tc>
        <w:tc>
          <w:tcPr>
            <w:tcW w:w="5" w:type="pct"/>
            <w:vAlign w:val="center"/>
            <w:hideMark/>
          </w:tcPr>
          <w:p w14:paraId="467FA244" w14:textId="77777777" w:rsidR="00000000" w:rsidRDefault="00EE5306">
            <w:pPr>
              <w:spacing w:after="100"/>
              <w:rPr>
                <w:rFonts w:eastAsia="Times New Roman"/>
                <w:sz w:val="20"/>
                <w:szCs w:val="20"/>
              </w:rPr>
            </w:pPr>
          </w:p>
        </w:tc>
        <w:tc>
          <w:tcPr>
            <w:tcW w:w="50" w:type="pct"/>
            <w:vAlign w:val="center"/>
            <w:hideMark/>
          </w:tcPr>
          <w:p w14:paraId="2980D58F" w14:textId="77777777" w:rsidR="00000000" w:rsidRDefault="00EE5306">
            <w:pPr>
              <w:spacing w:after="100"/>
              <w:rPr>
                <w:rFonts w:eastAsia="Times New Roman"/>
                <w:sz w:val="20"/>
                <w:szCs w:val="20"/>
              </w:rPr>
            </w:pPr>
          </w:p>
        </w:tc>
        <w:tc>
          <w:tcPr>
            <w:tcW w:w="2066" w:type="pct"/>
            <w:vAlign w:val="center"/>
            <w:hideMark/>
          </w:tcPr>
          <w:p w14:paraId="4E8D9408" w14:textId="77777777" w:rsidR="00000000" w:rsidRDefault="00EE5306">
            <w:pPr>
              <w:spacing w:after="100"/>
              <w:rPr>
                <w:rFonts w:eastAsia="Times New Roman"/>
                <w:sz w:val="20"/>
                <w:szCs w:val="20"/>
              </w:rPr>
            </w:pPr>
          </w:p>
        </w:tc>
        <w:tc>
          <w:tcPr>
            <w:tcW w:w="5" w:type="pct"/>
            <w:vAlign w:val="center"/>
            <w:hideMark/>
          </w:tcPr>
          <w:p w14:paraId="2874E2E1" w14:textId="77777777" w:rsidR="00000000" w:rsidRDefault="00EE5306">
            <w:pPr>
              <w:spacing w:after="100"/>
              <w:rPr>
                <w:rFonts w:eastAsia="Times New Roman"/>
                <w:sz w:val="20"/>
                <w:szCs w:val="20"/>
              </w:rPr>
            </w:pPr>
          </w:p>
        </w:tc>
        <w:tc>
          <w:tcPr>
            <w:tcW w:w="5" w:type="pct"/>
            <w:vAlign w:val="center"/>
            <w:hideMark/>
          </w:tcPr>
          <w:p w14:paraId="2730A1C3" w14:textId="77777777" w:rsidR="00000000" w:rsidRDefault="00EE5306">
            <w:pPr>
              <w:spacing w:after="100"/>
              <w:rPr>
                <w:rFonts w:eastAsia="Times New Roman"/>
                <w:sz w:val="20"/>
                <w:szCs w:val="20"/>
              </w:rPr>
            </w:pPr>
          </w:p>
        </w:tc>
        <w:tc>
          <w:tcPr>
            <w:tcW w:w="85" w:type="pct"/>
            <w:vAlign w:val="center"/>
            <w:hideMark/>
          </w:tcPr>
          <w:p w14:paraId="0FBA8F62" w14:textId="77777777" w:rsidR="00000000" w:rsidRDefault="00EE5306">
            <w:pPr>
              <w:spacing w:after="100"/>
              <w:rPr>
                <w:rFonts w:eastAsia="Times New Roman"/>
                <w:sz w:val="20"/>
                <w:szCs w:val="20"/>
              </w:rPr>
            </w:pPr>
          </w:p>
        </w:tc>
        <w:tc>
          <w:tcPr>
            <w:tcW w:w="5" w:type="pct"/>
            <w:vAlign w:val="center"/>
            <w:hideMark/>
          </w:tcPr>
          <w:p w14:paraId="031B5867" w14:textId="77777777" w:rsidR="00000000" w:rsidRDefault="00EE5306">
            <w:pPr>
              <w:spacing w:after="100"/>
              <w:rPr>
                <w:rFonts w:eastAsia="Times New Roman"/>
                <w:sz w:val="20"/>
                <w:szCs w:val="20"/>
              </w:rPr>
            </w:pPr>
          </w:p>
        </w:tc>
        <w:tc>
          <w:tcPr>
            <w:tcW w:w="50" w:type="pct"/>
            <w:vAlign w:val="center"/>
            <w:hideMark/>
          </w:tcPr>
          <w:p w14:paraId="4B1B2AEE" w14:textId="77777777" w:rsidR="00000000" w:rsidRDefault="00EE5306">
            <w:pPr>
              <w:spacing w:after="100"/>
              <w:rPr>
                <w:rFonts w:eastAsia="Times New Roman"/>
                <w:sz w:val="20"/>
                <w:szCs w:val="20"/>
              </w:rPr>
            </w:pPr>
          </w:p>
        </w:tc>
        <w:tc>
          <w:tcPr>
            <w:tcW w:w="921" w:type="pct"/>
            <w:vAlign w:val="center"/>
            <w:hideMark/>
          </w:tcPr>
          <w:p w14:paraId="6C4AB930" w14:textId="77777777" w:rsidR="00000000" w:rsidRDefault="00EE5306">
            <w:pPr>
              <w:spacing w:after="100"/>
              <w:rPr>
                <w:rFonts w:eastAsia="Times New Roman"/>
                <w:sz w:val="20"/>
                <w:szCs w:val="20"/>
              </w:rPr>
            </w:pPr>
          </w:p>
        </w:tc>
        <w:tc>
          <w:tcPr>
            <w:tcW w:w="5" w:type="pct"/>
            <w:vAlign w:val="center"/>
            <w:hideMark/>
          </w:tcPr>
          <w:p w14:paraId="09AF5748" w14:textId="77777777" w:rsidR="00000000" w:rsidRDefault="00EE5306">
            <w:pPr>
              <w:spacing w:after="100"/>
              <w:rPr>
                <w:rFonts w:eastAsia="Times New Roman"/>
                <w:sz w:val="20"/>
                <w:szCs w:val="20"/>
              </w:rPr>
            </w:pPr>
          </w:p>
        </w:tc>
      </w:tr>
      <w:tr w:rsidR="00000000" w14:paraId="369C3BEF" w14:textId="77777777">
        <w:trPr>
          <w:divId w:val="36274033"/>
        </w:trPr>
        <w:tc>
          <w:tcPr>
            <w:tcW w:w="0" w:type="auto"/>
            <w:gridSpan w:val="3"/>
            <w:tcMar>
              <w:top w:w="30" w:type="dxa"/>
              <w:left w:w="20" w:type="dxa"/>
              <w:bottom w:w="30" w:type="dxa"/>
              <w:right w:w="20" w:type="dxa"/>
            </w:tcMar>
            <w:vAlign w:val="bottom"/>
            <w:hideMark/>
          </w:tcPr>
          <w:p w14:paraId="69522BCB" w14:textId="77777777" w:rsidR="00000000" w:rsidRDefault="00EE5306">
            <w:pPr>
              <w:spacing w:after="100"/>
              <w:jc w:val="center"/>
              <w:rPr>
                <w:rFonts w:eastAsia="Times New Roman"/>
              </w:rPr>
            </w:pPr>
            <w:r>
              <w:rPr>
                <w:rFonts w:eastAsia="Times New Roman"/>
                <w:b/>
                <w:bCs/>
                <w:color w:val="000000"/>
                <w:sz w:val="20"/>
                <w:szCs w:val="20"/>
                <w:u w:val="single"/>
              </w:rPr>
              <w:t>Signature</w:t>
            </w:r>
          </w:p>
        </w:tc>
        <w:tc>
          <w:tcPr>
            <w:tcW w:w="0" w:type="auto"/>
            <w:gridSpan w:val="3"/>
            <w:tcMar>
              <w:top w:w="0" w:type="dxa"/>
              <w:left w:w="20" w:type="dxa"/>
              <w:bottom w:w="0" w:type="dxa"/>
              <w:right w:w="20" w:type="dxa"/>
            </w:tcMar>
            <w:vAlign w:val="center"/>
            <w:hideMark/>
          </w:tcPr>
          <w:p w14:paraId="1066F705"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1F4059" w14:textId="77777777" w:rsidR="00000000" w:rsidRDefault="00EE5306">
            <w:pPr>
              <w:spacing w:after="100"/>
              <w:jc w:val="center"/>
              <w:rPr>
                <w:rFonts w:eastAsia="Times New Roman"/>
              </w:rPr>
            </w:pPr>
            <w:r>
              <w:rPr>
                <w:rFonts w:eastAsia="Times New Roman"/>
                <w:b/>
                <w:bCs/>
                <w:color w:val="000000"/>
                <w:sz w:val="20"/>
                <w:szCs w:val="20"/>
                <w:u w:val="single"/>
              </w:rPr>
              <w:t>Title</w:t>
            </w:r>
          </w:p>
        </w:tc>
        <w:tc>
          <w:tcPr>
            <w:tcW w:w="0" w:type="auto"/>
            <w:gridSpan w:val="3"/>
            <w:tcMar>
              <w:top w:w="0" w:type="dxa"/>
              <w:left w:w="20" w:type="dxa"/>
              <w:bottom w:w="0" w:type="dxa"/>
              <w:right w:w="20" w:type="dxa"/>
            </w:tcMar>
            <w:vAlign w:val="center"/>
            <w:hideMark/>
          </w:tcPr>
          <w:p w14:paraId="1EF485C1"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5BBF46A" w14:textId="77777777" w:rsidR="00000000" w:rsidRDefault="00EE5306">
            <w:pPr>
              <w:spacing w:after="100"/>
              <w:jc w:val="center"/>
              <w:rPr>
                <w:rFonts w:eastAsia="Times New Roman"/>
              </w:rPr>
            </w:pPr>
            <w:r>
              <w:rPr>
                <w:rFonts w:eastAsia="Times New Roman"/>
                <w:b/>
                <w:bCs/>
                <w:color w:val="000000"/>
                <w:sz w:val="20"/>
                <w:szCs w:val="20"/>
                <w:u w:val="single"/>
              </w:rPr>
              <w:t>Date</w:t>
            </w:r>
          </w:p>
        </w:tc>
      </w:tr>
      <w:tr w:rsidR="00000000" w14:paraId="3CC5C9A7" w14:textId="77777777">
        <w:trPr>
          <w:divId w:val="36274033"/>
          <w:trHeight w:val="240"/>
        </w:trPr>
        <w:tc>
          <w:tcPr>
            <w:tcW w:w="0" w:type="auto"/>
            <w:gridSpan w:val="3"/>
            <w:tcMar>
              <w:top w:w="0" w:type="dxa"/>
              <w:left w:w="20" w:type="dxa"/>
              <w:bottom w:w="0" w:type="dxa"/>
              <w:right w:w="20" w:type="dxa"/>
            </w:tcMar>
            <w:vAlign w:val="center"/>
            <w:hideMark/>
          </w:tcPr>
          <w:p w14:paraId="22B406DC"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F77E0E3"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FB62CB"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09E92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433E9C" w14:textId="77777777" w:rsidR="00000000" w:rsidRDefault="00EE5306">
            <w:pPr>
              <w:spacing w:after="100"/>
              <w:rPr>
                <w:rFonts w:eastAsia="Times New Roman"/>
                <w:sz w:val="20"/>
                <w:szCs w:val="20"/>
              </w:rPr>
            </w:pPr>
          </w:p>
        </w:tc>
      </w:tr>
      <w:tr w:rsidR="00000000" w14:paraId="577FD7E2" w14:textId="77777777">
        <w:trPr>
          <w:divId w:val="36274033"/>
          <w:trHeight w:val="300"/>
        </w:trPr>
        <w:tc>
          <w:tcPr>
            <w:tcW w:w="0" w:type="auto"/>
            <w:gridSpan w:val="3"/>
            <w:tcMar>
              <w:top w:w="30" w:type="dxa"/>
              <w:left w:w="20" w:type="dxa"/>
              <w:bottom w:w="30" w:type="dxa"/>
              <w:right w:w="20" w:type="dxa"/>
            </w:tcMar>
            <w:vAlign w:val="bottom"/>
            <w:hideMark/>
          </w:tcPr>
          <w:p w14:paraId="0AD5E37D"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VALERIE JARRETT</w:t>
            </w:r>
          </w:p>
        </w:tc>
        <w:tc>
          <w:tcPr>
            <w:tcW w:w="0" w:type="auto"/>
            <w:gridSpan w:val="3"/>
            <w:tcMar>
              <w:top w:w="0" w:type="dxa"/>
              <w:left w:w="20" w:type="dxa"/>
              <w:bottom w:w="0" w:type="dxa"/>
              <w:right w:w="20" w:type="dxa"/>
            </w:tcMar>
            <w:vAlign w:val="center"/>
            <w:hideMark/>
          </w:tcPr>
          <w:p w14:paraId="4A84E164"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66C78EE5" w14:textId="77777777" w:rsidR="00000000" w:rsidRDefault="00EE530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10C1D1AB"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769544DD"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6F81747A" w14:textId="77777777">
        <w:trPr>
          <w:divId w:val="36274033"/>
          <w:trHeight w:val="300"/>
        </w:trPr>
        <w:tc>
          <w:tcPr>
            <w:tcW w:w="0" w:type="auto"/>
            <w:gridSpan w:val="3"/>
            <w:tcBorders>
              <w:top w:val="single" w:sz="8" w:space="0" w:color="000000"/>
            </w:tcBorders>
            <w:tcMar>
              <w:top w:w="30" w:type="dxa"/>
              <w:left w:w="20" w:type="dxa"/>
              <w:bottom w:w="30" w:type="dxa"/>
              <w:right w:w="20" w:type="dxa"/>
            </w:tcMar>
            <w:vAlign w:val="bottom"/>
            <w:hideMark/>
          </w:tcPr>
          <w:p w14:paraId="5E89CDD8" w14:textId="77777777" w:rsidR="00000000" w:rsidRDefault="00EE5306">
            <w:pPr>
              <w:spacing w:after="100"/>
              <w:jc w:val="center"/>
              <w:rPr>
                <w:rFonts w:eastAsia="Times New Roman"/>
              </w:rPr>
            </w:pPr>
            <w:r>
              <w:rPr>
                <w:rFonts w:eastAsia="Times New Roman"/>
                <w:color w:val="000000"/>
                <w:sz w:val="20"/>
                <w:szCs w:val="20"/>
              </w:rPr>
              <w:t>Valerie Jarrett</w:t>
            </w:r>
          </w:p>
        </w:tc>
        <w:tc>
          <w:tcPr>
            <w:tcW w:w="0" w:type="auto"/>
            <w:gridSpan w:val="3"/>
            <w:tcMar>
              <w:top w:w="0" w:type="dxa"/>
              <w:left w:w="20" w:type="dxa"/>
              <w:bottom w:w="0" w:type="dxa"/>
              <w:right w:w="20" w:type="dxa"/>
            </w:tcMar>
            <w:vAlign w:val="center"/>
            <w:hideMark/>
          </w:tcPr>
          <w:p w14:paraId="67AAC204" w14:textId="77777777" w:rsidR="00000000" w:rsidRDefault="00EE5306">
            <w:pPr>
              <w:spacing w:after="100"/>
              <w:jc w:val="center"/>
              <w:rPr>
                <w:rFonts w:eastAsia="Times New Roman"/>
              </w:rPr>
            </w:pPr>
          </w:p>
        </w:tc>
        <w:tc>
          <w:tcPr>
            <w:tcW w:w="0" w:type="auto"/>
            <w:gridSpan w:val="3"/>
            <w:vMerge/>
            <w:vAlign w:val="center"/>
            <w:hideMark/>
          </w:tcPr>
          <w:p w14:paraId="1CE1F889"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24085485" w14:textId="77777777" w:rsidR="00000000" w:rsidRDefault="00EE5306">
            <w:pPr>
              <w:spacing w:after="100"/>
              <w:rPr>
                <w:rFonts w:eastAsia="Times New Roman"/>
                <w:sz w:val="20"/>
                <w:szCs w:val="20"/>
              </w:rPr>
            </w:pPr>
          </w:p>
        </w:tc>
        <w:tc>
          <w:tcPr>
            <w:tcW w:w="0" w:type="auto"/>
            <w:gridSpan w:val="3"/>
            <w:vMerge/>
            <w:vAlign w:val="center"/>
            <w:hideMark/>
          </w:tcPr>
          <w:p w14:paraId="6E9F475C" w14:textId="77777777" w:rsidR="00000000" w:rsidRDefault="00EE5306">
            <w:pPr>
              <w:spacing w:after="100"/>
              <w:rPr>
                <w:rFonts w:eastAsia="Times New Roman"/>
              </w:rPr>
            </w:pPr>
          </w:p>
        </w:tc>
      </w:tr>
      <w:tr w:rsidR="00000000" w14:paraId="6503E6CA" w14:textId="77777777">
        <w:trPr>
          <w:divId w:val="36274033"/>
          <w:trHeight w:val="300"/>
        </w:trPr>
        <w:tc>
          <w:tcPr>
            <w:tcW w:w="0" w:type="auto"/>
            <w:gridSpan w:val="3"/>
            <w:tcMar>
              <w:top w:w="0" w:type="dxa"/>
              <w:left w:w="20" w:type="dxa"/>
              <w:bottom w:w="0" w:type="dxa"/>
              <w:right w:w="20" w:type="dxa"/>
            </w:tcMar>
            <w:vAlign w:val="center"/>
            <w:hideMark/>
          </w:tcPr>
          <w:p w14:paraId="545E676D"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B2AB38"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5F6F65"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412653"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67ED36" w14:textId="77777777" w:rsidR="00000000" w:rsidRDefault="00EE5306">
            <w:pPr>
              <w:spacing w:after="100"/>
              <w:rPr>
                <w:rFonts w:eastAsia="Times New Roman"/>
                <w:sz w:val="20"/>
                <w:szCs w:val="20"/>
              </w:rPr>
            </w:pPr>
          </w:p>
        </w:tc>
      </w:tr>
      <w:tr w:rsidR="00000000" w14:paraId="21EDB406" w14:textId="77777777">
        <w:trPr>
          <w:divId w:val="36274033"/>
          <w:trHeight w:val="300"/>
        </w:trPr>
        <w:tc>
          <w:tcPr>
            <w:tcW w:w="0" w:type="auto"/>
            <w:gridSpan w:val="3"/>
            <w:tcMar>
              <w:top w:w="30" w:type="dxa"/>
              <w:left w:w="20" w:type="dxa"/>
              <w:bottom w:w="30" w:type="dxa"/>
              <w:right w:w="20" w:type="dxa"/>
            </w:tcMar>
            <w:vAlign w:val="bottom"/>
            <w:hideMark/>
          </w:tcPr>
          <w:p w14:paraId="61B9B9BC"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HUBERT JOLY</w:t>
            </w:r>
          </w:p>
        </w:tc>
        <w:tc>
          <w:tcPr>
            <w:tcW w:w="0" w:type="auto"/>
            <w:gridSpan w:val="3"/>
            <w:tcMar>
              <w:top w:w="0" w:type="dxa"/>
              <w:left w:w="20" w:type="dxa"/>
              <w:bottom w:w="0" w:type="dxa"/>
              <w:right w:w="20" w:type="dxa"/>
            </w:tcMar>
            <w:vAlign w:val="center"/>
            <w:hideMark/>
          </w:tcPr>
          <w:p w14:paraId="2D173FC8"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6FF6B75E" w14:textId="77777777" w:rsidR="00000000" w:rsidRDefault="00EE5306">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14:paraId="66E57793"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0C2927EF"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5394007F" w14:textId="77777777">
        <w:trPr>
          <w:divId w:val="36274033"/>
          <w:trHeight w:val="300"/>
        </w:trPr>
        <w:tc>
          <w:tcPr>
            <w:tcW w:w="0" w:type="auto"/>
            <w:gridSpan w:val="3"/>
            <w:tcBorders>
              <w:top w:val="single" w:sz="8" w:space="0" w:color="000000"/>
            </w:tcBorders>
            <w:tcMar>
              <w:top w:w="30" w:type="dxa"/>
              <w:left w:w="20" w:type="dxa"/>
              <w:bottom w:w="30" w:type="dxa"/>
              <w:right w:w="20" w:type="dxa"/>
            </w:tcMar>
            <w:vAlign w:val="bottom"/>
            <w:hideMark/>
          </w:tcPr>
          <w:p w14:paraId="3720067F" w14:textId="77777777" w:rsidR="00000000" w:rsidRDefault="00EE5306">
            <w:pPr>
              <w:spacing w:after="100"/>
              <w:jc w:val="center"/>
              <w:rPr>
                <w:rFonts w:eastAsia="Times New Roman"/>
              </w:rPr>
            </w:pPr>
            <w:r>
              <w:rPr>
                <w:rFonts w:eastAsia="Times New Roman"/>
                <w:color w:val="000000"/>
                <w:sz w:val="20"/>
                <w:szCs w:val="20"/>
              </w:rPr>
              <w:t>Hubert Joly</w:t>
            </w:r>
          </w:p>
        </w:tc>
        <w:tc>
          <w:tcPr>
            <w:tcW w:w="0" w:type="auto"/>
            <w:gridSpan w:val="3"/>
            <w:tcMar>
              <w:top w:w="0" w:type="dxa"/>
              <w:left w:w="20" w:type="dxa"/>
              <w:bottom w:w="0" w:type="dxa"/>
              <w:right w:w="20" w:type="dxa"/>
            </w:tcMar>
            <w:vAlign w:val="center"/>
            <w:hideMark/>
          </w:tcPr>
          <w:p w14:paraId="62A61871" w14:textId="77777777" w:rsidR="00000000" w:rsidRDefault="00EE5306">
            <w:pPr>
              <w:spacing w:after="100"/>
              <w:jc w:val="center"/>
              <w:rPr>
                <w:rFonts w:eastAsia="Times New Roman"/>
              </w:rPr>
            </w:pPr>
          </w:p>
        </w:tc>
        <w:tc>
          <w:tcPr>
            <w:tcW w:w="0" w:type="auto"/>
            <w:gridSpan w:val="3"/>
            <w:vMerge/>
            <w:vAlign w:val="center"/>
            <w:hideMark/>
          </w:tcPr>
          <w:p w14:paraId="19048CE2" w14:textId="77777777" w:rsidR="00000000" w:rsidRDefault="00EE5306">
            <w:pPr>
              <w:spacing w:after="100"/>
              <w:rPr>
                <w:rFonts w:eastAsia="Times New Roman"/>
              </w:rPr>
            </w:pPr>
          </w:p>
        </w:tc>
        <w:tc>
          <w:tcPr>
            <w:tcW w:w="0" w:type="auto"/>
            <w:gridSpan w:val="3"/>
            <w:vMerge/>
            <w:vAlign w:val="center"/>
            <w:hideMark/>
          </w:tcPr>
          <w:p w14:paraId="5E9D67CE" w14:textId="77777777" w:rsidR="00000000" w:rsidRDefault="00EE5306">
            <w:pPr>
              <w:spacing w:after="100"/>
              <w:rPr>
                <w:rFonts w:eastAsia="Times New Roman"/>
              </w:rPr>
            </w:pPr>
          </w:p>
        </w:tc>
        <w:tc>
          <w:tcPr>
            <w:tcW w:w="0" w:type="auto"/>
            <w:gridSpan w:val="3"/>
            <w:vMerge/>
            <w:vAlign w:val="center"/>
            <w:hideMark/>
          </w:tcPr>
          <w:p w14:paraId="57A44265" w14:textId="77777777" w:rsidR="00000000" w:rsidRDefault="00EE5306">
            <w:pPr>
              <w:spacing w:after="100"/>
              <w:rPr>
                <w:rFonts w:eastAsia="Times New Roman"/>
              </w:rPr>
            </w:pPr>
          </w:p>
        </w:tc>
      </w:tr>
      <w:tr w:rsidR="00000000" w14:paraId="7A9D1079" w14:textId="77777777">
        <w:trPr>
          <w:divId w:val="36274033"/>
          <w:trHeight w:val="240"/>
        </w:trPr>
        <w:tc>
          <w:tcPr>
            <w:tcW w:w="0" w:type="auto"/>
            <w:gridSpan w:val="3"/>
            <w:tcMar>
              <w:top w:w="0" w:type="dxa"/>
              <w:left w:w="20" w:type="dxa"/>
              <w:bottom w:w="0" w:type="dxa"/>
              <w:right w:w="20" w:type="dxa"/>
            </w:tcMar>
            <w:vAlign w:val="center"/>
            <w:hideMark/>
          </w:tcPr>
          <w:p w14:paraId="6FE3DFE0"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10891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68F75F"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E6EF8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80A73F" w14:textId="77777777" w:rsidR="00000000" w:rsidRDefault="00EE5306">
            <w:pPr>
              <w:spacing w:after="100"/>
              <w:rPr>
                <w:rFonts w:eastAsia="Times New Roman"/>
                <w:sz w:val="20"/>
                <w:szCs w:val="20"/>
              </w:rPr>
            </w:pPr>
          </w:p>
        </w:tc>
      </w:tr>
      <w:tr w:rsidR="00000000" w14:paraId="3C4D4620" w14:textId="77777777">
        <w:trPr>
          <w:divId w:val="36274033"/>
          <w:trHeight w:val="300"/>
        </w:trPr>
        <w:tc>
          <w:tcPr>
            <w:tcW w:w="0" w:type="auto"/>
            <w:gridSpan w:val="3"/>
            <w:tcMar>
              <w:top w:w="30" w:type="dxa"/>
              <w:left w:w="20" w:type="dxa"/>
              <w:bottom w:w="30" w:type="dxa"/>
              <w:right w:w="20" w:type="dxa"/>
            </w:tcMar>
            <w:vAlign w:val="bottom"/>
            <w:hideMark/>
          </w:tcPr>
          <w:p w14:paraId="768DE412"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LINDA FINDLEY KOZLOWSKI</w:t>
            </w:r>
          </w:p>
        </w:tc>
        <w:tc>
          <w:tcPr>
            <w:tcW w:w="0" w:type="auto"/>
            <w:gridSpan w:val="3"/>
            <w:tcMar>
              <w:top w:w="0" w:type="dxa"/>
              <w:left w:w="20" w:type="dxa"/>
              <w:bottom w:w="0" w:type="dxa"/>
              <w:right w:w="20" w:type="dxa"/>
            </w:tcMar>
            <w:vAlign w:val="center"/>
            <w:hideMark/>
          </w:tcPr>
          <w:p w14:paraId="3C7378F5"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34F41091" w14:textId="77777777" w:rsidR="00000000" w:rsidRDefault="00EE5306">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14:paraId="122C620C"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4BBA11E4"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21485C85" w14:textId="77777777">
        <w:trPr>
          <w:divId w:val="36274033"/>
          <w:trHeight w:val="300"/>
        </w:trPr>
        <w:tc>
          <w:tcPr>
            <w:tcW w:w="0" w:type="auto"/>
            <w:gridSpan w:val="3"/>
            <w:tcBorders>
              <w:top w:val="single" w:sz="8" w:space="0" w:color="000000"/>
            </w:tcBorders>
            <w:tcMar>
              <w:top w:w="30" w:type="dxa"/>
              <w:left w:w="20" w:type="dxa"/>
              <w:bottom w:w="30" w:type="dxa"/>
              <w:right w:w="20" w:type="dxa"/>
            </w:tcMar>
            <w:vAlign w:val="bottom"/>
            <w:hideMark/>
          </w:tcPr>
          <w:p w14:paraId="7B87FB7C" w14:textId="77777777" w:rsidR="00000000" w:rsidRDefault="00EE5306">
            <w:pPr>
              <w:spacing w:after="100"/>
              <w:jc w:val="center"/>
              <w:rPr>
                <w:rFonts w:eastAsia="Times New Roman"/>
              </w:rPr>
            </w:pPr>
            <w:r>
              <w:rPr>
                <w:rFonts w:eastAsia="Times New Roman"/>
                <w:color w:val="000000"/>
                <w:sz w:val="20"/>
                <w:szCs w:val="20"/>
              </w:rPr>
              <w:t>Linda Findley Kozlowski</w:t>
            </w:r>
          </w:p>
        </w:tc>
        <w:tc>
          <w:tcPr>
            <w:tcW w:w="0" w:type="auto"/>
            <w:gridSpan w:val="3"/>
            <w:tcMar>
              <w:top w:w="0" w:type="dxa"/>
              <w:left w:w="20" w:type="dxa"/>
              <w:bottom w:w="0" w:type="dxa"/>
              <w:right w:w="20" w:type="dxa"/>
            </w:tcMar>
            <w:vAlign w:val="center"/>
            <w:hideMark/>
          </w:tcPr>
          <w:p w14:paraId="2AC7B74A" w14:textId="77777777" w:rsidR="00000000" w:rsidRDefault="00EE5306">
            <w:pPr>
              <w:spacing w:after="100"/>
              <w:jc w:val="center"/>
              <w:rPr>
                <w:rFonts w:eastAsia="Times New Roman"/>
              </w:rPr>
            </w:pPr>
          </w:p>
        </w:tc>
        <w:tc>
          <w:tcPr>
            <w:tcW w:w="0" w:type="auto"/>
            <w:gridSpan w:val="3"/>
            <w:vMerge/>
            <w:vAlign w:val="center"/>
            <w:hideMark/>
          </w:tcPr>
          <w:p w14:paraId="4ACF5372" w14:textId="77777777" w:rsidR="00000000" w:rsidRDefault="00EE5306">
            <w:pPr>
              <w:spacing w:after="100"/>
              <w:rPr>
                <w:rFonts w:eastAsia="Times New Roman"/>
              </w:rPr>
            </w:pPr>
          </w:p>
        </w:tc>
        <w:tc>
          <w:tcPr>
            <w:tcW w:w="0" w:type="auto"/>
            <w:gridSpan w:val="3"/>
            <w:vMerge/>
            <w:vAlign w:val="center"/>
            <w:hideMark/>
          </w:tcPr>
          <w:p w14:paraId="0EC113C9" w14:textId="77777777" w:rsidR="00000000" w:rsidRDefault="00EE5306">
            <w:pPr>
              <w:spacing w:after="100"/>
              <w:rPr>
                <w:rFonts w:eastAsia="Times New Roman"/>
              </w:rPr>
            </w:pPr>
          </w:p>
        </w:tc>
        <w:tc>
          <w:tcPr>
            <w:tcW w:w="0" w:type="auto"/>
            <w:gridSpan w:val="3"/>
            <w:vMerge/>
            <w:vAlign w:val="center"/>
            <w:hideMark/>
          </w:tcPr>
          <w:p w14:paraId="2020B18E" w14:textId="77777777" w:rsidR="00000000" w:rsidRDefault="00EE5306">
            <w:pPr>
              <w:spacing w:after="100"/>
              <w:rPr>
                <w:rFonts w:eastAsia="Times New Roman"/>
              </w:rPr>
            </w:pPr>
          </w:p>
        </w:tc>
      </w:tr>
      <w:tr w:rsidR="00000000" w14:paraId="21EB14AE" w14:textId="77777777">
        <w:trPr>
          <w:divId w:val="36274033"/>
          <w:trHeight w:val="240"/>
        </w:trPr>
        <w:tc>
          <w:tcPr>
            <w:tcW w:w="0" w:type="auto"/>
            <w:gridSpan w:val="3"/>
            <w:tcMar>
              <w:top w:w="0" w:type="dxa"/>
              <w:left w:w="20" w:type="dxa"/>
              <w:bottom w:w="0" w:type="dxa"/>
              <w:right w:w="20" w:type="dxa"/>
            </w:tcMar>
            <w:vAlign w:val="center"/>
            <w:hideMark/>
          </w:tcPr>
          <w:p w14:paraId="70121C2D"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CFDD97"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74AB6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E0FF3D"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ACB00F" w14:textId="77777777" w:rsidR="00000000" w:rsidRDefault="00EE5306">
            <w:pPr>
              <w:spacing w:after="100"/>
              <w:rPr>
                <w:rFonts w:eastAsia="Times New Roman"/>
                <w:sz w:val="20"/>
                <w:szCs w:val="20"/>
              </w:rPr>
            </w:pPr>
          </w:p>
        </w:tc>
      </w:tr>
      <w:tr w:rsidR="00000000" w14:paraId="531727F3" w14:textId="77777777">
        <w:trPr>
          <w:divId w:val="36274033"/>
          <w:trHeight w:val="300"/>
        </w:trPr>
        <w:tc>
          <w:tcPr>
            <w:tcW w:w="0" w:type="auto"/>
            <w:gridSpan w:val="3"/>
            <w:tcMar>
              <w:top w:w="30" w:type="dxa"/>
              <w:left w:w="20" w:type="dxa"/>
              <w:bottom w:w="30" w:type="dxa"/>
              <w:right w:w="20" w:type="dxa"/>
            </w:tcMar>
            <w:vAlign w:val="bottom"/>
            <w:hideMark/>
          </w:tcPr>
          <w:p w14:paraId="528519E5"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JUDITH MCHALE</w:t>
            </w:r>
          </w:p>
        </w:tc>
        <w:tc>
          <w:tcPr>
            <w:tcW w:w="0" w:type="auto"/>
            <w:gridSpan w:val="3"/>
            <w:tcMar>
              <w:top w:w="0" w:type="dxa"/>
              <w:left w:w="20" w:type="dxa"/>
              <w:bottom w:w="0" w:type="dxa"/>
              <w:right w:w="20" w:type="dxa"/>
            </w:tcMar>
            <w:vAlign w:val="center"/>
            <w:hideMark/>
          </w:tcPr>
          <w:p w14:paraId="573F595B"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3453D8DE" w14:textId="77777777" w:rsidR="00000000" w:rsidRDefault="00EE5306">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14:paraId="0FB38A34"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75C9A04A"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764DED19" w14:textId="77777777">
        <w:trPr>
          <w:divId w:val="36274033"/>
          <w:trHeight w:val="300"/>
        </w:trPr>
        <w:tc>
          <w:tcPr>
            <w:tcW w:w="0" w:type="auto"/>
            <w:gridSpan w:val="3"/>
            <w:tcBorders>
              <w:top w:val="single" w:sz="8" w:space="0" w:color="000000"/>
            </w:tcBorders>
            <w:tcMar>
              <w:top w:w="30" w:type="dxa"/>
              <w:left w:w="20" w:type="dxa"/>
              <w:bottom w:w="30" w:type="dxa"/>
              <w:right w:w="20" w:type="dxa"/>
            </w:tcMar>
            <w:vAlign w:val="bottom"/>
            <w:hideMark/>
          </w:tcPr>
          <w:p w14:paraId="3A6472DD" w14:textId="77777777" w:rsidR="00000000" w:rsidRDefault="00EE5306">
            <w:pPr>
              <w:spacing w:after="100"/>
              <w:jc w:val="center"/>
              <w:rPr>
                <w:rFonts w:eastAsia="Times New Roman"/>
              </w:rPr>
            </w:pPr>
            <w:r>
              <w:rPr>
                <w:rFonts w:eastAsia="Times New Roman"/>
                <w:color w:val="000000"/>
                <w:sz w:val="20"/>
                <w:szCs w:val="20"/>
              </w:rPr>
              <w:t>Judith McHale</w:t>
            </w:r>
          </w:p>
        </w:tc>
        <w:tc>
          <w:tcPr>
            <w:tcW w:w="0" w:type="auto"/>
            <w:gridSpan w:val="3"/>
            <w:tcMar>
              <w:top w:w="0" w:type="dxa"/>
              <w:left w:w="20" w:type="dxa"/>
              <w:bottom w:w="0" w:type="dxa"/>
              <w:right w:w="20" w:type="dxa"/>
            </w:tcMar>
            <w:vAlign w:val="center"/>
            <w:hideMark/>
          </w:tcPr>
          <w:p w14:paraId="3A975D1B" w14:textId="77777777" w:rsidR="00000000" w:rsidRDefault="00EE5306">
            <w:pPr>
              <w:spacing w:after="100"/>
              <w:jc w:val="center"/>
              <w:rPr>
                <w:rFonts w:eastAsia="Times New Roman"/>
              </w:rPr>
            </w:pPr>
          </w:p>
        </w:tc>
        <w:tc>
          <w:tcPr>
            <w:tcW w:w="0" w:type="auto"/>
            <w:gridSpan w:val="3"/>
            <w:vMerge/>
            <w:vAlign w:val="center"/>
            <w:hideMark/>
          </w:tcPr>
          <w:p w14:paraId="5BDB9FF6" w14:textId="77777777" w:rsidR="00000000" w:rsidRDefault="00EE5306">
            <w:pPr>
              <w:spacing w:after="100"/>
              <w:rPr>
                <w:rFonts w:eastAsia="Times New Roman"/>
              </w:rPr>
            </w:pPr>
          </w:p>
        </w:tc>
        <w:tc>
          <w:tcPr>
            <w:tcW w:w="0" w:type="auto"/>
            <w:gridSpan w:val="3"/>
            <w:vMerge/>
            <w:vAlign w:val="center"/>
            <w:hideMark/>
          </w:tcPr>
          <w:p w14:paraId="13948154" w14:textId="77777777" w:rsidR="00000000" w:rsidRDefault="00EE5306">
            <w:pPr>
              <w:spacing w:after="100"/>
              <w:rPr>
                <w:rFonts w:eastAsia="Times New Roman"/>
              </w:rPr>
            </w:pPr>
          </w:p>
        </w:tc>
        <w:tc>
          <w:tcPr>
            <w:tcW w:w="0" w:type="auto"/>
            <w:gridSpan w:val="3"/>
            <w:vMerge/>
            <w:vAlign w:val="center"/>
            <w:hideMark/>
          </w:tcPr>
          <w:p w14:paraId="433228A4" w14:textId="77777777" w:rsidR="00000000" w:rsidRDefault="00EE5306">
            <w:pPr>
              <w:spacing w:after="100"/>
              <w:rPr>
                <w:rFonts w:eastAsia="Times New Roman"/>
              </w:rPr>
            </w:pPr>
          </w:p>
        </w:tc>
      </w:tr>
      <w:tr w:rsidR="00000000" w14:paraId="7E0F75EA" w14:textId="77777777">
        <w:trPr>
          <w:divId w:val="36274033"/>
          <w:trHeight w:val="240"/>
        </w:trPr>
        <w:tc>
          <w:tcPr>
            <w:tcW w:w="0" w:type="auto"/>
            <w:gridSpan w:val="3"/>
            <w:tcMar>
              <w:top w:w="0" w:type="dxa"/>
              <w:left w:w="20" w:type="dxa"/>
              <w:bottom w:w="0" w:type="dxa"/>
              <w:right w:w="20" w:type="dxa"/>
            </w:tcMar>
            <w:vAlign w:val="center"/>
            <w:hideMark/>
          </w:tcPr>
          <w:p w14:paraId="268DC9E6"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87531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8BB80D"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20BFFD"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720AA7" w14:textId="77777777" w:rsidR="00000000" w:rsidRDefault="00EE5306">
            <w:pPr>
              <w:spacing w:after="100"/>
              <w:rPr>
                <w:rFonts w:eastAsia="Times New Roman"/>
                <w:sz w:val="20"/>
                <w:szCs w:val="20"/>
              </w:rPr>
            </w:pPr>
          </w:p>
        </w:tc>
      </w:tr>
      <w:tr w:rsidR="00000000" w14:paraId="428DFBBB" w14:textId="77777777">
        <w:trPr>
          <w:divId w:val="36274033"/>
          <w:trHeight w:val="300"/>
        </w:trPr>
        <w:tc>
          <w:tcPr>
            <w:tcW w:w="0" w:type="auto"/>
            <w:gridSpan w:val="3"/>
            <w:tcMar>
              <w:top w:w="30" w:type="dxa"/>
              <w:left w:w="20" w:type="dxa"/>
              <w:bottom w:w="30" w:type="dxa"/>
              <w:right w:w="20" w:type="dxa"/>
            </w:tcMar>
            <w:vAlign w:val="bottom"/>
            <w:hideMark/>
          </w:tcPr>
          <w:p w14:paraId="322B9CA0" w14:textId="77777777" w:rsidR="00000000" w:rsidRDefault="00EE5306">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DARREN WALKER</w:t>
            </w:r>
          </w:p>
        </w:tc>
        <w:tc>
          <w:tcPr>
            <w:tcW w:w="0" w:type="auto"/>
            <w:gridSpan w:val="3"/>
            <w:tcMar>
              <w:top w:w="0" w:type="dxa"/>
              <w:left w:w="20" w:type="dxa"/>
              <w:bottom w:w="0" w:type="dxa"/>
              <w:right w:w="20" w:type="dxa"/>
            </w:tcMar>
            <w:vAlign w:val="center"/>
            <w:hideMark/>
          </w:tcPr>
          <w:p w14:paraId="4E248176"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698775D0" w14:textId="77777777" w:rsidR="00000000" w:rsidRDefault="00EE5306">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14:paraId="0CBFA6A0" w14:textId="77777777" w:rsidR="00000000" w:rsidRDefault="00EE5306">
            <w:pPr>
              <w:spacing w:after="100"/>
              <w:rPr>
                <w:rFonts w:eastAsia="Times New Roman"/>
              </w:rPr>
            </w:pPr>
          </w:p>
        </w:tc>
        <w:tc>
          <w:tcPr>
            <w:tcW w:w="0" w:type="auto"/>
            <w:gridSpan w:val="3"/>
            <w:vMerge w:val="restart"/>
            <w:tcMar>
              <w:top w:w="30" w:type="dxa"/>
              <w:left w:w="20" w:type="dxa"/>
              <w:bottom w:w="30" w:type="dxa"/>
              <w:right w:w="20" w:type="dxa"/>
            </w:tcMar>
            <w:hideMark/>
          </w:tcPr>
          <w:p w14:paraId="2F67F77B" w14:textId="77777777" w:rsidR="00000000" w:rsidRDefault="00EE5306">
            <w:pPr>
              <w:spacing w:after="100"/>
              <w:jc w:val="center"/>
              <w:rPr>
                <w:rFonts w:eastAsia="Times New Roman"/>
              </w:rPr>
            </w:pPr>
            <w:r>
              <w:rPr>
                <w:rFonts w:eastAsia="Times New Roman"/>
                <w:color w:val="000000"/>
                <w:sz w:val="20"/>
                <w:szCs w:val="20"/>
              </w:rPr>
              <w:t>May 20, 2021</w:t>
            </w:r>
          </w:p>
        </w:tc>
      </w:tr>
      <w:tr w:rsidR="00000000" w14:paraId="2AC11024" w14:textId="77777777">
        <w:trPr>
          <w:divId w:val="36274033"/>
          <w:trHeight w:val="300"/>
        </w:trPr>
        <w:tc>
          <w:tcPr>
            <w:tcW w:w="0" w:type="auto"/>
            <w:gridSpan w:val="3"/>
            <w:tcBorders>
              <w:top w:val="single" w:sz="8" w:space="0" w:color="000000"/>
            </w:tcBorders>
            <w:tcMar>
              <w:top w:w="30" w:type="dxa"/>
              <w:left w:w="20" w:type="dxa"/>
              <w:bottom w:w="30" w:type="dxa"/>
              <w:right w:w="20" w:type="dxa"/>
            </w:tcMar>
            <w:vAlign w:val="bottom"/>
            <w:hideMark/>
          </w:tcPr>
          <w:p w14:paraId="5BFF0ACD" w14:textId="77777777" w:rsidR="00000000" w:rsidRDefault="00EE5306">
            <w:pPr>
              <w:spacing w:after="100"/>
              <w:jc w:val="center"/>
              <w:rPr>
                <w:rFonts w:eastAsia="Times New Roman"/>
              </w:rPr>
            </w:pPr>
            <w:r>
              <w:rPr>
                <w:rFonts w:eastAsia="Times New Roman"/>
                <w:color w:val="000000"/>
                <w:sz w:val="20"/>
                <w:szCs w:val="20"/>
              </w:rPr>
              <w:t>Darren Walker</w:t>
            </w:r>
          </w:p>
        </w:tc>
        <w:tc>
          <w:tcPr>
            <w:tcW w:w="0" w:type="auto"/>
            <w:gridSpan w:val="3"/>
            <w:tcMar>
              <w:top w:w="0" w:type="dxa"/>
              <w:left w:w="20" w:type="dxa"/>
              <w:bottom w:w="0" w:type="dxa"/>
              <w:right w:w="20" w:type="dxa"/>
            </w:tcMar>
            <w:vAlign w:val="center"/>
            <w:hideMark/>
          </w:tcPr>
          <w:p w14:paraId="624E3A74" w14:textId="77777777" w:rsidR="00000000" w:rsidRDefault="00EE5306">
            <w:pPr>
              <w:spacing w:after="100"/>
              <w:jc w:val="center"/>
              <w:rPr>
                <w:rFonts w:eastAsia="Times New Roman"/>
              </w:rPr>
            </w:pPr>
          </w:p>
        </w:tc>
        <w:tc>
          <w:tcPr>
            <w:tcW w:w="0" w:type="auto"/>
            <w:gridSpan w:val="3"/>
            <w:vMerge/>
            <w:vAlign w:val="center"/>
            <w:hideMark/>
          </w:tcPr>
          <w:p w14:paraId="6E256821" w14:textId="77777777" w:rsidR="00000000" w:rsidRDefault="00EE5306">
            <w:pPr>
              <w:spacing w:after="100"/>
              <w:rPr>
                <w:rFonts w:eastAsia="Times New Roman"/>
              </w:rPr>
            </w:pPr>
          </w:p>
        </w:tc>
        <w:tc>
          <w:tcPr>
            <w:tcW w:w="0" w:type="auto"/>
            <w:gridSpan w:val="3"/>
            <w:vMerge/>
            <w:vAlign w:val="center"/>
            <w:hideMark/>
          </w:tcPr>
          <w:p w14:paraId="2C189AB9" w14:textId="77777777" w:rsidR="00000000" w:rsidRDefault="00EE5306">
            <w:pPr>
              <w:spacing w:after="100"/>
              <w:rPr>
                <w:rFonts w:eastAsia="Times New Roman"/>
              </w:rPr>
            </w:pPr>
          </w:p>
        </w:tc>
        <w:tc>
          <w:tcPr>
            <w:tcW w:w="0" w:type="auto"/>
            <w:gridSpan w:val="3"/>
            <w:vMerge/>
            <w:vAlign w:val="center"/>
            <w:hideMark/>
          </w:tcPr>
          <w:p w14:paraId="46F471DD" w14:textId="77777777" w:rsidR="00000000" w:rsidRDefault="00EE5306">
            <w:pPr>
              <w:spacing w:after="100"/>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0B27E0DE" w14:textId="77777777">
        <w:trPr>
          <w:jc w:val="center"/>
        </w:trPr>
        <w:tc>
          <w:tcPr>
            <w:tcW w:w="50" w:type="pct"/>
            <w:vAlign w:val="center"/>
            <w:hideMark/>
          </w:tcPr>
          <w:p w14:paraId="4B94FB49" w14:textId="77777777" w:rsidR="00000000" w:rsidRDefault="00EE5306">
            <w:pPr>
              <w:rPr>
                <w:rFonts w:eastAsia="Times New Roman"/>
              </w:rPr>
            </w:pPr>
          </w:p>
        </w:tc>
        <w:tc>
          <w:tcPr>
            <w:tcW w:w="1699" w:type="pct"/>
            <w:vAlign w:val="center"/>
            <w:hideMark/>
          </w:tcPr>
          <w:p w14:paraId="2D7900EE" w14:textId="77777777" w:rsidR="00000000" w:rsidRDefault="00EE5306">
            <w:pPr>
              <w:spacing w:after="100"/>
              <w:rPr>
                <w:rFonts w:eastAsia="Times New Roman"/>
                <w:sz w:val="20"/>
                <w:szCs w:val="20"/>
              </w:rPr>
            </w:pPr>
          </w:p>
        </w:tc>
        <w:tc>
          <w:tcPr>
            <w:tcW w:w="5" w:type="pct"/>
            <w:vAlign w:val="center"/>
            <w:hideMark/>
          </w:tcPr>
          <w:p w14:paraId="16256309" w14:textId="77777777" w:rsidR="00000000" w:rsidRDefault="00EE5306">
            <w:pPr>
              <w:spacing w:after="100"/>
              <w:rPr>
                <w:rFonts w:eastAsia="Times New Roman"/>
                <w:sz w:val="20"/>
                <w:szCs w:val="20"/>
              </w:rPr>
            </w:pPr>
          </w:p>
        </w:tc>
        <w:tc>
          <w:tcPr>
            <w:tcW w:w="50" w:type="pct"/>
            <w:vAlign w:val="center"/>
            <w:hideMark/>
          </w:tcPr>
          <w:p w14:paraId="33550911" w14:textId="77777777" w:rsidR="00000000" w:rsidRDefault="00EE5306">
            <w:pPr>
              <w:spacing w:after="100"/>
              <w:rPr>
                <w:rFonts w:eastAsia="Times New Roman"/>
                <w:sz w:val="20"/>
                <w:szCs w:val="20"/>
              </w:rPr>
            </w:pPr>
          </w:p>
        </w:tc>
        <w:tc>
          <w:tcPr>
            <w:tcW w:w="1436" w:type="pct"/>
            <w:vAlign w:val="center"/>
            <w:hideMark/>
          </w:tcPr>
          <w:p w14:paraId="60499EE0" w14:textId="77777777" w:rsidR="00000000" w:rsidRDefault="00EE5306">
            <w:pPr>
              <w:spacing w:after="100"/>
              <w:rPr>
                <w:rFonts w:eastAsia="Times New Roman"/>
                <w:sz w:val="20"/>
                <w:szCs w:val="20"/>
              </w:rPr>
            </w:pPr>
          </w:p>
        </w:tc>
        <w:tc>
          <w:tcPr>
            <w:tcW w:w="5" w:type="pct"/>
            <w:vAlign w:val="center"/>
            <w:hideMark/>
          </w:tcPr>
          <w:p w14:paraId="0360DF14" w14:textId="77777777" w:rsidR="00000000" w:rsidRDefault="00EE5306">
            <w:pPr>
              <w:spacing w:after="100"/>
              <w:rPr>
                <w:rFonts w:eastAsia="Times New Roman"/>
                <w:sz w:val="20"/>
                <w:szCs w:val="20"/>
              </w:rPr>
            </w:pPr>
          </w:p>
        </w:tc>
        <w:tc>
          <w:tcPr>
            <w:tcW w:w="50" w:type="pct"/>
            <w:vAlign w:val="center"/>
            <w:hideMark/>
          </w:tcPr>
          <w:p w14:paraId="365AC4BA" w14:textId="77777777" w:rsidR="00000000" w:rsidRDefault="00EE5306">
            <w:pPr>
              <w:spacing w:after="100"/>
              <w:rPr>
                <w:rFonts w:eastAsia="Times New Roman"/>
                <w:sz w:val="20"/>
                <w:szCs w:val="20"/>
              </w:rPr>
            </w:pPr>
          </w:p>
        </w:tc>
        <w:tc>
          <w:tcPr>
            <w:tcW w:w="1699" w:type="pct"/>
            <w:vAlign w:val="center"/>
            <w:hideMark/>
          </w:tcPr>
          <w:p w14:paraId="5339F1D4" w14:textId="77777777" w:rsidR="00000000" w:rsidRDefault="00EE5306">
            <w:pPr>
              <w:spacing w:after="100"/>
              <w:rPr>
                <w:rFonts w:eastAsia="Times New Roman"/>
                <w:sz w:val="20"/>
                <w:szCs w:val="20"/>
              </w:rPr>
            </w:pPr>
          </w:p>
        </w:tc>
        <w:tc>
          <w:tcPr>
            <w:tcW w:w="5" w:type="pct"/>
            <w:vAlign w:val="center"/>
            <w:hideMark/>
          </w:tcPr>
          <w:p w14:paraId="70FF3F2F" w14:textId="77777777" w:rsidR="00000000" w:rsidRDefault="00EE5306">
            <w:pPr>
              <w:spacing w:after="100"/>
              <w:rPr>
                <w:rFonts w:eastAsia="Times New Roman"/>
                <w:sz w:val="20"/>
                <w:szCs w:val="20"/>
              </w:rPr>
            </w:pPr>
          </w:p>
        </w:tc>
      </w:tr>
      <w:tr w:rsidR="00000000" w14:paraId="3EB5D09D" w14:textId="77777777">
        <w:trPr>
          <w:jc w:val="center"/>
        </w:trPr>
        <w:tc>
          <w:tcPr>
            <w:tcW w:w="0" w:type="auto"/>
            <w:gridSpan w:val="3"/>
            <w:tcMar>
              <w:top w:w="0" w:type="dxa"/>
              <w:left w:w="20" w:type="dxa"/>
              <w:bottom w:w="0" w:type="dxa"/>
              <w:right w:w="20" w:type="dxa"/>
            </w:tcMar>
            <w:vAlign w:val="center"/>
            <w:hideMark/>
          </w:tcPr>
          <w:p w14:paraId="13EA629E"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1D60332" w14:textId="77777777" w:rsidR="00000000" w:rsidRDefault="00EE5306">
            <w:pPr>
              <w:spacing w:after="100"/>
              <w:jc w:val="center"/>
              <w:rPr>
                <w:rFonts w:eastAsia="Times New Roman"/>
              </w:rPr>
            </w:pPr>
            <w:r>
              <w:rPr>
                <w:rFonts w:eastAsia="Times New Roman"/>
                <w:color w:val="000000"/>
                <w:sz w:val="20"/>
                <w:szCs w:val="20"/>
              </w:rPr>
              <w:t>83</w:t>
            </w:r>
          </w:p>
        </w:tc>
        <w:tc>
          <w:tcPr>
            <w:tcW w:w="0" w:type="auto"/>
            <w:gridSpan w:val="3"/>
            <w:tcMar>
              <w:top w:w="0" w:type="dxa"/>
              <w:left w:w="20" w:type="dxa"/>
              <w:bottom w:w="0" w:type="dxa"/>
              <w:right w:w="20" w:type="dxa"/>
            </w:tcMar>
            <w:vAlign w:val="center"/>
            <w:hideMark/>
          </w:tcPr>
          <w:p w14:paraId="2A4546B1" w14:textId="77777777" w:rsidR="00000000" w:rsidRDefault="00EE5306">
            <w:pPr>
              <w:spacing w:after="100"/>
              <w:jc w:val="center"/>
              <w:rPr>
                <w:rFonts w:eastAsia="Times New Roman"/>
              </w:rPr>
            </w:pPr>
          </w:p>
        </w:tc>
      </w:tr>
    </w:tbl>
    <w:p w14:paraId="6010E87B" w14:textId="77777777" w:rsidR="00000000" w:rsidRDefault="00EE5306">
      <w:pPr>
        <w:rPr>
          <w:rFonts w:eastAsia="Times New Roman"/>
        </w:rPr>
      </w:pPr>
      <w:r>
        <w:rPr>
          <w:rFonts w:eastAsia="Times New Roman"/>
        </w:rPr>
        <w:pict w14:anchorId="75226486">
          <v:rect id="_x0000_i1110" style="width:0;height:1.5pt" o:hralign="center" o:hrstd="t" o:hr="t" fillcolor="#a0a0a0" stroked="f"/>
        </w:pict>
      </w:r>
    </w:p>
    <w:p w14:paraId="03B3A189" w14:textId="77777777" w:rsidR="00000000" w:rsidRDefault="00EE5306">
      <w:pPr>
        <w:divId w:val="117912764"/>
        <w:rPr>
          <w:rFonts w:eastAsia="Times New Roman"/>
        </w:rPr>
      </w:pPr>
    </w:p>
    <w:p w14:paraId="1D48B8FF" w14:textId="77777777" w:rsidR="00000000" w:rsidRDefault="00EE5306">
      <w:pPr>
        <w:jc w:val="center"/>
        <w:rPr>
          <w:rFonts w:eastAsia="Times New Roman"/>
        </w:rPr>
      </w:pPr>
      <w:r>
        <w:rPr>
          <w:rFonts w:eastAsia="Times New Roman"/>
          <w:b/>
          <w:bCs/>
          <w:color w:val="000000"/>
          <w:sz w:val="20"/>
          <w:szCs w:val="20"/>
        </w:rPr>
        <w:t>RALPH LAUREN CORPORATION</w:t>
      </w:r>
    </w:p>
    <w:p w14:paraId="09EDD945" w14:textId="77777777" w:rsidR="00000000" w:rsidRDefault="00EE5306">
      <w:pPr>
        <w:jc w:val="center"/>
        <w:divId w:val="1410077248"/>
        <w:rPr>
          <w:rFonts w:eastAsia="Times New Roman"/>
        </w:rPr>
      </w:pPr>
      <w:r>
        <w:rPr>
          <w:rFonts w:eastAsia="Times New Roman"/>
          <w:b/>
          <w:bCs/>
          <w:color w:val="000000"/>
          <w:sz w:val="20"/>
          <w:szCs w:val="20"/>
        </w:rPr>
        <w:t>INDEX TO CONSOLIDATED FINANCIAL STATEMENTS</w:t>
      </w:r>
    </w:p>
    <w:p w14:paraId="04B4DC40" w14:textId="77777777" w:rsidR="00000000" w:rsidRDefault="00EE5306">
      <w:pPr>
        <w:jc w:val="center"/>
        <w:rPr>
          <w:rFonts w:eastAsia="Times New Roman"/>
        </w:rPr>
      </w:pPr>
      <w:r>
        <w:rPr>
          <w:rFonts w:eastAsia="Times New Roman"/>
          <w:color w:val="000000"/>
          <w:sz w:val="18"/>
          <w:szCs w:val="18"/>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718"/>
        <w:gridCol w:w="38"/>
        <w:gridCol w:w="69"/>
        <w:gridCol w:w="6149"/>
        <w:gridCol w:w="37"/>
        <w:gridCol w:w="69"/>
        <w:gridCol w:w="1109"/>
        <w:gridCol w:w="36"/>
      </w:tblGrid>
      <w:tr w:rsidR="00000000" w14:paraId="1E1EE27D" w14:textId="77777777">
        <w:trPr>
          <w:jc w:val="center"/>
        </w:trPr>
        <w:tc>
          <w:tcPr>
            <w:tcW w:w="50" w:type="pct"/>
            <w:vAlign w:val="center"/>
            <w:hideMark/>
          </w:tcPr>
          <w:p w14:paraId="29722EDC" w14:textId="77777777" w:rsidR="00000000" w:rsidRDefault="00EE5306">
            <w:pPr>
              <w:jc w:val="center"/>
              <w:rPr>
                <w:rFonts w:eastAsia="Times New Roman"/>
              </w:rPr>
            </w:pPr>
          </w:p>
        </w:tc>
        <w:tc>
          <w:tcPr>
            <w:tcW w:w="442" w:type="pct"/>
            <w:vAlign w:val="center"/>
            <w:hideMark/>
          </w:tcPr>
          <w:p w14:paraId="1C7C7CD3" w14:textId="77777777" w:rsidR="00000000" w:rsidRDefault="00EE5306">
            <w:pPr>
              <w:spacing w:after="100"/>
              <w:rPr>
                <w:rFonts w:eastAsia="Times New Roman"/>
                <w:sz w:val="20"/>
                <w:szCs w:val="20"/>
              </w:rPr>
            </w:pPr>
          </w:p>
        </w:tc>
        <w:tc>
          <w:tcPr>
            <w:tcW w:w="5" w:type="pct"/>
            <w:vAlign w:val="center"/>
            <w:hideMark/>
          </w:tcPr>
          <w:p w14:paraId="6ECD6864" w14:textId="77777777" w:rsidR="00000000" w:rsidRDefault="00EE5306">
            <w:pPr>
              <w:spacing w:after="100"/>
              <w:rPr>
                <w:rFonts w:eastAsia="Times New Roman"/>
                <w:sz w:val="20"/>
                <w:szCs w:val="20"/>
              </w:rPr>
            </w:pPr>
          </w:p>
        </w:tc>
        <w:tc>
          <w:tcPr>
            <w:tcW w:w="50" w:type="pct"/>
            <w:vAlign w:val="center"/>
            <w:hideMark/>
          </w:tcPr>
          <w:p w14:paraId="592AB7F1" w14:textId="77777777" w:rsidR="00000000" w:rsidRDefault="00EE5306">
            <w:pPr>
              <w:spacing w:after="100"/>
              <w:rPr>
                <w:rFonts w:eastAsia="Times New Roman"/>
                <w:sz w:val="20"/>
                <w:szCs w:val="20"/>
              </w:rPr>
            </w:pPr>
          </w:p>
        </w:tc>
        <w:tc>
          <w:tcPr>
            <w:tcW w:w="3715" w:type="pct"/>
            <w:vAlign w:val="center"/>
            <w:hideMark/>
          </w:tcPr>
          <w:p w14:paraId="56DF7CE1" w14:textId="77777777" w:rsidR="00000000" w:rsidRDefault="00EE5306">
            <w:pPr>
              <w:spacing w:after="100"/>
              <w:rPr>
                <w:rFonts w:eastAsia="Times New Roman"/>
                <w:sz w:val="20"/>
                <w:szCs w:val="20"/>
              </w:rPr>
            </w:pPr>
          </w:p>
        </w:tc>
        <w:tc>
          <w:tcPr>
            <w:tcW w:w="5" w:type="pct"/>
            <w:vAlign w:val="center"/>
            <w:hideMark/>
          </w:tcPr>
          <w:p w14:paraId="56C6A5E5" w14:textId="77777777" w:rsidR="00000000" w:rsidRDefault="00EE5306">
            <w:pPr>
              <w:spacing w:after="100"/>
              <w:rPr>
                <w:rFonts w:eastAsia="Times New Roman"/>
                <w:sz w:val="20"/>
                <w:szCs w:val="20"/>
              </w:rPr>
            </w:pPr>
          </w:p>
        </w:tc>
        <w:tc>
          <w:tcPr>
            <w:tcW w:w="50" w:type="pct"/>
            <w:vAlign w:val="center"/>
            <w:hideMark/>
          </w:tcPr>
          <w:p w14:paraId="1DD71A16" w14:textId="77777777" w:rsidR="00000000" w:rsidRDefault="00EE5306">
            <w:pPr>
              <w:spacing w:after="100"/>
              <w:rPr>
                <w:rFonts w:eastAsia="Times New Roman"/>
                <w:sz w:val="20"/>
                <w:szCs w:val="20"/>
              </w:rPr>
            </w:pPr>
          </w:p>
        </w:tc>
        <w:tc>
          <w:tcPr>
            <w:tcW w:w="677" w:type="pct"/>
            <w:vAlign w:val="center"/>
            <w:hideMark/>
          </w:tcPr>
          <w:p w14:paraId="601073F0" w14:textId="77777777" w:rsidR="00000000" w:rsidRDefault="00EE5306">
            <w:pPr>
              <w:spacing w:after="100"/>
              <w:rPr>
                <w:rFonts w:eastAsia="Times New Roman"/>
                <w:sz w:val="20"/>
                <w:szCs w:val="20"/>
              </w:rPr>
            </w:pPr>
          </w:p>
        </w:tc>
        <w:tc>
          <w:tcPr>
            <w:tcW w:w="5" w:type="pct"/>
            <w:vAlign w:val="center"/>
            <w:hideMark/>
          </w:tcPr>
          <w:p w14:paraId="723CB5FF" w14:textId="77777777" w:rsidR="00000000" w:rsidRDefault="00EE5306">
            <w:pPr>
              <w:spacing w:after="100"/>
              <w:rPr>
                <w:rFonts w:eastAsia="Times New Roman"/>
                <w:sz w:val="20"/>
                <w:szCs w:val="20"/>
              </w:rPr>
            </w:pPr>
          </w:p>
        </w:tc>
      </w:tr>
      <w:tr w:rsidR="00000000" w14:paraId="293494CB" w14:textId="77777777">
        <w:trPr>
          <w:jc w:val="center"/>
        </w:trPr>
        <w:tc>
          <w:tcPr>
            <w:tcW w:w="0" w:type="auto"/>
            <w:gridSpan w:val="6"/>
            <w:tcMar>
              <w:top w:w="30" w:type="dxa"/>
              <w:left w:w="20" w:type="dxa"/>
              <w:bottom w:w="30" w:type="dxa"/>
              <w:right w:w="20" w:type="dxa"/>
            </w:tcMar>
            <w:hideMark/>
          </w:tcPr>
          <w:p w14:paraId="21E389CA"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129BC96" w14:textId="77777777" w:rsidR="00000000" w:rsidRDefault="00EE5306">
            <w:pPr>
              <w:spacing w:after="100"/>
              <w:jc w:val="center"/>
              <w:rPr>
                <w:rFonts w:eastAsia="Times New Roman"/>
              </w:rPr>
            </w:pPr>
            <w:r>
              <w:rPr>
                <w:rFonts w:eastAsia="Times New Roman"/>
                <w:b/>
                <w:bCs/>
                <w:color w:val="000000"/>
                <w:sz w:val="16"/>
                <w:szCs w:val="16"/>
              </w:rPr>
              <w:t>Page</w:t>
            </w:r>
          </w:p>
        </w:tc>
      </w:tr>
      <w:tr w:rsidR="00000000" w14:paraId="679D8608" w14:textId="77777777">
        <w:trPr>
          <w:jc w:val="center"/>
        </w:trPr>
        <w:tc>
          <w:tcPr>
            <w:tcW w:w="0" w:type="auto"/>
            <w:gridSpan w:val="6"/>
            <w:tcMar>
              <w:top w:w="30" w:type="dxa"/>
              <w:left w:w="20" w:type="dxa"/>
              <w:bottom w:w="30" w:type="dxa"/>
              <w:right w:w="20" w:type="dxa"/>
            </w:tcMar>
            <w:vAlign w:val="bottom"/>
            <w:hideMark/>
          </w:tcPr>
          <w:p w14:paraId="613D0277" w14:textId="77777777" w:rsidR="00000000" w:rsidRDefault="00EE5306">
            <w:pPr>
              <w:spacing w:after="100"/>
              <w:rPr>
                <w:rFonts w:eastAsia="Times New Roman"/>
              </w:rPr>
            </w:pPr>
            <w:r>
              <w:rPr>
                <w:rFonts w:eastAsia="Times New Roman"/>
                <w:color w:val="000000"/>
                <w:sz w:val="20"/>
                <w:szCs w:val="20"/>
              </w:rPr>
              <w:t>Consolidated Financial Statements:</w:t>
            </w:r>
          </w:p>
        </w:tc>
        <w:tc>
          <w:tcPr>
            <w:tcW w:w="0" w:type="auto"/>
            <w:gridSpan w:val="3"/>
            <w:tcBorders>
              <w:top w:val="single" w:sz="8" w:space="0" w:color="000000"/>
            </w:tcBorders>
            <w:tcMar>
              <w:top w:w="0" w:type="dxa"/>
              <w:left w:w="20" w:type="dxa"/>
              <w:bottom w:w="0" w:type="dxa"/>
              <w:right w:w="20" w:type="dxa"/>
            </w:tcMar>
            <w:vAlign w:val="center"/>
            <w:hideMark/>
          </w:tcPr>
          <w:p w14:paraId="7C947D72" w14:textId="77777777" w:rsidR="00000000" w:rsidRDefault="00EE5306">
            <w:pPr>
              <w:spacing w:after="100"/>
              <w:rPr>
                <w:rFonts w:eastAsia="Times New Roman"/>
              </w:rPr>
            </w:pPr>
          </w:p>
        </w:tc>
      </w:tr>
      <w:tr w:rsidR="00000000" w14:paraId="4E75FC8A" w14:textId="77777777">
        <w:trPr>
          <w:jc w:val="center"/>
        </w:trPr>
        <w:tc>
          <w:tcPr>
            <w:tcW w:w="0" w:type="auto"/>
            <w:gridSpan w:val="6"/>
            <w:tcMar>
              <w:top w:w="30" w:type="dxa"/>
              <w:left w:w="20" w:type="dxa"/>
              <w:bottom w:w="30" w:type="dxa"/>
              <w:right w:w="20" w:type="dxa"/>
            </w:tcMar>
            <w:vAlign w:val="bottom"/>
            <w:hideMark/>
          </w:tcPr>
          <w:p w14:paraId="212BD86B" w14:textId="77777777" w:rsidR="00000000" w:rsidRDefault="00EE5306">
            <w:pPr>
              <w:spacing w:after="100"/>
              <w:divId w:val="596522892"/>
              <w:rPr>
                <w:rFonts w:eastAsia="Times New Roman"/>
              </w:rPr>
            </w:pPr>
            <w:hyperlink w:anchor="i7fc1c5f83a024e14b6bab7a02296455e_178" w:history="1">
              <w:r>
                <w:rPr>
                  <w:rStyle w:val="a3"/>
                  <w:rFonts w:eastAsia="Times New Roman"/>
                  <w:sz w:val="20"/>
                  <w:szCs w:val="20"/>
                </w:rPr>
                <w:t>Consolidated Balance Sheets</w:t>
              </w:r>
            </w:hyperlink>
          </w:p>
        </w:tc>
        <w:tc>
          <w:tcPr>
            <w:tcW w:w="0" w:type="auto"/>
            <w:gridSpan w:val="3"/>
            <w:tcMar>
              <w:top w:w="30" w:type="dxa"/>
              <w:left w:w="20" w:type="dxa"/>
              <w:bottom w:w="30" w:type="dxa"/>
              <w:right w:w="20" w:type="dxa"/>
            </w:tcMar>
            <w:vAlign w:val="bottom"/>
            <w:hideMark/>
          </w:tcPr>
          <w:p w14:paraId="2A1A4FD9" w14:textId="77777777" w:rsidR="00000000" w:rsidRDefault="00EE5306">
            <w:pPr>
              <w:spacing w:after="100"/>
              <w:jc w:val="right"/>
              <w:rPr>
                <w:rFonts w:eastAsia="Times New Roman"/>
              </w:rPr>
            </w:pPr>
            <w:r>
              <w:rPr>
                <w:rFonts w:eastAsia="Times New Roman"/>
                <w:color w:val="0000FF"/>
                <w:sz w:val="20"/>
                <w:szCs w:val="20"/>
                <w:u w:val="single"/>
              </w:rPr>
              <w:t>F-</w:t>
            </w:r>
            <w:hyperlink w:anchor="i7fc1c5f83a024e14b6bab7a02296455e_178" w:history="1">
              <w:r>
                <w:rPr>
                  <w:rStyle w:val="a3"/>
                  <w:rFonts w:eastAsia="Times New Roman"/>
                  <w:sz w:val="20"/>
                  <w:szCs w:val="20"/>
                </w:rPr>
                <w:t>2</w:t>
              </w:r>
            </w:hyperlink>
          </w:p>
        </w:tc>
      </w:tr>
      <w:tr w:rsidR="00000000" w14:paraId="1AFD9AC8" w14:textId="77777777">
        <w:trPr>
          <w:jc w:val="center"/>
        </w:trPr>
        <w:tc>
          <w:tcPr>
            <w:tcW w:w="0" w:type="auto"/>
            <w:gridSpan w:val="6"/>
            <w:tcMar>
              <w:top w:w="30" w:type="dxa"/>
              <w:left w:w="20" w:type="dxa"/>
              <w:bottom w:w="30" w:type="dxa"/>
              <w:right w:w="20" w:type="dxa"/>
            </w:tcMar>
            <w:vAlign w:val="bottom"/>
            <w:hideMark/>
          </w:tcPr>
          <w:p w14:paraId="1F6629A1" w14:textId="77777777" w:rsidR="00000000" w:rsidRDefault="00EE5306">
            <w:pPr>
              <w:spacing w:after="100"/>
              <w:divId w:val="410780413"/>
              <w:rPr>
                <w:rFonts w:eastAsia="Times New Roman"/>
              </w:rPr>
            </w:pPr>
            <w:hyperlink w:anchor="i7fc1c5f83a024e14b6bab7a02296455e_184" w:history="1">
              <w:r>
                <w:rPr>
                  <w:rStyle w:val="a3"/>
                  <w:rFonts w:eastAsia="Times New Roman"/>
                  <w:sz w:val="20"/>
                  <w:szCs w:val="20"/>
                </w:rPr>
                <w:t>Consolidated Statements of Operations</w:t>
              </w:r>
            </w:hyperlink>
          </w:p>
        </w:tc>
        <w:tc>
          <w:tcPr>
            <w:tcW w:w="0" w:type="auto"/>
            <w:gridSpan w:val="3"/>
            <w:tcMar>
              <w:top w:w="30" w:type="dxa"/>
              <w:left w:w="20" w:type="dxa"/>
              <w:bottom w:w="30" w:type="dxa"/>
              <w:right w:w="20" w:type="dxa"/>
            </w:tcMar>
            <w:vAlign w:val="bottom"/>
            <w:hideMark/>
          </w:tcPr>
          <w:p w14:paraId="2D57C3C1" w14:textId="77777777" w:rsidR="00000000" w:rsidRDefault="00EE5306">
            <w:pPr>
              <w:spacing w:after="100"/>
              <w:jc w:val="right"/>
              <w:rPr>
                <w:rFonts w:eastAsia="Times New Roman"/>
              </w:rPr>
            </w:pPr>
            <w:r>
              <w:rPr>
                <w:rFonts w:eastAsia="Times New Roman"/>
                <w:color w:val="0000FF"/>
                <w:sz w:val="20"/>
                <w:szCs w:val="20"/>
                <w:u w:val="single"/>
              </w:rPr>
              <w:t>F-</w:t>
            </w:r>
            <w:hyperlink w:anchor="i7fc1c5f83a024e14b6bab7a02296455e_184" w:history="1">
              <w:r>
                <w:rPr>
                  <w:rStyle w:val="a3"/>
                  <w:rFonts w:eastAsia="Times New Roman"/>
                  <w:sz w:val="20"/>
                  <w:szCs w:val="20"/>
                </w:rPr>
                <w:t>3</w:t>
              </w:r>
            </w:hyperlink>
          </w:p>
        </w:tc>
      </w:tr>
      <w:tr w:rsidR="00000000" w14:paraId="6D36D67C" w14:textId="77777777">
        <w:trPr>
          <w:jc w:val="center"/>
        </w:trPr>
        <w:tc>
          <w:tcPr>
            <w:tcW w:w="0" w:type="auto"/>
            <w:gridSpan w:val="6"/>
            <w:tcMar>
              <w:top w:w="30" w:type="dxa"/>
              <w:left w:w="20" w:type="dxa"/>
              <w:bottom w:w="30" w:type="dxa"/>
              <w:right w:w="20" w:type="dxa"/>
            </w:tcMar>
            <w:vAlign w:val="bottom"/>
            <w:hideMark/>
          </w:tcPr>
          <w:p w14:paraId="0E27B211" w14:textId="77777777" w:rsidR="00000000" w:rsidRDefault="00EE5306">
            <w:pPr>
              <w:spacing w:after="100"/>
              <w:divId w:val="540283938"/>
              <w:rPr>
                <w:rFonts w:eastAsia="Times New Roman"/>
              </w:rPr>
            </w:pPr>
            <w:hyperlink w:anchor="i7fc1c5f83a024e14b6bab7a02296455e_190" w:history="1">
              <w:r>
                <w:rPr>
                  <w:rStyle w:val="a3"/>
                  <w:rFonts w:eastAsia="Times New Roman"/>
                  <w:sz w:val="20"/>
                  <w:szCs w:val="20"/>
                </w:rPr>
                <w:t>Consolidated Statements of</w:t>
              </w:r>
              <w:r>
                <w:rPr>
                  <w:rStyle w:val="a3"/>
                  <w:rFonts w:eastAsia="Times New Roman"/>
                  <w:sz w:val="20"/>
                  <w:szCs w:val="20"/>
                </w:rPr>
                <w:t xml:space="preserve"> Comprehensive Inco</w:t>
              </w:r>
            </w:hyperlink>
            <w:hyperlink w:anchor="i7fc1c5f83a024e14b6bab7a02296455e_190" w:history="1">
              <w:r>
                <w:rPr>
                  <w:rStyle w:val="a3"/>
                  <w:rFonts w:eastAsia="Times New Roman"/>
                  <w:sz w:val="20"/>
                  <w:szCs w:val="20"/>
                </w:rPr>
                <w:t>me (L</w:t>
              </w:r>
            </w:hyperlink>
            <w:hyperlink w:anchor="i7fc1c5f83a024e14b6bab7a02296455e_190" w:history="1">
              <w:r>
                <w:rPr>
                  <w:rStyle w:val="a3"/>
                  <w:rFonts w:eastAsia="Times New Roman"/>
                  <w:sz w:val="20"/>
                  <w:szCs w:val="20"/>
                </w:rPr>
                <w:t>oss)</w:t>
              </w:r>
            </w:hyperlink>
          </w:p>
        </w:tc>
        <w:tc>
          <w:tcPr>
            <w:tcW w:w="0" w:type="auto"/>
            <w:gridSpan w:val="3"/>
            <w:tcMar>
              <w:top w:w="30" w:type="dxa"/>
              <w:left w:w="20" w:type="dxa"/>
              <w:bottom w:w="30" w:type="dxa"/>
              <w:right w:w="20" w:type="dxa"/>
            </w:tcMar>
            <w:vAlign w:val="bottom"/>
            <w:hideMark/>
          </w:tcPr>
          <w:p w14:paraId="23E6EDA0" w14:textId="77777777" w:rsidR="00000000" w:rsidRDefault="00EE5306">
            <w:pPr>
              <w:spacing w:after="100"/>
              <w:jc w:val="right"/>
              <w:rPr>
                <w:rFonts w:eastAsia="Times New Roman"/>
              </w:rPr>
            </w:pPr>
            <w:r>
              <w:rPr>
                <w:rFonts w:eastAsia="Times New Roman"/>
                <w:color w:val="0000FF"/>
                <w:sz w:val="20"/>
                <w:szCs w:val="20"/>
                <w:u w:val="single"/>
              </w:rPr>
              <w:t>F-</w:t>
            </w:r>
            <w:hyperlink w:anchor="i7fc1c5f83a024e14b6bab7a02296455e_190" w:history="1">
              <w:r>
                <w:rPr>
                  <w:rStyle w:val="a3"/>
                  <w:rFonts w:eastAsia="Times New Roman"/>
                  <w:sz w:val="20"/>
                  <w:szCs w:val="20"/>
                </w:rPr>
                <w:t>4</w:t>
              </w:r>
            </w:hyperlink>
          </w:p>
        </w:tc>
      </w:tr>
      <w:tr w:rsidR="00000000" w14:paraId="678D9769" w14:textId="77777777">
        <w:trPr>
          <w:jc w:val="center"/>
        </w:trPr>
        <w:tc>
          <w:tcPr>
            <w:tcW w:w="0" w:type="auto"/>
            <w:gridSpan w:val="6"/>
            <w:tcMar>
              <w:top w:w="30" w:type="dxa"/>
              <w:left w:w="20" w:type="dxa"/>
              <w:bottom w:w="30" w:type="dxa"/>
              <w:right w:w="20" w:type="dxa"/>
            </w:tcMar>
            <w:vAlign w:val="bottom"/>
            <w:hideMark/>
          </w:tcPr>
          <w:p w14:paraId="6BCF3833" w14:textId="77777777" w:rsidR="00000000" w:rsidRDefault="00EE5306">
            <w:pPr>
              <w:spacing w:after="100"/>
              <w:divId w:val="1817530061"/>
              <w:rPr>
                <w:rFonts w:eastAsia="Times New Roman"/>
              </w:rPr>
            </w:pPr>
            <w:hyperlink w:anchor="i7fc1c5f83a024e14b6bab7a02296455e_193" w:history="1">
              <w:r>
                <w:rPr>
                  <w:rStyle w:val="a3"/>
                  <w:rFonts w:eastAsia="Times New Roman"/>
                  <w:sz w:val="20"/>
                  <w:szCs w:val="20"/>
                </w:rPr>
                <w:t>Consolidated Statements of Cash Flows</w:t>
              </w:r>
            </w:hyperlink>
          </w:p>
        </w:tc>
        <w:tc>
          <w:tcPr>
            <w:tcW w:w="0" w:type="auto"/>
            <w:gridSpan w:val="3"/>
            <w:tcMar>
              <w:top w:w="30" w:type="dxa"/>
              <w:left w:w="20" w:type="dxa"/>
              <w:bottom w:w="30" w:type="dxa"/>
              <w:right w:w="20" w:type="dxa"/>
            </w:tcMar>
            <w:vAlign w:val="bottom"/>
            <w:hideMark/>
          </w:tcPr>
          <w:p w14:paraId="07ABDEC3" w14:textId="77777777" w:rsidR="00000000" w:rsidRDefault="00EE5306">
            <w:pPr>
              <w:spacing w:after="100"/>
              <w:jc w:val="right"/>
              <w:rPr>
                <w:rFonts w:eastAsia="Times New Roman"/>
              </w:rPr>
            </w:pPr>
            <w:r>
              <w:rPr>
                <w:rFonts w:eastAsia="Times New Roman"/>
                <w:color w:val="0000FF"/>
                <w:sz w:val="20"/>
                <w:szCs w:val="20"/>
                <w:u w:val="single"/>
              </w:rPr>
              <w:t>F-</w:t>
            </w:r>
            <w:hyperlink w:anchor="i7fc1c5f83a024e14b6bab7a02296455e_193" w:history="1">
              <w:r>
                <w:rPr>
                  <w:rStyle w:val="a3"/>
                  <w:rFonts w:eastAsia="Times New Roman"/>
                  <w:sz w:val="20"/>
                  <w:szCs w:val="20"/>
                </w:rPr>
                <w:t>5</w:t>
              </w:r>
            </w:hyperlink>
          </w:p>
        </w:tc>
      </w:tr>
      <w:tr w:rsidR="00000000" w14:paraId="3B48ACF9" w14:textId="77777777">
        <w:trPr>
          <w:jc w:val="center"/>
        </w:trPr>
        <w:tc>
          <w:tcPr>
            <w:tcW w:w="0" w:type="auto"/>
            <w:gridSpan w:val="6"/>
            <w:tcMar>
              <w:top w:w="30" w:type="dxa"/>
              <w:left w:w="20" w:type="dxa"/>
              <w:bottom w:w="30" w:type="dxa"/>
              <w:right w:w="20" w:type="dxa"/>
            </w:tcMar>
            <w:vAlign w:val="bottom"/>
            <w:hideMark/>
          </w:tcPr>
          <w:p w14:paraId="3DF6764E" w14:textId="77777777" w:rsidR="00000000" w:rsidRDefault="00EE5306">
            <w:pPr>
              <w:spacing w:after="100"/>
              <w:divId w:val="735203437"/>
              <w:rPr>
                <w:rFonts w:eastAsia="Times New Roman"/>
              </w:rPr>
            </w:pPr>
            <w:hyperlink w:anchor="i7fc1c5f83a024e14b6bab7a02296455e_196" w:history="1">
              <w:r>
                <w:rPr>
                  <w:rStyle w:val="a3"/>
                  <w:rFonts w:eastAsia="Times New Roman"/>
                  <w:sz w:val="20"/>
                  <w:szCs w:val="20"/>
                </w:rPr>
                <w:t>Consolidated Statements of Equity</w:t>
              </w:r>
            </w:hyperlink>
          </w:p>
        </w:tc>
        <w:tc>
          <w:tcPr>
            <w:tcW w:w="0" w:type="auto"/>
            <w:gridSpan w:val="3"/>
            <w:tcMar>
              <w:top w:w="30" w:type="dxa"/>
              <w:left w:w="20" w:type="dxa"/>
              <w:bottom w:w="30" w:type="dxa"/>
              <w:right w:w="20" w:type="dxa"/>
            </w:tcMar>
            <w:vAlign w:val="bottom"/>
            <w:hideMark/>
          </w:tcPr>
          <w:p w14:paraId="33255C0A" w14:textId="77777777" w:rsidR="00000000" w:rsidRDefault="00EE5306">
            <w:pPr>
              <w:spacing w:after="100"/>
              <w:jc w:val="right"/>
              <w:rPr>
                <w:rFonts w:eastAsia="Times New Roman"/>
              </w:rPr>
            </w:pPr>
            <w:r>
              <w:rPr>
                <w:rFonts w:eastAsia="Times New Roman"/>
                <w:color w:val="0000FF"/>
                <w:sz w:val="20"/>
                <w:szCs w:val="20"/>
                <w:u w:val="single"/>
              </w:rPr>
              <w:t>F-</w:t>
            </w:r>
            <w:hyperlink w:anchor="i7fc1c5f83a024e14b6bab7a02296455e_196" w:history="1">
              <w:r>
                <w:rPr>
                  <w:rStyle w:val="a3"/>
                  <w:rFonts w:eastAsia="Times New Roman"/>
                  <w:sz w:val="20"/>
                  <w:szCs w:val="20"/>
                </w:rPr>
                <w:t>6</w:t>
              </w:r>
            </w:hyperlink>
          </w:p>
        </w:tc>
      </w:tr>
      <w:tr w:rsidR="00000000" w14:paraId="11202CD0" w14:textId="77777777">
        <w:trPr>
          <w:jc w:val="center"/>
        </w:trPr>
        <w:tc>
          <w:tcPr>
            <w:tcW w:w="0" w:type="auto"/>
            <w:gridSpan w:val="6"/>
            <w:tcMar>
              <w:top w:w="30" w:type="dxa"/>
              <w:left w:w="20" w:type="dxa"/>
              <w:bottom w:w="30" w:type="dxa"/>
              <w:right w:w="20" w:type="dxa"/>
            </w:tcMar>
            <w:vAlign w:val="bottom"/>
            <w:hideMark/>
          </w:tcPr>
          <w:p w14:paraId="6E208EEA" w14:textId="77777777" w:rsidR="00000000" w:rsidRDefault="00EE5306">
            <w:pPr>
              <w:spacing w:after="100"/>
              <w:divId w:val="412435886"/>
              <w:rPr>
                <w:rFonts w:eastAsia="Times New Roman"/>
              </w:rPr>
            </w:pPr>
            <w:hyperlink w:anchor="i7fc1c5f83a024e14b6bab7a02296455e_202"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14:paraId="7217ABA1" w14:textId="77777777" w:rsidR="00000000" w:rsidRDefault="00EE5306">
            <w:pPr>
              <w:spacing w:after="100"/>
              <w:jc w:val="right"/>
              <w:rPr>
                <w:rFonts w:eastAsia="Times New Roman"/>
              </w:rPr>
            </w:pPr>
            <w:r>
              <w:rPr>
                <w:rFonts w:eastAsia="Times New Roman"/>
                <w:color w:val="0000FF"/>
                <w:sz w:val="20"/>
                <w:szCs w:val="20"/>
                <w:u w:val="single"/>
              </w:rPr>
              <w:t>F-</w:t>
            </w:r>
            <w:hyperlink w:anchor="i7fc1c5f83a024e14b6bab7a02296455e_202" w:history="1">
              <w:r>
                <w:rPr>
                  <w:rStyle w:val="a3"/>
                  <w:rFonts w:eastAsia="Times New Roman"/>
                  <w:sz w:val="20"/>
                  <w:szCs w:val="20"/>
                </w:rPr>
                <w:t>7</w:t>
              </w:r>
            </w:hyperlink>
          </w:p>
        </w:tc>
      </w:tr>
      <w:tr w:rsidR="00000000" w14:paraId="579B38D9" w14:textId="77777777">
        <w:trPr>
          <w:jc w:val="center"/>
        </w:trPr>
        <w:tc>
          <w:tcPr>
            <w:tcW w:w="0" w:type="auto"/>
            <w:gridSpan w:val="6"/>
            <w:tcMar>
              <w:top w:w="30" w:type="dxa"/>
              <w:left w:w="20" w:type="dxa"/>
              <w:bottom w:w="30" w:type="dxa"/>
              <w:right w:w="20" w:type="dxa"/>
            </w:tcMar>
            <w:vAlign w:val="bottom"/>
            <w:hideMark/>
          </w:tcPr>
          <w:p w14:paraId="1A63DBA4" w14:textId="77777777" w:rsidR="00000000" w:rsidRDefault="00EE5306">
            <w:pPr>
              <w:spacing w:after="100"/>
              <w:divId w:val="1104685985"/>
              <w:rPr>
                <w:rFonts w:eastAsia="Times New Roman"/>
              </w:rPr>
            </w:pPr>
            <w:hyperlink w:anchor="i7fc1c5f83a024e14b6bab7a02296455e_301" w:history="1">
              <w:r>
                <w:rPr>
                  <w:rStyle w:val="a3"/>
                  <w:rFonts w:eastAsia="Times New Roman"/>
                  <w:sz w:val="20"/>
                  <w:szCs w:val="20"/>
                </w:rPr>
                <w:t>Management's Report on Responsibility For Financial Statements</w:t>
              </w:r>
            </w:hyperlink>
          </w:p>
        </w:tc>
        <w:tc>
          <w:tcPr>
            <w:tcW w:w="0" w:type="auto"/>
            <w:gridSpan w:val="3"/>
            <w:tcMar>
              <w:top w:w="30" w:type="dxa"/>
              <w:left w:w="20" w:type="dxa"/>
              <w:bottom w:w="30" w:type="dxa"/>
              <w:right w:w="20" w:type="dxa"/>
            </w:tcMar>
            <w:vAlign w:val="bottom"/>
            <w:hideMark/>
          </w:tcPr>
          <w:p w14:paraId="03EDDF46" w14:textId="77777777" w:rsidR="00000000" w:rsidRDefault="00EE5306">
            <w:pPr>
              <w:spacing w:after="100"/>
              <w:jc w:val="right"/>
              <w:rPr>
                <w:rFonts w:eastAsia="Times New Roman"/>
              </w:rPr>
            </w:pPr>
            <w:r>
              <w:rPr>
                <w:rFonts w:eastAsia="Times New Roman"/>
                <w:color w:val="0000FF"/>
                <w:sz w:val="20"/>
                <w:szCs w:val="20"/>
                <w:u w:val="single"/>
              </w:rPr>
              <w:t>F-</w:t>
            </w:r>
            <w:hyperlink w:anchor="i7fc1c5f83a024e14b6bab7a02296455e_301" w:history="1">
              <w:r>
                <w:rPr>
                  <w:rStyle w:val="a3"/>
                  <w:rFonts w:eastAsia="Times New Roman"/>
                  <w:sz w:val="20"/>
                  <w:szCs w:val="20"/>
                </w:rPr>
                <w:t>58</w:t>
              </w:r>
            </w:hyperlink>
          </w:p>
        </w:tc>
      </w:tr>
      <w:tr w:rsidR="00000000" w14:paraId="4EA72C97" w14:textId="77777777">
        <w:trPr>
          <w:jc w:val="center"/>
        </w:trPr>
        <w:tc>
          <w:tcPr>
            <w:tcW w:w="0" w:type="auto"/>
            <w:gridSpan w:val="6"/>
            <w:tcMar>
              <w:top w:w="30" w:type="dxa"/>
              <w:left w:w="20" w:type="dxa"/>
              <w:bottom w:w="30" w:type="dxa"/>
              <w:right w:w="20" w:type="dxa"/>
            </w:tcMar>
            <w:vAlign w:val="bottom"/>
            <w:hideMark/>
          </w:tcPr>
          <w:p w14:paraId="78E0D46A" w14:textId="77777777" w:rsidR="00000000" w:rsidRDefault="00EE5306">
            <w:pPr>
              <w:spacing w:after="100"/>
              <w:divId w:val="1216628047"/>
              <w:rPr>
                <w:rFonts w:eastAsia="Times New Roman"/>
              </w:rPr>
            </w:pPr>
            <w:hyperlink w:anchor="i7fc1c5f83a024e14b6bab7a02296455e_304" w:history="1">
              <w:r>
                <w:rPr>
                  <w:rStyle w:val="a3"/>
                  <w:rFonts w:eastAsia="Times New Roman"/>
                  <w:sz w:val="20"/>
                  <w:szCs w:val="20"/>
                </w:rPr>
                <w:t>Reports of Independent Registered Public Accounting Firm</w:t>
              </w:r>
            </w:hyperlink>
          </w:p>
        </w:tc>
        <w:tc>
          <w:tcPr>
            <w:tcW w:w="0" w:type="auto"/>
            <w:gridSpan w:val="3"/>
            <w:tcMar>
              <w:top w:w="30" w:type="dxa"/>
              <w:left w:w="20" w:type="dxa"/>
              <w:bottom w:w="30" w:type="dxa"/>
              <w:right w:w="20" w:type="dxa"/>
            </w:tcMar>
            <w:vAlign w:val="bottom"/>
            <w:hideMark/>
          </w:tcPr>
          <w:p w14:paraId="6441E2D0" w14:textId="77777777" w:rsidR="00000000" w:rsidRDefault="00EE5306">
            <w:pPr>
              <w:spacing w:after="100"/>
              <w:jc w:val="right"/>
              <w:rPr>
                <w:rFonts w:eastAsia="Times New Roman"/>
              </w:rPr>
            </w:pPr>
            <w:r>
              <w:rPr>
                <w:rFonts w:eastAsia="Times New Roman"/>
                <w:color w:val="0000FF"/>
                <w:sz w:val="20"/>
                <w:szCs w:val="20"/>
                <w:u w:val="single"/>
              </w:rPr>
              <w:t>F-</w:t>
            </w:r>
            <w:hyperlink w:anchor="i7fc1c5f83a024e14b6bab7a02296455e_304" w:history="1">
              <w:r>
                <w:rPr>
                  <w:rStyle w:val="a3"/>
                  <w:rFonts w:eastAsia="Times New Roman"/>
                  <w:sz w:val="20"/>
                  <w:szCs w:val="20"/>
                </w:rPr>
                <w:t>59</w:t>
              </w:r>
            </w:hyperlink>
          </w:p>
        </w:tc>
      </w:tr>
      <w:tr w:rsidR="00000000" w14:paraId="29BC34C5" w14:textId="77777777">
        <w:trPr>
          <w:jc w:val="center"/>
        </w:trPr>
        <w:tc>
          <w:tcPr>
            <w:tcW w:w="0" w:type="auto"/>
            <w:gridSpan w:val="3"/>
            <w:vAlign w:val="center"/>
            <w:hideMark/>
          </w:tcPr>
          <w:p w14:paraId="7E666D53" w14:textId="77777777" w:rsidR="00000000" w:rsidRDefault="00EE5306">
            <w:pPr>
              <w:spacing w:after="100"/>
              <w:jc w:val="right"/>
              <w:rPr>
                <w:rFonts w:eastAsia="Times New Roman"/>
              </w:rPr>
            </w:pPr>
          </w:p>
        </w:tc>
        <w:tc>
          <w:tcPr>
            <w:tcW w:w="0" w:type="auto"/>
            <w:gridSpan w:val="3"/>
            <w:vAlign w:val="center"/>
            <w:hideMark/>
          </w:tcPr>
          <w:p w14:paraId="3A7D0C81" w14:textId="77777777" w:rsidR="00000000" w:rsidRDefault="00EE5306">
            <w:pPr>
              <w:spacing w:after="100"/>
              <w:rPr>
                <w:rFonts w:eastAsia="Times New Roman"/>
                <w:sz w:val="20"/>
                <w:szCs w:val="20"/>
              </w:rPr>
            </w:pPr>
          </w:p>
        </w:tc>
        <w:tc>
          <w:tcPr>
            <w:tcW w:w="0" w:type="auto"/>
            <w:vAlign w:val="center"/>
            <w:hideMark/>
          </w:tcPr>
          <w:p w14:paraId="6A55745F" w14:textId="77777777" w:rsidR="00000000" w:rsidRDefault="00EE5306">
            <w:pPr>
              <w:spacing w:after="100"/>
              <w:rPr>
                <w:rFonts w:eastAsia="Times New Roman"/>
                <w:sz w:val="20"/>
                <w:szCs w:val="20"/>
              </w:rPr>
            </w:pPr>
          </w:p>
        </w:tc>
        <w:tc>
          <w:tcPr>
            <w:tcW w:w="0" w:type="auto"/>
            <w:vAlign w:val="center"/>
            <w:hideMark/>
          </w:tcPr>
          <w:p w14:paraId="6B5E5399" w14:textId="77777777" w:rsidR="00000000" w:rsidRDefault="00EE5306">
            <w:pPr>
              <w:spacing w:after="100"/>
              <w:rPr>
                <w:rFonts w:eastAsia="Times New Roman"/>
                <w:sz w:val="20"/>
                <w:szCs w:val="20"/>
              </w:rPr>
            </w:pPr>
          </w:p>
        </w:tc>
        <w:tc>
          <w:tcPr>
            <w:tcW w:w="0" w:type="auto"/>
            <w:vAlign w:val="center"/>
            <w:hideMark/>
          </w:tcPr>
          <w:p w14:paraId="1CBA14C9" w14:textId="77777777" w:rsidR="00000000" w:rsidRDefault="00EE5306">
            <w:pPr>
              <w:spacing w:after="100"/>
              <w:rPr>
                <w:rFonts w:eastAsia="Times New Roman"/>
                <w:sz w:val="20"/>
                <w:szCs w:val="20"/>
              </w:rPr>
            </w:pPr>
          </w:p>
        </w:tc>
      </w:tr>
      <w:tr w:rsidR="00000000" w14:paraId="3232A90D" w14:textId="77777777">
        <w:trPr>
          <w:jc w:val="center"/>
        </w:trPr>
        <w:tc>
          <w:tcPr>
            <w:tcW w:w="0" w:type="auto"/>
            <w:gridSpan w:val="3"/>
            <w:vAlign w:val="center"/>
            <w:hideMark/>
          </w:tcPr>
          <w:p w14:paraId="34412390" w14:textId="77777777" w:rsidR="00000000" w:rsidRDefault="00EE5306">
            <w:pPr>
              <w:spacing w:after="100"/>
              <w:rPr>
                <w:rFonts w:eastAsia="Times New Roman"/>
                <w:sz w:val="20"/>
                <w:szCs w:val="20"/>
              </w:rPr>
            </w:pPr>
          </w:p>
        </w:tc>
        <w:tc>
          <w:tcPr>
            <w:tcW w:w="0" w:type="auto"/>
            <w:gridSpan w:val="3"/>
            <w:vAlign w:val="center"/>
            <w:hideMark/>
          </w:tcPr>
          <w:p w14:paraId="41FE156B" w14:textId="77777777" w:rsidR="00000000" w:rsidRDefault="00EE5306">
            <w:pPr>
              <w:spacing w:after="100"/>
              <w:rPr>
                <w:rFonts w:eastAsia="Times New Roman"/>
                <w:sz w:val="20"/>
                <w:szCs w:val="20"/>
              </w:rPr>
            </w:pPr>
          </w:p>
        </w:tc>
        <w:tc>
          <w:tcPr>
            <w:tcW w:w="0" w:type="auto"/>
            <w:vAlign w:val="center"/>
            <w:hideMark/>
          </w:tcPr>
          <w:p w14:paraId="4B8875FF" w14:textId="77777777" w:rsidR="00000000" w:rsidRDefault="00EE5306">
            <w:pPr>
              <w:spacing w:after="100"/>
              <w:rPr>
                <w:rFonts w:eastAsia="Times New Roman"/>
                <w:sz w:val="20"/>
                <w:szCs w:val="20"/>
              </w:rPr>
            </w:pPr>
          </w:p>
        </w:tc>
        <w:tc>
          <w:tcPr>
            <w:tcW w:w="0" w:type="auto"/>
            <w:vAlign w:val="center"/>
            <w:hideMark/>
          </w:tcPr>
          <w:p w14:paraId="4D23A675" w14:textId="77777777" w:rsidR="00000000" w:rsidRDefault="00EE5306">
            <w:pPr>
              <w:spacing w:after="100"/>
              <w:rPr>
                <w:rFonts w:eastAsia="Times New Roman"/>
                <w:sz w:val="20"/>
                <w:szCs w:val="20"/>
              </w:rPr>
            </w:pPr>
          </w:p>
        </w:tc>
        <w:tc>
          <w:tcPr>
            <w:tcW w:w="0" w:type="auto"/>
            <w:vAlign w:val="center"/>
            <w:hideMark/>
          </w:tcPr>
          <w:p w14:paraId="6BB5A2C7" w14:textId="77777777" w:rsidR="00000000" w:rsidRDefault="00EE5306">
            <w:pPr>
              <w:spacing w:after="100"/>
              <w:rPr>
                <w:rFonts w:eastAsia="Times New Roman"/>
                <w:sz w:val="20"/>
                <w:szCs w:val="20"/>
              </w:rPr>
            </w:pPr>
          </w:p>
        </w:tc>
      </w:tr>
      <w:tr w:rsidR="00000000" w14:paraId="3B93CC73" w14:textId="77777777">
        <w:trPr>
          <w:jc w:val="center"/>
        </w:trPr>
        <w:tc>
          <w:tcPr>
            <w:tcW w:w="0" w:type="auto"/>
            <w:gridSpan w:val="3"/>
            <w:vAlign w:val="center"/>
            <w:hideMark/>
          </w:tcPr>
          <w:p w14:paraId="5C8C1BD5" w14:textId="77777777" w:rsidR="00000000" w:rsidRDefault="00EE5306">
            <w:pPr>
              <w:spacing w:after="100"/>
              <w:rPr>
                <w:rFonts w:eastAsia="Times New Roman"/>
                <w:sz w:val="20"/>
                <w:szCs w:val="20"/>
              </w:rPr>
            </w:pPr>
          </w:p>
        </w:tc>
        <w:tc>
          <w:tcPr>
            <w:tcW w:w="0" w:type="auto"/>
            <w:gridSpan w:val="3"/>
            <w:vAlign w:val="center"/>
            <w:hideMark/>
          </w:tcPr>
          <w:p w14:paraId="0614987E" w14:textId="77777777" w:rsidR="00000000" w:rsidRDefault="00EE5306">
            <w:pPr>
              <w:spacing w:after="100"/>
              <w:rPr>
                <w:rFonts w:eastAsia="Times New Roman"/>
                <w:sz w:val="20"/>
                <w:szCs w:val="20"/>
              </w:rPr>
            </w:pPr>
          </w:p>
        </w:tc>
        <w:tc>
          <w:tcPr>
            <w:tcW w:w="0" w:type="auto"/>
            <w:vAlign w:val="center"/>
            <w:hideMark/>
          </w:tcPr>
          <w:p w14:paraId="5F2AD2A4" w14:textId="77777777" w:rsidR="00000000" w:rsidRDefault="00EE5306">
            <w:pPr>
              <w:spacing w:after="100"/>
              <w:rPr>
                <w:rFonts w:eastAsia="Times New Roman"/>
                <w:sz w:val="20"/>
                <w:szCs w:val="20"/>
              </w:rPr>
            </w:pPr>
          </w:p>
        </w:tc>
        <w:tc>
          <w:tcPr>
            <w:tcW w:w="0" w:type="auto"/>
            <w:vAlign w:val="center"/>
            <w:hideMark/>
          </w:tcPr>
          <w:p w14:paraId="08DFD89D" w14:textId="77777777" w:rsidR="00000000" w:rsidRDefault="00EE5306">
            <w:pPr>
              <w:spacing w:after="100"/>
              <w:rPr>
                <w:rFonts w:eastAsia="Times New Roman"/>
                <w:sz w:val="20"/>
                <w:szCs w:val="20"/>
              </w:rPr>
            </w:pPr>
          </w:p>
        </w:tc>
        <w:tc>
          <w:tcPr>
            <w:tcW w:w="0" w:type="auto"/>
            <w:vAlign w:val="center"/>
            <w:hideMark/>
          </w:tcPr>
          <w:p w14:paraId="0E85BC41" w14:textId="77777777" w:rsidR="00000000" w:rsidRDefault="00EE5306">
            <w:pPr>
              <w:spacing w:after="100"/>
              <w:rPr>
                <w:rFonts w:eastAsia="Times New Roman"/>
                <w:sz w:val="20"/>
                <w:szCs w:val="20"/>
              </w:rPr>
            </w:pPr>
          </w:p>
        </w:tc>
      </w:tr>
    </w:tbl>
    <w:p w14:paraId="30173284" w14:textId="77777777" w:rsidR="00000000" w:rsidRDefault="00EE5306">
      <w:pPr>
        <w:divId w:val="130751113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877CAB7" w14:textId="77777777">
        <w:trPr>
          <w:divId w:val="872040178"/>
          <w:jc w:val="center"/>
        </w:trPr>
        <w:tc>
          <w:tcPr>
            <w:tcW w:w="50" w:type="pct"/>
            <w:vAlign w:val="center"/>
            <w:hideMark/>
          </w:tcPr>
          <w:p w14:paraId="04F9CA86" w14:textId="77777777" w:rsidR="00000000" w:rsidRDefault="00EE5306">
            <w:pPr>
              <w:rPr>
                <w:rFonts w:eastAsia="Times New Roman"/>
              </w:rPr>
            </w:pPr>
          </w:p>
        </w:tc>
        <w:tc>
          <w:tcPr>
            <w:tcW w:w="1699" w:type="pct"/>
            <w:vAlign w:val="center"/>
            <w:hideMark/>
          </w:tcPr>
          <w:p w14:paraId="7DDB1E9D" w14:textId="77777777" w:rsidR="00000000" w:rsidRDefault="00EE5306">
            <w:pPr>
              <w:spacing w:after="100"/>
              <w:rPr>
                <w:rFonts w:eastAsia="Times New Roman"/>
                <w:sz w:val="20"/>
                <w:szCs w:val="20"/>
              </w:rPr>
            </w:pPr>
          </w:p>
        </w:tc>
        <w:tc>
          <w:tcPr>
            <w:tcW w:w="5" w:type="pct"/>
            <w:vAlign w:val="center"/>
            <w:hideMark/>
          </w:tcPr>
          <w:p w14:paraId="5A32661E" w14:textId="77777777" w:rsidR="00000000" w:rsidRDefault="00EE5306">
            <w:pPr>
              <w:spacing w:after="100"/>
              <w:rPr>
                <w:rFonts w:eastAsia="Times New Roman"/>
                <w:sz w:val="20"/>
                <w:szCs w:val="20"/>
              </w:rPr>
            </w:pPr>
          </w:p>
        </w:tc>
        <w:tc>
          <w:tcPr>
            <w:tcW w:w="50" w:type="pct"/>
            <w:vAlign w:val="center"/>
            <w:hideMark/>
          </w:tcPr>
          <w:p w14:paraId="5A847B1E" w14:textId="77777777" w:rsidR="00000000" w:rsidRDefault="00EE5306">
            <w:pPr>
              <w:spacing w:after="100"/>
              <w:rPr>
                <w:rFonts w:eastAsia="Times New Roman"/>
                <w:sz w:val="20"/>
                <w:szCs w:val="20"/>
              </w:rPr>
            </w:pPr>
          </w:p>
        </w:tc>
        <w:tc>
          <w:tcPr>
            <w:tcW w:w="1436" w:type="pct"/>
            <w:vAlign w:val="center"/>
            <w:hideMark/>
          </w:tcPr>
          <w:p w14:paraId="27740F28" w14:textId="77777777" w:rsidR="00000000" w:rsidRDefault="00EE5306">
            <w:pPr>
              <w:spacing w:after="100"/>
              <w:rPr>
                <w:rFonts w:eastAsia="Times New Roman"/>
                <w:sz w:val="20"/>
                <w:szCs w:val="20"/>
              </w:rPr>
            </w:pPr>
          </w:p>
        </w:tc>
        <w:tc>
          <w:tcPr>
            <w:tcW w:w="5" w:type="pct"/>
            <w:vAlign w:val="center"/>
            <w:hideMark/>
          </w:tcPr>
          <w:p w14:paraId="2A764288" w14:textId="77777777" w:rsidR="00000000" w:rsidRDefault="00EE5306">
            <w:pPr>
              <w:spacing w:after="100"/>
              <w:rPr>
                <w:rFonts w:eastAsia="Times New Roman"/>
                <w:sz w:val="20"/>
                <w:szCs w:val="20"/>
              </w:rPr>
            </w:pPr>
          </w:p>
        </w:tc>
        <w:tc>
          <w:tcPr>
            <w:tcW w:w="50" w:type="pct"/>
            <w:vAlign w:val="center"/>
            <w:hideMark/>
          </w:tcPr>
          <w:p w14:paraId="15E31C72" w14:textId="77777777" w:rsidR="00000000" w:rsidRDefault="00EE5306">
            <w:pPr>
              <w:spacing w:after="100"/>
              <w:rPr>
                <w:rFonts w:eastAsia="Times New Roman"/>
                <w:sz w:val="20"/>
                <w:szCs w:val="20"/>
              </w:rPr>
            </w:pPr>
          </w:p>
        </w:tc>
        <w:tc>
          <w:tcPr>
            <w:tcW w:w="1699" w:type="pct"/>
            <w:vAlign w:val="center"/>
            <w:hideMark/>
          </w:tcPr>
          <w:p w14:paraId="44C70E5E" w14:textId="77777777" w:rsidR="00000000" w:rsidRDefault="00EE5306">
            <w:pPr>
              <w:spacing w:after="100"/>
              <w:rPr>
                <w:rFonts w:eastAsia="Times New Roman"/>
                <w:sz w:val="20"/>
                <w:szCs w:val="20"/>
              </w:rPr>
            </w:pPr>
          </w:p>
        </w:tc>
        <w:tc>
          <w:tcPr>
            <w:tcW w:w="5" w:type="pct"/>
            <w:vAlign w:val="center"/>
            <w:hideMark/>
          </w:tcPr>
          <w:p w14:paraId="237EF488" w14:textId="77777777" w:rsidR="00000000" w:rsidRDefault="00EE5306">
            <w:pPr>
              <w:spacing w:after="100"/>
              <w:rPr>
                <w:rFonts w:eastAsia="Times New Roman"/>
                <w:sz w:val="20"/>
                <w:szCs w:val="20"/>
              </w:rPr>
            </w:pPr>
          </w:p>
        </w:tc>
      </w:tr>
      <w:tr w:rsidR="00000000" w14:paraId="6C3D6706" w14:textId="77777777">
        <w:trPr>
          <w:divId w:val="872040178"/>
          <w:jc w:val="center"/>
        </w:trPr>
        <w:tc>
          <w:tcPr>
            <w:tcW w:w="0" w:type="auto"/>
            <w:gridSpan w:val="3"/>
            <w:tcMar>
              <w:top w:w="0" w:type="dxa"/>
              <w:left w:w="20" w:type="dxa"/>
              <w:bottom w:w="0" w:type="dxa"/>
              <w:right w:w="20" w:type="dxa"/>
            </w:tcMar>
            <w:vAlign w:val="center"/>
            <w:hideMark/>
          </w:tcPr>
          <w:p w14:paraId="06A8A8F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F68024D" w14:textId="77777777" w:rsidR="00000000" w:rsidRDefault="00EE5306">
            <w:pPr>
              <w:spacing w:after="100"/>
              <w:jc w:val="center"/>
              <w:rPr>
                <w:rFonts w:eastAsia="Times New Roman"/>
              </w:rPr>
            </w:pPr>
            <w:r>
              <w:rPr>
                <w:rFonts w:eastAsia="Times New Roman"/>
                <w:color w:val="000000"/>
                <w:sz w:val="20"/>
                <w:szCs w:val="20"/>
              </w:rPr>
              <w:t>F-1</w:t>
            </w:r>
          </w:p>
        </w:tc>
        <w:tc>
          <w:tcPr>
            <w:tcW w:w="0" w:type="auto"/>
            <w:gridSpan w:val="3"/>
            <w:tcMar>
              <w:top w:w="0" w:type="dxa"/>
              <w:left w:w="20" w:type="dxa"/>
              <w:bottom w:w="0" w:type="dxa"/>
              <w:right w:w="20" w:type="dxa"/>
            </w:tcMar>
            <w:vAlign w:val="center"/>
            <w:hideMark/>
          </w:tcPr>
          <w:p w14:paraId="242CF846" w14:textId="77777777" w:rsidR="00000000" w:rsidRDefault="00EE5306">
            <w:pPr>
              <w:spacing w:after="100"/>
              <w:jc w:val="center"/>
              <w:rPr>
                <w:rFonts w:eastAsia="Times New Roman"/>
              </w:rPr>
            </w:pPr>
          </w:p>
        </w:tc>
      </w:tr>
    </w:tbl>
    <w:p w14:paraId="0AA649F8" w14:textId="77777777" w:rsidR="00000000" w:rsidRDefault="00EE5306">
      <w:pPr>
        <w:rPr>
          <w:rFonts w:eastAsia="Times New Roman"/>
        </w:rPr>
      </w:pPr>
      <w:r>
        <w:rPr>
          <w:rFonts w:eastAsia="Times New Roman"/>
        </w:rPr>
        <w:pict w14:anchorId="43776583">
          <v:rect id="_x0000_i1111" style="width:0;height:1.5pt" o:hralign="center" o:hrstd="t" o:hr="t" fillcolor="#a0a0a0" stroked="f"/>
        </w:pict>
      </w:r>
    </w:p>
    <w:p w14:paraId="28705B14" w14:textId="77777777" w:rsidR="00000000" w:rsidRDefault="00EE5306">
      <w:pPr>
        <w:divId w:val="634992303"/>
        <w:rPr>
          <w:rFonts w:eastAsia="Times New Roman"/>
        </w:rPr>
      </w:pPr>
    </w:p>
    <w:p w14:paraId="7962D9A4" w14:textId="77777777" w:rsidR="00000000" w:rsidRDefault="00EE5306">
      <w:pPr>
        <w:jc w:val="center"/>
        <w:rPr>
          <w:rFonts w:eastAsia="Times New Roman"/>
        </w:rPr>
      </w:pPr>
      <w:r>
        <w:rPr>
          <w:rFonts w:eastAsia="Times New Roman"/>
          <w:b/>
          <w:bCs/>
          <w:color w:val="000000"/>
          <w:sz w:val="20"/>
          <w:szCs w:val="20"/>
        </w:rPr>
        <w:t>RALPH LAUREN CORPORATION</w:t>
      </w:r>
    </w:p>
    <w:p w14:paraId="60445E70" w14:textId="77777777" w:rsidR="00000000" w:rsidRDefault="00EE5306">
      <w:pPr>
        <w:jc w:val="center"/>
        <w:divId w:val="2073038857"/>
        <w:rPr>
          <w:rFonts w:eastAsia="Times New Roman"/>
        </w:rPr>
      </w:pPr>
      <w:r>
        <w:rPr>
          <w:rFonts w:eastAsia="Times New Roman"/>
          <w:b/>
          <w:bCs/>
          <w:color w:val="000000"/>
          <w:sz w:val="20"/>
          <w:szCs w:val="20"/>
        </w:rPr>
        <w:t>CONSOLIDATED BALANCE SHEETS</w:t>
      </w:r>
    </w:p>
    <w:p w14:paraId="39E7E440" w14:textId="77777777" w:rsidR="00000000" w:rsidRDefault="00EE5306">
      <w:pPr>
        <w:jc w:val="center"/>
        <w:rPr>
          <w:rFonts w:eastAsia="Times New Roman"/>
        </w:rPr>
      </w:pPr>
      <w:r>
        <w:rPr>
          <w:rFonts w:eastAsia="Times New Roman"/>
          <w:color w:val="000000"/>
          <w:sz w:val="18"/>
          <w:szCs w:val="18"/>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594"/>
        <w:gridCol w:w="39"/>
        <w:gridCol w:w="36"/>
        <w:gridCol w:w="36"/>
        <w:gridCol w:w="36"/>
        <w:gridCol w:w="120"/>
        <w:gridCol w:w="1040"/>
        <w:gridCol w:w="36"/>
        <w:gridCol w:w="36"/>
        <w:gridCol w:w="36"/>
        <w:gridCol w:w="36"/>
        <w:gridCol w:w="120"/>
        <w:gridCol w:w="1040"/>
        <w:gridCol w:w="36"/>
      </w:tblGrid>
      <w:tr w:rsidR="00000000" w14:paraId="36982772" w14:textId="77777777">
        <w:trPr>
          <w:jc w:val="center"/>
        </w:trPr>
        <w:tc>
          <w:tcPr>
            <w:tcW w:w="50" w:type="pct"/>
            <w:vAlign w:val="center"/>
            <w:hideMark/>
          </w:tcPr>
          <w:p w14:paraId="102C44DE" w14:textId="77777777" w:rsidR="00000000" w:rsidRDefault="00EE5306">
            <w:pPr>
              <w:jc w:val="center"/>
              <w:rPr>
                <w:rFonts w:eastAsia="Times New Roman"/>
              </w:rPr>
            </w:pPr>
          </w:p>
        </w:tc>
        <w:tc>
          <w:tcPr>
            <w:tcW w:w="3405" w:type="pct"/>
            <w:vAlign w:val="center"/>
            <w:hideMark/>
          </w:tcPr>
          <w:p w14:paraId="0D5AB56B" w14:textId="77777777" w:rsidR="00000000" w:rsidRDefault="00EE5306">
            <w:pPr>
              <w:spacing w:after="100"/>
              <w:rPr>
                <w:rFonts w:eastAsia="Times New Roman"/>
                <w:sz w:val="20"/>
                <w:szCs w:val="20"/>
              </w:rPr>
            </w:pPr>
          </w:p>
        </w:tc>
        <w:tc>
          <w:tcPr>
            <w:tcW w:w="5" w:type="pct"/>
            <w:vAlign w:val="center"/>
            <w:hideMark/>
          </w:tcPr>
          <w:p w14:paraId="6BEE8942" w14:textId="77777777" w:rsidR="00000000" w:rsidRDefault="00EE5306">
            <w:pPr>
              <w:spacing w:after="100"/>
              <w:rPr>
                <w:rFonts w:eastAsia="Times New Roman"/>
                <w:sz w:val="20"/>
                <w:szCs w:val="20"/>
              </w:rPr>
            </w:pPr>
          </w:p>
        </w:tc>
        <w:tc>
          <w:tcPr>
            <w:tcW w:w="5" w:type="pct"/>
            <w:vAlign w:val="center"/>
            <w:hideMark/>
          </w:tcPr>
          <w:p w14:paraId="39149C71" w14:textId="77777777" w:rsidR="00000000" w:rsidRDefault="00EE5306">
            <w:pPr>
              <w:spacing w:after="100"/>
              <w:rPr>
                <w:rFonts w:eastAsia="Times New Roman"/>
                <w:sz w:val="20"/>
                <w:szCs w:val="20"/>
              </w:rPr>
            </w:pPr>
          </w:p>
        </w:tc>
        <w:tc>
          <w:tcPr>
            <w:tcW w:w="26" w:type="pct"/>
            <w:vAlign w:val="center"/>
            <w:hideMark/>
          </w:tcPr>
          <w:p w14:paraId="66C27171" w14:textId="77777777" w:rsidR="00000000" w:rsidRDefault="00EE5306">
            <w:pPr>
              <w:spacing w:after="100"/>
              <w:rPr>
                <w:rFonts w:eastAsia="Times New Roman"/>
                <w:sz w:val="20"/>
                <w:szCs w:val="20"/>
              </w:rPr>
            </w:pPr>
          </w:p>
        </w:tc>
        <w:tc>
          <w:tcPr>
            <w:tcW w:w="5" w:type="pct"/>
            <w:vAlign w:val="center"/>
            <w:hideMark/>
          </w:tcPr>
          <w:p w14:paraId="4C86E673" w14:textId="77777777" w:rsidR="00000000" w:rsidRDefault="00EE5306">
            <w:pPr>
              <w:spacing w:after="100"/>
              <w:rPr>
                <w:rFonts w:eastAsia="Times New Roman"/>
                <w:sz w:val="20"/>
                <w:szCs w:val="20"/>
              </w:rPr>
            </w:pPr>
          </w:p>
        </w:tc>
        <w:tc>
          <w:tcPr>
            <w:tcW w:w="50" w:type="pct"/>
            <w:vAlign w:val="center"/>
            <w:hideMark/>
          </w:tcPr>
          <w:p w14:paraId="6E43A0EB" w14:textId="77777777" w:rsidR="00000000" w:rsidRDefault="00EE5306">
            <w:pPr>
              <w:spacing w:after="100"/>
              <w:rPr>
                <w:rFonts w:eastAsia="Times New Roman"/>
                <w:sz w:val="20"/>
                <w:szCs w:val="20"/>
              </w:rPr>
            </w:pPr>
          </w:p>
        </w:tc>
        <w:tc>
          <w:tcPr>
            <w:tcW w:w="678" w:type="pct"/>
            <w:vAlign w:val="center"/>
            <w:hideMark/>
          </w:tcPr>
          <w:p w14:paraId="33813ABA" w14:textId="77777777" w:rsidR="00000000" w:rsidRDefault="00EE5306">
            <w:pPr>
              <w:spacing w:after="100"/>
              <w:rPr>
                <w:rFonts w:eastAsia="Times New Roman"/>
                <w:sz w:val="20"/>
                <w:szCs w:val="20"/>
              </w:rPr>
            </w:pPr>
          </w:p>
        </w:tc>
        <w:tc>
          <w:tcPr>
            <w:tcW w:w="5" w:type="pct"/>
            <w:vAlign w:val="center"/>
            <w:hideMark/>
          </w:tcPr>
          <w:p w14:paraId="7FB6C603" w14:textId="77777777" w:rsidR="00000000" w:rsidRDefault="00EE5306">
            <w:pPr>
              <w:spacing w:after="100"/>
              <w:rPr>
                <w:rFonts w:eastAsia="Times New Roman"/>
                <w:sz w:val="20"/>
                <w:szCs w:val="20"/>
              </w:rPr>
            </w:pPr>
          </w:p>
        </w:tc>
        <w:tc>
          <w:tcPr>
            <w:tcW w:w="5" w:type="pct"/>
            <w:vAlign w:val="center"/>
            <w:hideMark/>
          </w:tcPr>
          <w:p w14:paraId="21D75621" w14:textId="77777777" w:rsidR="00000000" w:rsidRDefault="00EE5306">
            <w:pPr>
              <w:spacing w:after="100"/>
              <w:rPr>
                <w:rFonts w:eastAsia="Times New Roman"/>
                <w:sz w:val="20"/>
                <w:szCs w:val="20"/>
              </w:rPr>
            </w:pPr>
          </w:p>
        </w:tc>
        <w:tc>
          <w:tcPr>
            <w:tcW w:w="26" w:type="pct"/>
            <w:vAlign w:val="center"/>
            <w:hideMark/>
          </w:tcPr>
          <w:p w14:paraId="5D0FFF56" w14:textId="77777777" w:rsidR="00000000" w:rsidRDefault="00EE5306">
            <w:pPr>
              <w:spacing w:after="100"/>
              <w:rPr>
                <w:rFonts w:eastAsia="Times New Roman"/>
                <w:sz w:val="20"/>
                <w:szCs w:val="20"/>
              </w:rPr>
            </w:pPr>
          </w:p>
        </w:tc>
        <w:tc>
          <w:tcPr>
            <w:tcW w:w="5" w:type="pct"/>
            <w:vAlign w:val="center"/>
            <w:hideMark/>
          </w:tcPr>
          <w:p w14:paraId="49C36DCB" w14:textId="77777777" w:rsidR="00000000" w:rsidRDefault="00EE5306">
            <w:pPr>
              <w:spacing w:after="100"/>
              <w:rPr>
                <w:rFonts w:eastAsia="Times New Roman"/>
                <w:sz w:val="20"/>
                <w:szCs w:val="20"/>
              </w:rPr>
            </w:pPr>
          </w:p>
        </w:tc>
        <w:tc>
          <w:tcPr>
            <w:tcW w:w="50" w:type="pct"/>
            <w:vAlign w:val="center"/>
            <w:hideMark/>
          </w:tcPr>
          <w:p w14:paraId="6957DFA2" w14:textId="77777777" w:rsidR="00000000" w:rsidRDefault="00EE5306">
            <w:pPr>
              <w:spacing w:after="100"/>
              <w:rPr>
                <w:rFonts w:eastAsia="Times New Roman"/>
                <w:sz w:val="20"/>
                <w:szCs w:val="20"/>
              </w:rPr>
            </w:pPr>
          </w:p>
        </w:tc>
        <w:tc>
          <w:tcPr>
            <w:tcW w:w="678" w:type="pct"/>
            <w:vAlign w:val="center"/>
            <w:hideMark/>
          </w:tcPr>
          <w:p w14:paraId="6B2B305A" w14:textId="77777777" w:rsidR="00000000" w:rsidRDefault="00EE5306">
            <w:pPr>
              <w:spacing w:after="100"/>
              <w:rPr>
                <w:rFonts w:eastAsia="Times New Roman"/>
                <w:sz w:val="20"/>
                <w:szCs w:val="20"/>
              </w:rPr>
            </w:pPr>
          </w:p>
        </w:tc>
        <w:tc>
          <w:tcPr>
            <w:tcW w:w="5" w:type="pct"/>
            <w:vAlign w:val="center"/>
            <w:hideMark/>
          </w:tcPr>
          <w:p w14:paraId="72EAD91D" w14:textId="77777777" w:rsidR="00000000" w:rsidRDefault="00EE5306">
            <w:pPr>
              <w:spacing w:after="100"/>
              <w:rPr>
                <w:rFonts w:eastAsia="Times New Roman"/>
                <w:sz w:val="20"/>
                <w:szCs w:val="20"/>
              </w:rPr>
            </w:pPr>
          </w:p>
        </w:tc>
      </w:tr>
      <w:tr w:rsidR="00000000" w14:paraId="6AA145A2" w14:textId="77777777">
        <w:trPr>
          <w:jc w:val="center"/>
        </w:trPr>
        <w:tc>
          <w:tcPr>
            <w:tcW w:w="0" w:type="auto"/>
            <w:gridSpan w:val="3"/>
            <w:tcMar>
              <w:top w:w="0" w:type="dxa"/>
              <w:left w:w="20" w:type="dxa"/>
              <w:bottom w:w="0" w:type="dxa"/>
              <w:right w:w="20" w:type="dxa"/>
            </w:tcMar>
            <w:vAlign w:val="center"/>
            <w:hideMark/>
          </w:tcPr>
          <w:p w14:paraId="062E0846"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00205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2E4E127"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119E5635"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25DFC36"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7D2408BF" w14:textId="77777777">
        <w:trPr>
          <w:jc w:val="center"/>
        </w:trPr>
        <w:tc>
          <w:tcPr>
            <w:tcW w:w="0" w:type="auto"/>
            <w:gridSpan w:val="3"/>
            <w:tcMar>
              <w:top w:w="0" w:type="dxa"/>
              <w:left w:w="20" w:type="dxa"/>
              <w:bottom w:w="0" w:type="dxa"/>
              <w:right w:w="20" w:type="dxa"/>
            </w:tcMar>
            <w:vAlign w:val="center"/>
            <w:hideMark/>
          </w:tcPr>
          <w:p w14:paraId="47F94387"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A05D32" w14:textId="77777777" w:rsidR="00000000" w:rsidRDefault="00EE530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324281F"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78CF6BE1" w14:textId="77777777">
        <w:trPr>
          <w:jc w:val="center"/>
        </w:trPr>
        <w:tc>
          <w:tcPr>
            <w:tcW w:w="0" w:type="auto"/>
            <w:gridSpan w:val="15"/>
            <w:shd w:val="clear" w:color="auto" w:fill="CCEEFF"/>
            <w:tcMar>
              <w:top w:w="30" w:type="dxa"/>
              <w:left w:w="20" w:type="dxa"/>
              <w:bottom w:w="30" w:type="dxa"/>
              <w:right w:w="20" w:type="dxa"/>
            </w:tcMar>
            <w:vAlign w:val="bottom"/>
            <w:hideMark/>
          </w:tcPr>
          <w:p w14:paraId="6A707F45" w14:textId="77777777" w:rsidR="00000000" w:rsidRDefault="00EE5306">
            <w:pPr>
              <w:spacing w:after="100"/>
              <w:jc w:val="center"/>
              <w:rPr>
                <w:rFonts w:eastAsia="Times New Roman"/>
              </w:rPr>
            </w:pPr>
            <w:r>
              <w:rPr>
                <w:rFonts w:eastAsia="Times New Roman"/>
                <w:b/>
                <w:bCs/>
                <w:color w:val="000000"/>
                <w:sz w:val="20"/>
                <w:szCs w:val="20"/>
              </w:rPr>
              <w:t>ASSETS</w:t>
            </w:r>
          </w:p>
        </w:tc>
      </w:tr>
      <w:tr w:rsidR="00000000" w14:paraId="4AF89A11" w14:textId="77777777">
        <w:trPr>
          <w:jc w:val="center"/>
        </w:trPr>
        <w:tc>
          <w:tcPr>
            <w:tcW w:w="0" w:type="auto"/>
            <w:gridSpan w:val="3"/>
            <w:shd w:val="clear" w:color="auto" w:fill="FFFFFF"/>
            <w:tcMar>
              <w:top w:w="30" w:type="dxa"/>
              <w:left w:w="20" w:type="dxa"/>
              <w:bottom w:w="30" w:type="dxa"/>
              <w:right w:w="20" w:type="dxa"/>
            </w:tcMar>
            <w:vAlign w:val="bottom"/>
            <w:hideMark/>
          </w:tcPr>
          <w:p w14:paraId="486A9392" w14:textId="77777777" w:rsidR="00000000" w:rsidRDefault="00EE5306">
            <w:pPr>
              <w:spacing w:after="100"/>
              <w:rPr>
                <w:rFonts w:eastAsia="Times New Roman"/>
              </w:rPr>
            </w:pPr>
            <w:r>
              <w:rPr>
                <w:rFonts w:eastAsia="Times New Roman"/>
                <w:b/>
                <w:b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3BAC1331"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91FC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F430F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074540" w14:textId="77777777" w:rsidR="00000000" w:rsidRDefault="00EE5306">
            <w:pPr>
              <w:spacing w:after="100"/>
              <w:rPr>
                <w:rFonts w:eastAsia="Times New Roman"/>
                <w:sz w:val="20"/>
                <w:szCs w:val="20"/>
              </w:rPr>
            </w:pPr>
          </w:p>
        </w:tc>
      </w:tr>
      <w:tr w:rsidR="00000000" w14:paraId="1DC05D14" w14:textId="77777777">
        <w:trPr>
          <w:jc w:val="center"/>
        </w:trPr>
        <w:tc>
          <w:tcPr>
            <w:tcW w:w="0" w:type="auto"/>
            <w:gridSpan w:val="3"/>
            <w:shd w:val="clear" w:color="auto" w:fill="CCEEFF"/>
            <w:tcMar>
              <w:top w:w="30" w:type="dxa"/>
              <w:left w:w="155" w:type="dxa"/>
              <w:bottom w:w="30" w:type="dxa"/>
              <w:right w:w="20" w:type="dxa"/>
            </w:tcMar>
            <w:vAlign w:val="bottom"/>
            <w:hideMark/>
          </w:tcPr>
          <w:p w14:paraId="3E3B6BA5" w14:textId="77777777" w:rsidR="00000000" w:rsidRDefault="00EE5306">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089D813F"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D73FB5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57F28CF" w14:textId="77777777" w:rsidR="00000000" w:rsidRDefault="00EE5306">
            <w:pPr>
              <w:spacing w:after="100"/>
              <w:jc w:val="right"/>
              <w:rPr>
                <w:rFonts w:eastAsia="Times New Roman"/>
              </w:rPr>
            </w:pPr>
            <w:r>
              <w:rPr>
                <w:rFonts w:eastAsia="Times New Roman"/>
                <w:color w:val="000000"/>
                <w:sz w:val="20"/>
                <w:szCs w:val="20"/>
              </w:rPr>
              <w:t>2,579.0 </w:t>
            </w:r>
          </w:p>
        </w:tc>
        <w:tc>
          <w:tcPr>
            <w:tcW w:w="0" w:type="auto"/>
            <w:shd w:val="clear" w:color="auto" w:fill="CCEEFF"/>
            <w:tcMar>
              <w:top w:w="30" w:type="dxa"/>
              <w:left w:w="0" w:type="dxa"/>
              <w:bottom w:w="30" w:type="dxa"/>
              <w:right w:w="20" w:type="dxa"/>
            </w:tcMar>
            <w:vAlign w:val="bottom"/>
            <w:hideMark/>
          </w:tcPr>
          <w:p w14:paraId="7A4D30A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FDA31"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72891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029BAA" w14:textId="77777777" w:rsidR="00000000" w:rsidRDefault="00EE5306">
            <w:pPr>
              <w:spacing w:after="100"/>
              <w:jc w:val="right"/>
              <w:rPr>
                <w:rFonts w:eastAsia="Times New Roman"/>
              </w:rPr>
            </w:pPr>
            <w:r>
              <w:rPr>
                <w:rFonts w:eastAsia="Times New Roman"/>
                <w:color w:val="000000"/>
                <w:sz w:val="20"/>
                <w:szCs w:val="20"/>
              </w:rPr>
              <w:t>1,620.4 </w:t>
            </w:r>
          </w:p>
        </w:tc>
        <w:tc>
          <w:tcPr>
            <w:tcW w:w="0" w:type="auto"/>
            <w:shd w:val="clear" w:color="auto" w:fill="CCEEFF"/>
            <w:tcMar>
              <w:top w:w="30" w:type="dxa"/>
              <w:left w:w="0" w:type="dxa"/>
              <w:bottom w:w="30" w:type="dxa"/>
              <w:right w:w="20" w:type="dxa"/>
            </w:tcMar>
            <w:vAlign w:val="bottom"/>
            <w:hideMark/>
          </w:tcPr>
          <w:p w14:paraId="281A8DD8" w14:textId="77777777" w:rsidR="00000000" w:rsidRDefault="00EE5306">
            <w:pPr>
              <w:spacing w:after="100"/>
              <w:jc w:val="right"/>
              <w:rPr>
                <w:rFonts w:eastAsia="Times New Roman"/>
              </w:rPr>
            </w:pPr>
          </w:p>
        </w:tc>
      </w:tr>
      <w:tr w:rsidR="00000000" w14:paraId="0F8F94AE" w14:textId="77777777">
        <w:trPr>
          <w:jc w:val="center"/>
        </w:trPr>
        <w:tc>
          <w:tcPr>
            <w:tcW w:w="0" w:type="auto"/>
            <w:gridSpan w:val="3"/>
            <w:shd w:val="clear" w:color="auto" w:fill="FFFFFF"/>
            <w:tcMar>
              <w:top w:w="30" w:type="dxa"/>
              <w:left w:w="155" w:type="dxa"/>
              <w:bottom w:w="30" w:type="dxa"/>
              <w:right w:w="20" w:type="dxa"/>
            </w:tcMar>
            <w:vAlign w:val="bottom"/>
            <w:hideMark/>
          </w:tcPr>
          <w:p w14:paraId="77BF9849" w14:textId="77777777" w:rsidR="00000000" w:rsidRDefault="00EE5306">
            <w:pPr>
              <w:spacing w:after="100"/>
              <w:rPr>
                <w:rFonts w:eastAsia="Times New Roman"/>
              </w:rPr>
            </w:pPr>
            <w:r>
              <w:rPr>
                <w:rFonts w:eastAsia="Times New Roman"/>
                <w:color w:val="000000"/>
                <w:sz w:val="20"/>
                <w:szCs w:val="20"/>
              </w:rPr>
              <w:t>Short-term investments</w:t>
            </w:r>
          </w:p>
        </w:tc>
        <w:tc>
          <w:tcPr>
            <w:tcW w:w="0" w:type="auto"/>
            <w:gridSpan w:val="3"/>
            <w:shd w:val="clear" w:color="auto" w:fill="FFFFFF"/>
            <w:tcMar>
              <w:top w:w="0" w:type="dxa"/>
              <w:left w:w="20" w:type="dxa"/>
              <w:bottom w:w="0" w:type="dxa"/>
              <w:right w:w="20" w:type="dxa"/>
            </w:tcMar>
            <w:vAlign w:val="center"/>
            <w:hideMark/>
          </w:tcPr>
          <w:p w14:paraId="0C42286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159378" w14:textId="77777777" w:rsidR="00000000" w:rsidRDefault="00EE5306">
            <w:pPr>
              <w:spacing w:after="100"/>
              <w:jc w:val="right"/>
              <w:rPr>
                <w:rFonts w:eastAsia="Times New Roman"/>
              </w:rPr>
            </w:pPr>
            <w:r>
              <w:rPr>
                <w:rFonts w:eastAsia="Times New Roman"/>
                <w:color w:val="000000"/>
                <w:sz w:val="20"/>
                <w:szCs w:val="20"/>
              </w:rPr>
              <w:t>197.5 </w:t>
            </w:r>
          </w:p>
        </w:tc>
        <w:tc>
          <w:tcPr>
            <w:tcW w:w="0" w:type="auto"/>
            <w:shd w:val="clear" w:color="auto" w:fill="FFFFFF"/>
            <w:tcMar>
              <w:top w:w="30" w:type="dxa"/>
              <w:left w:w="0" w:type="dxa"/>
              <w:bottom w:w="30" w:type="dxa"/>
              <w:right w:w="20" w:type="dxa"/>
            </w:tcMar>
            <w:vAlign w:val="bottom"/>
            <w:hideMark/>
          </w:tcPr>
          <w:p w14:paraId="13C7537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8B84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22EF75" w14:textId="77777777" w:rsidR="00000000" w:rsidRDefault="00EE5306">
            <w:pPr>
              <w:spacing w:after="100"/>
              <w:jc w:val="right"/>
              <w:rPr>
                <w:rFonts w:eastAsia="Times New Roman"/>
              </w:rPr>
            </w:pPr>
            <w:r>
              <w:rPr>
                <w:rFonts w:eastAsia="Times New Roman"/>
                <w:color w:val="000000"/>
                <w:sz w:val="20"/>
                <w:szCs w:val="20"/>
              </w:rPr>
              <w:t>495.9 </w:t>
            </w:r>
          </w:p>
        </w:tc>
        <w:tc>
          <w:tcPr>
            <w:tcW w:w="0" w:type="auto"/>
            <w:shd w:val="clear" w:color="auto" w:fill="FFFFFF"/>
            <w:tcMar>
              <w:top w:w="30" w:type="dxa"/>
              <w:left w:w="0" w:type="dxa"/>
              <w:bottom w:w="30" w:type="dxa"/>
              <w:right w:w="20" w:type="dxa"/>
            </w:tcMar>
            <w:vAlign w:val="bottom"/>
            <w:hideMark/>
          </w:tcPr>
          <w:p w14:paraId="58495004" w14:textId="77777777" w:rsidR="00000000" w:rsidRDefault="00EE5306">
            <w:pPr>
              <w:spacing w:after="100"/>
              <w:jc w:val="right"/>
              <w:rPr>
                <w:rFonts w:eastAsia="Times New Roman"/>
              </w:rPr>
            </w:pPr>
          </w:p>
        </w:tc>
      </w:tr>
      <w:tr w:rsidR="00000000" w14:paraId="1FA32FE5" w14:textId="77777777">
        <w:trPr>
          <w:jc w:val="center"/>
        </w:trPr>
        <w:tc>
          <w:tcPr>
            <w:tcW w:w="0" w:type="auto"/>
            <w:gridSpan w:val="3"/>
            <w:shd w:val="clear" w:color="auto" w:fill="CCEEFF"/>
            <w:tcMar>
              <w:top w:w="30" w:type="dxa"/>
              <w:left w:w="20" w:type="dxa"/>
              <w:bottom w:w="30" w:type="dxa"/>
              <w:right w:w="20" w:type="dxa"/>
            </w:tcMar>
            <w:vAlign w:val="bottom"/>
            <w:hideMark/>
          </w:tcPr>
          <w:p w14:paraId="124787EB" w14:textId="77777777" w:rsidR="00000000" w:rsidRDefault="00EE5306">
            <w:pPr>
              <w:spacing w:after="100"/>
              <w:divId w:val="705183492"/>
              <w:rPr>
                <w:rFonts w:eastAsia="Times New Roman"/>
              </w:rPr>
            </w:pPr>
            <w:r>
              <w:rPr>
                <w:rFonts w:eastAsia="Times New Roman"/>
                <w:color w:val="000000"/>
                <w:sz w:val="20"/>
                <w:szCs w:val="20"/>
              </w:rPr>
              <w:t>Accounts receivable, net of allowances of $213.8 million and $276.2 million</w:t>
            </w:r>
          </w:p>
        </w:tc>
        <w:tc>
          <w:tcPr>
            <w:tcW w:w="0" w:type="auto"/>
            <w:gridSpan w:val="3"/>
            <w:shd w:val="clear" w:color="auto" w:fill="CCEEFF"/>
            <w:tcMar>
              <w:top w:w="0" w:type="dxa"/>
              <w:left w:w="20" w:type="dxa"/>
              <w:bottom w:w="0" w:type="dxa"/>
              <w:right w:w="20" w:type="dxa"/>
            </w:tcMar>
            <w:vAlign w:val="center"/>
            <w:hideMark/>
          </w:tcPr>
          <w:p w14:paraId="5D35F86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87131B" w14:textId="77777777" w:rsidR="00000000" w:rsidRDefault="00EE5306">
            <w:pPr>
              <w:spacing w:after="100"/>
              <w:jc w:val="right"/>
              <w:rPr>
                <w:rFonts w:eastAsia="Times New Roman"/>
              </w:rPr>
            </w:pPr>
            <w:r>
              <w:rPr>
                <w:rFonts w:eastAsia="Times New Roman"/>
                <w:color w:val="000000"/>
                <w:sz w:val="20"/>
                <w:szCs w:val="20"/>
              </w:rPr>
              <w:t>451.5 </w:t>
            </w:r>
          </w:p>
        </w:tc>
        <w:tc>
          <w:tcPr>
            <w:tcW w:w="0" w:type="auto"/>
            <w:shd w:val="clear" w:color="auto" w:fill="CCEEFF"/>
            <w:tcMar>
              <w:top w:w="30" w:type="dxa"/>
              <w:left w:w="0" w:type="dxa"/>
              <w:bottom w:w="30" w:type="dxa"/>
              <w:right w:w="20" w:type="dxa"/>
            </w:tcMar>
            <w:vAlign w:val="bottom"/>
            <w:hideMark/>
          </w:tcPr>
          <w:p w14:paraId="2AF4D98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A37D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4BCE46" w14:textId="77777777" w:rsidR="00000000" w:rsidRDefault="00EE5306">
            <w:pPr>
              <w:spacing w:after="100"/>
              <w:jc w:val="right"/>
              <w:rPr>
                <w:rFonts w:eastAsia="Times New Roman"/>
              </w:rPr>
            </w:pPr>
            <w:r>
              <w:rPr>
                <w:rFonts w:eastAsia="Times New Roman"/>
                <w:color w:val="000000"/>
                <w:sz w:val="20"/>
                <w:szCs w:val="20"/>
              </w:rPr>
              <w:t>277.1 </w:t>
            </w:r>
          </w:p>
        </w:tc>
        <w:tc>
          <w:tcPr>
            <w:tcW w:w="0" w:type="auto"/>
            <w:shd w:val="clear" w:color="auto" w:fill="CCEEFF"/>
            <w:tcMar>
              <w:top w:w="30" w:type="dxa"/>
              <w:left w:w="0" w:type="dxa"/>
              <w:bottom w:w="30" w:type="dxa"/>
              <w:right w:w="20" w:type="dxa"/>
            </w:tcMar>
            <w:vAlign w:val="bottom"/>
            <w:hideMark/>
          </w:tcPr>
          <w:p w14:paraId="0735379D" w14:textId="77777777" w:rsidR="00000000" w:rsidRDefault="00EE5306">
            <w:pPr>
              <w:spacing w:after="100"/>
              <w:jc w:val="right"/>
              <w:rPr>
                <w:rFonts w:eastAsia="Times New Roman"/>
              </w:rPr>
            </w:pPr>
          </w:p>
        </w:tc>
      </w:tr>
      <w:tr w:rsidR="00000000" w14:paraId="5D2F60B7" w14:textId="77777777">
        <w:trPr>
          <w:jc w:val="center"/>
        </w:trPr>
        <w:tc>
          <w:tcPr>
            <w:tcW w:w="0" w:type="auto"/>
            <w:gridSpan w:val="3"/>
            <w:shd w:val="clear" w:color="auto" w:fill="FFFFFF"/>
            <w:tcMar>
              <w:top w:w="30" w:type="dxa"/>
              <w:left w:w="155" w:type="dxa"/>
              <w:bottom w:w="30" w:type="dxa"/>
              <w:right w:w="20" w:type="dxa"/>
            </w:tcMar>
            <w:vAlign w:val="bottom"/>
            <w:hideMark/>
          </w:tcPr>
          <w:p w14:paraId="52711DF6" w14:textId="77777777" w:rsidR="00000000" w:rsidRDefault="00EE5306">
            <w:pPr>
              <w:spacing w:after="100"/>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14:paraId="589741E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C91FF4" w14:textId="77777777" w:rsidR="00000000" w:rsidRDefault="00EE5306">
            <w:pPr>
              <w:spacing w:after="100"/>
              <w:jc w:val="right"/>
              <w:rPr>
                <w:rFonts w:eastAsia="Times New Roman"/>
              </w:rPr>
            </w:pPr>
            <w:r>
              <w:rPr>
                <w:rFonts w:eastAsia="Times New Roman"/>
                <w:color w:val="000000"/>
                <w:sz w:val="20"/>
                <w:szCs w:val="20"/>
              </w:rPr>
              <w:t>759.0 </w:t>
            </w:r>
          </w:p>
        </w:tc>
        <w:tc>
          <w:tcPr>
            <w:tcW w:w="0" w:type="auto"/>
            <w:shd w:val="clear" w:color="auto" w:fill="FFFFFF"/>
            <w:tcMar>
              <w:top w:w="30" w:type="dxa"/>
              <w:left w:w="0" w:type="dxa"/>
              <w:bottom w:w="30" w:type="dxa"/>
              <w:right w:w="20" w:type="dxa"/>
            </w:tcMar>
            <w:vAlign w:val="bottom"/>
            <w:hideMark/>
          </w:tcPr>
          <w:p w14:paraId="67DB9AF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D5194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386675" w14:textId="77777777" w:rsidR="00000000" w:rsidRDefault="00EE5306">
            <w:pPr>
              <w:spacing w:after="100"/>
              <w:jc w:val="right"/>
              <w:rPr>
                <w:rFonts w:eastAsia="Times New Roman"/>
              </w:rPr>
            </w:pPr>
            <w:r>
              <w:rPr>
                <w:rFonts w:eastAsia="Times New Roman"/>
                <w:color w:val="000000"/>
                <w:sz w:val="20"/>
                <w:szCs w:val="20"/>
              </w:rPr>
              <w:t>736.2 </w:t>
            </w:r>
          </w:p>
        </w:tc>
        <w:tc>
          <w:tcPr>
            <w:tcW w:w="0" w:type="auto"/>
            <w:shd w:val="clear" w:color="auto" w:fill="FFFFFF"/>
            <w:tcMar>
              <w:top w:w="30" w:type="dxa"/>
              <w:left w:w="0" w:type="dxa"/>
              <w:bottom w:w="30" w:type="dxa"/>
              <w:right w:w="20" w:type="dxa"/>
            </w:tcMar>
            <w:vAlign w:val="bottom"/>
            <w:hideMark/>
          </w:tcPr>
          <w:p w14:paraId="0EBF5513" w14:textId="77777777" w:rsidR="00000000" w:rsidRDefault="00EE5306">
            <w:pPr>
              <w:spacing w:after="100"/>
              <w:jc w:val="right"/>
              <w:rPr>
                <w:rFonts w:eastAsia="Times New Roman"/>
              </w:rPr>
            </w:pPr>
          </w:p>
        </w:tc>
      </w:tr>
      <w:tr w:rsidR="00000000" w14:paraId="7DB6EB9E" w14:textId="77777777">
        <w:trPr>
          <w:jc w:val="center"/>
        </w:trPr>
        <w:tc>
          <w:tcPr>
            <w:tcW w:w="0" w:type="auto"/>
            <w:gridSpan w:val="3"/>
            <w:shd w:val="clear" w:color="auto" w:fill="CCEEFF"/>
            <w:tcMar>
              <w:top w:w="30" w:type="dxa"/>
              <w:left w:w="155" w:type="dxa"/>
              <w:bottom w:w="30" w:type="dxa"/>
              <w:right w:w="20" w:type="dxa"/>
            </w:tcMar>
            <w:vAlign w:val="bottom"/>
            <w:hideMark/>
          </w:tcPr>
          <w:p w14:paraId="7D9E3821" w14:textId="77777777" w:rsidR="00000000" w:rsidRDefault="00EE5306">
            <w:pPr>
              <w:spacing w:after="100"/>
              <w:rPr>
                <w:rFonts w:eastAsia="Times New Roman"/>
              </w:rPr>
            </w:pPr>
            <w:r>
              <w:rPr>
                <w:rFonts w:eastAsia="Times New Roman"/>
                <w:color w:val="000000"/>
                <w:sz w:val="20"/>
                <w:szCs w:val="20"/>
              </w:rPr>
              <w:t>Income tax receivable</w:t>
            </w:r>
          </w:p>
        </w:tc>
        <w:tc>
          <w:tcPr>
            <w:tcW w:w="0" w:type="auto"/>
            <w:gridSpan w:val="3"/>
            <w:shd w:val="clear" w:color="auto" w:fill="CCEEFF"/>
            <w:tcMar>
              <w:top w:w="0" w:type="dxa"/>
              <w:left w:w="20" w:type="dxa"/>
              <w:bottom w:w="0" w:type="dxa"/>
              <w:right w:w="20" w:type="dxa"/>
            </w:tcMar>
            <w:vAlign w:val="center"/>
            <w:hideMark/>
          </w:tcPr>
          <w:p w14:paraId="39DC52B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5EBCCE" w14:textId="77777777" w:rsidR="00000000" w:rsidRDefault="00EE5306">
            <w:pPr>
              <w:spacing w:after="100"/>
              <w:jc w:val="right"/>
              <w:rPr>
                <w:rFonts w:eastAsia="Times New Roman"/>
              </w:rPr>
            </w:pPr>
            <w:r>
              <w:rPr>
                <w:rFonts w:eastAsia="Times New Roman"/>
                <w:color w:val="000000"/>
                <w:sz w:val="20"/>
                <w:szCs w:val="20"/>
              </w:rPr>
              <w:t>54.4 </w:t>
            </w:r>
          </w:p>
        </w:tc>
        <w:tc>
          <w:tcPr>
            <w:tcW w:w="0" w:type="auto"/>
            <w:shd w:val="clear" w:color="auto" w:fill="CCEEFF"/>
            <w:tcMar>
              <w:top w:w="30" w:type="dxa"/>
              <w:left w:w="0" w:type="dxa"/>
              <w:bottom w:w="30" w:type="dxa"/>
              <w:right w:w="20" w:type="dxa"/>
            </w:tcMar>
            <w:vAlign w:val="bottom"/>
            <w:hideMark/>
          </w:tcPr>
          <w:p w14:paraId="517E01C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6179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92CFF8" w14:textId="77777777" w:rsidR="00000000" w:rsidRDefault="00EE5306">
            <w:pPr>
              <w:spacing w:after="100"/>
              <w:jc w:val="right"/>
              <w:rPr>
                <w:rFonts w:eastAsia="Times New Roman"/>
              </w:rPr>
            </w:pPr>
            <w:r>
              <w:rPr>
                <w:rFonts w:eastAsia="Times New Roman"/>
                <w:color w:val="000000"/>
                <w:sz w:val="20"/>
                <w:szCs w:val="20"/>
              </w:rPr>
              <w:t>84.8 </w:t>
            </w:r>
          </w:p>
        </w:tc>
        <w:tc>
          <w:tcPr>
            <w:tcW w:w="0" w:type="auto"/>
            <w:shd w:val="clear" w:color="auto" w:fill="CCEEFF"/>
            <w:tcMar>
              <w:top w:w="30" w:type="dxa"/>
              <w:left w:w="0" w:type="dxa"/>
              <w:bottom w:w="30" w:type="dxa"/>
              <w:right w:w="20" w:type="dxa"/>
            </w:tcMar>
            <w:vAlign w:val="bottom"/>
            <w:hideMark/>
          </w:tcPr>
          <w:p w14:paraId="57414312" w14:textId="77777777" w:rsidR="00000000" w:rsidRDefault="00EE5306">
            <w:pPr>
              <w:spacing w:after="100"/>
              <w:jc w:val="right"/>
              <w:rPr>
                <w:rFonts w:eastAsia="Times New Roman"/>
              </w:rPr>
            </w:pPr>
          </w:p>
        </w:tc>
      </w:tr>
      <w:tr w:rsidR="00000000" w14:paraId="60947477" w14:textId="77777777">
        <w:trPr>
          <w:jc w:val="center"/>
        </w:trPr>
        <w:tc>
          <w:tcPr>
            <w:tcW w:w="0" w:type="auto"/>
            <w:gridSpan w:val="3"/>
            <w:shd w:val="clear" w:color="auto" w:fill="FFFFFF"/>
            <w:tcMar>
              <w:top w:w="30" w:type="dxa"/>
              <w:left w:w="155" w:type="dxa"/>
              <w:bottom w:w="30" w:type="dxa"/>
              <w:right w:w="20" w:type="dxa"/>
            </w:tcMar>
            <w:vAlign w:val="bottom"/>
            <w:hideMark/>
          </w:tcPr>
          <w:p w14:paraId="6D7A03AF" w14:textId="77777777" w:rsidR="00000000" w:rsidRDefault="00EE5306">
            <w:pPr>
              <w:spacing w:after="100"/>
              <w:rPr>
                <w:rFonts w:eastAsia="Times New Roman"/>
              </w:rPr>
            </w:pPr>
            <w:r>
              <w:rPr>
                <w:rFonts w:eastAsia="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center"/>
            <w:hideMark/>
          </w:tcPr>
          <w:p w14:paraId="7CEC3101"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20EAE1" w14:textId="77777777" w:rsidR="00000000" w:rsidRDefault="00EE5306">
            <w:pPr>
              <w:spacing w:after="100"/>
              <w:jc w:val="right"/>
              <w:rPr>
                <w:rFonts w:eastAsia="Times New Roman"/>
              </w:rPr>
            </w:pPr>
            <w:r>
              <w:rPr>
                <w:rFonts w:eastAsia="Times New Roman"/>
                <w:color w:val="000000"/>
                <w:sz w:val="20"/>
                <w:szCs w:val="20"/>
              </w:rPr>
              <w:t>166.6 </w:t>
            </w:r>
          </w:p>
        </w:tc>
        <w:tc>
          <w:tcPr>
            <w:tcW w:w="0" w:type="auto"/>
            <w:shd w:val="clear" w:color="auto" w:fill="FFFFFF"/>
            <w:tcMar>
              <w:top w:w="30" w:type="dxa"/>
              <w:left w:w="0" w:type="dxa"/>
              <w:bottom w:w="30" w:type="dxa"/>
              <w:right w:w="20" w:type="dxa"/>
            </w:tcMar>
            <w:vAlign w:val="bottom"/>
            <w:hideMark/>
          </w:tcPr>
          <w:p w14:paraId="65DF626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FBB4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5057CD" w14:textId="77777777" w:rsidR="00000000" w:rsidRDefault="00EE5306">
            <w:pPr>
              <w:spacing w:after="100"/>
              <w:jc w:val="right"/>
              <w:rPr>
                <w:rFonts w:eastAsia="Times New Roman"/>
              </w:rPr>
            </w:pPr>
            <w:r>
              <w:rPr>
                <w:rFonts w:eastAsia="Times New Roman"/>
                <w:color w:val="000000"/>
                <w:sz w:val="20"/>
                <w:szCs w:val="20"/>
              </w:rPr>
              <w:t>160.8 </w:t>
            </w:r>
          </w:p>
        </w:tc>
        <w:tc>
          <w:tcPr>
            <w:tcW w:w="0" w:type="auto"/>
            <w:shd w:val="clear" w:color="auto" w:fill="FFFFFF"/>
            <w:tcMar>
              <w:top w:w="30" w:type="dxa"/>
              <w:left w:w="0" w:type="dxa"/>
              <w:bottom w:w="30" w:type="dxa"/>
              <w:right w:w="20" w:type="dxa"/>
            </w:tcMar>
            <w:vAlign w:val="bottom"/>
            <w:hideMark/>
          </w:tcPr>
          <w:p w14:paraId="1E45387A" w14:textId="77777777" w:rsidR="00000000" w:rsidRDefault="00EE5306">
            <w:pPr>
              <w:spacing w:after="100"/>
              <w:jc w:val="right"/>
              <w:rPr>
                <w:rFonts w:eastAsia="Times New Roman"/>
              </w:rPr>
            </w:pPr>
          </w:p>
        </w:tc>
      </w:tr>
      <w:tr w:rsidR="00000000" w14:paraId="02B7CB5C" w14:textId="77777777">
        <w:trPr>
          <w:jc w:val="center"/>
        </w:trPr>
        <w:tc>
          <w:tcPr>
            <w:tcW w:w="0" w:type="auto"/>
            <w:gridSpan w:val="3"/>
            <w:shd w:val="clear" w:color="auto" w:fill="CCEEFF"/>
            <w:tcMar>
              <w:top w:w="30" w:type="dxa"/>
              <w:left w:w="20" w:type="dxa"/>
              <w:bottom w:w="30" w:type="dxa"/>
              <w:right w:w="20" w:type="dxa"/>
            </w:tcMar>
            <w:vAlign w:val="bottom"/>
            <w:hideMark/>
          </w:tcPr>
          <w:p w14:paraId="3A44D265" w14:textId="77777777" w:rsidR="00000000" w:rsidRDefault="00EE5306">
            <w:pPr>
              <w:spacing w:after="100"/>
              <w:divId w:val="358359798"/>
              <w:rPr>
                <w:rFonts w:eastAsia="Times New Roman"/>
              </w:rPr>
            </w:pPr>
            <w:r>
              <w:rPr>
                <w:rFonts w:eastAsia="Times New Roman"/>
                <w:b/>
                <w:bCs/>
                <w:color w:val="000000"/>
                <w:sz w:val="20"/>
                <w:szCs w:val="20"/>
              </w:rPr>
              <w:t>Total current assets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7D484C5F"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A6D6FD" w14:textId="77777777" w:rsidR="00000000" w:rsidRDefault="00EE5306">
            <w:pPr>
              <w:spacing w:after="100"/>
              <w:jc w:val="right"/>
              <w:rPr>
                <w:rFonts w:eastAsia="Times New Roman"/>
              </w:rPr>
            </w:pPr>
            <w:r>
              <w:rPr>
                <w:rFonts w:eastAsia="Times New Roman"/>
                <w:color w:val="000000"/>
                <w:sz w:val="20"/>
                <w:szCs w:val="20"/>
              </w:rPr>
              <w:t>4,208.0 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92992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94C13"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B83AA9" w14:textId="77777777" w:rsidR="00000000" w:rsidRDefault="00EE5306">
            <w:pPr>
              <w:spacing w:after="100"/>
              <w:jc w:val="right"/>
              <w:rPr>
                <w:rFonts w:eastAsia="Times New Roman"/>
              </w:rPr>
            </w:pPr>
            <w:r>
              <w:rPr>
                <w:rFonts w:eastAsia="Times New Roman"/>
                <w:color w:val="000000"/>
                <w:sz w:val="20"/>
                <w:szCs w:val="20"/>
              </w:rPr>
              <w:t>3,375.2 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AF435A" w14:textId="77777777" w:rsidR="00000000" w:rsidRDefault="00EE5306">
            <w:pPr>
              <w:spacing w:after="100"/>
              <w:jc w:val="right"/>
              <w:rPr>
                <w:rFonts w:eastAsia="Times New Roman"/>
              </w:rPr>
            </w:pPr>
          </w:p>
        </w:tc>
      </w:tr>
      <w:tr w:rsidR="00000000" w14:paraId="07BAAC53" w14:textId="77777777">
        <w:trPr>
          <w:jc w:val="center"/>
        </w:trPr>
        <w:tc>
          <w:tcPr>
            <w:tcW w:w="0" w:type="auto"/>
            <w:gridSpan w:val="3"/>
            <w:shd w:val="clear" w:color="auto" w:fill="FFFFFF"/>
            <w:tcMar>
              <w:top w:w="30" w:type="dxa"/>
              <w:left w:w="20" w:type="dxa"/>
              <w:bottom w:w="30" w:type="dxa"/>
              <w:right w:w="20" w:type="dxa"/>
            </w:tcMar>
            <w:vAlign w:val="bottom"/>
            <w:hideMark/>
          </w:tcPr>
          <w:p w14:paraId="60013F0B" w14:textId="77777777" w:rsidR="00000000" w:rsidRDefault="00EE5306">
            <w:pPr>
              <w:spacing w:after="100"/>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14:paraId="2ADC72C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2CD8DE" w14:textId="77777777" w:rsidR="00000000" w:rsidRDefault="00EE5306">
            <w:pPr>
              <w:spacing w:after="100"/>
              <w:jc w:val="right"/>
              <w:rPr>
                <w:rFonts w:eastAsia="Times New Roman"/>
              </w:rPr>
            </w:pPr>
            <w:r>
              <w:rPr>
                <w:rFonts w:eastAsia="Times New Roman"/>
                <w:color w:val="000000"/>
                <w:sz w:val="20"/>
                <w:szCs w:val="20"/>
              </w:rPr>
              <w:t>1,014.0 </w:t>
            </w:r>
          </w:p>
        </w:tc>
        <w:tc>
          <w:tcPr>
            <w:tcW w:w="0" w:type="auto"/>
            <w:shd w:val="clear" w:color="auto" w:fill="FFFFFF"/>
            <w:tcMar>
              <w:top w:w="30" w:type="dxa"/>
              <w:left w:w="0" w:type="dxa"/>
              <w:bottom w:w="30" w:type="dxa"/>
              <w:right w:w="20" w:type="dxa"/>
            </w:tcMar>
            <w:vAlign w:val="bottom"/>
            <w:hideMark/>
          </w:tcPr>
          <w:p w14:paraId="6188B7E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4116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1C7942" w14:textId="77777777" w:rsidR="00000000" w:rsidRDefault="00EE5306">
            <w:pPr>
              <w:spacing w:after="100"/>
              <w:jc w:val="right"/>
              <w:rPr>
                <w:rFonts w:eastAsia="Times New Roman"/>
              </w:rPr>
            </w:pPr>
            <w:r>
              <w:rPr>
                <w:rFonts w:eastAsia="Times New Roman"/>
                <w:color w:val="000000"/>
                <w:sz w:val="20"/>
                <w:szCs w:val="20"/>
              </w:rPr>
              <w:t>979.5 </w:t>
            </w:r>
          </w:p>
        </w:tc>
        <w:tc>
          <w:tcPr>
            <w:tcW w:w="0" w:type="auto"/>
            <w:shd w:val="clear" w:color="auto" w:fill="FFFFFF"/>
            <w:tcMar>
              <w:top w:w="30" w:type="dxa"/>
              <w:left w:w="0" w:type="dxa"/>
              <w:bottom w:w="30" w:type="dxa"/>
              <w:right w:w="20" w:type="dxa"/>
            </w:tcMar>
            <w:vAlign w:val="bottom"/>
            <w:hideMark/>
          </w:tcPr>
          <w:p w14:paraId="17648E7A" w14:textId="77777777" w:rsidR="00000000" w:rsidRDefault="00EE5306">
            <w:pPr>
              <w:spacing w:after="100"/>
              <w:jc w:val="right"/>
              <w:rPr>
                <w:rFonts w:eastAsia="Times New Roman"/>
              </w:rPr>
            </w:pPr>
          </w:p>
        </w:tc>
      </w:tr>
      <w:tr w:rsidR="00000000" w14:paraId="49C65A27" w14:textId="77777777">
        <w:trPr>
          <w:jc w:val="center"/>
        </w:trPr>
        <w:tc>
          <w:tcPr>
            <w:tcW w:w="0" w:type="auto"/>
            <w:gridSpan w:val="3"/>
            <w:shd w:val="clear" w:color="auto" w:fill="CCEEFF"/>
            <w:tcMar>
              <w:top w:w="30" w:type="dxa"/>
              <w:left w:w="20" w:type="dxa"/>
              <w:bottom w:w="30" w:type="dxa"/>
              <w:right w:w="20" w:type="dxa"/>
            </w:tcMar>
            <w:vAlign w:val="bottom"/>
            <w:hideMark/>
          </w:tcPr>
          <w:p w14:paraId="1F71A301" w14:textId="77777777" w:rsidR="00000000" w:rsidRDefault="00EE5306">
            <w:pPr>
              <w:spacing w:after="100"/>
              <w:rPr>
                <w:rFonts w:eastAsia="Times New Roman"/>
              </w:rPr>
            </w:pPr>
            <w:r>
              <w:rPr>
                <w:rFonts w:eastAsia="Times New Roman"/>
                <w:color w:val="000000"/>
                <w:sz w:val="20"/>
                <w:szCs w:val="20"/>
              </w:rPr>
              <w:t>Operating lease right-of-use assets</w:t>
            </w:r>
          </w:p>
        </w:tc>
        <w:tc>
          <w:tcPr>
            <w:tcW w:w="0" w:type="auto"/>
            <w:gridSpan w:val="3"/>
            <w:shd w:val="clear" w:color="auto" w:fill="CCEEFF"/>
            <w:tcMar>
              <w:top w:w="0" w:type="dxa"/>
              <w:left w:w="20" w:type="dxa"/>
              <w:bottom w:w="0" w:type="dxa"/>
              <w:right w:w="20" w:type="dxa"/>
            </w:tcMar>
            <w:vAlign w:val="center"/>
            <w:hideMark/>
          </w:tcPr>
          <w:p w14:paraId="65870F5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645C5E" w14:textId="77777777" w:rsidR="00000000" w:rsidRDefault="00EE5306">
            <w:pPr>
              <w:spacing w:after="100"/>
              <w:jc w:val="right"/>
              <w:rPr>
                <w:rFonts w:eastAsia="Times New Roman"/>
              </w:rPr>
            </w:pPr>
            <w:r>
              <w:rPr>
                <w:rFonts w:eastAsia="Times New Roman"/>
                <w:color w:val="000000"/>
                <w:sz w:val="20"/>
                <w:szCs w:val="20"/>
              </w:rPr>
              <w:t>1,239.5 </w:t>
            </w:r>
          </w:p>
        </w:tc>
        <w:tc>
          <w:tcPr>
            <w:tcW w:w="0" w:type="auto"/>
            <w:shd w:val="clear" w:color="auto" w:fill="CCEEFF"/>
            <w:tcMar>
              <w:top w:w="30" w:type="dxa"/>
              <w:left w:w="0" w:type="dxa"/>
              <w:bottom w:w="30" w:type="dxa"/>
              <w:right w:w="20" w:type="dxa"/>
            </w:tcMar>
            <w:vAlign w:val="bottom"/>
            <w:hideMark/>
          </w:tcPr>
          <w:p w14:paraId="6A383AD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743B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2EBBD9" w14:textId="77777777" w:rsidR="00000000" w:rsidRDefault="00EE5306">
            <w:pPr>
              <w:spacing w:after="100"/>
              <w:jc w:val="right"/>
              <w:rPr>
                <w:rFonts w:eastAsia="Times New Roman"/>
              </w:rPr>
            </w:pPr>
            <w:r>
              <w:rPr>
                <w:rFonts w:eastAsia="Times New Roman"/>
                <w:color w:val="000000"/>
                <w:sz w:val="20"/>
                <w:szCs w:val="20"/>
              </w:rPr>
              <w:t>1,511.6 </w:t>
            </w:r>
          </w:p>
        </w:tc>
        <w:tc>
          <w:tcPr>
            <w:tcW w:w="0" w:type="auto"/>
            <w:shd w:val="clear" w:color="auto" w:fill="CCEEFF"/>
            <w:tcMar>
              <w:top w:w="30" w:type="dxa"/>
              <w:left w:w="0" w:type="dxa"/>
              <w:bottom w:w="30" w:type="dxa"/>
              <w:right w:w="20" w:type="dxa"/>
            </w:tcMar>
            <w:vAlign w:val="bottom"/>
            <w:hideMark/>
          </w:tcPr>
          <w:p w14:paraId="6CE935EB" w14:textId="77777777" w:rsidR="00000000" w:rsidRDefault="00EE5306">
            <w:pPr>
              <w:spacing w:after="100"/>
              <w:jc w:val="right"/>
              <w:rPr>
                <w:rFonts w:eastAsia="Times New Roman"/>
              </w:rPr>
            </w:pPr>
          </w:p>
        </w:tc>
      </w:tr>
      <w:tr w:rsidR="00000000" w14:paraId="296EDBE2" w14:textId="77777777">
        <w:trPr>
          <w:jc w:val="center"/>
        </w:trPr>
        <w:tc>
          <w:tcPr>
            <w:tcW w:w="0" w:type="auto"/>
            <w:gridSpan w:val="3"/>
            <w:shd w:val="clear" w:color="auto" w:fill="FFFFFF"/>
            <w:tcMar>
              <w:top w:w="30" w:type="dxa"/>
              <w:left w:w="20" w:type="dxa"/>
              <w:bottom w:w="30" w:type="dxa"/>
              <w:right w:w="20" w:type="dxa"/>
            </w:tcMar>
            <w:vAlign w:val="bottom"/>
            <w:hideMark/>
          </w:tcPr>
          <w:p w14:paraId="597D65A7" w14:textId="77777777" w:rsidR="00000000" w:rsidRDefault="00EE5306">
            <w:pPr>
              <w:spacing w:after="100"/>
              <w:rPr>
                <w:rFonts w:eastAsia="Times New Roman"/>
              </w:rPr>
            </w:pPr>
            <w:r>
              <w:rPr>
                <w:rFonts w:eastAsia="Times New Roman"/>
                <w:color w:val="000000"/>
                <w:sz w:val="20"/>
                <w:szCs w:val="20"/>
              </w:rPr>
              <w:t>Deferred tax assets</w:t>
            </w:r>
          </w:p>
        </w:tc>
        <w:tc>
          <w:tcPr>
            <w:tcW w:w="0" w:type="auto"/>
            <w:gridSpan w:val="3"/>
            <w:shd w:val="clear" w:color="auto" w:fill="FFFFFF"/>
            <w:tcMar>
              <w:top w:w="0" w:type="dxa"/>
              <w:left w:w="20" w:type="dxa"/>
              <w:bottom w:w="0" w:type="dxa"/>
              <w:right w:w="20" w:type="dxa"/>
            </w:tcMar>
            <w:vAlign w:val="center"/>
            <w:hideMark/>
          </w:tcPr>
          <w:p w14:paraId="3AB1AF8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A8A60A" w14:textId="77777777" w:rsidR="00000000" w:rsidRDefault="00EE5306">
            <w:pPr>
              <w:spacing w:after="100"/>
              <w:jc w:val="right"/>
              <w:rPr>
                <w:rFonts w:eastAsia="Times New Roman"/>
              </w:rPr>
            </w:pPr>
            <w:r>
              <w:rPr>
                <w:rFonts w:eastAsia="Times New Roman"/>
                <w:color w:val="000000"/>
                <w:sz w:val="20"/>
                <w:szCs w:val="20"/>
              </w:rPr>
              <w:t>283.9 </w:t>
            </w:r>
          </w:p>
        </w:tc>
        <w:tc>
          <w:tcPr>
            <w:tcW w:w="0" w:type="auto"/>
            <w:shd w:val="clear" w:color="auto" w:fill="FFFFFF"/>
            <w:tcMar>
              <w:top w:w="30" w:type="dxa"/>
              <w:left w:w="0" w:type="dxa"/>
              <w:bottom w:w="30" w:type="dxa"/>
              <w:right w:w="20" w:type="dxa"/>
            </w:tcMar>
            <w:vAlign w:val="bottom"/>
            <w:hideMark/>
          </w:tcPr>
          <w:p w14:paraId="59F6A41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2447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08C2CD" w14:textId="77777777" w:rsidR="00000000" w:rsidRDefault="00EE5306">
            <w:pPr>
              <w:spacing w:after="100"/>
              <w:jc w:val="right"/>
              <w:rPr>
                <w:rFonts w:eastAsia="Times New Roman"/>
              </w:rPr>
            </w:pPr>
            <w:r>
              <w:rPr>
                <w:rFonts w:eastAsia="Times New Roman"/>
                <w:color w:val="000000"/>
                <w:sz w:val="20"/>
                <w:szCs w:val="20"/>
              </w:rPr>
              <w:t>245.2 </w:t>
            </w:r>
          </w:p>
        </w:tc>
        <w:tc>
          <w:tcPr>
            <w:tcW w:w="0" w:type="auto"/>
            <w:shd w:val="clear" w:color="auto" w:fill="FFFFFF"/>
            <w:tcMar>
              <w:top w:w="30" w:type="dxa"/>
              <w:left w:w="0" w:type="dxa"/>
              <w:bottom w:w="30" w:type="dxa"/>
              <w:right w:w="20" w:type="dxa"/>
            </w:tcMar>
            <w:vAlign w:val="bottom"/>
            <w:hideMark/>
          </w:tcPr>
          <w:p w14:paraId="6B25EFD6" w14:textId="77777777" w:rsidR="00000000" w:rsidRDefault="00EE5306">
            <w:pPr>
              <w:spacing w:after="100"/>
              <w:jc w:val="right"/>
              <w:rPr>
                <w:rFonts w:eastAsia="Times New Roman"/>
              </w:rPr>
            </w:pPr>
          </w:p>
        </w:tc>
      </w:tr>
      <w:tr w:rsidR="00000000" w14:paraId="63729D02" w14:textId="77777777">
        <w:trPr>
          <w:jc w:val="center"/>
        </w:trPr>
        <w:tc>
          <w:tcPr>
            <w:tcW w:w="0" w:type="auto"/>
            <w:gridSpan w:val="3"/>
            <w:shd w:val="clear" w:color="auto" w:fill="CCEEFF"/>
            <w:tcMar>
              <w:top w:w="30" w:type="dxa"/>
              <w:left w:w="20" w:type="dxa"/>
              <w:bottom w:w="30" w:type="dxa"/>
              <w:right w:w="20" w:type="dxa"/>
            </w:tcMar>
            <w:vAlign w:val="bottom"/>
            <w:hideMark/>
          </w:tcPr>
          <w:p w14:paraId="1CF62706" w14:textId="77777777" w:rsidR="00000000" w:rsidRDefault="00EE5306">
            <w:pPr>
              <w:spacing w:after="100"/>
              <w:rPr>
                <w:rFonts w:eastAsia="Times New Roman"/>
              </w:rPr>
            </w:pPr>
            <w:r>
              <w:rPr>
                <w:rFonts w:eastAsia="Times New Roman"/>
                <w:color w:val="000000"/>
                <w:sz w:val="20"/>
                <w:szCs w:val="20"/>
              </w:rPr>
              <w:t>Goodwill</w:t>
            </w:r>
          </w:p>
        </w:tc>
        <w:tc>
          <w:tcPr>
            <w:tcW w:w="0" w:type="auto"/>
            <w:gridSpan w:val="3"/>
            <w:shd w:val="clear" w:color="auto" w:fill="CCEEFF"/>
            <w:tcMar>
              <w:top w:w="0" w:type="dxa"/>
              <w:left w:w="20" w:type="dxa"/>
              <w:bottom w:w="0" w:type="dxa"/>
              <w:right w:w="20" w:type="dxa"/>
            </w:tcMar>
            <w:vAlign w:val="center"/>
            <w:hideMark/>
          </w:tcPr>
          <w:p w14:paraId="2A43D45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34F7AE" w14:textId="77777777" w:rsidR="00000000" w:rsidRDefault="00EE5306">
            <w:pPr>
              <w:spacing w:after="100"/>
              <w:jc w:val="right"/>
              <w:rPr>
                <w:rFonts w:eastAsia="Times New Roman"/>
              </w:rPr>
            </w:pPr>
            <w:r>
              <w:rPr>
                <w:rFonts w:eastAsia="Times New Roman"/>
                <w:color w:val="000000"/>
                <w:sz w:val="20"/>
                <w:szCs w:val="20"/>
              </w:rPr>
              <w:t>934.6 </w:t>
            </w:r>
          </w:p>
        </w:tc>
        <w:tc>
          <w:tcPr>
            <w:tcW w:w="0" w:type="auto"/>
            <w:shd w:val="clear" w:color="auto" w:fill="CCEEFF"/>
            <w:tcMar>
              <w:top w:w="30" w:type="dxa"/>
              <w:left w:w="0" w:type="dxa"/>
              <w:bottom w:w="30" w:type="dxa"/>
              <w:right w:w="20" w:type="dxa"/>
            </w:tcMar>
            <w:vAlign w:val="bottom"/>
            <w:hideMark/>
          </w:tcPr>
          <w:p w14:paraId="160E6FE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E8CD4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1747F9" w14:textId="77777777" w:rsidR="00000000" w:rsidRDefault="00EE5306">
            <w:pPr>
              <w:spacing w:after="100"/>
              <w:jc w:val="right"/>
              <w:rPr>
                <w:rFonts w:eastAsia="Times New Roman"/>
              </w:rPr>
            </w:pPr>
            <w:r>
              <w:rPr>
                <w:rFonts w:eastAsia="Times New Roman"/>
                <w:color w:val="000000"/>
                <w:sz w:val="20"/>
                <w:szCs w:val="20"/>
              </w:rPr>
              <w:t>915.5 </w:t>
            </w:r>
          </w:p>
        </w:tc>
        <w:tc>
          <w:tcPr>
            <w:tcW w:w="0" w:type="auto"/>
            <w:shd w:val="clear" w:color="auto" w:fill="CCEEFF"/>
            <w:tcMar>
              <w:top w:w="30" w:type="dxa"/>
              <w:left w:w="0" w:type="dxa"/>
              <w:bottom w:w="30" w:type="dxa"/>
              <w:right w:w="20" w:type="dxa"/>
            </w:tcMar>
            <w:vAlign w:val="bottom"/>
            <w:hideMark/>
          </w:tcPr>
          <w:p w14:paraId="303103FC" w14:textId="77777777" w:rsidR="00000000" w:rsidRDefault="00EE5306">
            <w:pPr>
              <w:spacing w:after="100"/>
              <w:jc w:val="right"/>
              <w:rPr>
                <w:rFonts w:eastAsia="Times New Roman"/>
              </w:rPr>
            </w:pPr>
          </w:p>
        </w:tc>
      </w:tr>
      <w:tr w:rsidR="00000000" w14:paraId="4394ADC3" w14:textId="77777777">
        <w:trPr>
          <w:jc w:val="center"/>
        </w:trPr>
        <w:tc>
          <w:tcPr>
            <w:tcW w:w="0" w:type="auto"/>
            <w:gridSpan w:val="3"/>
            <w:shd w:val="clear" w:color="auto" w:fill="FFFFFF"/>
            <w:tcMar>
              <w:top w:w="30" w:type="dxa"/>
              <w:left w:w="20" w:type="dxa"/>
              <w:bottom w:w="30" w:type="dxa"/>
              <w:right w:w="20" w:type="dxa"/>
            </w:tcMar>
            <w:vAlign w:val="bottom"/>
            <w:hideMark/>
          </w:tcPr>
          <w:p w14:paraId="3EFE33FD" w14:textId="77777777" w:rsidR="00000000" w:rsidRDefault="00EE5306">
            <w:pPr>
              <w:spacing w:after="100"/>
              <w:rPr>
                <w:rFonts w:eastAsia="Times New Roman"/>
              </w:rPr>
            </w:pPr>
            <w:r>
              <w:rPr>
                <w:rFonts w:eastAsia="Times New Roman"/>
                <w:color w:val="000000"/>
                <w:sz w:val="20"/>
                <w:szCs w:val="20"/>
              </w:rPr>
              <w:t>Intangible assets, net</w:t>
            </w:r>
          </w:p>
        </w:tc>
        <w:tc>
          <w:tcPr>
            <w:tcW w:w="0" w:type="auto"/>
            <w:gridSpan w:val="3"/>
            <w:shd w:val="clear" w:color="auto" w:fill="FFFFFF"/>
            <w:tcMar>
              <w:top w:w="0" w:type="dxa"/>
              <w:left w:w="20" w:type="dxa"/>
              <w:bottom w:w="0" w:type="dxa"/>
              <w:right w:w="20" w:type="dxa"/>
            </w:tcMar>
            <w:vAlign w:val="center"/>
            <w:hideMark/>
          </w:tcPr>
          <w:p w14:paraId="391D37B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EF5A46" w14:textId="77777777" w:rsidR="00000000" w:rsidRDefault="00EE5306">
            <w:pPr>
              <w:spacing w:after="100"/>
              <w:jc w:val="right"/>
              <w:rPr>
                <w:rFonts w:eastAsia="Times New Roman"/>
              </w:rPr>
            </w:pPr>
            <w:r>
              <w:rPr>
                <w:rFonts w:eastAsia="Times New Roman"/>
                <w:color w:val="000000"/>
                <w:sz w:val="20"/>
                <w:szCs w:val="20"/>
              </w:rPr>
              <w:t>121.1 </w:t>
            </w:r>
          </w:p>
        </w:tc>
        <w:tc>
          <w:tcPr>
            <w:tcW w:w="0" w:type="auto"/>
            <w:shd w:val="clear" w:color="auto" w:fill="FFFFFF"/>
            <w:tcMar>
              <w:top w:w="30" w:type="dxa"/>
              <w:left w:w="0" w:type="dxa"/>
              <w:bottom w:w="30" w:type="dxa"/>
              <w:right w:w="20" w:type="dxa"/>
            </w:tcMar>
            <w:vAlign w:val="bottom"/>
            <w:hideMark/>
          </w:tcPr>
          <w:p w14:paraId="6966ED6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E1DD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BBE5B9" w14:textId="77777777" w:rsidR="00000000" w:rsidRDefault="00EE5306">
            <w:pPr>
              <w:spacing w:after="100"/>
              <w:jc w:val="right"/>
              <w:rPr>
                <w:rFonts w:eastAsia="Times New Roman"/>
              </w:rPr>
            </w:pPr>
            <w:r>
              <w:rPr>
                <w:rFonts w:eastAsia="Times New Roman"/>
                <w:color w:val="000000"/>
                <w:sz w:val="20"/>
                <w:szCs w:val="20"/>
              </w:rPr>
              <w:t>141.0 </w:t>
            </w:r>
          </w:p>
        </w:tc>
        <w:tc>
          <w:tcPr>
            <w:tcW w:w="0" w:type="auto"/>
            <w:shd w:val="clear" w:color="auto" w:fill="FFFFFF"/>
            <w:tcMar>
              <w:top w:w="30" w:type="dxa"/>
              <w:left w:w="0" w:type="dxa"/>
              <w:bottom w:w="30" w:type="dxa"/>
              <w:right w:w="20" w:type="dxa"/>
            </w:tcMar>
            <w:vAlign w:val="bottom"/>
            <w:hideMark/>
          </w:tcPr>
          <w:p w14:paraId="7968C684" w14:textId="77777777" w:rsidR="00000000" w:rsidRDefault="00EE5306">
            <w:pPr>
              <w:spacing w:after="100"/>
              <w:jc w:val="right"/>
              <w:rPr>
                <w:rFonts w:eastAsia="Times New Roman"/>
              </w:rPr>
            </w:pPr>
          </w:p>
        </w:tc>
      </w:tr>
      <w:tr w:rsidR="00000000" w14:paraId="369BF6E4" w14:textId="77777777">
        <w:trPr>
          <w:jc w:val="center"/>
        </w:trPr>
        <w:tc>
          <w:tcPr>
            <w:tcW w:w="0" w:type="auto"/>
            <w:gridSpan w:val="3"/>
            <w:shd w:val="clear" w:color="auto" w:fill="CCEEFF"/>
            <w:tcMar>
              <w:top w:w="30" w:type="dxa"/>
              <w:left w:w="20" w:type="dxa"/>
              <w:bottom w:w="30" w:type="dxa"/>
              <w:right w:w="20" w:type="dxa"/>
            </w:tcMar>
            <w:vAlign w:val="bottom"/>
            <w:hideMark/>
          </w:tcPr>
          <w:p w14:paraId="39DAFCC3" w14:textId="77777777" w:rsidR="00000000" w:rsidRDefault="00EE5306">
            <w:pPr>
              <w:spacing w:after="100"/>
              <w:rPr>
                <w:rFonts w:eastAsia="Times New Roman"/>
              </w:rPr>
            </w:pPr>
            <w:r>
              <w:rPr>
                <w:rFonts w:eastAsia="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14:paraId="211FA666"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3F5D90" w14:textId="77777777" w:rsidR="00000000" w:rsidRDefault="00EE5306">
            <w:pPr>
              <w:spacing w:after="100"/>
              <w:jc w:val="right"/>
              <w:rPr>
                <w:rFonts w:eastAsia="Times New Roman"/>
              </w:rPr>
            </w:pPr>
            <w:r>
              <w:rPr>
                <w:rFonts w:eastAsia="Times New Roman"/>
                <w:color w:val="000000"/>
                <w:sz w:val="20"/>
                <w:szCs w:val="20"/>
              </w:rPr>
              <w:t>86.4 </w:t>
            </w:r>
          </w:p>
        </w:tc>
        <w:tc>
          <w:tcPr>
            <w:tcW w:w="0" w:type="auto"/>
            <w:shd w:val="clear" w:color="auto" w:fill="CCEEFF"/>
            <w:tcMar>
              <w:top w:w="30" w:type="dxa"/>
              <w:left w:w="0" w:type="dxa"/>
              <w:bottom w:w="30" w:type="dxa"/>
              <w:right w:w="20" w:type="dxa"/>
            </w:tcMar>
            <w:vAlign w:val="bottom"/>
            <w:hideMark/>
          </w:tcPr>
          <w:p w14:paraId="57F5343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189E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7383C3" w14:textId="77777777" w:rsidR="00000000" w:rsidRDefault="00EE5306">
            <w:pPr>
              <w:spacing w:after="100"/>
              <w:jc w:val="right"/>
              <w:rPr>
                <w:rFonts w:eastAsia="Times New Roman"/>
              </w:rPr>
            </w:pPr>
            <w:r>
              <w:rPr>
                <w:rFonts w:eastAsia="Times New Roman"/>
                <w:color w:val="000000"/>
                <w:sz w:val="20"/>
                <w:szCs w:val="20"/>
              </w:rPr>
              <w:t>111.9 </w:t>
            </w:r>
          </w:p>
        </w:tc>
        <w:tc>
          <w:tcPr>
            <w:tcW w:w="0" w:type="auto"/>
            <w:shd w:val="clear" w:color="auto" w:fill="CCEEFF"/>
            <w:tcMar>
              <w:top w:w="30" w:type="dxa"/>
              <w:left w:w="0" w:type="dxa"/>
              <w:bottom w:w="30" w:type="dxa"/>
              <w:right w:w="20" w:type="dxa"/>
            </w:tcMar>
            <w:vAlign w:val="bottom"/>
            <w:hideMark/>
          </w:tcPr>
          <w:p w14:paraId="69928F9A" w14:textId="77777777" w:rsidR="00000000" w:rsidRDefault="00EE5306">
            <w:pPr>
              <w:spacing w:after="100"/>
              <w:jc w:val="right"/>
              <w:rPr>
                <w:rFonts w:eastAsia="Times New Roman"/>
              </w:rPr>
            </w:pPr>
          </w:p>
        </w:tc>
      </w:tr>
      <w:tr w:rsidR="00000000" w14:paraId="665CCCCD" w14:textId="77777777">
        <w:trPr>
          <w:jc w:val="center"/>
        </w:trPr>
        <w:tc>
          <w:tcPr>
            <w:tcW w:w="0" w:type="auto"/>
            <w:gridSpan w:val="3"/>
            <w:shd w:val="clear" w:color="auto" w:fill="FFFFFF"/>
            <w:tcMar>
              <w:top w:w="30" w:type="dxa"/>
              <w:left w:w="20" w:type="dxa"/>
              <w:bottom w:w="30" w:type="dxa"/>
              <w:right w:w="20" w:type="dxa"/>
            </w:tcMar>
            <w:vAlign w:val="bottom"/>
            <w:hideMark/>
          </w:tcPr>
          <w:p w14:paraId="185B4A8B" w14:textId="77777777" w:rsidR="00000000" w:rsidRDefault="00EE5306">
            <w:pPr>
              <w:spacing w:after="100"/>
              <w:divId w:val="1451969239"/>
              <w:rPr>
                <w:rFonts w:eastAsia="Times New Roman"/>
              </w:rPr>
            </w:pPr>
            <w:r>
              <w:rPr>
                <w:rFonts w:eastAsia="Times New Roman"/>
                <w:b/>
                <w:bCs/>
                <w:color w:val="000000"/>
                <w:sz w:val="20"/>
                <w:szCs w:val="20"/>
              </w:rPr>
              <w:t>Total assets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01477571"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711358"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FFDFA6" w14:textId="77777777" w:rsidR="00000000" w:rsidRDefault="00EE5306">
            <w:pPr>
              <w:spacing w:after="100"/>
              <w:jc w:val="right"/>
              <w:rPr>
                <w:rFonts w:eastAsia="Times New Roman"/>
              </w:rPr>
            </w:pPr>
            <w:r>
              <w:rPr>
                <w:rFonts w:eastAsia="Times New Roman"/>
                <w:color w:val="000000"/>
                <w:sz w:val="20"/>
                <w:szCs w:val="20"/>
              </w:rPr>
              <w:t>7,887.5 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33CFF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EF59F"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E1D75D"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0FD557" w14:textId="77777777" w:rsidR="00000000" w:rsidRDefault="00EE5306">
            <w:pPr>
              <w:spacing w:after="100"/>
              <w:jc w:val="right"/>
              <w:rPr>
                <w:rFonts w:eastAsia="Times New Roman"/>
              </w:rPr>
            </w:pPr>
            <w:r>
              <w:rPr>
                <w:rFonts w:eastAsia="Times New Roman"/>
                <w:color w:val="000000"/>
                <w:sz w:val="20"/>
                <w:szCs w:val="20"/>
              </w:rPr>
              <w:t>7,279.9 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783A2D" w14:textId="77777777" w:rsidR="00000000" w:rsidRDefault="00EE5306">
            <w:pPr>
              <w:spacing w:after="100"/>
              <w:jc w:val="right"/>
              <w:rPr>
                <w:rFonts w:eastAsia="Times New Roman"/>
              </w:rPr>
            </w:pPr>
          </w:p>
        </w:tc>
      </w:tr>
      <w:tr w:rsidR="00000000" w14:paraId="0B2195EC" w14:textId="77777777">
        <w:trPr>
          <w:jc w:val="center"/>
        </w:trPr>
        <w:tc>
          <w:tcPr>
            <w:tcW w:w="0" w:type="auto"/>
            <w:gridSpan w:val="15"/>
            <w:shd w:val="clear" w:color="auto" w:fill="CCEEFF"/>
            <w:tcMar>
              <w:top w:w="30" w:type="dxa"/>
              <w:left w:w="20" w:type="dxa"/>
              <w:bottom w:w="30" w:type="dxa"/>
              <w:right w:w="20" w:type="dxa"/>
            </w:tcMar>
            <w:vAlign w:val="bottom"/>
            <w:hideMark/>
          </w:tcPr>
          <w:p w14:paraId="1129C970" w14:textId="77777777" w:rsidR="00000000" w:rsidRDefault="00EE5306">
            <w:pPr>
              <w:spacing w:after="100"/>
              <w:jc w:val="center"/>
              <w:rPr>
                <w:rFonts w:eastAsia="Times New Roman"/>
              </w:rPr>
            </w:pPr>
            <w:r>
              <w:rPr>
                <w:rFonts w:eastAsia="Times New Roman"/>
                <w:b/>
                <w:bCs/>
                <w:color w:val="000000"/>
                <w:sz w:val="20"/>
                <w:szCs w:val="20"/>
              </w:rPr>
              <w:t>LIABILITIES AND EQUITY</w:t>
            </w:r>
          </w:p>
        </w:tc>
      </w:tr>
      <w:tr w:rsidR="00000000" w14:paraId="3B50B022" w14:textId="77777777">
        <w:trPr>
          <w:jc w:val="center"/>
        </w:trPr>
        <w:tc>
          <w:tcPr>
            <w:tcW w:w="0" w:type="auto"/>
            <w:gridSpan w:val="3"/>
            <w:shd w:val="clear" w:color="auto" w:fill="FFFFFF"/>
            <w:tcMar>
              <w:top w:w="30" w:type="dxa"/>
              <w:left w:w="20" w:type="dxa"/>
              <w:bottom w:w="30" w:type="dxa"/>
              <w:right w:w="20" w:type="dxa"/>
            </w:tcMar>
            <w:vAlign w:val="bottom"/>
            <w:hideMark/>
          </w:tcPr>
          <w:p w14:paraId="2281361C" w14:textId="77777777" w:rsidR="00000000" w:rsidRDefault="00EE5306">
            <w:pPr>
              <w:spacing w:after="100"/>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14:paraId="52058C90"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E599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EFB13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6DC5FA" w14:textId="77777777" w:rsidR="00000000" w:rsidRDefault="00EE5306">
            <w:pPr>
              <w:spacing w:after="100"/>
              <w:rPr>
                <w:rFonts w:eastAsia="Times New Roman"/>
                <w:sz w:val="20"/>
                <w:szCs w:val="20"/>
              </w:rPr>
            </w:pPr>
          </w:p>
        </w:tc>
      </w:tr>
      <w:tr w:rsidR="00000000" w14:paraId="0AC6732C" w14:textId="77777777">
        <w:trPr>
          <w:jc w:val="center"/>
        </w:trPr>
        <w:tc>
          <w:tcPr>
            <w:tcW w:w="0" w:type="auto"/>
            <w:gridSpan w:val="3"/>
            <w:shd w:val="clear" w:color="auto" w:fill="CCEEFF"/>
            <w:tcMar>
              <w:top w:w="30" w:type="dxa"/>
              <w:left w:w="155" w:type="dxa"/>
              <w:bottom w:w="30" w:type="dxa"/>
              <w:right w:w="20" w:type="dxa"/>
            </w:tcMar>
            <w:vAlign w:val="bottom"/>
            <w:hideMark/>
          </w:tcPr>
          <w:p w14:paraId="2181D78E" w14:textId="77777777" w:rsidR="00000000" w:rsidRDefault="00EE5306">
            <w:pPr>
              <w:spacing w:after="100"/>
              <w:rPr>
                <w:rFonts w:eastAsia="Times New Roman"/>
              </w:rPr>
            </w:pPr>
            <w:r>
              <w:rPr>
                <w:rFonts w:eastAsia="Times New Roman"/>
                <w:color w:val="000000"/>
                <w:sz w:val="20"/>
                <w:szCs w:val="20"/>
              </w:rPr>
              <w:t>Short-term debt</w:t>
            </w:r>
          </w:p>
        </w:tc>
        <w:tc>
          <w:tcPr>
            <w:tcW w:w="0" w:type="auto"/>
            <w:gridSpan w:val="3"/>
            <w:shd w:val="clear" w:color="auto" w:fill="CCEEFF"/>
            <w:tcMar>
              <w:top w:w="0" w:type="dxa"/>
              <w:left w:w="20" w:type="dxa"/>
              <w:bottom w:w="0" w:type="dxa"/>
              <w:right w:w="20" w:type="dxa"/>
            </w:tcMar>
            <w:vAlign w:val="center"/>
            <w:hideMark/>
          </w:tcPr>
          <w:p w14:paraId="0D3715D7"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54D95E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7B71C3"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C8394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B3BA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3C591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32EF57" w14:textId="77777777" w:rsidR="00000000" w:rsidRDefault="00EE5306">
            <w:pPr>
              <w:spacing w:after="100"/>
              <w:jc w:val="right"/>
              <w:rPr>
                <w:rFonts w:eastAsia="Times New Roman"/>
              </w:rPr>
            </w:pPr>
            <w:r>
              <w:rPr>
                <w:rFonts w:eastAsia="Times New Roman"/>
                <w:color w:val="000000"/>
                <w:sz w:val="20"/>
                <w:szCs w:val="20"/>
              </w:rPr>
              <w:t>475.0 </w:t>
            </w:r>
          </w:p>
        </w:tc>
        <w:tc>
          <w:tcPr>
            <w:tcW w:w="0" w:type="auto"/>
            <w:shd w:val="clear" w:color="auto" w:fill="CCEEFF"/>
            <w:tcMar>
              <w:top w:w="30" w:type="dxa"/>
              <w:left w:w="0" w:type="dxa"/>
              <w:bottom w:w="30" w:type="dxa"/>
              <w:right w:w="20" w:type="dxa"/>
            </w:tcMar>
            <w:vAlign w:val="bottom"/>
            <w:hideMark/>
          </w:tcPr>
          <w:p w14:paraId="2614E5F3" w14:textId="77777777" w:rsidR="00000000" w:rsidRDefault="00EE5306">
            <w:pPr>
              <w:spacing w:after="100"/>
              <w:jc w:val="right"/>
              <w:rPr>
                <w:rFonts w:eastAsia="Times New Roman"/>
              </w:rPr>
            </w:pPr>
          </w:p>
        </w:tc>
      </w:tr>
      <w:tr w:rsidR="00000000" w14:paraId="5010A874" w14:textId="77777777">
        <w:trPr>
          <w:jc w:val="center"/>
        </w:trPr>
        <w:tc>
          <w:tcPr>
            <w:tcW w:w="0" w:type="auto"/>
            <w:gridSpan w:val="3"/>
            <w:shd w:val="clear" w:color="auto" w:fill="FFFFFF"/>
            <w:tcMar>
              <w:top w:w="30" w:type="dxa"/>
              <w:left w:w="155" w:type="dxa"/>
              <w:bottom w:w="30" w:type="dxa"/>
              <w:right w:w="20" w:type="dxa"/>
            </w:tcMar>
            <w:vAlign w:val="bottom"/>
            <w:hideMark/>
          </w:tcPr>
          <w:p w14:paraId="7A3D14EE" w14:textId="77777777" w:rsidR="00000000" w:rsidRDefault="00EE5306">
            <w:pPr>
              <w:spacing w:after="100"/>
              <w:rPr>
                <w:rFonts w:eastAsia="Times New Roman"/>
              </w:rPr>
            </w:pPr>
            <w:r>
              <w:rPr>
                <w:rFonts w:eastAsia="Times New Roman"/>
                <w:color w:val="000000"/>
                <w:sz w:val="20"/>
                <w:szCs w:val="20"/>
              </w:rPr>
              <w:t>Current portion of long-term debt</w:t>
            </w:r>
          </w:p>
        </w:tc>
        <w:tc>
          <w:tcPr>
            <w:tcW w:w="0" w:type="auto"/>
            <w:gridSpan w:val="3"/>
            <w:shd w:val="clear" w:color="auto" w:fill="FFFFFF"/>
            <w:tcMar>
              <w:top w:w="0" w:type="dxa"/>
              <w:left w:w="20" w:type="dxa"/>
              <w:bottom w:w="0" w:type="dxa"/>
              <w:right w:w="20" w:type="dxa"/>
            </w:tcMar>
            <w:vAlign w:val="center"/>
            <w:hideMark/>
          </w:tcPr>
          <w:p w14:paraId="1458E64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86CFFE"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E5FE7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60081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23A45D" w14:textId="77777777" w:rsidR="00000000" w:rsidRDefault="00EE5306">
            <w:pPr>
              <w:spacing w:after="100"/>
              <w:jc w:val="right"/>
              <w:rPr>
                <w:rFonts w:eastAsia="Times New Roman"/>
              </w:rPr>
            </w:pPr>
            <w:r>
              <w:rPr>
                <w:rFonts w:eastAsia="Times New Roman"/>
                <w:color w:val="000000"/>
                <w:sz w:val="20"/>
                <w:szCs w:val="20"/>
              </w:rPr>
              <w:t>299.6 </w:t>
            </w:r>
          </w:p>
        </w:tc>
        <w:tc>
          <w:tcPr>
            <w:tcW w:w="0" w:type="auto"/>
            <w:shd w:val="clear" w:color="auto" w:fill="FFFFFF"/>
            <w:tcMar>
              <w:top w:w="30" w:type="dxa"/>
              <w:left w:w="0" w:type="dxa"/>
              <w:bottom w:w="30" w:type="dxa"/>
              <w:right w:w="20" w:type="dxa"/>
            </w:tcMar>
            <w:vAlign w:val="bottom"/>
            <w:hideMark/>
          </w:tcPr>
          <w:p w14:paraId="3E65523C" w14:textId="77777777" w:rsidR="00000000" w:rsidRDefault="00EE5306">
            <w:pPr>
              <w:spacing w:after="100"/>
              <w:jc w:val="right"/>
              <w:rPr>
                <w:rFonts w:eastAsia="Times New Roman"/>
              </w:rPr>
            </w:pPr>
          </w:p>
        </w:tc>
      </w:tr>
      <w:tr w:rsidR="00000000" w14:paraId="727FCB1C" w14:textId="77777777">
        <w:trPr>
          <w:jc w:val="center"/>
        </w:trPr>
        <w:tc>
          <w:tcPr>
            <w:tcW w:w="0" w:type="auto"/>
            <w:gridSpan w:val="3"/>
            <w:shd w:val="clear" w:color="auto" w:fill="CCEEFF"/>
            <w:tcMar>
              <w:top w:w="30" w:type="dxa"/>
              <w:left w:w="155" w:type="dxa"/>
              <w:bottom w:w="30" w:type="dxa"/>
              <w:right w:w="20" w:type="dxa"/>
            </w:tcMar>
            <w:vAlign w:val="bottom"/>
            <w:hideMark/>
          </w:tcPr>
          <w:p w14:paraId="2A1B501F" w14:textId="77777777" w:rsidR="00000000" w:rsidRDefault="00EE5306">
            <w:pPr>
              <w:spacing w:after="100"/>
              <w:rPr>
                <w:rFonts w:eastAsia="Times New Roman"/>
              </w:rPr>
            </w:pPr>
            <w:r>
              <w:rPr>
                <w:rFonts w:eastAsia="Times New Roman"/>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14:paraId="74DD70E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413E3C" w14:textId="77777777" w:rsidR="00000000" w:rsidRDefault="00EE5306">
            <w:pPr>
              <w:spacing w:after="100"/>
              <w:jc w:val="right"/>
              <w:rPr>
                <w:rFonts w:eastAsia="Times New Roman"/>
              </w:rPr>
            </w:pPr>
            <w:r>
              <w:rPr>
                <w:rFonts w:eastAsia="Times New Roman"/>
                <w:color w:val="000000"/>
                <w:sz w:val="20"/>
                <w:szCs w:val="20"/>
              </w:rPr>
              <w:t>355.9 </w:t>
            </w:r>
          </w:p>
        </w:tc>
        <w:tc>
          <w:tcPr>
            <w:tcW w:w="0" w:type="auto"/>
            <w:shd w:val="clear" w:color="auto" w:fill="CCEEFF"/>
            <w:tcMar>
              <w:top w:w="30" w:type="dxa"/>
              <w:left w:w="0" w:type="dxa"/>
              <w:bottom w:w="30" w:type="dxa"/>
              <w:right w:w="20" w:type="dxa"/>
            </w:tcMar>
            <w:vAlign w:val="bottom"/>
            <w:hideMark/>
          </w:tcPr>
          <w:p w14:paraId="57FD686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BF55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1FD8FC" w14:textId="77777777" w:rsidR="00000000" w:rsidRDefault="00EE5306">
            <w:pPr>
              <w:spacing w:after="100"/>
              <w:jc w:val="right"/>
              <w:rPr>
                <w:rFonts w:eastAsia="Times New Roman"/>
              </w:rPr>
            </w:pPr>
            <w:r>
              <w:rPr>
                <w:rFonts w:eastAsia="Times New Roman"/>
                <w:color w:val="000000"/>
                <w:sz w:val="20"/>
                <w:szCs w:val="20"/>
              </w:rPr>
              <w:t>246.8 </w:t>
            </w:r>
          </w:p>
        </w:tc>
        <w:tc>
          <w:tcPr>
            <w:tcW w:w="0" w:type="auto"/>
            <w:shd w:val="clear" w:color="auto" w:fill="CCEEFF"/>
            <w:tcMar>
              <w:top w:w="30" w:type="dxa"/>
              <w:left w:w="0" w:type="dxa"/>
              <w:bottom w:w="30" w:type="dxa"/>
              <w:right w:w="20" w:type="dxa"/>
            </w:tcMar>
            <w:vAlign w:val="bottom"/>
            <w:hideMark/>
          </w:tcPr>
          <w:p w14:paraId="19D3EEE0" w14:textId="77777777" w:rsidR="00000000" w:rsidRDefault="00EE5306">
            <w:pPr>
              <w:spacing w:after="100"/>
              <w:jc w:val="right"/>
              <w:rPr>
                <w:rFonts w:eastAsia="Times New Roman"/>
              </w:rPr>
            </w:pPr>
          </w:p>
        </w:tc>
      </w:tr>
      <w:tr w:rsidR="00000000" w14:paraId="33A4C1CF" w14:textId="77777777">
        <w:trPr>
          <w:jc w:val="center"/>
        </w:trPr>
        <w:tc>
          <w:tcPr>
            <w:tcW w:w="0" w:type="auto"/>
            <w:gridSpan w:val="3"/>
            <w:shd w:val="clear" w:color="auto" w:fill="FFFFFF"/>
            <w:tcMar>
              <w:top w:w="30" w:type="dxa"/>
              <w:left w:w="155" w:type="dxa"/>
              <w:bottom w:w="30" w:type="dxa"/>
              <w:right w:w="20" w:type="dxa"/>
            </w:tcMar>
            <w:vAlign w:val="bottom"/>
            <w:hideMark/>
          </w:tcPr>
          <w:p w14:paraId="2B9FD2CE" w14:textId="77777777" w:rsidR="00000000" w:rsidRDefault="00EE5306">
            <w:pPr>
              <w:spacing w:after="100"/>
              <w:rPr>
                <w:rFonts w:eastAsia="Times New Roman"/>
              </w:rPr>
            </w:pPr>
            <w:r>
              <w:rPr>
                <w:rFonts w:eastAsia="Times New Roman"/>
                <w:color w:val="000000"/>
                <w:sz w:val="20"/>
                <w:szCs w:val="20"/>
              </w:rPr>
              <w:t>Income tax payable</w:t>
            </w:r>
          </w:p>
        </w:tc>
        <w:tc>
          <w:tcPr>
            <w:tcW w:w="0" w:type="auto"/>
            <w:gridSpan w:val="3"/>
            <w:shd w:val="clear" w:color="auto" w:fill="FFFFFF"/>
            <w:tcMar>
              <w:top w:w="0" w:type="dxa"/>
              <w:left w:w="20" w:type="dxa"/>
              <w:bottom w:w="0" w:type="dxa"/>
              <w:right w:w="20" w:type="dxa"/>
            </w:tcMar>
            <w:vAlign w:val="center"/>
            <w:hideMark/>
          </w:tcPr>
          <w:p w14:paraId="2D66F663"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070DBA" w14:textId="77777777" w:rsidR="00000000" w:rsidRDefault="00EE5306">
            <w:pPr>
              <w:spacing w:after="100"/>
              <w:jc w:val="right"/>
              <w:rPr>
                <w:rFonts w:eastAsia="Times New Roman"/>
              </w:rPr>
            </w:pPr>
            <w:r>
              <w:rPr>
                <w:rFonts w:eastAsia="Times New Roman"/>
                <w:color w:val="000000"/>
                <w:sz w:val="20"/>
                <w:szCs w:val="20"/>
              </w:rPr>
              <w:t>50.6 </w:t>
            </w:r>
          </w:p>
        </w:tc>
        <w:tc>
          <w:tcPr>
            <w:tcW w:w="0" w:type="auto"/>
            <w:shd w:val="clear" w:color="auto" w:fill="FFFFFF"/>
            <w:tcMar>
              <w:top w:w="30" w:type="dxa"/>
              <w:left w:w="0" w:type="dxa"/>
              <w:bottom w:w="30" w:type="dxa"/>
              <w:right w:w="20" w:type="dxa"/>
            </w:tcMar>
            <w:vAlign w:val="bottom"/>
            <w:hideMark/>
          </w:tcPr>
          <w:p w14:paraId="43A689A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B0FB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97206C" w14:textId="77777777" w:rsidR="00000000" w:rsidRDefault="00EE5306">
            <w:pPr>
              <w:spacing w:after="100"/>
              <w:jc w:val="right"/>
              <w:rPr>
                <w:rFonts w:eastAsia="Times New Roman"/>
              </w:rPr>
            </w:pPr>
            <w:r>
              <w:rPr>
                <w:rFonts w:eastAsia="Times New Roman"/>
                <w:color w:val="000000"/>
                <w:sz w:val="20"/>
                <w:szCs w:val="20"/>
              </w:rPr>
              <w:t>65.1 </w:t>
            </w:r>
          </w:p>
        </w:tc>
        <w:tc>
          <w:tcPr>
            <w:tcW w:w="0" w:type="auto"/>
            <w:shd w:val="clear" w:color="auto" w:fill="FFFFFF"/>
            <w:tcMar>
              <w:top w:w="30" w:type="dxa"/>
              <w:left w:w="0" w:type="dxa"/>
              <w:bottom w:w="30" w:type="dxa"/>
              <w:right w:w="20" w:type="dxa"/>
            </w:tcMar>
            <w:vAlign w:val="bottom"/>
            <w:hideMark/>
          </w:tcPr>
          <w:p w14:paraId="68C39E82" w14:textId="77777777" w:rsidR="00000000" w:rsidRDefault="00EE5306">
            <w:pPr>
              <w:spacing w:after="100"/>
              <w:jc w:val="right"/>
              <w:rPr>
                <w:rFonts w:eastAsia="Times New Roman"/>
              </w:rPr>
            </w:pPr>
          </w:p>
        </w:tc>
      </w:tr>
      <w:tr w:rsidR="00000000" w14:paraId="0F0C8BEC" w14:textId="77777777">
        <w:trPr>
          <w:jc w:val="center"/>
        </w:trPr>
        <w:tc>
          <w:tcPr>
            <w:tcW w:w="0" w:type="auto"/>
            <w:gridSpan w:val="3"/>
            <w:shd w:val="clear" w:color="auto" w:fill="CCEEFF"/>
            <w:tcMar>
              <w:top w:w="30" w:type="dxa"/>
              <w:left w:w="155" w:type="dxa"/>
              <w:bottom w:w="30" w:type="dxa"/>
              <w:right w:w="20" w:type="dxa"/>
            </w:tcMar>
            <w:vAlign w:val="bottom"/>
            <w:hideMark/>
          </w:tcPr>
          <w:p w14:paraId="52AC0135" w14:textId="77777777" w:rsidR="00000000" w:rsidRDefault="00EE5306">
            <w:pPr>
              <w:spacing w:after="100"/>
              <w:rPr>
                <w:rFonts w:eastAsia="Times New Roman"/>
              </w:rPr>
            </w:pPr>
            <w:r>
              <w:rPr>
                <w:rFonts w:eastAsia="Times New Roman"/>
                <w:color w:val="000000"/>
                <w:sz w:val="20"/>
                <w:szCs w:val="20"/>
              </w:rPr>
              <w:t>Current operating lease liabilities</w:t>
            </w:r>
          </w:p>
        </w:tc>
        <w:tc>
          <w:tcPr>
            <w:tcW w:w="0" w:type="auto"/>
            <w:gridSpan w:val="3"/>
            <w:shd w:val="clear" w:color="auto" w:fill="CCEEFF"/>
            <w:tcMar>
              <w:top w:w="0" w:type="dxa"/>
              <w:left w:w="20" w:type="dxa"/>
              <w:bottom w:w="0" w:type="dxa"/>
              <w:right w:w="20" w:type="dxa"/>
            </w:tcMar>
            <w:vAlign w:val="center"/>
            <w:hideMark/>
          </w:tcPr>
          <w:p w14:paraId="2BB7346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615D2F" w14:textId="77777777" w:rsidR="00000000" w:rsidRDefault="00EE5306">
            <w:pPr>
              <w:spacing w:after="100"/>
              <w:jc w:val="right"/>
              <w:rPr>
                <w:rFonts w:eastAsia="Times New Roman"/>
              </w:rPr>
            </w:pPr>
            <w:r>
              <w:rPr>
                <w:rFonts w:eastAsia="Times New Roman"/>
                <w:color w:val="000000"/>
                <w:sz w:val="20"/>
                <w:szCs w:val="20"/>
              </w:rPr>
              <w:t>302.9 </w:t>
            </w:r>
          </w:p>
        </w:tc>
        <w:tc>
          <w:tcPr>
            <w:tcW w:w="0" w:type="auto"/>
            <w:shd w:val="clear" w:color="auto" w:fill="CCEEFF"/>
            <w:tcMar>
              <w:top w:w="30" w:type="dxa"/>
              <w:left w:w="0" w:type="dxa"/>
              <w:bottom w:w="30" w:type="dxa"/>
              <w:right w:w="20" w:type="dxa"/>
            </w:tcMar>
            <w:vAlign w:val="bottom"/>
            <w:hideMark/>
          </w:tcPr>
          <w:p w14:paraId="684095C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F255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7AACF" w14:textId="77777777" w:rsidR="00000000" w:rsidRDefault="00EE5306">
            <w:pPr>
              <w:spacing w:after="100"/>
              <w:jc w:val="right"/>
              <w:rPr>
                <w:rFonts w:eastAsia="Times New Roman"/>
              </w:rPr>
            </w:pPr>
            <w:r>
              <w:rPr>
                <w:rFonts w:eastAsia="Times New Roman"/>
                <w:color w:val="000000"/>
                <w:sz w:val="20"/>
                <w:szCs w:val="20"/>
              </w:rPr>
              <w:t>288.4 </w:t>
            </w:r>
          </w:p>
        </w:tc>
        <w:tc>
          <w:tcPr>
            <w:tcW w:w="0" w:type="auto"/>
            <w:shd w:val="clear" w:color="auto" w:fill="CCEEFF"/>
            <w:tcMar>
              <w:top w:w="30" w:type="dxa"/>
              <w:left w:w="0" w:type="dxa"/>
              <w:bottom w:w="30" w:type="dxa"/>
              <w:right w:w="20" w:type="dxa"/>
            </w:tcMar>
            <w:vAlign w:val="bottom"/>
            <w:hideMark/>
          </w:tcPr>
          <w:p w14:paraId="11308FE2" w14:textId="77777777" w:rsidR="00000000" w:rsidRDefault="00EE5306">
            <w:pPr>
              <w:spacing w:after="100"/>
              <w:jc w:val="right"/>
              <w:rPr>
                <w:rFonts w:eastAsia="Times New Roman"/>
              </w:rPr>
            </w:pPr>
          </w:p>
        </w:tc>
      </w:tr>
      <w:tr w:rsidR="00000000" w14:paraId="14314099" w14:textId="77777777">
        <w:trPr>
          <w:jc w:val="center"/>
        </w:trPr>
        <w:tc>
          <w:tcPr>
            <w:tcW w:w="0" w:type="auto"/>
            <w:gridSpan w:val="3"/>
            <w:shd w:val="clear" w:color="auto" w:fill="FFFFFF"/>
            <w:tcMar>
              <w:top w:w="30" w:type="dxa"/>
              <w:left w:w="155" w:type="dxa"/>
              <w:bottom w:w="30" w:type="dxa"/>
              <w:right w:w="20" w:type="dxa"/>
            </w:tcMar>
            <w:vAlign w:val="bottom"/>
            <w:hideMark/>
          </w:tcPr>
          <w:p w14:paraId="6F60A6C3" w14:textId="77777777" w:rsidR="00000000" w:rsidRDefault="00EE5306">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14:paraId="69EA725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32266F" w14:textId="77777777" w:rsidR="00000000" w:rsidRDefault="00EE5306">
            <w:pPr>
              <w:spacing w:after="100"/>
              <w:jc w:val="right"/>
              <w:rPr>
                <w:rFonts w:eastAsia="Times New Roman"/>
              </w:rPr>
            </w:pPr>
            <w:r>
              <w:rPr>
                <w:rFonts w:eastAsia="Times New Roman"/>
                <w:color w:val="000000"/>
                <w:sz w:val="20"/>
                <w:szCs w:val="20"/>
              </w:rPr>
              <w:t>875.4 </w:t>
            </w:r>
          </w:p>
        </w:tc>
        <w:tc>
          <w:tcPr>
            <w:tcW w:w="0" w:type="auto"/>
            <w:shd w:val="clear" w:color="auto" w:fill="FFFFFF"/>
            <w:tcMar>
              <w:top w:w="30" w:type="dxa"/>
              <w:left w:w="0" w:type="dxa"/>
              <w:bottom w:w="30" w:type="dxa"/>
              <w:right w:w="20" w:type="dxa"/>
            </w:tcMar>
            <w:vAlign w:val="bottom"/>
            <w:hideMark/>
          </w:tcPr>
          <w:p w14:paraId="38F9698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368B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E61A0A" w14:textId="77777777" w:rsidR="00000000" w:rsidRDefault="00EE5306">
            <w:pPr>
              <w:spacing w:after="100"/>
              <w:jc w:val="right"/>
              <w:rPr>
                <w:rFonts w:eastAsia="Times New Roman"/>
              </w:rPr>
            </w:pPr>
            <w:r>
              <w:rPr>
                <w:rFonts w:eastAsia="Times New Roman"/>
                <w:color w:val="000000"/>
                <w:sz w:val="20"/>
                <w:szCs w:val="20"/>
              </w:rPr>
              <w:t>717.1 </w:t>
            </w:r>
          </w:p>
        </w:tc>
        <w:tc>
          <w:tcPr>
            <w:tcW w:w="0" w:type="auto"/>
            <w:shd w:val="clear" w:color="auto" w:fill="FFFFFF"/>
            <w:tcMar>
              <w:top w:w="30" w:type="dxa"/>
              <w:left w:w="0" w:type="dxa"/>
              <w:bottom w:w="30" w:type="dxa"/>
              <w:right w:w="20" w:type="dxa"/>
            </w:tcMar>
            <w:vAlign w:val="bottom"/>
            <w:hideMark/>
          </w:tcPr>
          <w:p w14:paraId="3381C361" w14:textId="77777777" w:rsidR="00000000" w:rsidRDefault="00EE5306">
            <w:pPr>
              <w:spacing w:after="100"/>
              <w:jc w:val="right"/>
              <w:rPr>
                <w:rFonts w:eastAsia="Times New Roman"/>
              </w:rPr>
            </w:pPr>
          </w:p>
        </w:tc>
      </w:tr>
      <w:tr w:rsidR="00000000" w14:paraId="0E87436B" w14:textId="77777777">
        <w:trPr>
          <w:jc w:val="center"/>
        </w:trPr>
        <w:tc>
          <w:tcPr>
            <w:tcW w:w="0" w:type="auto"/>
            <w:gridSpan w:val="3"/>
            <w:shd w:val="clear" w:color="auto" w:fill="CCEEFF"/>
            <w:tcMar>
              <w:top w:w="30" w:type="dxa"/>
              <w:left w:w="20" w:type="dxa"/>
              <w:bottom w:w="30" w:type="dxa"/>
              <w:right w:w="20" w:type="dxa"/>
            </w:tcMar>
            <w:vAlign w:val="bottom"/>
            <w:hideMark/>
          </w:tcPr>
          <w:p w14:paraId="4087F7B0" w14:textId="77777777" w:rsidR="00000000" w:rsidRDefault="00EE5306">
            <w:pPr>
              <w:spacing w:after="100"/>
              <w:divId w:val="662660537"/>
              <w:rPr>
                <w:rFonts w:eastAsia="Times New Roman"/>
              </w:rPr>
            </w:pPr>
            <w:r>
              <w:rPr>
                <w:rFonts w:eastAsia="Times New Roman"/>
                <w:b/>
                <w:bCs/>
                <w:color w:val="000000"/>
                <w:sz w:val="20"/>
                <w:szCs w:val="20"/>
              </w:rPr>
              <w:t>Total current liabilities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3B35E711"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EE3FA2" w14:textId="77777777" w:rsidR="00000000" w:rsidRDefault="00EE5306">
            <w:pPr>
              <w:spacing w:after="100"/>
              <w:jc w:val="right"/>
              <w:rPr>
                <w:rFonts w:eastAsia="Times New Roman"/>
              </w:rPr>
            </w:pPr>
            <w:r>
              <w:rPr>
                <w:rFonts w:eastAsia="Times New Roman"/>
                <w:color w:val="000000"/>
                <w:sz w:val="20"/>
                <w:szCs w:val="20"/>
              </w:rPr>
              <w:t>1,584.8 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0BF62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E2661"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4341A4" w14:textId="77777777" w:rsidR="00000000" w:rsidRDefault="00EE5306">
            <w:pPr>
              <w:spacing w:after="100"/>
              <w:jc w:val="right"/>
              <w:rPr>
                <w:rFonts w:eastAsia="Times New Roman"/>
              </w:rPr>
            </w:pPr>
            <w:r>
              <w:rPr>
                <w:rFonts w:eastAsia="Times New Roman"/>
                <w:color w:val="000000"/>
                <w:sz w:val="20"/>
                <w:szCs w:val="20"/>
              </w:rPr>
              <w:t>2,092.0 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39E15B" w14:textId="77777777" w:rsidR="00000000" w:rsidRDefault="00EE5306">
            <w:pPr>
              <w:spacing w:after="100"/>
              <w:jc w:val="right"/>
              <w:rPr>
                <w:rFonts w:eastAsia="Times New Roman"/>
              </w:rPr>
            </w:pPr>
          </w:p>
        </w:tc>
      </w:tr>
      <w:tr w:rsidR="00000000" w14:paraId="4515C935" w14:textId="77777777">
        <w:trPr>
          <w:jc w:val="center"/>
        </w:trPr>
        <w:tc>
          <w:tcPr>
            <w:tcW w:w="0" w:type="auto"/>
            <w:gridSpan w:val="3"/>
            <w:shd w:val="clear" w:color="auto" w:fill="FFFFFF"/>
            <w:tcMar>
              <w:top w:w="30" w:type="dxa"/>
              <w:left w:w="20" w:type="dxa"/>
              <w:bottom w:w="30" w:type="dxa"/>
              <w:right w:w="20" w:type="dxa"/>
            </w:tcMar>
            <w:vAlign w:val="bottom"/>
            <w:hideMark/>
          </w:tcPr>
          <w:p w14:paraId="76320DF3" w14:textId="77777777" w:rsidR="00000000" w:rsidRDefault="00EE5306">
            <w:pPr>
              <w:spacing w:after="100"/>
              <w:rPr>
                <w:rFonts w:eastAsia="Times New Roman"/>
              </w:rPr>
            </w:pPr>
            <w:r>
              <w:rPr>
                <w:rFonts w:eastAsia="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794E185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07AAC6" w14:textId="77777777" w:rsidR="00000000" w:rsidRDefault="00EE5306">
            <w:pPr>
              <w:spacing w:after="100"/>
              <w:jc w:val="right"/>
              <w:rPr>
                <w:rFonts w:eastAsia="Times New Roman"/>
              </w:rPr>
            </w:pPr>
            <w:r>
              <w:rPr>
                <w:rFonts w:eastAsia="Times New Roman"/>
                <w:color w:val="000000"/>
                <w:sz w:val="20"/>
                <w:szCs w:val="20"/>
              </w:rPr>
              <w:t>1,632.9 </w:t>
            </w:r>
          </w:p>
        </w:tc>
        <w:tc>
          <w:tcPr>
            <w:tcW w:w="0" w:type="auto"/>
            <w:shd w:val="clear" w:color="auto" w:fill="FFFFFF"/>
            <w:tcMar>
              <w:top w:w="30" w:type="dxa"/>
              <w:left w:w="0" w:type="dxa"/>
              <w:bottom w:w="30" w:type="dxa"/>
              <w:right w:w="20" w:type="dxa"/>
            </w:tcMar>
            <w:vAlign w:val="bottom"/>
            <w:hideMark/>
          </w:tcPr>
          <w:p w14:paraId="752F558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20A7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877394" w14:textId="77777777" w:rsidR="00000000" w:rsidRDefault="00EE5306">
            <w:pPr>
              <w:spacing w:after="100"/>
              <w:jc w:val="right"/>
              <w:rPr>
                <w:rFonts w:eastAsia="Times New Roman"/>
              </w:rPr>
            </w:pPr>
            <w:r>
              <w:rPr>
                <w:rFonts w:eastAsia="Times New Roman"/>
                <w:color w:val="000000"/>
                <w:sz w:val="20"/>
                <w:szCs w:val="20"/>
              </w:rPr>
              <w:t>396.4 </w:t>
            </w:r>
          </w:p>
        </w:tc>
        <w:tc>
          <w:tcPr>
            <w:tcW w:w="0" w:type="auto"/>
            <w:shd w:val="clear" w:color="auto" w:fill="FFFFFF"/>
            <w:tcMar>
              <w:top w:w="30" w:type="dxa"/>
              <w:left w:w="0" w:type="dxa"/>
              <w:bottom w:w="30" w:type="dxa"/>
              <w:right w:w="20" w:type="dxa"/>
            </w:tcMar>
            <w:vAlign w:val="bottom"/>
            <w:hideMark/>
          </w:tcPr>
          <w:p w14:paraId="5269EF7F" w14:textId="77777777" w:rsidR="00000000" w:rsidRDefault="00EE5306">
            <w:pPr>
              <w:spacing w:after="100"/>
              <w:jc w:val="right"/>
              <w:rPr>
                <w:rFonts w:eastAsia="Times New Roman"/>
              </w:rPr>
            </w:pPr>
          </w:p>
        </w:tc>
      </w:tr>
      <w:tr w:rsidR="00000000" w14:paraId="44C46F3E" w14:textId="77777777">
        <w:trPr>
          <w:jc w:val="center"/>
        </w:trPr>
        <w:tc>
          <w:tcPr>
            <w:tcW w:w="0" w:type="auto"/>
            <w:gridSpan w:val="3"/>
            <w:shd w:val="clear" w:color="auto" w:fill="CCEEFF"/>
            <w:tcMar>
              <w:top w:w="30" w:type="dxa"/>
              <w:left w:w="20" w:type="dxa"/>
              <w:bottom w:w="30" w:type="dxa"/>
              <w:right w:w="20" w:type="dxa"/>
            </w:tcMar>
            <w:vAlign w:val="bottom"/>
            <w:hideMark/>
          </w:tcPr>
          <w:p w14:paraId="6FD4C992" w14:textId="77777777" w:rsidR="00000000" w:rsidRDefault="00EE5306">
            <w:pPr>
              <w:spacing w:after="100"/>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14:paraId="5145E5A4"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87AB4F" w14:textId="77777777" w:rsidR="00000000" w:rsidRDefault="00EE5306">
            <w:pPr>
              <w:spacing w:after="100"/>
              <w:jc w:val="right"/>
              <w:rPr>
                <w:rFonts w:eastAsia="Times New Roman"/>
              </w:rPr>
            </w:pPr>
            <w:r>
              <w:rPr>
                <w:rFonts w:eastAsia="Times New Roman"/>
                <w:color w:val="000000"/>
                <w:sz w:val="20"/>
                <w:szCs w:val="20"/>
              </w:rPr>
              <w:t>1,294.5 </w:t>
            </w:r>
          </w:p>
        </w:tc>
        <w:tc>
          <w:tcPr>
            <w:tcW w:w="0" w:type="auto"/>
            <w:shd w:val="clear" w:color="auto" w:fill="CCEEFF"/>
            <w:tcMar>
              <w:top w:w="30" w:type="dxa"/>
              <w:left w:w="0" w:type="dxa"/>
              <w:bottom w:w="30" w:type="dxa"/>
              <w:right w:w="20" w:type="dxa"/>
            </w:tcMar>
            <w:vAlign w:val="bottom"/>
            <w:hideMark/>
          </w:tcPr>
          <w:p w14:paraId="4CC3AA4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69131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0DDA08" w14:textId="77777777" w:rsidR="00000000" w:rsidRDefault="00EE5306">
            <w:pPr>
              <w:spacing w:after="100"/>
              <w:jc w:val="right"/>
              <w:rPr>
                <w:rFonts w:eastAsia="Times New Roman"/>
              </w:rPr>
            </w:pPr>
            <w:r>
              <w:rPr>
                <w:rFonts w:eastAsia="Times New Roman"/>
                <w:color w:val="000000"/>
                <w:sz w:val="20"/>
                <w:szCs w:val="20"/>
              </w:rPr>
              <w:t>1,568.3 </w:t>
            </w:r>
          </w:p>
        </w:tc>
        <w:tc>
          <w:tcPr>
            <w:tcW w:w="0" w:type="auto"/>
            <w:shd w:val="clear" w:color="auto" w:fill="CCEEFF"/>
            <w:tcMar>
              <w:top w:w="30" w:type="dxa"/>
              <w:left w:w="0" w:type="dxa"/>
              <w:bottom w:w="30" w:type="dxa"/>
              <w:right w:w="20" w:type="dxa"/>
            </w:tcMar>
            <w:vAlign w:val="bottom"/>
            <w:hideMark/>
          </w:tcPr>
          <w:p w14:paraId="717230BB" w14:textId="77777777" w:rsidR="00000000" w:rsidRDefault="00EE5306">
            <w:pPr>
              <w:spacing w:after="100"/>
              <w:jc w:val="right"/>
              <w:rPr>
                <w:rFonts w:eastAsia="Times New Roman"/>
              </w:rPr>
            </w:pPr>
          </w:p>
        </w:tc>
      </w:tr>
      <w:tr w:rsidR="00000000" w14:paraId="4A246FB3" w14:textId="77777777">
        <w:trPr>
          <w:jc w:val="center"/>
        </w:trPr>
        <w:tc>
          <w:tcPr>
            <w:tcW w:w="0" w:type="auto"/>
            <w:gridSpan w:val="3"/>
            <w:shd w:val="clear" w:color="auto" w:fill="FFFFFF"/>
            <w:tcMar>
              <w:top w:w="30" w:type="dxa"/>
              <w:left w:w="20" w:type="dxa"/>
              <w:bottom w:w="30" w:type="dxa"/>
              <w:right w:w="20" w:type="dxa"/>
            </w:tcMar>
            <w:vAlign w:val="bottom"/>
            <w:hideMark/>
          </w:tcPr>
          <w:p w14:paraId="3EEC7A5C" w14:textId="77777777" w:rsidR="00000000" w:rsidRDefault="00EE5306">
            <w:pPr>
              <w:spacing w:after="100"/>
              <w:rPr>
                <w:rFonts w:eastAsia="Times New Roman"/>
              </w:rPr>
            </w:pPr>
            <w:r>
              <w:rPr>
                <w:rFonts w:eastAsia="Times New Roman"/>
                <w:color w:val="000000"/>
                <w:sz w:val="20"/>
                <w:szCs w:val="20"/>
              </w:rPr>
              <w:t>Income tax payable</w:t>
            </w:r>
          </w:p>
        </w:tc>
        <w:tc>
          <w:tcPr>
            <w:tcW w:w="0" w:type="auto"/>
            <w:gridSpan w:val="3"/>
            <w:shd w:val="clear" w:color="auto" w:fill="FFFFFF"/>
            <w:tcMar>
              <w:top w:w="0" w:type="dxa"/>
              <w:left w:w="20" w:type="dxa"/>
              <w:bottom w:w="0" w:type="dxa"/>
              <w:right w:w="20" w:type="dxa"/>
            </w:tcMar>
            <w:vAlign w:val="center"/>
            <w:hideMark/>
          </w:tcPr>
          <w:p w14:paraId="111EF74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017984" w14:textId="77777777" w:rsidR="00000000" w:rsidRDefault="00EE5306">
            <w:pPr>
              <w:spacing w:after="100"/>
              <w:jc w:val="right"/>
              <w:rPr>
                <w:rFonts w:eastAsia="Times New Roman"/>
              </w:rPr>
            </w:pPr>
            <w:r>
              <w:rPr>
                <w:rFonts w:eastAsia="Times New Roman"/>
                <w:color w:val="000000"/>
                <w:sz w:val="20"/>
                <w:szCs w:val="20"/>
              </w:rPr>
              <w:t>118.7 </w:t>
            </w:r>
          </w:p>
        </w:tc>
        <w:tc>
          <w:tcPr>
            <w:tcW w:w="0" w:type="auto"/>
            <w:shd w:val="clear" w:color="auto" w:fill="FFFFFF"/>
            <w:tcMar>
              <w:top w:w="30" w:type="dxa"/>
              <w:left w:w="0" w:type="dxa"/>
              <w:bottom w:w="30" w:type="dxa"/>
              <w:right w:w="20" w:type="dxa"/>
            </w:tcMar>
            <w:vAlign w:val="bottom"/>
            <w:hideMark/>
          </w:tcPr>
          <w:p w14:paraId="0F9FC08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9D36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1F365C" w14:textId="77777777" w:rsidR="00000000" w:rsidRDefault="00EE5306">
            <w:pPr>
              <w:spacing w:after="100"/>
              <w:jc w:val="right"/>
              <w:rPr>
                <w:rFonts w:eastAsia="Times New Roman"/>
              </w:rPr>
            </w:pPr>
            <w:r>
              <w:rPr>
                <w:rFonts w:eastAsia="Times New Roman"/>
                <w:color w:val="000000"/>
                <w:sz w:val="20"/>
                <w:szCs w:val="20"/>
              </w:rPr>
              <w:t>132.7 </w:t>
            </w:r>
          </w:p>
        </w:tc>
        <w:tc>
          <w:tcPr>
            <w:tcW w:w="0" w:type="auto"/>
            <w:shd w:val="clear" w:color="auto" w:fill="FFFFFF"/>
            <w:tcMar>
              <w:top w:w="30" w:type="dxa"/>
              <w:left w:w="0" w:type="dxa"/>
              <w:bottom w:w="30" w:type="dxa"/>
              <w:right w:w="20" w:type="dxa"/>
            </w:tcMar>
            <w:vAlign w:val="bottom"/>
            <w:hideMark/>
          </w:tcPr>
          <w:p w14:paraId="4C7546A8" w14:textId="77777777" w:rsidR="00000000" w:rsidRDefault="00EE5306">
            <w:pPr>
              <w:spacing w:after="100"/>
              <w:jc w:val="right"/>
              <w:rPr>
                <w:rFonts w:eastAsia="Times New Roman"/>
              </w:rPr>
            </w:pPr>
          </w:p>
        </w:tc>
      </w:tr>
      <w:tr w:rsidR="00000000" w14:paraId="5157E683" w14:textId="77777777">
        <w:trPr>
          <w:jc w:val="center"/>
        </w:trPr>
        <w:tc>
          <w:tcPr>
            <w:tcW w:w="0" w:type="auto"/>
            <w:gridSpan w:val="3"/>
            <w:shd w:val="clear" w:color="auto" w:fill="CCEEFF"/>
            <w:tcMar>
              <w:top w:w="30" w:type="dxa"/>
              <w:left w:w="20" w:type="dxa"/>
              <w:bottom w:w="30" w:type="dxa"/>
              <w:right w:w="20" w:type="dxa"/>
            </w:tcMar>
            <w:vAlign w:val="bottom"/>
            <w:hideMark/>
          </w:tcPr>
          <w:p w14:paraId="72DE099B" w14:textId="77777777" w:rsidR="00000000" w:rsidRDefault="00EE5306">
            <w:pPr>
              <w:spacing w:after="100"/>
              <w:rPr>
                <w:rFonts w:eastAsia="Times New Roman"/>
              </w:rPr>
            </w:pPr>
            <w:r>
              <w:rPr>
                <w:rFonts w:eastAsia="Times New Roman"/>
                <w:color w:val="000000"/>
                <w:sz w:val="20"/>
                <w:szCs w:val="20"/>
              </w:rPr>
              <w:t>Non-current liability for unrecognized tax benefits</w:t>
            </w:r>
          </w:p>
        </w:tc>
        <w:tc>
          <w:tcPr>
            <w:tcW w:w="0" w:type="auto"/>
            <w:gridSpan w:val="3"/>
            <w:shd w:val="clear" w:color="auto" w:fill="CCEEFF"/>
            <w:tcMar>
              <w:top w:w="0" w:type="dxa"/>
              <w:left w:w="20" w:type="dxa"/>
              <w:bottom w:w="0" w:type="dxa"/>
              <w:right w:w="20" w:type="dxa"/>
            </w:tcMar>
            <w:vAlign w:val="center"/>
            <w:hideMark/>
          </w:tcPr>
          <w:p w14:paraId="4B23688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6D1DF7" w14:textId="77777777" w:rsidR="00000000" w:rsidRDefault="00EE5306">
            <w:pPr>
              <w:spacing w:after="100"/>
              <w:jc w:val="right"/>
              <w:rPr>
                <w:rFonts w:eastAsia="Times New Roman"/>
              </w:rPr>
            </w:pPr>
            <w:r>
              <w:rPr>
                <w:rFonts w:eastAsia="Times New Roman"/>
                <w:color w:val="000000"/>
                <w:sz w:val="20"/>
                <w:szCs w:val="20"/>
              </w:rPr>
              <w:t>91.4 </w:t>
            </w:r>
          </w:p>
        </w:tc>
        <w:tc>
          <w:tcPr>
            <w:tcW w:w="0" w:type="auto"/>
            <w:shd w:val="clear" w:color="auto" w:fill="CCEEFF"/>
            <w:tcMar>
              <w:top w:w="30" w:type="dxa"/>
              <w:left w:w="0" w:type="dxa"/>
              <w:bottom w:w="30" w:type="dxa"/>
              <w:right w:w="20" w:type="dxa"/>
            </w:tcMar>
            <w:vAlign w:val="bottom"/>
            <w:hideMark/>
          </w:tcPr>
          <w:p w14:paraId="7D23654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1E2E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9AD771" w14:textId="77777777" w:rsidR="00000000" w:rsidRDefault="00EE5306">
            <w:pPr>
              <w:spacing w:after="100"/>
              <w:jc w:val="right"/>
              <w:rPr>
                <w:rFonts w:eastAsia="Times New Roman"/>
              </w:rPr>
            </w:pPr>
            <w:r>
              <w:rPr>
                <w:rFonts w:eastAsia="Times New Roman"/>
                <w:color w:val="000000"/>
                <w:sz w:val="20"/>
                <w:szCs w:val="20"/>
              </w:rPr>
              <w:t>88.9 </w:t>
            </w:r>
          </w:p>
        </w:tc>
        <w:tc>
          <w:tcPr>
            <w:tcW w:w="0" w:type="auto"/>
            <w:shd w:val="clear" w:color="auto" w:fill="CCEEFF"/>
            <w:tcMar>
              <w:top w:w="30" w:type="dxa"/>
              <w:left w:w="0" w:type="dxa"/>
              <w:bottom w:w="30" w:type="dxa"/>
              <w:right w:w="20" w:type="dxa"/>
            </w:tcMar>
            <w:vAlign w:val="bottom"/>
            <w:hideMark/>
          </w:tcPr>
          <w:p w14:paraId="1A47D8E1" w14:textId="77777777" w:rsidR="00000000" w:rsidRDefault="00EE5306">
            <w:pPr>
              <w:spacing w:after="100"/>
              <w:jc w:val="right"/>
              <w:rPr>
                <w:rFonts w:eastAsia="Times New Roman"/>
              </w:rPr>
            </w:pPr>
          </w:p>
        </w:tc>
      </w:tr>
      <w:tr w:rsidR="00000000" w14:paraId="538E8D8D" w14:textId="77777777">
        <w:trPr>
          <w:jc w:val="center"/>
        </w:trPr>
        <w:tc>
          <w:tcPr>
            <w:tcW w:w="0" w:type="auto"/>
            <w:gridSpan w:val="3"/>
            <w:shd w:val="clear" w:color="auto" w:fill="FFFFFF"/>
            <w:tcMar>
              <w:top w:w="30" w:type="dxa"/>
              <w:left w:w="20" w:type="dxa"/>
              <w:bottom w:w="30" w:type="dxa"/>
              <w:right w:w="20" w:type="dxa"/>
            </w:tcMar>
            <w:vAlign w:val="bottom"/>
            <w:hideMark/>
          </w:tcPr>
          <w:p w14:paraId="343300F7" w14:textId="77777777" w:rsidR="00000000" w:rsidRDefault="00EE5306">
            <w:pPr>
              <w:spacing w:after="100"/>
              <w:rPr>
                <w:rFonts w:eastAsia="Times New Roman"/>
              </w:rPr>
            </w:pPr>
            <w:r>
              <w:rPr>
                <w:rFonts w:eastAsia="Times New Roman"/>
                <w:color w:val="000000"/>
                <w:sz w:val="20"/>
                <w:szCs w:val="20"/>
              </w:rPr>
              <w:t>Other non-current liabilities</w:t>
            </w:r>
          </w:p>
        </w:tc>
        <w:tc>
          <w:tcPr>
            <w:tcW w:w="0" w:type="auto"/>
            <w:gridSpan w:val="3"/>
            <w:shd w:val="clear" w:color="auto" w:fill="FFFFFF"/>
            <w:tcMar>
              <w:top w:w="0" w:type="dxa"/>
              <w:left w:w="20" w:type="dxa"/>
              <w:bottom w:w="0" w:type="dxa"/>
              <w:right w:w="20" w:type="dxa"/>
            </w:tcMar>
            <w:vAlign w:val="center"/>
            <w:hideMark/>
          </w:tcPr>
          <w:p w14:paraId="23B8C14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DA6C9A" w14:textId="77777777" w:rsidR="00000000" w:rsidRDefault="00EE5306">
            <w:pPr>
              <w:spacing w:after="100"/>
              <w:jc w:val="right"/>
              <w:rPr>
                <w:rFonts w:eastAsia="Times New Roman"/>
              </w:rPr>
            </w:pPr>
            <w:r>
              <w:rPr>
                <w:rFonts w:eastAsia="Times New Roman"/>
                <w:color w:val="000000"/>
                <w:sz w:val="20"/>
                <w:szCs w:val="20"/>
              </w:rPr>
              <w:t>560.8 </w:t>
            </w:r>
          </w:p>
        </w:tc>
        <w:tc>
          <w:tcPr>
            <w:tcW w:w="0" w:type="auto"/>
            <w:shd w:val="clear" w:color="auto" w:fill="FFFFFF"/>
            <w:tcMar>
              <w:top w:w="30" w:type="dxa"/>
              <w:left w:w="0" w:type="dxa"/>
              <w:bottom w:w="30" w:type="dxa"/>
              <w:right w:w="20" w:type="dxa"/>
            </w:tcMar>
            <w:vAlign w:val="bottom"/>
            <w:hideMark/>
          </w:tcPr>
          <w:p w14:paraId="3384F3D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B32D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9066B" w14:textId="77777777" w:rsidR="00000000" w:rsidRDefault="00EE5306">
            <w:pPr>
              <w:spacing w:after="100"/>
              <w:jc w:val="right"/>
              <w:rPr>
                <w:rFonts w:eastAsia="Times New Roman"/>
              </w:rPr>
            </w:pPr>
            <w:r>
              <w:rPr>
                <w:rFonts w:eastAsia="Times New Roman"/>
                <w:color w:val="000000"/>
                <w:sz w:val="20"/>
                <w:szCs w:val="20"/>
              </w:rPr>
              <w:t>308.5 </w:t>
            </w:r>
          </w:p>
        </w:tc>
        <w:tc>
          <w:tcPr>
            <w:tcW w:w="0" w:type="auto"/>
            <w:shd w:val="clear" w:color="auto" w:fill="FFFFFF"/>
            <w:tcMar>
              <w:top w:w="30" w:type="dxa"/>
              <w:left w:w="0" w:type="dxa"/>
              <w:bottom w:w="30" w:type="dxa"/>
              <w:right w:w="20" w:type="dxa"/>
            </w:tcMar>
            <w:vAlign w:val="bottom"/>
            <w:hideMark/>
          </w:tcPr>
          <w:p w14:paraId="79E7FAD4" w14:textId="77777777" w:rsidR="00000000" w:rsidRDefault="00EE5306">
            <w:pPr>
              <w:spacing w:after="100"/>
              <w:jc w:val="right"/>
              <w:rPr>
                <w:rFonts w:eastAsia="Times New Roman"/>
              </w:rPr>
            </w:pPr>
          </w:p>
        </w:tc>
      </w:tr>
      <w:tr w:rsidR="00000000" w14:paraId="6B0CFE9A" w14:textId="77777777">
        <w:trPr>
          <w:jc w:val="center"/>
        </w:trPr>
        <w:tc>
          <w:tcPr>
            <w:tcW w:w="0" w:type="auto"/>
            <w:gridSpan w:val="3"/>
            <w:shd w:val="clear" w:color="auto" w:fill="CCEEFF"/>
            <w:tcMar>
              <w:top w:w="30" w:type="dxa"/>
              <w:left w:w="20" w:type="dxa"/>
              <w:bottom w:w="30" w:type="dxa"/>
              <w:right w:w="20" w:type="dxa"/>
            </w:tcMar>
            <w:vAlign w:val="bottom"/>
            <w:hideMark/>
          </w:tcPr>
          <w:p w14:paraId="1ED941DA" w14:textId="77777777" w:rsidR="00000000" w:rsidRDefault="00EE5306">
            <w:pPr>
              <w:spacing w:after="100"/>
              <w:rPr>
                <w:rFonts w:eastAsia="Times New Roman"/>
              </w:rPr>
            </w:pPr>
            <w:r>
              <w:rPr>
                <w:rFonts w:eastAsia="Times New Roman"/>
                <w:color w:val="000000"/>
                <w:sz w:val="20"/>
                <w:szCs w:val="20"/>
              </w:rPr>
              <w:t>Commitments and contingencies (Note 15)</w:t>
            </w:r>
          </w:p>
        </w:tc>
        <w:tc>
          <w:tcPr>
            <w:tcW w:w="0" w:type="auto"/>
            <w:gridSpan w:val="3"/>
            <w:shd w:val="clear" w:color="auto" w:fill="CCEEFF"/>
            <w:tcMar>
              <w:top w:w="0" w:type="dxa"/>
              <w:left w:w="20" w:type="dxa"/>
              <w:bottom w:w="0" w:type="dxa"/>
              <w:right w:w="20" w:type="dxa"/>
            </w:tcMar>
            <w:vAlign w:val="center"/>
            <w:hideMark/>
          </w:tcPr>
          <w:p w14:paraId="0FC003B1"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5A595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216539"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350BA9" w14:textId="77777777" w:rsidR="00000000" w:rsidRDefault="00EE5306">
            <w:pPr>
              <w:spacing w:after="100"/>
              <w:rPr>
                <w:rFonts w:eastAsia="Times New Roman"/>
                <w:sz w:val="20"/>
                <w:szCs w:val="20"/>
              </w:rPr>
            </w:pPr>
          </w:p>
        </w:tc>
      </w:tr>
      <w:tr w:rsidR="00000000" w14:paraId="631AFD7F" w14:textId="77777777">
        <w:trPr>
          <w:jc w:val="center"/>
        </w:trPr>
        <w:tc>
          <w:tcPr>
            <w:tcW w:w="0" w:type="auto"/>
            <w:gridSpan w:val="3"/>
            <w:shd w:val="clear" w:color="auto" w:fill="FFFFFF"/>
            <w:tcMar>
              <w:top w:w="30" w:type="dxa"/>
              <w:left w:w="20" w:type="dxa"/>
              <w:bottom w:w="30" w:type="dxa"/>
              <w:right w:w="20" w:type="dxa"/>
            </w:tcMar>
            <w:vAlign w:val="bottom"/>
            <w:hideMark/>
          </w:tcPr>
          <w:p w14:paraId="6C903A3A" w14:textId="77777777" w:rsidR="00000000" w:rsidRDefault="00EE5306">
            <w:pPr>
              <w:spacing w:after="100"/>
              <w:divId w:val="158738659"/>
              <w:rPr>
                <w:rFonts w:eastAsia="Times New Roman"/>
              </w:rPr>
            </w:pPr>
            <w:r>
              <w:rPr>
                <w:rFonts w:eastAsia="Times New Roman"/>
                <w:b/>
                <w:bCs/>
                <w:color w:val="000000"/>
                <w:sz w:val="20"/>
                <w:szCs w:val="20"/>
              </w:rPr>
              <w:t>Total liabilities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7416B82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A4B952" w14:textId="77777777" w:rsidR="00000000" w:rsidRDefault="00EE5306">
            <w:pPr>
              <w:spacing w:after="100"/>
              <w:jc w:val="right"/>
              <w:rPr>
                <w:rFonts w:eastAsia="Times New Roman"/>
              </w:rPr>
            </w:pPr>
            <w:r>
              <w:rPr>
                <w:rFonts w:eastAsia="Times New Roman"/>
                <w:color w:val="000000"/>
                <w:sz w:val="20"/>
                <w:szCs w:val="20"/>
              </w:rPr>
              <w:t>5,283.1 </w:t>
            </w:r>
          </w:p>
        </w:tc>
        <w:tc>
          <w:tcPr>
            <w:tcW w:w="0" w:type="auto"/>
            <w:shd w:val="clear" w:color="auto" w:fill="FFFFFF"/>
            <w:tcMar>
              <w:top w:w="30" w:type="dxa"/>
              <w:left w:w="0" w:type="dxa"/>
              <w:bottom w:w="30" w:type="dxa"/>
              <w:right w:w="20" w:type="dxa"/>
            </w:tcMar>
            <w:vAlign w:val="bottom"/>
            <w:hideMark/>
          </w:tcPr>
          <w:p w14:paraId="186634F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AA7B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D11C54" w14:textId="77777777" w:rsidR="00000000" w:rsidRDefault="00EE5306">
            <w:pPr>
              <w:spacing w:after="100"/>
              <w:jc w:val="right"/>
              <w:rPr>
                <w:rFonts w:eastAsia="Times New Roman"/>
              </w:rPr>
            </w:pPr>
            <w:r>
              <w:rPr>
                <w:rFonts w:eastAsia="Times New Roman"/>
                <w:color w:val="000000"/>
                <w:sz w:val="20"/>
                <w:szCs w:val="20"/>
              </w:rPr>
              <w:t>4,586.8 </w:t>
            </w:r>
          </w:p>
        </w:tc>
        <w:tc>
          <w:tcPr>
            <w:tcW w:w="0" w:type="auto"/>
            <w:shd w:val="clear" w:color="auto" w:fill="FFFFFF"/>
            <w:tcMar>
              <w:top w:w="30" w:type="dxa"/>
              <w:left w:w="0" w:type="dxa"/>
              <w:bottom w:w="30" w:type="dxa"/>
              <w:right w:w="20" w:type="dxa"/>
            </w:tcMar>
            <w:vAlign w:val="bottom"/>
            <w:hideMark/>
          </w:tcPr>
          <w:p w14:paraId="3C389E3A" w14:textId="77777777" w:rsidR="00000000" w:rsidRDefault="00EE5306">
            <w:pPr>
              <w:spacing w:after="100"/>
              <w:jc w:val="right"/>
              <w:rPr>
                <w:rFonts w:eastAsia="Times New Roman"/>
              </w:rPr>
            </w:pPr>
          </w:p>
        </w:tc>
      </w:tr>
      <w:tr w:rsidR="00000000" w14:paraId="57DFD8D1" w14:textId="77777777">
        <w:trPr>
          <w:jc w:val="center"/>
        </w:trPr>
        <w:tc>
          <w:tcPr>
            <w:tcW w:w="0" w:type="auto"/>
            <w:gridSpan w:val="3"/>
            <w:shd w:val="clear" w:color="auto" w:fill="CCEEFF"/>
            <w:tcMar>
              <w:top w:w="30" w:type="dxa"/>
              <w:left w:w="20" w:type="dxa"/>
              <w:bottom w:w="30" w:type="dxa"/>
              <w:right w:w="20" w:type="dxa"/>
            </w:tcMar>
            <w:vAlign w:val="bottom"/>
            <w:hideMark/>
          </w:tcPr>
          <w:p w14:paraId="1D7BD698" w14:textId="77777777" w:rsidR="00000000" w:rsidRDefault="00EE5306">
            <w:pPr>
              <w:spacing w:after="100"/>
              <w:rPr>
                <w:rFonts w:eastAsia="Times New Roman"/>
              </w:rPr>
            </w:pPr>
            <w:r>
              <w:rPr>
                <w:rFonts w:eastAsia="Times New Roman"/>
                <w:b/>
                <w:b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14:paraId="32E43673"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099A3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6E11EA"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B20111" w14:textId="77777777" w:rsidR="00000000" w:rsidRDefault="00EE5306">
            <w:pPr>
              <w:spacing w:after="100"/>
              <w:rPr>
                <w:rFonts w:eastAsia="Times New Roman"/>
                <w:sz w:val="20"/>
                <w:szCs w:val="20"/>
              </w:rPr>
            </w:pPr>
          </w:p>
        </w:tc>
      </w:tr>
      <w:tr w:rsidR="00000000" w14:paraId="7EEDD879" w14:textId="77777777">
        <w:trPr>
          <w:jc w:val="center"/>
        </w:trPr>
        <w:tc>
          <w:tcPr>
            <w:tcW w:w="0" w:type="auto"/>
            <w:gridSpan w:val="3"/>
            <w:shd w:val="clear" w:color="auto" w:fill="FFFFFF"/>
            <w:tcMar>
              <w:top w:w="30" w:type="dxa"/>
              <w:left w:w="20" w:type="dxa"/>
              <w:bottom w:w="30" w:type="dxa"/>
              <w:right w:w="20" w:type="dxa"/>
            </w:tcMar>
            <w:vAlign w:val="bottom"/>
            <w:hideMark/>
          </w:tcPr>
          <w:p w14:paraId="418DBC7E" w14:textId="77777777" w:rsidR="00000000" w:rsidRDefault="00EE5306">
            <w:pPr>
              <w:spacing w:after="100"/>
              <w:ind w:hanging="180"/>
              <w:divId w:val="517235039"/>
              <w:rPr>
                <w:rFonts w:eastAsia="Times New Roman"/>
              </w:rPr>
            </w:pPr>
            <w:r>
              <w:rPr>
                <w:rFonts w:eastAsia="Times New Roman"/>
                <w:color w:val="000000"/>
                <w:sz w:val="20"/>
                <w:szCs w:val="20"/>
              </w:rPr>
              <w:t>Class A common stock, par value $.01 per share; 106.1 million and 104.9 million shares issued; 48.3 million and 47.6 million shares outstanding</w:t>
            </w:r>
          </w:p>
        </w:tc>
        <w:tc>
          <w:tcPr>
            <w:tcW w:w="0" w:type="auto"/>
            <w:gridSpan w:val="3"/>
            <w:shd w:val="clear" w:color="auto" w:fill="FFFFFF"/>
            <w:tcMar>
              <w:top w:w="0" w:type="dxa"/>
              <w:left w:w="20" w:type="dxa"/>
              <w:bottom w:w="0" w:type="dxa"/>
              <w:right w:w="20" w:type="dxa"/>
            </w:tcMar>
            <w:vAlign w:val="center"/>
            <w:hideMark/>
          </w:tcPr>
          <w:p w14:paraId="7584FD32"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F255B0" w14:textId="77777777" w:rsidR="00000000" w:rsidRDefault="00EE5306">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30CDF16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35D5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112A79" w14:textId="77777777" w:rsidR="00000000" w:rsidRDefault="00EE5306">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18974990" w14:textId="77777777" w:rsidR="00000000" w:rsidRDefault="00EE5306">
            <w:pPr>
              <w:spacing w:after="100"/>
              <w:jc w:val="right"/>
              <w:rPr>
                <w:rFonts w:eastAsia="Times New Roman"/>
              </w:rPr>
            </w:pPr>
          </w:p>
        </w:tc>
      </w:tr>
      <w:tr w:rsidR="00000000" w14:paraId="6AA436F8" w14:textId="77777777">
        <w:trPr>
          <w:jc w:val="center"/>
        </w:trPr>
        <w:tc>
          <w:tcPr>
            <w:tcW w:w="0" w:type="auto"/>
            <w:gridSpan w:val="3"/>
            <w:shd w:val="clear" w:color="auto" w:fill="CCEEFF"/>
            <w:tcMar>
              <w:top w:w="30" w:type="dxa"/>
              <w:left w:w="20" w:type="dxa"/>
              <w:bottom w:w="30" w:type="dxa"/>
              <w:right w:w="20" w:type="dxa"/>
            </w:tcMar>
            <w:vAlign w:val="bottom"/>
            <w:hideMark/>
          </w:tcPr>
          <w:p w14:paraId="05969EE2" w14:textId="77777777" w:rsidR="00000000" w:rsidRDefault="00EE5306">
            <w:pPr>
              <w:spacing w:after="100"/>
              <w:ind w:hanging="180"/>
              <w:divId w:val="504588155"/>
              <w:rPr>
                <w:rFonts w:eastAsia="Times New Roman"/>
              </w:rPr>
            </w:pPr>
            <w:r>
              <w:rPr>
                <w:rFonts w:eastAsia="Times New Roman"/>
                <w:color w:val="000000"/>
                <w:sz w:val="20"/>
                <w:szCs w:val="20"/>
              </w:rPr>
              <w:t xml:space="preserve">Class B common stock, par value $.01 per share; 24.9 </w:t>
            </w:r>
            <w:r>
              <w:rPr>
                <w:rFonts w:eastAsia="Times New Roman"/>
                <w:color w:val="000000"/>
                <w:sz w:val="20"/>
                <w:szCs w:val="20"/>
              </w:rPr>
              <w:t>million issued and outstanding</w:t>
            </w:r>
          </w:p>
        </w:tc>
        <w:tc>
          <w:tcPr>
            <w:tcW w:w="0" w:type="auto"/>
            <w:gridSpan w:val="3"/>
            <w:shd w:val="clear" w:color="auto" w:fill="CCEEFF"/>
            <w:tcMar>
              <w:top w:w="0" w:type="dxa"/>
              <w:left w:w="20" w:type="dxa"/>
              <w:bottom w:w="0" w:type="dxa"/>
              <w:right w:w="20" w:type="dxa"/>
            </w:tcMar>
            <w:vAlign w:val="center"/>
            <w:hideMark/>
          </w:tcPr>
          <w:p w14:paraId="7E5A0091"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D4AAEB" w14:textId="77777777" w:rsidR="00000000" w:rsidRDefault="00EE5306">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42ADD71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2099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D5C297" w14:textId="77777777" w:rsidR="00000000" w:rsidRDefault="00EE5306">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3996D633" w14:textId="77777777" w:rsidR="00000000" w:rsidRDefault="00EE5306">
            <w:pPr>
              <w:spacing w:after="100"/>
              <w:jc w:val="right"/>
              <w:rPr>
                <w:rFonts w:eastAsia="Times New Roman"/>
              </w:rPr>
            </w:pPr>
          </w:p>
        </w:tc>
      </w:tr>
      <w:tr w:rsidR="00000000" w14:paraId="08642432" w14:textId="77777777">
        <w:trPr>
          <w:jc w:val="center"/>
        </w:trPr>
        <w:tc>
          <w:tcPr>
            <w:tcW w:w="0" w:type="auto"/>
            <w:gridSpan w:val="3"/>
            <w:shd w:val="clear" w:color="auto" w:fill="FFFFFF"/>
            <w:tcMar>
              <w:top w:w="30" w:type="dxa"/>
              <w:left w:w="155" w:type="dxa"/>
              <w:bottom w:w="30" w:type="dxa"/>
              <w:right w:w="20" w:type="dxa"/>
            </w:tcMar>
            <w:vAlign w:val="bottom"/>
            <w:hideMark/>
          </w:tcPr>
          <w:p w14:paraId="38DDBD22" w14:textId="77777777" w:rsidR="00000000" w:rsidRDefault="00EE5306">
            <w:pPr>
              <w:spacing w:after="100"/>
              <w:rPr>
                <w:rFonts w:eastAsia="Times New Roman"/>
              </w:rPr>
            </w:pPr>
            <w:r>
              <w:rPr>
                <w:rFonts w:eastAsia="Times New Roman"/>
                <w:color w:val="000000"/>
                <w:sz w:val="20"/>
                <w:szCs w:val="20"/>
              </w:rPr>
              <w:t>Additional paid-in-capital</w:t>
            </w:r>
          </w:p>
        </w:tc>
        <w:tc>
          <w:tcPr>
            <w:tcW w:w="0" w:type="auto"/>
            <w:gridSpan w:val="3"/>
            <w:shd w:val="clear" w:color="auto" w:fill="FFFFFF"/>
            <w:tcMar>
              <w:top w:w="0" w:type="dxa"/>
              <w:left w:w="20" w:type="dxa"/>
              <w:bottom w:w="0" w:type="dxa"/>
              <w:right w:w="20" w:type="dxa"/>
            </w:tcMar>
            <w:vAlign w:val="center"/>
            <w:hideMark/>
          </w:tcPr>
          <w:p w14:paraId="2DAD908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8F4AD5" w14:textId="77777777" w:rsidR="00000000" w:rsidRDefault="00EE5306">
            <w:pPr>
              <w:spacing w:after="100"/>
              <w:jc w:val="right"/>
              <w:rPr>
                <w:rFonts w:eastAsia="Times New Roman"/>
              </w:rPr>
            </w:pPr>
            <w:r>
              <w:rPr>
                <w:rFonts w:eastAsia="Times New Roman"/>
                <w:color w:val="000000"/>
                <w:sz w:val="20"/>
                <w:szCs w:val="20"/>
              </w:rPr>
              <w:t>2,667.1 </w:t>
            </w:r>
          </w:p>
        </w:tc>
        <w:tc>
          <w:tcPr>
            <w:tcW w:w="0" w:type="auto"/>
            <w:shd w:val="clear" w:color="auto" w:fill="FFFFFF"/>
            <w:tcMar>
              <w:top w:w="30" w:type="dxa"/>
              <w:left w:w="0" w:type="dxa"/>
              <w:bottom w:w="30" w:type="dxa"/>
              <w:right w:w="20" w:type="dxa"/>
            </w:tcMar>
            <w:vAlign w:val="bottom"/>
            <w:hideMark/>
          </w:tcPr>
          <w:p w14:paraId="7236D6D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E0ED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EC2240" w14:textId="77777777" w:rsidR="00000000" w:rsidRDefault="00EE5306">
            <w:pPr>
              <w:spacing w:after="100"/>
              <w:jc w:val="right"/>
              <w:rPr>
                <w:rFonts w:eastAsia="Times New Roman"/>
              </w:rPr>
            </w:pPr>
            <w:r>
              <w:rPr>
                <w:rFonts w:eastAsia="Times New Roman"/>
                <w:color w:val="000000"/>
                <w:sz w:val="20"/>
                <w:szCs w:val="20"/>
              </w:rPr>
              <w:t>2,594.4 </w:t>
            </w:r>
          </w:p>
        </w:tc>
        <w:tc>
          <w:tcPr>
            <w:tcW w:w="0" w:type="auto"/>
            <w:shd w:val="clear" w:color="auto" w:fill="FFFFFF"/>
            <w:tcMar>
              <w:top w:w="30" w:type="dxa"/>
              <w:left w:w="0" w:type="dxa"/>
              <w:bottom w:w="30" w:type="dxa"/>
              <w:right w:w="20" w:type="dxa"/>
            </w:tcMar>
            <w:vAlign w:val="bottom"/>
            <w:hideMark/>
          </w:tcPr>
          <w:p w14:paraId="56EACA6A" w14:textId="77777777" w:rsidR="00000000" w:rsidRDefault="00EE5306">
            <w:pPr>
              <w:spacing w:after="100"/>
              <w:jc w:val="right"/>
              <w:rPr>
                <w:rFonts w:eastAsia="Times New Roman"/>
              </w:rPr>
            </w:pPr>
          </w:p>
        </w:tc>
      </w:tr>
      <w:tr w:rsidR="00000000" w14:paraId="6EDED67F" w14:textId="77777777">
        <w:trPr>
          <w:jc w:val="center"/>
        </w:trPr>
        <w:tc>
          <w:tcPr>
            <w:tcW w:w="0" w:type="auto"/>
            <w:gridSpan w:val="3"/>
            <w:shd w:val="clear" w:color="auto" w:fill="CCEEFF"/>
            <w:tcMar>
              <w:top w:w="30" w:type="dxa"/>
              <w:left w:w="155" w:type="dxa"/>
              <w:bottom w:w="30" w:type="dxa"/>
              <w:right w:w="20" w:type="dxa"/>
            </w:tcMar>
            <w:vAlign w:val="bottom"/>
            <w:hideMark/>
          </w:tcPr>
          <w:p w14:paraId="04CD43EC" w14:textId="77777777" w:rsidR="00000000" w:rsidRDefault="00EE5306">
            <w:pPr>
              <w:spacing w:after="100"/>
              <w:rPr>
                <w:rFonts w:eastAsia="Times New Roman"/>
              </w:rPr>
            </w:pPr>
            <w:r>
              <w:rPr>
                <w:rFonts w:eastAsia="Times New Roman"/>
                <w:color w:val="000000"/>
                <w:sz w:val="20"/>
                <w:szCs w:val="20"/>
              </w:rPr>
              <w:t>Retained earnings</w:t>
            </w:r>
          </w:p>
        </w:tc>
        <w:tc>
          <w:tcPr>
            <w:tcW w:w="0" w:type="auto"/>
            <w:gridSpan w:val="3"/>
            <w:shd w:val="clear" w:color="auto" w:fill="CCEEFF"/>
            <w:tcMar>
              <w:top w:w="0" w:type="dxa"/>
              <w:left w:w="20" w:type="dxa"/>
              <w:bottom w:w="0" w:type="dxa"/>
              <w:right w:w="20" w:type="dxa"/>
            </w:tcMar>
            <w:vAlign w:val="center"/>
            <w:hideMark/>
          </w:tcPr>
          <w:p w14:paraId="51B35939"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72CB27" w14:textId="77777777" w:rsidR="00000000" w:rsidRDefault="00EE5306">
            <w:pPr>
              <w:spacing w:after="100"/>
              <w:jc w:val="right"/>
              <w:rPr>
                <w:rFonts w:eastAsia="Times New Roman"/>
              </w:rPr>
            </w:pPr>
            <w:r>
              <w:rPr>
                <w:rFonts w:eastAsia="Times New Roman"/>
                <w:color w:val="000000"/>
                <w:sz w:val="20"/>
                <w:szCs w:val="20"/>
              </w:rPr>
              <w:t>5,872.9 </w:t>
            </w:r>
          </w:p>
        </w:tc>
        <w:tc>
          <w:tcPr>
            <w:tcW w:w="0" w:type="auto"/>
            <w:shd w:val="clear" w:color="auto" w:fill="CCEEFF"/>
            <w:tcMar>
              <w:top w:w="30" w:type="dxa"/>
              <w:left w:w="0" w:type="dxa"/>
              <w:bottom w:w="30" w:type="dxa"/>
              <w:right w:w="20" w:type="dxa"/>
            </w:tcMar>
            <w:vAlign w:val="bottom"/>
            <w:hideMark/>
          </w:tcPr>
          <w:p w14:paraId="16E8832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BCC1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D1DAFD" w14:textId="77777777" w:rsidR="00000000" w:rsidRDefault="00EE5306">
            <w:pPr>
              <w:spacing w:after="100"/>
              <w:jc w:val="right"/>
              <w:rPr>
                <w:rFonts w:eastAsia="Times New Roman"/>
              </w:rPr>
            </w:pPr>
            <w:r>
              <w:rPr>
                <w:rFonts w:eastAsia="Times New Roman"/>
                <w:color w:val="000000"/>
                <w:sz w:val="20"/>
                <w:szCs w:val="20"/>
              </w:rPr>
              <w:t>5,994.0 </w:t>
            </w:r>
          </w:p>
        </w:tc>
        <w:tc>
          <w:tcPr>
            <w:tcW w:w="0" w:type="auto"/>
            <w:shd w:val="clear" w:color="auto" w:fill="CCEEFF"/>
            <w:tcMar>
              <w:top w:w="30" w:type="dxa"/>
              <w:left w:w="0" w:type="dxa"/>
              <w:bottom w:w="30" w:type="dxa"/>
              <w:right w:w="20" w:type="dxa"/>
            </w:tcMar>
            <w:vAlign w:val="bottom"/>
            <w:hideMark/>
          </w:tcPr>
          <w:p w14:paraId="3BCAD1C9" w14:textId="77777777" w:rsidR="00000000" w:rsidRDefault="00EE5306">
            <w:pPr>
              <w:spacing w:after="100"/>
              <w:jc w:val="right"/>
              <w:rPr>
                <w:rFonts w:eastAsia="Times New Roman"/>
              </w:rPr>
            </w:pPr>
          </w:p>
        </w:tc>
      </w:tr>
      <w:tr w:rsidR="00000000" w14:paraId="0F5EC9A9" w14:textId="77777777">
        <w:trPr>
          <w:jc w:val="center"/>
        </w:trPr>
        <w:tc>
          <w:tcPr>
            <w:tcW w:w="0" w:type="auto"/>
            <w:gridSpan w:val="3"/>
            <w:shd w:val="clear" w:color="auto" w:fill="FFFFFF"/>
            <w:tcMar>
              <w:top w:w="30" w:type="dxa"/>
              <w:left w:w="20" w:type="dxa"/>
              <w:bottom w:w="30" w:type="dxa"/>
              <w:right w:w="20" w:type="dxa"/>
            </w:tcMar>
            <w:vAlign w:val="bottom"/>
            <w:hideMark/>
          </w:tcPr>
          <w:p w14:paraId="75D7B51A" w14:textId="77777777" w:rsidR="00000000" w:rsidRDefault="00EE5306">
            <w:pPr>
              <w:spacing w:after="100"/>
              <w:divId w:val="2090735620"/>
              <w:rPr>
                <w:rFonts w:eastAsia="Times New Roman"/>
              </w:rPr>
            </w:pPr>
            <w:r>
              <w:rPr>
                <w:rFonts w:eastAsia="Times New Roman"/>
                <w:color w:val="000000"/>
                <w:sz w:val="20"/>
                <w:szCs w:val="20"/>
              </w:rPr>
              <w:t>Treasury stock, Class A, at cost; 57.8 million and 57.3 million shares</w:t>
            </w:r>
          </w:p>
        </w:tc>
        <w:tc>
          <w:tcPr>
            <w:tcW w:w="0" w:type="auto"/>
            <w:gridSpan w:val="3"/>
            <w:shd w:val="clear" w:color="auto" w:fill="FFFFFF"/>
            <w:tcMar>
              <w:top w:w="0" w:type="dxa"/>
              <w:left w:w="20" w:type="dxa"/>
              <w:bottom w:w="0" w:type="dxa"/>
              <w:right w:w="20" w:type="dxa"/>
            </w:tcMar>
            <w:vAlign w:val="center"/>
            <w:hideMark/>
          </w:tcPr>
          <w:p w14:paraId="6F4BA71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563F47" w14:textId="77777777" w:rsidR="00000000" w:rsidRDefault="00EE5306">
            <w:pPr>
              <w:spacing w:after="100"/>
              <w:jc w:val="right"/>
              <w:rPr>
                <w:rFonts w:eastAsia="Times New Roman"/>
              </w:rPr>
            </w:pPr>
            <w:r>
              <w:rPr>
                <w:rFonts w:eastAsia="Times New Roman"/>
                <w:color w:val="000000"/>
                <w:sz w:val="20"/>
                <w:szCs w:val="20"/>
              </w:rPr>
              <w:t>(5,816.1)</w:t>
            </w:r>
          </w:p>
        </w:tc>
        <w:tc>
          <w:tcPr>
            <w:tcW w:w="0" w:type="auto"/>
            <w:shd w:val="clear" w:color="auto" w:fill="FFFFFF"/>
            <w:tcMar>
              <w:top w:w="30" w:type="dxa"/>
              <w:left w:w="0" w:type="dxa"/>
              <w:bottom w:w="30" w:type="dxa"/>
              <w:right w:w="20" w:type="dxa"/>
            </w:tcMar>
            <w:vAlign w:val="bottom"/>
            <w:hideMark/>
          </w:tcPr>
          <w:p w14:paraId="3BC64E8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E57D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3BEC87" w14:textId="77777777" w:rsidR="00000000" w:rsidRDefault="00EE5306">
            <w:pPr>
              <w:spacing w:after="100"/>
              <w:jc w:val="right"/>
              <w:rPr>
                <w:rFonts w:eastAsia="Times New Roman"/>
              </w:rPr>
            </w:pPr>
            <w:r>
              <w:rPr>
                <w:rFonts w:eastAsia="Times New Roman"/>
                <w:color w:val="000000"/>
                <w:sz w:val="20"/>
                <w:szCs w:val="20"/>
              </w:rPr>
              <w:t>(</w:t>
            </w:r>
            <w:r>
              <w:rPr>
                <w:rFonts w:eastAsia="Times New Roman"/>
                <w:color w:val="000000"/>
                <w:sz w:val="20"/>
                <w:szCs w:val="20"/>
              </w:rPr>
              <w:t>5,778.4)</w:t>
            </w:r>
          </w:p>
        </w:tc>
        <w:tc>
          <w:tcPr>
            <w:tcW w:w="0" w:type="auto"/>
            <w:shd w:val="clear" w:color="auto" w:fill="FFFFFF"/>
            <w:tcMar>
              <w:top w:w="30" w:type="dxa"/>
              <w:left w:w="0" w:type="dxa"/>
              <w:bottom w:w="30" w:type="dxa"/>
              <w:right w:w="20" w:type="dxa"/>
            </w:tcMar>
            <w:vAlign w:val="bottom"/>
            <w:hideMark/>
          </w:tcPr>
          <w:p w14:paraId="1BEDDDB2" w14:textId="77777777" w:rsidR="00000000" w:rsidRDefault="00EE5306">
            <w:pPr>
              <w:spacing w:after="100"/>
              <w:jc w:val="right"/>
              <w:rPr>
                <w:rFonts w:eastAsia="Times New Roman"/>
              </w:rPr>
            </w:pPr>
          </w:p>
        </w:tc>
      </w:tr>
      <w:tr w:rsidR="00000000" w14:paraId="6E4DF831" w14:textId="77777777">
        <w:trPr>
          <w:jc w:val="center"/>
        </w:trPr>
        <w:tc>
          <w:tcPr>
            <w:tcW w:w="0" w:type="auto"/>
            <w:gridSpan w:val="3"/>
            <w:shd w:val="clear" w:color="auto" w:fill="CCEEFF"/>
            <w:tcMar>
              <w:top w:w="30" w:type="dxa"/>
              <w:left w:w="155" w:type="dxa"/>
              <w:bottom w:w="30" w:type="dxa"/>
              <w:right w:w="20" w:type="dxa"/>
            </w:tcMar>
            <w:vAlign w:val="bottom"/>
            <w:hideMark/>
          </w:tcPr>
          <w:p w14:paraId="426B239F" w14:textId="77777777" w:rsidR="00000000" w:rsidRDefault="00EE5306">
            <w:pPr>
              <w:spacing w:after="100"/>
              <w:rPr>
                <w:rFonts w:eastAsia="Times New Roman"/>
              </w:rPr>
            </w:pPr>
            <w:r>
              <w:rPr>
                <w:rFonts w:eastAsia="Times New Roman"/>
                <w:color w:val="000000"/>
                <w:sz w:val="20"/>
                <w:szCs w:val="20"/>
              </w:rPr>
              <w:t>Accumulated other comprehensive loss</w:t>
            </w:r>
          </w:p>
        </w:tc>
        <w:tc>
          <w:tcPr>
            <w:tcW w:w="0" w:type="auto"/>
            <w:gridSpan w:val="3"/>
            <w:shd w:val="clear" w:color="auto" w:fill="CCEEFF"/>
            <w:tcMar>
              <w:top w:w="0" w:type="dxa"/>
              <w:left w:w="20" w:type="dxa"/>
              <w:bottom w:w="0" w:type="dxa"/>
              <w:right w:w="20" w:type="dxa"/>
            </w:tcMar>
            <w:vAlign w:val="center"/>
            <w:hideMark/>
          </w:tcPr>
          <w:p w14:paraId="234272B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36A14E" w14:textId="77777777" w:rsidR="00000000" w:rsidRDefault="00EE5306">
            <w:pPr>
              <w:spacing w:after="100"/>
              <w:jc w:val="right"/>
              <w:rPr>
                <w:rFonts w:eastAsia="Times New Roman"/>
              </w:rPr>
            </w:pPr>
            <w:r>
              <w:rPr>
                <w:rFonts w:eastAsia="Times New Roman"/>
                <w:color w:val="000000"/>
                <w:sz w:val="20"/>
                <w:szCs w:val="20"/>
              </w:rPr>
              <w:t>(120.8)</w:t>
            </w:r>
          </w:p>
        </w:tc>
        <w:tc>
          <w:tcPr>
            <w:tcW w:w="0" w:type="auto"/>
            <w:shd w:val="clear" w:color="auto" w:fill="CCEEFF"/>
            <w:tcMar>
              <w:top w:w="30" w:type="dxa"/>
              <w:left w:w="0" w:type="dxa"/>
              <w:bottom w:w="30" w:type="dxa"/>
              <w:right w:w="20" w:type="dxa"/>
            </w:tcMar>
            <w:vAlign w:val="bottom"/>
            <w:hideMark/>
          </w:tcPr>
          <w:p w14:paraId="15D6FF3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0A68B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08FCC" w14:textId="77777777" w:rsidR="00000000" w:rsidRDefault="00EE5306">
            <w:pPr>
              <w:spacing w:after="100"/>
              <w:jc w:val="right"/>
              <w:rPr>
                <w:rFonts w:eastAsia="Times New Roman"/>
              </w:rPr>
            </w:pPr>
            <w:r>
              <w:rPr>
                <w:rFonts w:eastAsia="Times New Roman"/>
                <w:color w:val="000000"/>
                <w:sz w:val="20"/>
                <w:szCs w:val="20"/>
              </w:rPr>
              <w:t>(118.2)</w:t>
            </w:r>
          </w:p>
        </w:tc>
        <w:tc>
          <w:tcPr>
            <w:tcW w:w="0" w:type="auto"/>
            <w:shd w:val="clear" w:color="auto" w:fill="CCEEFF"/>
            <w:tcMar>
              <w:top w:w="30" w:type="dxa"/>
              <w:left w:w="0" w:type="dxa"/>
              <w:bottom w:w="30" w:type="dxa"/>
              <w:right w:w="20" w:type="dxa"/>
            </w:tcMar>
            <w:vAlign w:val="bottom"/>
            <w:hideMark/>
          </w:tcPr>
          <w:p w14:paraId="6979520F" w14:textId="77777777" w:rsidR="00000000" w:rsidRDefault="00EE5306">
            <w:pPr>
              <w:spacing w:after="100"/>
              <w:jc w:val="right"/>
              <w:rPr>
                <w:rFonts w:eastAsia="Times New Roman"/>
              </w:rPr>
            </w:pPr>
          </w:p>
        </w:tc>
      </w:tr>
      <w:tr w:rsidR="00000000" w14:paraId="07DA57B7" w14:textId="77777777">
        <w:trPr>
          <w:jc w:val="center"/>
        </w:trPr>
        <w:tc>
          <w:tcPr>
            <w:tcW w:w="0" w:type="auto"/>
            <w:gridSpan w:val="3"/>
            <w:shd w:val="clear" w:color="auto" w:fill="FFFFFF"/>
            <w:tcMar>
              <w:top w:w="30" w:type="dxa"/>
              <w:left w:w="20" w:type="dxa"/>
              <w:bottom w:w="30" w:type="dxa"/>
              <w:right w:w="20" w:type="dxa"/>
            </w:tcMar>
            <w:vAlign w:val="bottom"/>
            <w:hideMark/>
          </w:tcPr>
          <w:p w14:paraId="40375B79" w14:textId="77777777" w:rsidR="00000000" w:rsidRDefault="00EE5306">
            <w:pPr>
              <w:spacing w:after="100"/>
              <w:divId w:val="1347050857"/>
              <w:rPr>
                <w:rFonts w:eastAsia="Times New Roman"/>
              </w:rPr>
            </w:pPr>
            <w:r>
              <w:rPr>
                <w:rFonts w:eastAsia="Times New Roman"/>
                <w:b/>
                <w:bCs/>
                <w:color w:val="000000"/>
                <w:sz w:val="20"/>
                <w:szCs w:val="20"/>
              </w:rPr>
              <w:t>Total equity</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26BD0B8C"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70C47D" w14:textId="77777777" w:rsidR="00000000" w:rsidRDefault="00EE5306">
            <w:pPr>
              <w:spacing w:after="100"/>
              <w:jc w:val="right"/>
              <w:rPr>
                <w:rFonts w:eastAsia="Times New Roman"/>
              </w:rPr>
            </w:pPr>
            <w:r>
              <w:rPr>
                <w:rFonts w:eastAsia="Times New Roman"/>
                <w:color w:val="000000"/>
                <w:sz w:val="20"/>
                <w:szCs w:val="20"/>
              </w:rPr>
              <w:t>2,604.4 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2EC5F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6CF39C"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CA9CEF" w14:textId="77777777" w:rsidR="00000000" w:rsidRDefault="00EE5306">
            <w:pPr>
              <w:spacing w:after="100"/>
              <w:jc w:val="right"/>
              <w:rPr>
                <w:rFonts w:eastAsia="Times New Roman"/>
              </w:rPr>
            </w:pPr>
            <w:r>
              <w:rPr>
                <w:rFonts w:eastAsia="Times New Roman"/>
                <w:color w:val="000000"/>
                <w:sz w:val="20"/>
                <w:szCs w:val="20"/>
              </w:rPr>
              <w:t>2,693.1 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F360EF" w14:textId="77777777" w:rsidR="00000000" w:rsidRDefault="00EE5306">
            <w:pPr>
              <w:spacing w:after="100"/>
              <w:jc w:val="right"/>
              <w:rPr>
                <w:rFonts w:eastAsia="Times New Roman"/>
              </w:rPr>
            </w:pPr>
          </w:p>
        </w:tc>
      </w:tr>
      <w:tr w:rsidR="00000000" w14:paraId="4EB2CB20" w14:textId="77777777">
        <w:trPr>
          <w:jc w:val="center"/>
        </w:trPr>
        <w:tc>
          <w:tcPr>
            <w:tcW w:w="0" w:type="auto"/>
            <w:gridSpan w:val="3"/>
            <w:shd w:val="clear" w:color="auto" w:fill="CCEEFF"/>
            <w:tcMar>
              <w:top w:w="30" w:type="dxa"/>
              <w:left w:w="20" w:type="dxa"/>
              <w:bottom w:w="30" w:type="dxa"/>
              <w:right w:w="20" w:type="dxa"/>
            </w:tcMar>
            <w:vAlign w:val="bottom"/>
            <w:hideMark/>
          </w:tcPr>
          <w:p w14:paraId="5E63C55F" w14:textId="77777777" w:rsidR="00000000" w:rsidRDefault="00EE5306">
            <w:pPr>
              <w:spacing w:after="100"/>
              <w:divId w:val="373386022"/>
              <w:rPr>
                <w:rFonts w:eastAsia="Times New Roman"/>
              </w:rPr>
            </w:pPr>
            <w:r>
              <w:rPr>
                <w:rFonts w:eastAsia="Times New Roman"/>
                <w:b/>
                <w:bCs/>
                <w:color w:val="000000"/>
                <w:sz w:val="20"/>
                <w:szCs w:val="20"/>
              </w:rPr>
              <w:t>Total liabilities and equity</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3497A8B3"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2FB70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8DD691" w14:textId="77777777" w:rsidR="00000000" w:rsidRDefault="00EE5306">
            <w:pPr>
              <w:spacing w:after="100"/>
              <w:jc w:val="right"/>
              <w:rPr>
                <w:rFonts w:eastAsia="Times New Roman"/>
              </w:rPr>
            </w:pPr>
            <w:r>
              <w:rPr>
                <w:rFonts w:eastAsia="Times New Roman"/>
                <w:color w:val="000000"/>
                <w:sz w:val="20"/>
                <w:szCs w:val="20"/>
              </w:rPr>
              <w:t>7,887.5 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6D740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849F8"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0A6F62"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5FD699" w14:textId="77777777" w:rsidR="00000000" w:rsidRDefault="00EE5306">
            <w:pPr>
              <w:spacing w:after="100"/>
              <w:jc w:val="right"/>
              <w:rPr>
                <w:rFonts w:eastAsia="Times New Roman"/>
              </w:rPr>
            </w:pPr>
            <w:r>
              <w:rPr>
                <w:rFonts w:eastAsia="Times New Roman"/>
                <w:color w:val="000000"/>
                <w:sz w:val="20"/>
                <w:szCs w:val="20"/>
              </w:rPr>
              <w:t>7,279.9 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B876CF" w14:textId="77777777" w:rsidR="00000000" w:rsidRDefault="00EE5306">
            <w:pPr>
              <w:spacing w:after="100"/>
              <w:jc w:val="right"/>
              <w:rPr>
                <w:rFonts w:eastAsia="Times New Roman"/>
              </w:rPr>
            </w:pPr>
          </w:p>
        </w:tc>
      </w:tr>
    </w:tbl>
    <w:p w14:paraId="3C2761FE" w14:textId="77777777" w:rsidR="00000000" w:rsidRDefault="00EE5306">
      <w:pPr>
        <w:jc w:val="center"/>
        <w:divId w:val="2126609124"/>
        <w:rPr>
          <w:rFonts w:eastAsia="Times New Roman"/>
        </w:rPr>
      </w:pPr>
      <w:r>
        <w:rPr>
          <w:rFonts w:eastAsia="Times New Roman"/>
          <w:color w:val="000000"/>
          <w:sz w:val="20"/>
          <w:szCs w:val="20"/>
        </w:rPr>
        <w:t>S</w:t>
      </w:r>
      <w:r>
        <w:rPr>
          <w:rFonts w:eastAsia="Times New Roman"/>
          <w:color w:val="000000"/>
          <w:sz w:val="20"/>
          <w:szCs w:val="20"/>
        </w:rPr>
        <w:t>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731FB72" w14:textId="77777777">
        <w:trPr>
          <w:divId w:val="1556044259"/>
          <w:jc w:val="center"/>
        </w:trPr>
        <w:tc>
          <w:tcPr>
            <w:tcW w:w="50" w:type="pct"/>
            <w:vAlign w:val="center"/>
            <w:hideMark/>
          </w:tcPr>
          <w:p w14:paraId="4DE71F2B" w14:textId="77777777" w:rsidR="00000000" w:rsidRDefault="00EE5306">
            <w:pPr>
              <w:jc w:val="center"/>
              <w:rPr>
                <w:rFonts w:eastAsia="Times New Roman"/>
              </w:rPr>
            </w:pPr>
          </w:p>
        </w:tc>
        <w:tc>
          <w:tcPr>
            <w:tcW w:w="1699" w:type="pct"/>
            <w:vAlign w:val="center"/>
            <w:hideMark/>
          </w:tcPr>
          <w:p w14:paraId="36A3A2EB" w14:textId="77777777" w:rsidR="00000000" w:rsidRDefault="00EE5306">
            <w:pPr>
              <w:spacing w:after="100"/>
              <w:rPr>
                <w:rFonts w:eastAsia="Times New Roman"/>
                <w:sz w:val="20"/>
                <w:szCs w:val="20"/>
              </w:rPr>
            </w:pPr>
          </w:p>
        </w:tc>
        <w:tc>
          <w:tcPr>
            <w:tcW w:w="5" w:type="pct"/>
            <w:vAlign w:val="center"/>
            <w:hideMark/>
          </w:tcPr>
          <w:p w14:paraId="3EADD33C" w14:textId="77777777" w:rsidR="00000000" w:rsidRDefault="00EE5306">
            <w:pPr>
              <w:spacing w:after="100"/>
              <w:rPr>
                <w:rFonts w:eastAsia="Times New Roman"/>
                <w:sz w:val="20"/>
                <w:szCs w:val="20"/>
              </w:rPr>
            </w:pPr>
          </w:p>
        </w:tc>
        <w:tc>
          <w:tcPr>
            <w:tcW w:w="50" w:type="pct"/>
            <w:vAlign w:val="center"/>
            <w:hideMark/>
          </w:tcPr>
          <w:p w14:paraId="2D8D71AD" w14:textId="77777777" w:rsidR="00000000" w:rsidRDefault="00EE5306">
            <w:pPr>
              <w:spacing w:after="100"/>
              <w:rPr>
                <w:rFonts w:eastAsia="Times New Roman"/>
                <w:sz w:val="20"/>
                <w:szCs w:val="20"/>
              </w:rPr>
            </w:pPr>
          </w:p>
        </w:tc>
        <w:tc>
          <w:tcPr>
            <w:tcW w:w="1436" w:type="pct"/>
            <w:vAlign w:val="center"/>
            <w:hideMark/>
          </w:tcPr>
          <w:p w14:paraId="264EBB43" w14:textId="77777777" w:rsidR="00000000" w:rsidRDefault="00EE5306">
            <w:pPr>
              <w:spacing w:after="100"/>
              <w:rPr>
                <w:rFonts w:eastAsia="Times New Roman"/>
                <w:sz w:val="20"/>
                <w:szCs w:val="20"/>
              </w:rPr>
            </w:pPr>
          </w:p>
        </w:tc>
        <w:tc>
          <w:tcPr>
            <w:tcW w:w="5" w:type="pct"/>
            <w:vAlign w:val="center"/>
            <w:hideMark/>
          </w:tcPr>
          <w:p w14:paraId="3572C2C5" w14:textId="77777777" w:rsidR="00000000" w:rsidRDefault="00EE5306">
            <w:pPr>
              <w:spacing w:after="100"/>
              <w:rPr>
                <w:rFonts w:eastAsia="Times New Roman"/>
                <w:sz w:val="20"/>
                <w:szCs w:val="20"/>
              </w:rPr>
            </w:pPr>
          </w:p>
        </w:tc>
        <w:tc>
          <w:tcPr>
            <w:tcW w:w="50" w:type="pct"/>
            <w:vAlign w:val="center"/>
            <w:hideMark/>
          </w:tcPr>
          <w:p w14:paraId="0EA6D9B5" w14:textId="77777777" w:rsidR="00000000" w:rsidRDefault="00EE5306">
            <w:pPr>
              <w:spacing w:after="100"/>
              <w:rPr>
                <w:rFonts w:eastAsia="Times New Roman"/>
                <w:sz w:val="20"/>
                <w:szCs w:val="20"/>
              </w:rPr>
            </w:pPr>
          </w:p>
        </w:tc>
        <w:tc>
          <w:tcPr>
            <w:tcW w:w="1699" w:type="pct"/>
            <w:vAlign w:val="center"/>
            <w:hideMark/>
          </w:tcPr>
          <w:p w14:paraId="31FABBF0" w14:textId="77777777" w:rsidR="00000000" w:rsidRDefault="00EE5306">
            <w:pPr>
              <w:spacing w:after="100"/>
              <w:rPr>
                <w:rFonts w:eastAsia="Times New Roman"/>
                <w:sz w:val="20"/>
                <w:szCs w:val="20"/>
              </w:rPr>
            </w:pPr>
          </w:p>
        </w:tc>
        <w:tc>
          <w:tcPr>
            <w:tcW w:w="5" w:type="pct"/>
            <w:vAlign w:val="center"/>
            <w:hideMark/>
          </w:tcPr>
          <w:p w14:paraId="7B08AF17" w14:textId="77777777" w:rsidR="00000000" w:rsidRDefault="00EE5306">
            <w:pPr>
              <w:spacing w:after="100"/>
              <w:rPr>
                <w:rFonts w:eastAsia="Times New Roman"/>
                <w:sz w:val="20"/>
                <w:szCs w:val="20"/>
              </w:rPr>
            </w:pPr>
          </w:p>
        </w:tc>
      </w:tr>
      <w:tr w:rsidR="00000000" w14:paraId="12FB8E60" w14:textId="77777777">
        <w:trPr>
          <w:divId w:val="1556044259"/>
          <w:jc w:val="center"/>
        </w:trPr>
        <w:tc>
          <w:tcPr>
            <w:tcW w:w="0" w:type="auto"/>
            <w:gridSpan w:val="3"/>
            <w:tcMar>
              <w:top w:w="0" w:type="dxa"/>
              <w:left w:w="20" w:type="dxa"/>
              <w:bottom w:w="0" w:type="dxa"/>
              <w:right w:w="20" w:type="dxa"/>
            </w:tcMar>
            <w:vAlign w:val="center"/>
            <w:hideMark/>
          </w:tcPr>
          <w:p w14:paraId="7388021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3C4A5E9" w14:textId="77777777" w:rsidR="00000000" w:rsidRDefault="00EE5306">
            <w:pPr>
              <w:spacing w:after="100"/>
              <w:jc w:val="center"/>
              <w:rPr>
                <w:rFonts w:eastAsia="Times New Roman"/>
              </w:rPr>
            </w:pPr>
            <w:r>
              <w:rPr>
                <w:rFonts w:eastAsia="Times New Roman"/>
                <w:color w:val="000000"/>
                <w:sz w:val="20"/>
                <w:szCs w:val="20"/>
              </w:rPr>
              <w:t>F-2</w:t>
            </w:r>
          </w:p>
        </w:tc>
        <w:tc>
          <w:tcPr>
            <w:tcW w:w="0" w:type="auto"/>
            <w:gridSpan w:val="3"/>
            <w:tcMar>
              <w:top w:w="0" w:type="dxa"/>
              <w:left w:w="20" w:type="dxa"/>
              <w:bottom w:w="0" w:type="dxa"/>
              <w:right w:w="20" w:type="dxa"/>
            </w:tcMar>
            <w:vAlign w:val="center"/>
            <w:hideMark/>
          </w:tcPr>
          <w:p w14:paraId="6A1DC42B" w14:textId="77777777" w:rsidR="00000000" w:rsidRDefault="00EE5306">
            <w:pPr>
              <w:spacing w:after="100"/>
              <w:jc w:val="center"/>
              <w:rPr>
                <w:rFonts w:eastAsia="Times New Roman"/>
              </w:rPr>
            </w:pPr>
          </w:p>
        </w:tc>
      </w:tr>
    </w:tbl>
    <w:p w14:paraId="5791A9CD" w14:textId="77777777" w:rsidR="00000000" w:rsidRDefault="00EE5306">
      <w:pPr>
        <w:rPr>
          <w:rFonts w:eastAsia="Times New Roman"/>
        </w:rPr>
      </w:pPr>
      <w:r>
        <w:rPr>
          <w:rFonts w:eastAsia="Times New Roman"/>
        </w:rPr>
        <w:pict w14:anchorId="567E1DBE">
          <v:rect id="_x0000_i1112" style="width:0;height:1.5pt" o:hralign="center" o:hrstd="t" o:hr="t" fillcolor="#a0a0a0" stroked="f"/>
        </w:pict>
      </w:r>
    </w:p>
    <w:p w14:paraId="0A2C0EC5" w14:textId="77777777" w:rsidR="00000000" w:rsidRDefault="00EE5306">
      <w:pPr>
        <w:divId w:val="86316273"/>
        <w:rPr>
          <w:rFonts w:eastAsia="Times New Roman"/>
        </w:rPr>
      </w:pPr>
    </w:p>
    <w:p w14:paraId="573F4141" w14:textId="77777777" w:rsidR="00000000" w:rsidRDefault="00EE5306">
      <w:pPr>
        <w:jc w:val="center"/>
        <w:rPr>
          <w:rFonts w:eastAsia="Times New Roman"/>
        </w:rPr>
      </w:pPr>
      <w:r>
        <w:rPr>
          <w:rFonts w:eastAsia="Times New Roman"/>
          <w:b/>
          <w:bCs/>
          <w:color w:val="000000"/>
          <w:sz w:val="20"/>
          <w:szCs w:val="20"/>
        </w:rPr>
        <w:t>RALPH LAUREN CORPORATION</w:t>
      </w:r>
    </w:p>
    <w:p w14:paraId="30B74277" w14:textId="77777777" w:rsidR="00000000" w:rsidRDefault="00EE5306">
      <w:pPr>
        <w:jc w:val="center"/>
        <w:divId w:val="1446072052"/>
        <w:rPr>
          <w:rFonts w:eastAsia="Times New Roman"/>
        </w:rPr>
      </w:pPr>
      <w:r>
        <w:rPr>
          <w:rFonts w:eastAsia="Times New Roman"/>
          <w:b/>
          <w:bCs/>
          <w:color w:val="000000"/>
          <w:sz w:val="20"/>
          <w:szCs w:val="20"/>
        </w:rPr>
        <w:t>CONSOLIDATED STATEMENTS OF OPERATIONS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4314"/>
        <w:gridCol w:w="37"/>
        <w:gridCol w:w="36"/>
        <w:gridCol w:w="36"/>
        <w:gridCol w:w="36"/>
        <w:gridCol w:w="120"/>
        <w:gridCol w:w="1032"/>
        <w:gridCol w:w="36"/>
        <w:gridCol w:w="36"/>
        <w:gridCol w:w="36"/>
        <w:gridCol w:w="36"/>
        <w:gridCol w:w="120"/>
        <w:gridCol w:w="1034"/>
        <w:gridCol w:w="36"/>
        <w:gridCol w:w="36"/>
        <w:gridCol w:w="36"/>
        <w:gridCol w:w="36"/>
        <w:gridCol w:w="120"/>
        <w:gridCol w:w="1034"/>
        <w:gridCol w:w="36"/>
      </w:tblGrid>
      <w:tr w:rsidR="00000000" w14:paraId="1D4C2D95" w14:textId="77777777">
        <w:trPr>
          <w:divId w:val="2104951657"/>
          <w:jc w:val="center"/>
        </w:trPr>
        <w:tc>
          <w:tcPr>
            <w:tcW w:w="50" w:type="pct"/>
            <w:vAlign w:val="center"/>
            <w:hideMark/>
          </w:tcPr>
          <w:p w14:paraId="017D9FA2" w14:textId="77777777" w:rsidR="00000000" w:rsidRDefault="00EE5306">
            <w:pPr>
              <w:jc w:val="center"/>
              <w:rPr>
                <w:rFonts w:eastAsia="Times New Roman"/>
              </w:rPr>
            </w:pPr>
          </w:p>
        </w:tc>
        <w:tc>
          <w:tcPr>
            <w:tcW w:w="2635" w:type="pct"/>
            <w:vAlign w:val="center"/>
            <w:hideMark/>
          </w:tcPr>
          <w:p w14:paraId="4B61B981" w14:textId="77777777" w:rsidR="00000000" w:rsidRDefault="00EE5306">
            <w:pPr>
              <w:spacing w:after="100"/>
              <w:rPr>
                <w:rFonts w:eastAsia="Times New Roman"/>
                <w:sz w:val="20"/>
                <w:szCs w:val="20"/>
              </w:rPr>
            </w:pPr>
          </w:p>
        </w:tc>
        <w:tc>
          <w:tcPr>
            <w:tcW w:w="5" w:type="pct"/>
            <w:vAlign w:val="center"/>
            <w:hideMark/>
          </w:tcPr>
          <w:p w14:paraId="7F1677C8" w14:textId="77777777" w:rsidR="00000000" w:rsidRDefault="00EE5306">
            <w:pPr>
              <w:spacing w:after="100"/>
              <w:rPr>
                <w:rFonts w:eastAsia="Times New Roman"/>
                <w:sz w:val="20"/>
                <w:szCs w:val="20"/>
              </w:rPr>
            </w:pPr>
          </w:p>
        </w:tc>
        <w:tc>
          <w:tcPr>
            <w:tcW w:w="5" w:type="pct"/>
            <w:vAlign w:val="center"/>
            <w:hideMark/>
          </w:tcPr>
          <w:p w14:paraId="1BFE2ADF" w14:textId="77777777" w:rsidR="00000000" w:rsidRDefault="00EE5306">
            <w:pPr>
              <w:spacing w:after="100"/>
              <w:rPr>
                <w:rFonts w:eastAsia="Times New Roman"/>
                <w:sz w:val="20"/>
                <w:szCs w:val="20"/>
              </w:rPr>
            </w:pPr>
          </w:p>
        </w:tc>
        <w:tc>
          <w:tcPr>
            <w:tcW w:w="26" w:type="pct"/>
            <w:vAlign w:val="center"/>
            <w:hideMark/>
          </w:tcPr>
          <w:p w14:paraId="00BF6031" w14:textId="77777777" w:rsidR="00000000" w:rsidRDefault="00EE5306">
            <w:pPr>
              <w:spacing w:after="100"/>
              <w:rPr>
                <w:rFonts w:eastAsia="Times New Roman"/>
                <w:sz w:val="20"/>
                <w:szCs w:val="20"/>
              </w:rPr>
            </w:pPr>
          </w:p>
        </w:tc>
        <w:tc>
          <w:tcPr>
            <w:tcW w:w="5" w:type="pct"/>
            <w:vAlign w:val="center"/>
            <w:hideMark/>
          </w:tcPr>
          <w:p w14:paraId="48D9ED99" w14:textId="77777777" w:rsidR="00000000" w:rsidRDefault="00EE5306">
            <w:pPr>
              <w:spacing w:after="100"/>
              <w:rPr>
                <w:rFonts w:eastAsia="Times New Roman"/>
                <w:sz w:val="20"/>
                <w:szCs w:val="20"/>
              </w:rPr>
            </w:pPr>
          </w:p>
        </w:tc>
        <w:tc>
          <w:tcPr>
            <w:tcW w:w="50" w:type="pct"/>
            <w:vAlign w:val="center"/>
            <w:hideMark/>
          </w:tcPr>
          <w:p w14:paraId="6B7CF074" w14:textId="77777777" w:rsidR="00000000" w:rsidRDefault="00EE5306">
            <w:pPr>
              <w:spacing w:after="100"/>
              <w:rPr>
                <w:rFonts w:eastAsia="Times New Roman"/>
                <w:sz w:val="20"/>
                <w:szCs w:val="20"/>
              </w:rPr>
            </w:pPr>
          </w:p>
        </w:tc>
        <w:tc>
          <w:tcPr>
            <w:tcW w:w="678" w:type="pct"/>
            <w:vAlign w:val="center"/>
            <w:hideMark/>
          </w:tcPr>
          <w:p w14:paraId="332190B2" w14:textId="77777777" w:rsidR="00000000" w:rsidRDefault="00EE5306">
            <w:pPr>
              <w:spacing w:after="100"/>
              <w:rPr>
                <w:rFonts w:eastAsia="Times New Roman"/>
                <w:sz w:val="20"/>
                <w:szCs w:val="20"/>
              </w:rPr>
            </w:pPr>
          </w:p>
        </w:tc>
        <w:tc>
          <w:tcPr>
            <w:tcW w:w="5" w:type="pct"/>
            <w:vAlign w:val="center"/>
            <w:hideMark/>
          </w:tcPr>
          <w:p w14:paraId="29B8CE90" w14:textId="77777777" w:rsidR="00000000" w:rsidRDefault="00EE5306">
            <w:pPr>
              <w:spacing w:after="100"/>
              <w:rPr>
                <w:rFonts w:eastAsia="Times New Roman"/>
                <w:sz w:val="20"/>
                <w:szCs w:val="20"/>
              </w:rPr>
            </w:pPr>
          </w:p>
        </w:tc>
        <w:tc>
          <w:tcPr>
            <w:tcW w:w="5" w:type="pct"/>
            <w:vAlign w:val="center"/>
            <w:hideMark/>
          </w:tcPr>
          <w:p w14:paraId="31D9323F" w14:textId="77777777" w:rsidR="00000000" w:rsidRDefault="00EE5306">
            <w:pPr>
              <w:spacing w:after="100"/>
              <w:rPr>
                <w:rFonts w:eastAsia="Times New Roman"/>
                <w:sz w:val="20"/>
                <w:szCs w:val="20"/>
              </w:rPr>
            </w:pPr>
          </w:p>
        </w:tc>
        <w:tc>
          <w:tcPr>
            <w:tcW w:w="26" w:type="pct"/>
            <w:vAlign w:val="center"/>
            <w:hideMark/>
          </w:tcPr>
          <w:p w14:paraId="74695CBF" w14:textId="77777777" w:rsidR="00000000" w:rsidRDefault="00EE5306">
            <w:pPr>
              <w:spacing w:after="100"/>
              <w:rPr>
                <w:rFonts w:eastAsia="Times New Roman"/>
                <w:sz w:val="20"/>
                <w:szCs w:val="20"/>
              </w:rPr>
            </w:pPr>
          </w:p>
        </w:tc>
        <w:tc>
          <w:tcPr>
            <w:tcW w:w="5" w:type="pct"/>
            <w:vAlign w:val="center"/>
            <w:hideMark/>
          </w:tcPr>
          <w:p w14:paraId="0917FEA1" w14:textId="77777777" w:rsidR="00000000" w:rsidRDefault="00EE5306">
            <w:pPr>
              <w:spacing w:after="100"/>
              <w:rPr>
                <w:rFonts w:eastAsia="Times New Roman"/>
                <w:sz w:val="20"/>
                <w:szCs w:val="20"/>
              </w:rPr>
            </w:pPr>
          </w:p>
        </w:tc>
        <w:tc>
          <w:tcPr>
            <w:tcW w:w="50" w:type="pct"/>
            <w:vAlign w:val="center"/>
            <w:hideMark/>
          </w:tcPr>
          <w:p w14:paraId="7890280C" w14:textId="77777777" w:rsidR="00000000" w:rsidRDefault="00EE5306">
            <w:pPr>
              <w:spacing w:after="100"/>
              <w:rPr>
                <w:rFonts w:eastAsia="Times New Roman"/>
                <w:sz w:val="20"/>
                <w:szCs w:val="20"/>
              </w:rPr>
            </w:pPr>
          </w:p>
        </w:tc>
        <w:tc>
          <w:tcPr>
            <w:tcW w:w="678" w:type="pct"/>
            <w:vAlign w:val="center"/>
            <w:hideMark/>
          </w:tcPr>
          <w:p w14:paraId="4D5D5217" w14:textId="77777777" w:rsidR="00000000" w:rsidRDefault="00EE5306">
            <w:pPr>
              <w:spacing w:after="100"/>
              <w:rPr>
                <w:rFonts w:eastAsia="Times New Roman"/>
                <w:sz w:val="20"/>
                <w:szCs w:val="20"/>
              </w:rPr>
            </w:pPr>
          </w:p>
        </w:tc>
        <w:tc>
          <w:tcPr>
            <w:tcW w:w="5" w:type="pct"/>
            <w:vAlign w:val="center"/>
            <w:hideMark/>
          </w:tcPr>
          <w:p w14:paraId="10230E68" w14:textId="77777777" w:rsidR="00000000" w:rsidRDefault="00EE5306">
            <w:pPr>
              <w:spacing w:after="100"/>
              <w:rPr>
                <w:rFonts w:eastAsia="Times New Roman"/>
                <w:sz w:val="20"/>
                <w:szCs w:val="20"/>
              </w:rPr>
            </w:pPr>
          </w:p>
        </w:tc>
        <w:tc>
          <w:tcPr>
            <w:tcW w:w="5" w:type="pct"/>
            <w:vAlign w:val="center"/>
            <w:hideMark/>
          </w:tcPr>
          <w:p w14:paraId="2BEC5B4A" w14:textId="77777777" w:rsidR="00000000" w:rsidRDefault="00EE5306">
            <w:pPr>
              <w:spacing w:after="100"/>
              <w:rPr>
                <w:rFonts w:eastAsia="Times New Roman"/>
                <w:sz w:val="20"/>
                <w:szCs w:val="20"/>
              </w:rPr>
            </w:pPr>
          </w:p>
        </w:tc>
        <w:tc>
          <w:tcPr>
            <w:tcW w:w="26" w:type="pct"/>
            <w:vAlign w:val="center"/>
            <w:hideMark/>
          </w:tcPr>
          <w:p w14:paraId="2576DF81" w14:textId="77777777" w:rsidR="00000000" w:rsidRDefault="00EE5306">
            <w:pPr>
              <w:spacing w:after="100"/>
              <w:rPr>
                <w:rFonts w:eastAsia="Times New Roman"/>
                <w:sz w:val="20"/>
                <w:szCs w:val="20"/>
              </w:rPr>
            </w:pPr>
          </w:p>
        </w:tc>
        <w:tc>
          <w:tcPr>
            <w:tcW w:w="5" w:type="pct"/>
            <w:vAlign w:val="center"/>
            <w:hideMark/>
          </w:tcPr>
          <w:p w14:paraId="5C69257D" w14:textId="77777777" w:rsidR="00000000" w:rsidRDefault="00EE5306">
            <w:pPr>
              <w:spacing w:after="100"/>
              <w:rPr>
                <w:rFonts w:eastAsia="Times New Roman"/>
                <w:sz w:val="20"/>
                <w:szCs w:val="20"/>
              </w:rPr>
            </w:pPr>
          </w:p>
        </w:tc>
        <w:tc>
          <w:tcPr>
            <w:tcW w:w="50" w:type="pct"/>
            <w:vAlign w:val="center"/>
            <w:hideMark/>
          </w:tcPr>
          <w:p w14:paraId="48D00D24" w14:textId="77777777" w:rsidR="00000000" w:rsidRDefault="00EE5306">
            <w:pPr>
              <w:spacing w:after="100"/>
              <w:rPr>
                <w:rFonts w:eastAsia="Times New Roman"/>
                <w:sz w:val="20"/>
                <w:szCs w:val="20"/>
              </w:rPr>
            </w:pPr>
          </w:p>
        </w:tc>
        <w:tc>
          <w:tcPr>
            <w:tcW w:w="678" w:type="pct"/>
            <w:vAlign w:val="center"/>
            <w:hideMark/>
          </w:tcPr>
          <w:p w14:paraId="70950B05" w14:textId="77777777" w:rsidR="00000000" w:rsidRDefault="00EE5306">
            <w:pPr>
              <w:spacing w:after="100"/>
              <w:rPr>
                <w:rFonts w:eastAsia="Times New Roman"/>
                <w:sz w:val="20"/>
                <w:szCs w:val="20"/>
              </w:rPr>
            </w:pPr>
          </w:p>
        </w:tc>
        <w:tc>
          <w:tcPr>
            <w:tcW w:w="5" w:type="pct"/>
            <w:vAlign w:val="center"/>
            <w:hideMark/>
          </w:tcPr>
          <w:p w14:paraId="20D4C311" w14:textId="77777777" w:rsidR="00000000" w:rsidRDefault="00EE5306">
            <w:pPr>
              <w:spacing w:after="100"/>
              <w:rPr>
                <w:rFonts w:eastAsia="Times New Roman"/>
                <w:sz w:val="20"/>
                <w:szCs w:val="20"/>
              </w:rPr>
            </w:pPr>
          </w:p>
        </w:tc>
      </w:tr>
      <w:tr w:rsidR="00000000" w14:paraId="65316D19" w14:textId="77777777">
        <w:trPr>
          <w:divId w:val="2104951657"/>
          <w:jc w:val="center"/>
        </w:trPr>
        <w:tc>
          <w:tcPr>
            <w:tcW w:w="0" w:type="auto"/>
            <w:gridSpan w:val="3"/>
            <w:tcMar>
              <w:top w:w="30" w:type="dxa"/>
              <w:left w:w="20" w:type="dxa"/>
              <w:bottom w:w="30" w:type="dxa"/>
              <w:right w:w="20" w:type="dxa"/>
            </w:tcMar>
            <w:vAlign w:val="bottom"/>
            <w:hideMark/>
          </w:tcPr>
          <w:p w14:paraId="0E7D6EC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D0F3389"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4B3902E8"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3DCFAF50" w14:textId="77777777">
        <w:trPr>
          <w:divId w:val="2104951657"/>
          <w:jc w:val="center"/>
        </w:trPr>
        <w:tc>
          <w:tcPr>
            <w:tcW w:w="0" w:type="auto"/>
            <w:gridSpan w:val="3"/>
            <w:tcMar>
              <w:top w:w="30" w:type="dxa"/>
              <w:left w:w="20" w:type="dxa"/>
              <w:bottom w:w="30" w:type="dxa"/>
              <w:right w:w="20" w:type="dxa"/>
            </w:tcMar>
            <w:vAlign w:val="bottom"/>
            <w:hideMark/>
          </w:tcPr>
          <w:p w14:paraId="34334AB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EC6719A"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00E4FC"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35D4853"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CAC7B82"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00AFE85"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0D31B6C"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5D1EFBBF" w14:textId="77777777">
        <w:trPr>
          <w:divId w:val="2104951657"/>
          <w:jc w:val="center"/>
        </w:trPr>
        <w:tc>
          <w:tcPr>
            <w:tcW w:w="0" w:type="auto"/>
            <w:gridSpan w:val="3"/>
            <w:tcMar>
              <w:top w:w="0" w:type="dxa"/>
              <w:left w:w="20" w:type="dxa"/>
              <w:bottom w:w="0" w:type="dxa"/>
              <w:right w:w="20" w:type="dxa"/>
            </w:tcMar>
            <w:vAlign w:val="center"/>
            <w:hideMark/>
          </w:tcPr>
          <w:p w14:paraId="638568ED"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01741BD" w14:textId="77777777" w:rsidR="00000000" w:rsidRDefault="00EE530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6741A9E1" w14:textId="77777777" w:rsidR="00000000" w:rsidRDefault="00EE5306">
            <w:pPr>
              <w:spacing w:after="100"/>
              <w:jc w:val="center"/>
              <w:rPr>
                <w:rFonts w:eastAsia="Times New Roman"/>
              </w:rPr>
            </w:pPr>
            <w:r>
              <w:rPr>
                <w:rFonts w:eastAsia="Times New Roman"/>
                <w:b/>
                <w:bCs/>
                <w:color w:val="000000"/>
                <w:sz w:val="16"/>
                <w:szCs w:val="16"/>
              </w:rPr>
              <w:t>(millions, except per share data)</w:t>
            </w:r>
          </w:p>
        </w:tc>
      </w:tr>
      <w:tr w:rsidR="00000000" w14:paraId="1A4BA749" w14:textId="77777777">
        <w:trPr>
          <w:divId w:val="2104951657"/>
          <w:jc w:val="center"/>
        </w:trPr>
        <w:tc>
          <w:tcPr>
            <w:tcW w:w="0" w:type="auto"/>
            <w:gridSpan w:val="3"/>
            <w:shd w:val="clear" w:color="auto" w:fill="CCEEFF"/>
            <w:tcMar>
              <w:top w:w="30" w:type="dxa"/>
              <w:left w:w="20" w:type="dxa"/>
              <w:bottom w:w="30" w:type="dxa"/>
              <w:right w:w="20" w:type="dxa"/>
            </w:tcMar>
            <w:vAlign w:val="bottom"/>
            <w:hideMark/>
          </w:tcPr>
          <w:p w14:paraId="08ACB485" w14:textId="77777777" w:rsidR="00000000" w:rsidRDefault="00EE5306">
            <w:pPr>
              <w:spacing w:after="100"/>
              <w:divId w:val="220291945"/>
              <w:rPr>
                <w:rFonts w:eastAsia="Times New Roman"/>
              </w:rPr>
            </w:pPr>
            <w:r>
              <w:rPr>
                <w:rFonts w:eastAsia="Times New Roman"/>
                <w:b/>
                <w:bCs/>
                <w:color w:val="000000"/>
                <w:sz w:val="20"/>
                <w:szCs w:val="20"/>
              </w:rPr>
              <w:t>Net revenues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6495F588"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7F94A7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1AB35FC" w14:textId="77777777" w:rsidR="00000000" w:rsidRDefault="00EE5306">
            <w:pPr>
              <w:spacing w:after="100"/>
              <w:jc w:val="right"/>
              <w:rPr>
                <w:rFonts w:eastAsia="Times New Roman"/>
              </w:rPr>
            </w:pPr>
            <w:r>
              <w:rPr>
                <w:rFonts w:eastAsia="Times New Roman"/>
                <w:color w:val="000000"/>
                <w:sz w:val="20"/>
                <w:szCs w:val="20"/>
              </w:rPr>
              <w:t>4,400.8 </w:t>
            </w:r>
          </w:p>
        </w:tc>
        <w:tc>
          <w:tcPr>
            <w:tcW w:w="0" w:type="auto"/>
            <w:shd w:val="clear" w:color="auto" w:fill="CCEEFF"/>
            <w:tcMar>
              <w:top w:w="30" w:type="dxa"/>
              <w:left w:w="0" w:type="dxa"/>
              <w:bottom w:w="30" w:type="dxa"/>
              <w:right w:w="20" w:type="dxa"/>
            </w:tcMar>
            <w:vAlign w:val="bottom"/>
            <w:hideMark/>
          </w:tcPr>
          <w:p w14:paraId="0042F49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D275C"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4CBAF3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0EB5F0" w14:textId="77777777" w:rsidR="00000000" w:rsidRDefault="00EE5306">
            <w:pPr>
              <w:spacing w:after="100"/>
              <w:jc w:val="right"/>
              <w:rPr>
                <w:rFonts w:eastAsia="Times New Roman"/>
              </w:rPr>
            </w:pPr>
            <w:r>
              <w:rPr>
                <w:rFonts w:eastAsia="Times New Roman"/>
                <w:color w:val="000000"/>
                <w:sz w:val="20"/>
                <w:szCs w:val="20"/>
              </w:rPr>
              <w:t>6,159.8 </w:t>
            </w:r>
          </w:p>
        </w:tc>
        <w:tc>
          <w:tcPr>
            <w:tcW w:w="0" w:type="auto"/>
            <w:shd w:val="clear" w:color="auto" w:fill="CCEEFF"/>
            <w:tcMar>
              <w:top w:w="30" w:type="dxa"/>
              <w:left w:w="0" w:type="dxa"/>
              <w:bottom w:w="30" w:type="dxa"/>
              <w:right w:w="20" w:type="dxa"/>
            </w:tcMar>
            <w:vAlign w:val="bottom"/>
            <w:hideMark/>
          </w:tcPr>
          <w:p w14:paraId="30669EE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EB51F8"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B4849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4E70B0" w14:textId="77777777" w:rsidR="00000000" w:rsidRDefault="00EE5306">
            <w:pPr>
              <w:spacing w:after="100"/>
              <w:jc w:val="right"/>
              <w:rPr>
                <w:rFonts w:eastAsia="Times New Roman"/>
              </w:rPr>
            </w:pPr>
            <w:r>
              <w:rPr>
                <w:rFonts w:eastAsia="Times New Roman"/>
                <w:color w:val="000000"/>
                <w:sz w:val="20"/>
                <w:szCs w:val="20"/>
              </w:rPr>
              <w:t>6,313.0 </w:t>
            </w:r>
          </w:p>
        </w:tc>
        <w:tc>
          <w:tcPr>
            <w:tcW w:w="0" w:type="auto"/>
            <w:shd w:val="clear" w:color="auto" w:fill="CCEEFF"/>
            <w:tcMar>
              <w:top w:w="30" w:type="dxa"/>
              <w:left w:w="0" w:type="dxa"/>
              <w:bottom w:w="30" w:type="dxa"/>
              <w:right w:w="20" w:type="dxa"/>
            </w:tcMar>
            <w:vAlign w:val="bottom"/>
            <w:hideMark/>
          </w:tcPr>
          <w:p w14:paraId="4945EAC0" w14:textId="77777777" w:rsidR="00000000" w:rsidRDefault="00EE5306">
            <w:pPr>
              <w:spacing w:after="100"/>
              <w:jc w:val="right"/>
              <w:rPr>
                <w:rFonts w:eastAsia="Times New Roman"/>
              </w:rPr>
            </w:pPr>
          </w:p>
        </w:tc>
      </w:tr>
      <w:tr w:rsidR="00000000" w14:paraId="0486F398" w14:textId="77777777">
        <w:trPr>
          <w:divId w:val="2104951657"/>
          <w:jc w:val="center"/>
        </w:trPr>
        <w:tc>
          <w:tcPr>
            <w:tcW w:w="0" w:type="auto"/>
            <w:gridSpan w:val="3"/>
            <w:shd w:val="clear" w:color="auto" w:fill="FFFFFF"/>
            <w:tcMar>
              <w:top w:w="30" w:type="dxa"/>
              <w:left w:w="20" w:type="dxa"/>
              <w:bottom w:w="30" w:type="dxa"/>
              <w:right w:w="20" w:type="dxa"/>
            </w:tcMar>
            <w:vAlign w:val="bottom"/>
            <w:hideMark/>
          </w:tcPr>
          <w:p w14:paraId="635D65B2" w14:textId="77777777" w:rsidR="00000000" w:rsidRDefault="00EE5306">
            <w:pPr>
              <w:spacing w:after="100"/>
              <w:divId w:val="1441951774"/>
              <w:rPr>
                <w:rFonts w:eastAsia="Times New Roman"/>
              </w:rPr>
            </w:pPr>
            <w:r>
              <w:rPr>
                <w:rFonts w:eastAsia="Times New Roman"/>
                <w:color w:val="000000"/>
                <w:sz w:val="20"/>
                <w:szCs w:val="20"/>
              </w:rPr>
              <w:t>Cost of goods sold</w:t>
            </w:r>
            <w:r>
              <w:rPr>
                <w:rFonts w:eastAsia="Times New Roman"/>
                <w:b/>
                <w:bCs/>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1113572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022AF6" w14:textId="77777777" w:rsidR="00000000" w:rsidRDefault="00EE5306">
            <w:pPr>
              <w:spacing w:after="100"/>
              <w:jc w:val="right"/>
              <w:rPr>
                <w:rFonts w:eastAsia="Times New Roman"/>
              </w:rPr>
            </w:pPr>
            <w:r>
              <w:rPr>
                <w:rFonts w:eastAsia="Times New Roman"/>
                <w:color w:val="000000"/>
                <w:sz w:val="20"/>
                <w:szCs w:val="20"/>
              </w:rPr>
              <w:t>(1,539.4)</w:t>
            </w:r>
          </w:p>
        </w:tc>
        <w:tc>
          <w:tcPr>
            <w:tcW w:w="0" w:type="auto"/>
            <w:shd w:val="clear" w:color="auto" w:fill="FFFFFF"/>
            <w:tcMar>
              <w:top w:w="30" w:type="dxa"/>
              <w:left w:w="0" w:type="dxa"/>
              <w:bottom w:w="30" w:type="dxa"/>
              <w:right w:w="20" w:type="dxa"/>
            </w:tcMar>
            <w:vAlign w:val="bottom"/>
            <w:hideMark/>
          </w:tcPr>
          <w:p w14:paraId="2436EC0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094EA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1C8BBC" w14:textId="77777777" w:rsidR="00000000" w:rsidRDefault="00EE5306">
            <w:pPr>
              <w:spacing w:after="100"/>
              <w:jc w:val="right"/>
              <w:rPr>
                <w:rFonts w:eastAsia="Times New Roman"/>
              </w:rPr>
            </w:pPr>
            <w:r>
              <w:rPr>
                <w:rFonts w:eastAsia="Times New Roman"/>
                <w:color w:val="000000"/>
                <w:sz w:val="20"/>
                <w:szCs w:val="20"/>
              </w:rPr>
              <w:t>(2,506.5)</w:t>
            </w:r>
          </w:p>
        </w:tc>
        <w:tc>
          <w:tcPr>
            <w:tcW w:w="0" w:type="auto"/>
            <w:shd w:val="clear" w:color="auto" w:fill="FFFFFF"/>
            <w:tcMar>
              <w:top w:w="30" w:type="dxa"/>
              <w:left w:w="0" w:type="dxa"/>
              <w:bottom w:w="30" w:type="dxa"/>
              <w:right w:w="20" w:type="dxa"/>
            </w:tcMar>
            <w:vAlign w:val="bottom"/>
            <w:hideMark/>
          </w:tcPr>
          <w:p w14:paraId="1C295DF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6050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FBAE8A" w14:textId="77777777" w:rsidR="00000000" w:rsidRDefault="00EE5306">
            <w:pPr>
              <w:spacing w:after="100"/>
              <w:jc w:val="right"/>
              <w:rPr>
                <w:rFonts w:eastAsia="Times New Roman"/>
              </w:rPr>
            </w:pPr>
            <w:r>
              <w:rPr>
                <w:rFonts w:eastAsia="Times New Roman"/>
                <w:color w:val="000000"/>
                <w:sz w:val="20"/>
                <w:szCs w:val="20"/>
              </w:rPr>
              <w:t>(2,427.0)</w:t>
            </w:r>
          </w:p>
        </w:tc>
        <w:tc>
          <w:tcPr>
            <w:tcW w:w="0" w:type="auto"/>
            <w:shd w:val="clear" w:color="auto" w:fill="FFFFFF"/>
            <w:tcMar>
              <w:top w:w="30" w:type="dxa"/>
              <w:left w:w="0" w:type="dxa"/>
              <w:bottom w:w="30" w:type="dxa"/>
              <w:right w:w="20" w:type="dxa"/>
            </w:tcMar>
            <w:vAlign w:val="bottom"/>
            <w:hideMark/>
          </w:tcPr>
          <w:p w14:paraId="7963CB9B" w14:textId="77777777" w:rsidR="00000000" w:rsidRDefault="00EE5306">
            <w:pPr>
              <w:spacing w:after="100"/>
              <w:jc w:val="right"/>
              <w:rPr>
                <w:rFonts w:eastAsia="Times New Roman"/>
              </w:rPr>
            </w:pPr>
          </w:p>
        </w:tc>
      </w:tr>
      <w:tr w:rsidR="00000000" w14:paraId="429F945F" w14:textId="77777777">
        <w:trPr>
          <w:divId w:val="2104951657"/>
          <w:jc w:val="center"/>
        </w:trPr>
        <w:tc>
          <w:tcPr>
            <w:tcW w:w="0" w:type="auto"/>
            <w:gridSpan w:val="3"/>
            <w:shd w:val="clear" w:color="auto" w:fill="CCEEFF"/>
            <w:tcMar>
              <w:top w:w="30" w:type="dxa"/>
              <w:left w:w="20" w:type="dxa"/>
              <w:bottom w:w="30" w:type="dxa"/>
              <w:right w:w="20" w:type="dxa"/>
            </w:tcMar>
            <w:vAlign w:val="bottom"/>
            <w:hideMark/>
          </w:tcPr>
          <w:p w14:paraId="483BD27A" w14:textId="77777777" w:rsidR="00000000" w:rsidRDefault="00EE5306">
            <w:pPr>
              <w:spacing w:after="100"/>
              <w:divId w:val="1528133107"/>
              <w:rPr>
                <w:rFonts w:eastAsia="Times New Roman"/>
              </w:rPr>
            </w:pPr>
            <w:r>
              <w:rPr>
                <w:rFonts w:eastAsia="Times New Roman"/>
                <w:b/>
                <w:bCs/>
                <w:color w:val="000000"/>
                <w:sz w:val="20"/>
                <w:szCs w:val="20"/>
              </w:rPr>
              <w:t>Gross profit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3A067E5E"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2AB324" w14:textId="77777777" w:rsidR="00000000" w:rsidRDefault="00EE5306">
            <w:pPr>
              <w:spacing w:after="100"/>
              <w:jc w:val="right"/>
              <w:rPr>
                <w:rFonts w:eastAsia="Times New Roman"/>
              </w:rPr>
            </w:pPr>
            <w:r>
              <w:rPr>
                <w:rFonts w:eastAsia="Times New Roman"/>
                <w:color w:val="000000"/>
                <w:sz w:val="20"/>
                <w:szCs w:val="20"/>
              </w:rPr>
              <w:t>2,861.4 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27417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881AD"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6389D6" w14:textId="77777777" w:rsidR="00000000" w:rsidRDefault="00EE5306">
            <w:pPr>
              <w:spacing w:after="100"/>
              <w:jc w:val="right"/>
              <w:rPr>
                <w:rFonts w:eastAsia="Times New Roman"/>
              </w:rPr>
            </w:pPr>
            <w:r>
              <w:rPr>
                <w:rFonts w:eastAsia="Times New Roman"/>
                <w:color w:val="000000"/>
                <w:sz w:val="20"/>
                <w:szCs w:val="20"/>
              </w:rPr>
              <w:t>3,653.3 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ABB53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544DC8"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38D814" w14:textId="77777777" w:rsidR="00000000" w:rsidRDefault="00EE5306">
            <w:pPr>
              <w:spacing w:after="100"/>
              <w:jc w:val="right"/>
              <w:rPr>
                <w:rFonts w:eastAsia="Times New Roman"/>
              </w:rPr>
            </w:pPr>
            <w:r>
              <w:rPr>
                <w:rFonts w:eastAsia="Times New Roman"/>
                <w:color w:val="000000"/>
                <w:sz w:val="20"/>
                <w:szCs w:val="20"/>
              </w:rPr>
              <w:t>3,886.0 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C68316" w14:textId="77777777" w:rsidR="00000000" w:rsidRDefault="00EE5306">
            <w:pPr>
              <w:spacing w:after="100"/>
              <w:jc w:val="right"/>
              <w:rPr>
                <w:rFonts w:eastAsia="Times New Roman"/>
              </w:rPr>
            </w:pPr>
          </w:p>
        </w:tc>
      </w:tr>
      <w:tr w:rsidR="00000000" w14:paraId="7F63428B" w14:textId="77777777">
        <w:trPr>
          <w:divId w:val="2104951657"/>
          <w:jc w:val="center"/>
        </w:trPr>
        <w:tc>
          <w:tcPr>
            <w:tcW w:w="0" w:type="auto"/>
            <w:gridSpan w:val="3"/>
            <w:shd w:val="clear" w:color="auto" w:fill="FFFFFF"/>
            <w:tcMar>
              <w:top w:w="30" w:type="dxa"/>
              <w:left w:w="20" w:type="dxa"/>
              <w:bottom w:w="30" w:type="dxa"/>
              <w:right w:w="20" w:type="dxa"/>
            </w:tcMar>
            <w:vAlign w:val="bottom"/>
            <w:hideMark/>
          </w:tcPr>
          <w:p w14:paraId="7F0BCEE2" w14:textId="77777777" w:rsidR="00000000" w:rsidRDefault="00EE5306">
            <w:pPr>
              <w:spacing w:after="100"/>
              <w:rPr>
                <w:rFonts w:eastAsia="Times New Roman"/>
              </w:rPr>
            </w:pPr>
            <w:r>
              <w:rPr>
                <w:rFonts w:eastAsia="Times New Roman"/>
                <w:color w:val="000000"/>
                <w:sz w:val="20"/>
                <w:szCs w:val="20"/>
              </w:rPr>
              <w:t xml:space="preserve">Selling, general, and administrative expenses </w:t>
            </w:r>
          </w:p>
        </w:tc>
        <w:tc>
          <w:tcPr>
            <w:tcW w:w="0" w:type="auto"/>
            <w:gridSpan w:val="3"/>
            <w:shd w:val="clear" w:color="auto" w:fill="FFFFFF"/>
            <w:tcMar>
              <w:top w:w="0" w:type="dxa"/>
              <w:left w:w="20" w:type="dxa"/>
              <w:bottom w:w="0" w:type="dxa"/>
              <w:right w:w="20" w:type="dxa"/>
            </w:tcMar>
            <w:vAlign w:val="center"/>
            <w:hideMark/>
          </w:tcPr>
          <w:p w14:paraId="030CB428"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682658" w14:textId="77777777" w:rsidR="00000000" w:rsidRDefault="00EE5306">
            <w:pPr>
              <w:spacing w:after="100"/>
              <w:jc w:val="right"/>
              <w:rPr>
                <w:rFonts w:eastAsia="Times New Roman"/>
              </w:rPr>
            </w:pPr>
            <w:r>
              <w:rPr>
                <w:rFonts w:eastAsia="Times New Roman"/>
                <w:color w:val="000000"/>
                <w:sz w:val="20"/>
                <w:szCs w:val="20"/>
              </w:rPr>
              <w:t>(2,638.5)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93C03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1919C"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7BFE24" w14:textId="77777777" w:rsidR="00000000" w:rsidRDefault="00EE5306">
            <w:pPr>
              <w:spacing w:after="100"/>
              <w:jc w:val="right"/>
              <w:rPr>
                <w:rFonts w:eastAsia="Times New Roman"/>
              </w:rPr>
            </w:pPr>
            <w:r>
              <w:rPr>
                <w:rFonts w:eastAsia="Times New Roman"/>
                <w:color w:val="000000"/>
                <w:sz w:val="20"/>
                <w:szCs w:val="20"/>
              </w:rPr>
              <w:t>(3,237.5)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D1774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D9D494"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BD2048" w14:textId="77777777" w:rsidR="00000000" w:rsidRDefault="00EE5306">
            <w:pPr>
              <w:spacing w:after="100"/>
              <w:jc w:val="right"/>
              <w:rPr>
                <w:rFonts w:eastAsia="Times New Roman"/>
              </w:rPr>
            </w:pPr>
            <w:r>
              <w:rPr>
                <w:rFonts w:eastAsia="Times New Roman"/>
                <w:color w:val="000000"/>
                <w:sz w:val="20"/>
                <w:szCs w:val="20"/>
              </w:rPr>
              <w:t>(3,168.3)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8C674A" w14:textId="77777777" w:rsidR="00000000" w:rsidRDefault="00EE5306">
            <w:pPr>
              <w:spacing w:after="100"/>
              <w:jc w:val="right"/>
              <w:rPr>
                <w:rFonts w:eastAsia="Times New Roman"/>
              </w:rPr>
            </w:pPr>
          </w:p>
        </w:tc>
      </w:tr>
      <w:tr w:rsidR="00000000" w14:paraId="7D35A602" w14:textId="77777777">
        <w:trPr>
          <w:divId w:val="2104951657"/>
          <w:jc w:val="center"/>
        </w:trPr>
        <w:tc>
          <w:tcPr>
            <w:tcW w:w="0" w:type="auto"/>
            <w:gridSpan w:val="3"/>
            <w:shd w:val="clear" w:color="auto" w:fill="CCEEFF"/>
            <w:tcMar>
              <w:top w:w="30" w:type="dxa"/>
              <w:left w:w="20" w:type="dxa"/>
              <w:bottom w:w="30" w:type="dxa"/>
              <w:right w:w="20" w:type="dxa"/>
            </w:tcMar>
            <w:vAlign w:val="bottom"/>
            <w:hideMark/>
          </w:tcPr>
          <w:p w14:paraId="1DFCC556" w14:textId="77777777" w:rsidR="00000000" w:rsidRDefault="00EE5306">
            <w:pPr>
              <w:spacing w:after="100"/>
              <w:rPr>
                <w:rFonts w:eastAsia="Times New Roman"/>
              </w:rPr>
            </w:pPr>
            <w:r>
              <w:rPr>
                <w:rFonts w:eastAsia="Times New Roman"/>
                <w:color w:val="000000"/>
                <w:sz w:val="20"/>
                <w:szCs w:val="20"/>
              </w:rPr>
              <w:t>Impairment of assets</w:t>
            </w:r>
          </w:p>
        </w:tc>
        <w:tc>
          <w:tcPr>
            <w:tcW w:w="0" w:type="auto"/>
            <w:gridSpan w:val="3"/>
            <w:shd w:val="clear" w:color="auto" w:fill="CCEEFF"/>
            <w:tcMar>
              <w:top w:w="0" w:type="dxa"/>
              <w:left w:w="20" w:type="dxa"/>
              <w:bottom w:w="0" w:type="dxa"/>
              <w:right w:w="20" w:type="dxa"/>
            </w:tcMar>
            <w:vAlign w:val="center"/>
            <w:hideMark/>
          </w:tcPr>
          <w:p w14:paraId="052B2B0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1E09D3" w14:textId="77777777" w:rsidR="00000000" w:rsidRDefault="00EE5306">
            <w:pPr>
              <w:spacing w:after="100"/>
              <w:jc w:val="right"/>
              <w:rPr>
                <w:rFonts w:eastAsia="Times New Roman"/>
              </w:rPr>
            </w:pPr>
            <w:r>
              <w:rPr>
                <w:rFonts w:eastAsia="Times New Roman"/>
                <w:color w:val="000000"/>
                <w:sz w:val="20"/>
                <w:szCs w:val="20"/>
              </w:rPr>
              <w:t>(96.0)</w:t>
            </w:r>
          </w:p>
        </w:tc>
        <w:tc>
          <w:tcPr>
            <w:tcW w:w="0" w:type="auto"/>
            <w:shd w:val="clear" w:color="auto" w:fill="CCEEFF"/>
            <w:tcMar>
              <w:top w:w="30" w:type="dxa"/>
              <w:left w:w="0" w:type="dxa"/>
              <w:bottom w:w="30" w:type="dxa"/>
              <w:right w:w="20" w:type="dxa"/>
            </w:tcMar>
            <w:vAlign w:val="bottom"/>
            <w:hideMark/>
          </w:tcPr>
          <w:p w14:paraId="6F6BC78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28B1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2FC826" w14:textId="77777777" w:rsidR="00000000" w:rsidRDefault="00EE5306">
            <w:pPr>
              <w:spacing w:after="100"/>
              <w:jc w:val="right"/>
              <w:rPr>
                <w:rFonts w:eastAsia="Times New Roman"/>
              </w:rPr>
            </w:pPr>
            <w:r>
              <w:rPr>
                <w:rFonts w:eastAsia="Times New Roman"/>
                <w:color w:val="000000"/>
                <w:sz w:val="20"/>
                <w:szCs w:val="20"/>
              </w:rPr>
              <w:t>(31.6)</w:t>
            </w:r>
          </w:p>
        </w:tc>
        <w:tc>
          <w:tcPr>
            <w:tcW w:w="0" w:type="auto"/>
            <w:shd w:val="clear" w:color="auto" w:fill="CCEEFF"/>
            <w:tcMar>
              <w:top w:w="30" w:type="dxa"/>
              <w:left w:w="0" w:type="dxa"/>
              <w:bottom w:w="30" w:type="dxa"/>
              <w:right w:w="20" w:type="dxa"/>
            </w:tcMar>
            <w:vAlign w:val="bottom"/>
            <w:hideMark/>
          </w:tcPr>
          <w:p w14:paraId="001E5A3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8702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73AFDC" w14:textId="77777777" w:rsidR="00000000" w:rsidRDefault="00EE5306">
            <w:pPr>
              <w:spacing w:after="100"/>
              <w:jc w:val="right"/>
              <w:rPr>
                <w:rFonts w:eastAsia="Times New Roman"/>
              </w:rPr>
            </w:pPr>
            <w:r>
              <w:rPr>
                <w:rFonts w:eastAsia="Times New Roman"/>
                <w:color w:val="000000"/>
                <w:sz w:val="20"/>
                <w:szCs w:val="20"/>
              </w:rPr>
              <w:t>(25.8)</w:t>
            </w:r>
          </w:p>
        </w:tc>
        <w:tc>
          <w:tcPr>
            <w:tcW w:w="0" w:type="auto"/>
            <w:shd w:val="clear" w:color="auto" w:fill="CCEEFF"/>
            <w:tcMar>
              <w:top w:w="30" w:type="dxa"/>
              <w:left w:w="0" w:type="dxa"/>
              <w:bottom w:w="30" w:type="dxa"/>
              <w:right w:w="20" w:type="dxa"/>
            </w:tcMar>
            <w:vAlign w:val="bottom"/>
            <w:hideMark/>
          </w:tcPr>
          <w:p w14:paraId="3B2E606A" w14:textId="77777777" w:rsidR="00000000" w:rsidRDefault="00EE5306">
            <w:pPr>
              <w:spacing w:after="100"/>
              <w:jc w:val="right"/>
              <w:rPr>
                <w:rFonts w:eastAsia="Times New Roman"/>
              </w:rPr>
            </w:pPr>
          </w:p>
        </w:tc>
      </w:tr>
      <w:tr w:rsidR="00000000" w14:paraId="48F7ABDE" w14:textId="77777777">
        <w:trPr>
          <w:divId w:val="2104951657"/>
          <w:jc w:val="center"/>
        </w:trPr>
        <w:tc>
          <w:tcPr>
            <w:tcW w:w="0" w:type="auto"/>
            <w:gridSpan w:val="3"/>
            <w:shd w:val="clear" w:color="auto" w:fill="FFFFFF"/>
            <w:tcMar>
              <w:top w:w="30" w:type="dxa"/>
              <w:left w:w="20" w:type="dxa"/>
              <w:bottom w:w="30" w:type="dxa"/>
              <w:right w:w="20" w:type="dxa"/>
            </w:tcMar>
            <w:vAlign w:val="bottom"/>
            <w:hideMark/>
          </w:tcPr>
          <w:p w14:paraId="0E2EA353" w14:textId="77777777" w:rsidR="00000000" w:rsidRDefault="00EE5306">
            <w:pPr>
              <w:spacing w:after="100"/>
              <w:rPr>
                <w:rFonts w:eastAsia="Times New Roman"/>
              </w:rPr>
            </w:pPr>
            <w:r>
              <w:rPr>
                <w:rFonts w:eastAsia="Times New Roman"/>
                <w:color w:val="000000"/>
                <w:sz w:val="20"/>
                <w:szCs w:val="20"/>
              </w:rPr>
              <w:t>Restructuring and other charges</w:t>
            </w:r>
          </w:p>
        </w:tc>
        <w:tc>
          <w:tcPr>
            <w:tcW w:w="0" w:type="auto"/>
            <w:gridSpan w:val="3"/>
            <w:shd w:val="clear" w:color="auto" w:fill="FFFFFF"/>
            <w:tcMar>
              <w:top w:w="0" w:type="dxa"/>
              <w:left w:w="20" w:type="dxa"/>
              <w:bottom w:w="0" w:type="dxa"/>
              <w:right w:w="20" w:type="dxa"/>
            </w:tcMar>
            <w:vAlign w:val="center"/>
            <w:hideMark/>
          </w:tcPr>
          <w:p w14:paraId="2E3C5FB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311B5D" w14:textId="77777777" w:rsidR="00000000" w:rsidRDefault="00EE5306">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14:paraId="3FF3B2D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1168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6A483C" w14:textId="77777777" w:rsidR="00000000" w:rsidRDefault="00EE5306">
            <w:pPr>
              <w:spacing w:after="100"/>
              <w:jc w:val="right"/>
              <w:rPr>
                <w:rFonts w:eastAsia="Times New Roman"/>
              </w:rPr>
            </w:pPr>
            <w:r>
              <w:rPr>
                <w:rFonts w:eastAsia="Times New Roman"/>
                <w:color w:val="000000"/>
                <w:sz w:val="20"/>
                <w:szCs w:val="20"/>
              </w:rPr>
              <w:t>(67.2)</w:t>
            </w:r>
          </w:p>
        </w:tc>
        <w:tc>
          <w:tcPr>
            <w:tcW w:w="0" w:type="auto"/>
            <w:shd w:val="clear" w:color="auto" w:fill="FFFFFF"/>
            <w:tcMar>
              <w:top w:w="30" w:type="dxa"/>
              <w:left w:w="0" w:type="dxa"/>
              <w:bottom w:w="30" w:type="dxa"/>
              <w:right w:w="20" w:type="dxa"/>
            </w:tcMar>
            <w:vAlign w:val="bottom"/>
            <w:hideMark/>
          </w:tcPr>
          <w:p w14:paraId="3361DDB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2D37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F7B2AE" w14:textId="77777777" w:rsidR="00000000" w:rsidRDefault="00EE5306">
            <w:pPr>
              <w:spacing w:after="100"/>
              <w:jc w:val="right"/>
              <w:rPr>
                <w:rFonts w:eastAsia="Times New Roman"/>
              </w:rPr>
            </w:pPr>
            <w:r>
              <w:rPr>
                <w:rFonts w:eastAsia="Times New Roman"/>
                <w:color w:val="000000"/>
                <w:sz w:val="20"/>
                <w:szCs w:val="20"/>
              </w:rPr>
              <w:t>(130.1)</w:t>
            </w:r>
          </w:p>
        </w:tc>
        <w:tc>
          <w:tcPr>
            <w:tcW w:w="0" w:type="auto"/>
            <w:shd w:val="clear" w:color="auto" w:fill="FFFFFF"/>
            <w:tcMar>
              <w:top w:w="30" w:type="dxa"/>
              <w:left w:w="0" w:type="dxa"/>
              <w:bottom w:w="30" w:type="dxa"/>
              <w:right w:w="20" w:type="dxa"/>
            </w:tcMar>
            <w:vAlign w:val="bottom"/>
            <w:hideMark/>
          </w:tcPr>
          <w:p w14:paraId="268EA25E" w14:textId="77777777" w:rsidR="00000000" w:rsidRDefault="00EE5306">
            <w:pPr>
              <w:spacing w:after="100"/>
              <w:jc w:val="right"/>
              <w:rPr>
                <w:rFonts w:eastAsia="Times New Roman"/>
              </w:rPr>
            </w:pPr>
          </w:p>
        </w:tc>
      </w:tr>
      <w:tr w:rsidR="00000000" w14:paraId="67F3B373" w14:textId="77777777">
        <w:trPr>
          <w:divId w:val="2104951657"/>
          <w:jc w:val="center"/>
        </w:trPr>
        <w:tc>
          <w:tcPr>
            <w:tcW w:w="0" w:type="auto"/>
            <w:gridSpan w:val="3"/>
            <w:shd w:val="clear" w:color="auto" w:fill="CCEEFF"/>
            <w:tcMar>
              <w:top w:w="30" w:type="dxa"/>
              <w:left w:w="20" w:type="dxa"/>
              <w:bottom w:w="30" w:type="dxa"/>
              <w:right w:w="20" w:type="dxa"/>
            </w:tcMar>
            <w:vAlign w:val="bottom"/>
            <w:hideMark/>
          </w:tcPr>
          <w:p w14:paraId="60893492" w14:textId="77777777" w:rsidR="00000000" w:rsidRDefault="00EE5306">
            <w:pPr>
              <w:spacing w:after="100"/>
              <w:divId w:val="621765783"/>
              <w:rPr>
                <w:rFonts w:eastAsia="Times New Roman"/>
              </w:rPr>
            </w:pPr>
            <w:r>
              <w:rPr>
                <w:rFonts w:eastAsia="Times New Roman"/>
                <w:b/>
                <w:bCs/>
                <w:color w:val="000000"/>
                <w:sz w:val="20"/>
                <w:szCs w:val="20"/>
              </w:rPr>
              <w:t>Total other operating expenses, net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0AB2A57A"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82E409" w14:textId="77777777" w:rsidR="00000000" w:rsidRDefault="00EE5306">
            <w:pPr>
              <w:spacing w:after="100"/>
              <w:jc w:val="right"/>
              <w:rPr>
                <w:rFonts w:eastAsia="Times New Roman"/>
              </w:rPr>
            </w:pPr>
            <w:r>
              <w:rPr>
                <w:rFonts w:eastAsia="Times New Roman"/>
                <w:color w:val="000000"/>
                <w:sz w:val="20"/>
                <w:szCs w:val="20"/>
              </w:rPr>
              <w:t>(2,905.0)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72CEE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8AFD7"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FEAAF0" w14:textId="77777777" w:rsidR="00000000" w:rsidRDefault="00EE5306">
            <w:pPr>
              <w:spacing w:after="100"/>
              <w:jc w:val="right"/>
              <w:rPr>
                <w:rFonts w:eastAsia="Times New Roman"/>
              </w:rPr>
            </w:pPr>
            <w:r>
              <w:rPr>
                <w:rFonts w:eastAsia="Times New Roman"/>
                <w:color w:val="000000"/>
                <w:sz w:val="20"/>
                <w:szCs w:val="20"/>
              </w:rPr>
              <w:t>(3,336.3)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F09F3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9D023"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5294A0" w14:textId="77777777" w:rsidR="00000000" w:rsidRDefault="00EE5306">
            <w:pPr>
              <w:spacing w:after="100"/>
              <w:jc w:val="right"/>
              <w:rPr>
                <w:rFonts w:eastAsia="Times New Roman"/>
              </w:rPr>
            </w:pPr>
            <w:r>
              <w:rPr>
                <w:rFonts w:eastAsia="Times New Roman"/>
                <w:color w:val="000000"/>
                <w:sz w:val="20"/>
                <w:szCs w:val="20"/>
              </w:rPr>
              <w:t>(3,324.2)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1C83A9" w14:textId="77777777" w:rsidR="00000000" w:rsidRDefault="00EE5306">
            <w:pPr>
              <w:spacing w:after="100"/>
              <w:jc w:val="right"/>
              <w:rPr>
                <w:rFonts w:eastAsia="Times New Roman"/>
              </w:rPr>
            </w:pPr>
          </w:p>
        </w:tc>
      </w:tr>
      <w:tr w:rsidR="00000000" w14:paraId="160A7C94" w14:textId="77777777">
        <w:trPr>
          <w:divId w:val="2104951657"/>
          <w:jc w:val="center"/>
        </w:trPr>
        <w:tc>
          <w:tcPr>
            <w:tcW w:w="0" w:type="auto"/>
            <w:gridSpan w:val="3"/>
            <w:shd w:val="clear" w:color="auto" w:fill="FFFFFF"/>
            <w:tcMar>
              <w:top w:w="30" w:type="dxa"/>
              <w:left w:w="20" w:type="dxa"/>
              <w:bottom w:w="30" w:type="dxa"/>
              <w:right w:w="20" w:type="dxa"/>
            </w:tcMar>
            <w:vAlign w:val="bottom"/>
            <w:hideMark/>
          </w:tcPr>
          <w:p w14:paraId="0B382071" w14:textId="77777777" w:rsidR="00000000" w:rsidRDefault="00EE5306">
            <w:pPr>
              <w:spacing w:after="100"/>
              <w:divId w:val="720175350"/>
              <w:rPr>
                <w:rFonts w:eastAsia="Times New Roman"/>
              </w:rPr>
            </w:pPr>
            <w:r>
              <w:rPr>
                <w:rFonts w:eastAsia="Times New Roman"/>
                <w:b/>
                <w:bCs/>
                <w:color w:val="000000"/>
                <w:sz w:val="20"/>
                <w:szCs w:val="20"/>
              </w:rPr>
              <w:t>Operating income (loss)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0341447B"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ECC359" w14:textId="77777777" w:rsidR="00000000" w:rsidRDefault="00EE5306">
            <w:pPr>
              <w:spacing w:after="100"/>
              <w:jc w:val="right"/>
              <w:rPr>
                <w:rFonts w:eastAsia="Times New Roman"/>
              </w:rPr>
            </w:pPr>
            <w:r>
              <w:rPr>
                <w:rFonts w:eastAsia="Times New Roman"/>
                <w:color w:val="000000"/>
                <w:sz w:val="20"/>
                <w:szCs w:val="20"/>
              </w:rPr>
              <w:t>(43.6)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0F350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23C83"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8847CD" w14:textId="77777777" w:rsidR="00000000" w:rsidRDefault="00EE5306">
            <w:pPr>
              <w:spacing w:after="100"/>
              <w:jc w:val="right"/>
              <w:rPr>
                <w:rFonts w:eastAsia="Times New Roman"/>
              </w:rPr>
            </w:pPr>
            <w:r>
              <w:rPr>
                <w:rFonts w:eastAsia="Times New Roman"/>
                <w:color w:val="000000"/>
                <w:sz w:val="20"/>
                <w:szCs w:val="20"/>
              </w:rPr>
              <w:t>317.0 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3777F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2E9C6"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CF01A2" w14:textId="77777777" w:rsidR="00000000" w:rsidRDefault="00EE5306">
            <w:pPr>
              <w:spacing w:after="100"/>
              <w:jc w:val="right"/>
              <w:rPr>
                <w:rFonts w:eastAsia="Times New Roman"/>
              </w:rPr>
            </w:pPr>
            <w:r>
              <w:rPr>
                <w:rFonts w:eastAsia="Times New Roman"/>
                <w:color w:val="000000"/>
                <w:sz w:val="20"/>
                <w:szCs w:val="20"/>
              </w:rPr>
              <w:t>561.8 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7E803D" w14:textId="77777777" w:rsidR="00000000" w:rsidRDefault="00EE5306">
            <w:pPr>
              <w:spacing w:after="100"/>
              <w:jc w:val="right"/>
              <w:rPr>
                <w:rFonts w:eastAsia="Times New Roman"/>
              </w:rPr>
            </w:pPr>
          </w:p>
        </w:tc>
      </w:tr>
      <w:tr w:rsidR="00000000" w14:paraId="0607407A" w14:textId="77777777">
        <w:trPr>
          <w:divId w:val="2104951657"/>
          <w:jc w:val="center"/>
        </w:trPr>
        <w:tc>
          <w:tcPr>
            <w:tcW w:w="0" w:type="auto"/>
            <w:gridSpan w:val="3"/>
            <w:shd w:val="clear" w:color="auto" w:fill="CCEEFF"/>
            <w:tcMar>
              <w:top w:w="30" w:type="dxa"/>
              <w:left w:w="20" w:type="dxa"/>
              <w:bottom w:w="30" w:type="dxa"/>
              <w:right w:w="20" w:type="dxa"/>
            </w:tcMar>
            <w:vAlign w:val="bottom"/>
            <w:hideMark/>
          </w:tcPr>
          <w:p w14:paraId="2B59FA21" w14:textId="77777777" w:rsidR="00000000" w:rsidRDefault="00EE5306">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14:paraId="35DD9EF4"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27BDC0" w14:textId="77777777" w:rsidR="00000000" w:rsidRDefault="00EE5306">
            <w:pPr>
              <w:spacing w:after="100"/>
              <w:jc w:val="right"/>
              <w:rPr>
                <w:rFonts w:eastAsia="Times New Roman"/>
              </w:rPr>
            </w:pPr>
            <w:r>
              <w:rPr>
                <w:rFonts w:eastAsia="Times New Roman"/>
                <w:color w:val="000000"/>
                <w:sz w:val="20"/>
                <w:szCs w:val="20"/>
              </w:rPr>
              <w:t>(48.5)</w:t>
            </w:r>
          </w:p>
        </w:tc>
        <w:tc>
          <w:tcPr>
            <w:tcW w:w="0" w:type="auto"/>
            <w:shd w:val="clear" w:color="auto" w:fill="CCEEFF"/>
            <w:tcMar>
              <w:top w:w="30" w:type="dxa"/>
              <w:left w:w="0" w:type="dxa"/>
              <w:bottom w:w="30" w:type="dxa"/>
              <w:right w:w="20" w:type="dxa"/>
            </w:tcMar>
            <w:vAlign w:val="bottom"/>
            <w:hideMark/>
          </w:tcPr>
          <w:p w14:paraId="19A730B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3A3C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AF1350" w14:textId="77777777" w:rsidR="00000000" w:rsidRDefault="00EE5306">
            <w:pPr>
              <w:spacing w:after="100"/>
              <w:jc w:val="right"/>
              <w:rPr>
                <w:rFonts w:eastAsia="Times New Roman"/>
              </w:rPr>
            </w:pPr>
            <w:r>
              <w:rPr>
                <w:rFonts w:eastAsia="Times New Roman"/>
                <w:color w:val="000000"/>
                <w:sz w:val="20"/>
                <w:szCs w:val="20"/>
              </w:rPr>
              <w:t>(17.6)</w:t>
            </w:r>
          </w:p>
        </w:tc>
        <w:tc>
          <w:tcPr>
            <w:tcW w:w="0" w:type="auto"/>
            <w:shd w:val="clear" w:color="auto" w:fill="CCEEFF"/>
            <w:tcMar>
              <w:top w:w="30" w:type="dxa"/>
              <w:left w:w="0" w:type="dxa"/>
              <w:bottom w:w="30" w:type="dxa"/>
              <w:right w:w="20" w:type="dxa"/>
            </w:tcMar>
            <w:vAlign w:val="bottom"/>
            <w:hideMark/>
          </w:tcPr>
          <w:p w14:paraId="5384ADD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EF44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BDADA4" w14:textId="77777777" w:rsidR="00000000" w:rsidRDefault="00EE5306">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14:paraId="43BB5DB8" w14:textId="77777777" w:rsidR="00000000" w:rsidRDefault="00EE5306">
            <w:pPr>
              <w:spacing w:after="100"/>
              <w:jc w:val="right"/>
              <w:rPr>
                <w:rFonts w:eastAsia="Times New Roman"/>
              </w:rPr>
            </w:pPr>
          </w:p>
        </w:tc>
      </w:tr>
      <w:tr w:rsidR="00000000" w14:paraId="3E766055" w14:textId="77777777">
        <w:trPr>
          <w:divId w:val="2104951657"/>
          <w:jc w:val="center"/>
        </w:trPr>
        <w:tc>
          <w:tcPr>
            <w:tcW w:w="0" w:type="auto"/>
            <w:gridSpan w:val="3"/>
            <w:shd w:val="clear" w:color="auto" w:fill="FFFFFF"/>
            <w:tcMar>
              <w:top w:w="30" w:type="dxa"/>
              <w:left w:w="20" w:type="dxa"/>
              <w:bottom w:w="30" w:type="dxa"/>
              <w:right w:w="20" w:type="dxa"/>
            </w:tcMar>
            <w:vAlign w:val="bottom"/>
            <w:hideMark/>
          </w:tcPr>
          <w:p w14:paraId="5F41399F" w14:textId="77777777" w:rsidR="00000000" w:rsidRDefault="00EE5306">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14:paraId="644C768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6C1D37" w14:textId="77777777" w:rsidR="00000000" w:rsidRDefault="00EE5306">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14:paraId="22A9B0B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CCE8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BC8C94" w14:textId="77777777" w:rsidR="00000000" w:rsidRDefault="00EE5306">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14:paraId="2969DAB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7725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EB7796" w14:textId="77777777" w:rsidR="00000000" w:rsidRDefault="00EE5306">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14:paraId="33577D80" w14:textId="77777777" w:rsidR="00000000" w:rsidRDefault="00EE5306">
            <w:pPr>
              <w:spacing w:after="100"/>
              <w:jc w:val="right"/>
              <w:rPr>
                <w:rFonts w:eastAsia="Times New Roman"/>
              </w:rPr>
            </w:pPr>
          </w:p>
        </w:tc>
      </w:tr>
      <w:tr w:rsidR="00000000" w14:paraId="09F63EDB" w14:textId="77777777">
        <w:trPr>
          <w:divId w:val="2104951657"/>
          <w:jc w:val="center"/>
        </w:trPr>
        <w:tc>
          <w:tcPr>
            <w:tcW w:w="0" w:type="auto"/>
            <w:gridSpan w:val="3"/>
            <w:shd w:val="clear" w:color="auto" w:fill="CCEEFF"/>
            <w:tcMar>
              <w:top w:w="30" w:type="dxa"/>
              <w:left w:w="20" w:type="dxa"/>
              <w:bottom w:w="30" w:type="dxa"/>
              <w:right w:w="20" w:type="dxa"/>
            </w:tcMar>
            <w:vAlign w:val="bottom"/>
            <w:hideMark/>
          </w:tcPr>
          <w:p w14:paraId="5E5A65A2" w14:textId="77777777" w:rsidR="00000000" w:rsidRDefault="00EE5306">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14:paraId="4CF9E00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134C46" w14:textId="77777777" w:rsidR="00000000" w:rsidRDefault="00EE5306">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14:paraId="6461DEF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372C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4766AF" w14:textId="77777777" w:rsidR="00000000" w:rsidRDefault="00EE5306">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14:paraId="123AFD0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8B00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56043C" w14:textId="77777777" w:rsidR="00000000" w:rsidRDefault="00EE5306">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14:paraId="22ED7034" w14:textId="77777777" w:rsidR="00000000" w:rsidRDefault="00EE5306">
            <w:pPr>
              <w:spacing w:after="100"/>
              <w:jc w:val="right"/>
              <w:rPr>
                <w:rFonts w:eastAsia="Times New Roman"/>
              </w:rPr>
            </w:pPr>
          </w:p>
        </w:tc>
      </w:tr>
      <w:tr w:rsidR="00000000" w14:paraId="5C4CAA4E" w14:textId="77777777">
        <w:trPr>
          <w:divId w:val="2104951657"/>
          <w:jc w:val="center"/>
        </w:trPr>
        <w:tc>
          <w:tcPr>
            <w:tcW w:w="0" w:type="auto"/>
            <w:gridSpan w:val="3"/>
            <w:shd w:val="clear" w:color="auto" w:fill="FFFFFF"/>
            <w:tcMar>
              <w:top w:w="30" w:type="dxa"/>
              <w:left w:w="20" w:type="dxa"/>
              <w:bottom w:w="30" w:type="dxa"/>
              <w:right w:w="20" w:type="dxa"/>
            </w:tcMar>
            <w:vAlign w:val="bottom"/>
            <w:hideMark/>
          </w:tcPr>
          <w:p w14:paraId="46D6015E" w14:textId="77777777" w:rsidR="00000000" w:rsidRDefault="00EE5306">
            <w:pPr>
              <w:spacing w:after="100"/>
              <w:divId w:val="1760903790"/>
              <w:rPr>
                <w:rFonts w:eastAsia="Times New Roman"/>
              </w:rPr>
            </w:pPr>
            <w:r>
              <w:rPr>
                <w:rFonts w:eastAsia="Times New Roman"/>
                <w:b/>
                <w:bCs/>
                <w:color w:val="000000"/>
                <w:sz w:val="20"/>
                <w:szCs w:val="20"/>
              </w:rPr>
              <w:t>Income (loss) before income taxes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1AFF5AA1"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44800B" w14:textId="77777777" w:rsidR="00000000" w:rsidRDefault="00EE5306">
            <w:pPr>
              <w:spacing w:after="100"/>
              <w:jc w:val="right"/>
              <w:rPr>
                <w:rFonts w:eastAsia="Times New Roman"/>
              </w:rPr>
            </w:pPr>
            <w:r>
              <w:rPr>
                <w:rFonts w:eastAsia="Times New Roman"/>
                <w:color w:val="000000"/>
                <w:sz w:val="20"/>
                <w:szCs w:val="20"/>
              </w:rPr>
              <w:t>(74.8)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F1109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76971"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351167" w14:textId="77777777" w:rsidR="00000000" w:rsidRDefault="00EE5306">
            <w:pPr>
              <w:spacing w:after="100"/>
              <w:jc w:val="right"/>
              <w:rPr>
                <w:rFonts w:eastAsia="Times New Roman"/>
              </w:rPr>
            </w:pPr>
            <w:r>
              <w:rPr>
                <w:rFonts w:eastAsia="Times New Roman"/>
                <w:color w:val="000000"/>
                <w:sz w:val="20"/>
                <w:szCs w:val="20"/>
              </w:rPr>
              <w:t>326.4 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E9984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39902"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91CAED" w14:textId="77777777" w:rsidR="00000000" w:rsidRDefault="00EE5306">
            <w:pPr>
              <w:spacing w:after="100"/>
              <w:jc w:val="right"/>
              <w:rPr>
                <w:rFonts w:eastAsia="Times New Roman"/>
              </w:rPr>
            </w:pPr>
            <w:r>
              <w:rPr>
                <w:rFonts w:eastAsia="Times New Roman"/>
                <w:color w:val="000000"/>
                <w:sz w:val="20"/>
                <w:szCs w:val="20"/>
              </w:rPr>
              <w:t>582.5 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22C0D5" w14:textId="77777777" w:rsidR="00000000" w:rsidRDefault="00EE5306">
            <w:pPr>
              <w:spacing w:after="100"/>
              <w:jc w:val="right"/>
              <w:rPr>
                <w:rFonts w:eastAsia="Times New Roman"/>
              </w:rPr>
            </w:pPr>
          </w:p>
        </w:tc>
      </w:tr>
      <w:tr w:rsidR="00000000" w14:paraId="140543D1" w14:textId="77777777">
        <w:trPr>
          <w:divId w:val="2104951657"/>
          <w:jc w:val="center"/>
        </w:trPr>
        <w:tc>
          <w:tcPr>
            <w:tcW w:w="0" w:type="auto"/>
            <w:gridSpan w:val="3"/>
            <w:shd w:val="clear" w:color="auto" w:fill="CCEEFF"/>
            <w:tcMar>
              <w:top w:w="30" w:type="dxa"/>
              <w:left w:w="20" w:type="dxa"/>
              <w:bottom w:w="30" w:type="dxa"/>
              <w:right w:w="20" w:type="dxa"/>
            </w:tcMar>
            <w:vAlign w:val="bottom"/>
            <w:hideMark/>
          </w:tcPr>
          <w:p w14:paraId="042E6727" w14:textId="77777777" w:rsidR="00000000" w:rsidRDefault="00EE5306">
            <w:pPr>
              <w:spacing w:after="100"/>
              <w:rPr>
                <w:rFonts w:eastAsia="Times New Roman"/>
              </w:rPr>
            </w:pPr>
            <w:r>
              <w:rPr>
                <w:rFonts w:eastAsia="Times New Roman"/>
                <w:color w:val="000000"/>
                <w:sz w:val="20"/>
                <w:szCs w:val="20"/>
              </w:rPr>
              <w:t>Income tax benefit (provision)</w:t>
            </w:r>
          </w:p>
        </w:tc>
        <w:tc>
          <w:tcPr>
            <w:tcW w:w="0" w:type="auto"/>
            <w:gridSpan w:val="3"/>
            <w:shd w:val="clear" w:color="auto" w:fill="CCEEFF"/>
            <w:tcMar>
              <w:top w:w="0" w:type="dxa"/>
              <w:left w:w="20" w:type="dxa"/>
              <w:bottom w:w="0" w:type="dxa"/>
              <w:right w:w="20" w:type="dxa"/>
            </w:tcMar>
            <w:vAlign w:val="center"/>
            <w:hideMark/>
          </w:tcPr>
          <w:p w14:paraId="0337FD7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037DD9" w14:textId="77777777" w:rsidR="00000000" w:rsidRDefault="00EE5306">
            <w:pPr>
              <w:spacing w:after="100"/>
              <w:jc w:val="right"/>
              <w:rPr>
                <w:rFonts w:eastAsia="Times New Roman"/>
              </w:rPr>
            </w:pPr>
            <w:r>
              <w:rPr>
                <w:rFonts w:eastAsia="Times New Roman"/>
                <w:color w:val="000000"/>
                <w:sz w:val="20"/>
                <w:szCs w:val="20"/>
              </w:rPr>
              <w:t>(46.3)</w:t>
            </w:r>
          </w:p>
        </w:tc>
        <w:tc>
          <w:tcPr>
            <w:tcW w:w="0" w:type="auto"/>
            <w:shd w:val="clear" w:color="auto" w:fill="CCEEFF"/>
            <w:tcMar>
              <w:top w:w="30" w:type="dxa"/>
              <w:left w:w="0" w:type="dxa"/>
              <w:bottom w:w="30" w:type="dxa"/>
              <w:right w:w="20" w:type="dxa"/>
            </w:tcMar>
            <w:vAlign w:val="bottom"/>
            <w:hideMark/>
          </w:tcPr>
          <w:p w14:paraId="1EFFA97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58E4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001548" w14:textId="77777777" w:rsidR="00000000" w:rsidRDefault="00EE5306">
            <w:pPr>
              <w:spacing w:after="100"/>
              <w:jc w:val="right"/>
              <w:rPr>
                <w:rFonts w:eastAsia="Times New Roman"/>
              </w:rPr>
            </w:pPr>
            <w:r>
              <w:rPr>
                <w:rFonts w:eastAsia="Times New Roman"/>
                <w:color w:val="000000"/>
                <w:sz w:val="20"/>
                <w:szCs w:val="20"/>
              </w:rPr>
              <w:t>57.9 </w:t>
            </w:r>
          </w:p>
        </w:tc>
        <w:tc>
          <w:tcPr>
            <w:tcW w:w="0" w:type="auto"/>
            <w:shd w:val="clear" w:color="auto" w:fill="CCEEFF"/>
            <w:tcMar>
              <w:top w:w="30" w:type="dxa"/>
              <w:left w:w="0" w:type="dxa"/>
              <w:bottom w:w="30" w:type="dxa"/>
              <w:right w:w="20" w:type="dxa"/>
            </w:tcMar>
            <w:vAlign w:val="bottom"/>
            <w:hideMark/>
          </w:tcPr>
          <w:p w14:paraId="753D3CA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4DAAA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9124D" w14:textId="77777777" w:rsidR="00000000" w:rsidRDefault="00EE5306">
            <w:pPr>
              <w:spacing w:after="100"/>
              <w:jc w:val="right"/>
              <w:rPr>
                <w:rFonts w:eastAsia="Times New Roman"/>
              </w:rPr>
            </w:pPr>
            <w:r>
              <w:rPr>
                <w:rFonts w:eastAsia="Times New Roman"/>
                <w:color w:val="000000"/>
                <w:sz w:val="20"/>
                <w:szCs w:val="20"/>
              </w:rPr>
              <w:t>(151.6)</w:t>
            </w:r>
          </w:p>
        </w:tc>
        <w:tc>
          <w:tcPr>
            <w:tcW w:w="0" w:type="auto"/>
            <w:shd w:val="clear" w:color="auto" w:fill="CCEEFF"/>
            <w:tcMar>
              <w:top w:w="30" w:type="dxa"/>
              <w:left w:w="0" w:type="dxa"/>
              <w:bottom w:w="30" w:type="dxa"/>
              <w:right w:w="20" w:type="dxa"/>
            </w:tcMar>
            <w:vAlign w:val="bottom"/>
            <w:hideMark/>
          </w:tcPr>
          <w:p w14:paraId="625FE5F1" w14:textId="77777777" w:rsidR="00000000" w:rsidRDefault="00EE5306">
            <w:pPr>
              <w:spacing w:after="100"/>
              <w:jc w:val="right"/>
              <w:rPr>
                <w:rFonts w:eastAsia="Times New Roman"/>
              </w:rPr>
            </w:pPr>
          </w:p>
        </w:tc>
      </w:tr>
      <w:tr w:rsidR="00000000" w14:paraId="5EE0DB16" w14:textId="77777777">
        <w:trPr>
          <w:divId w:val="2104951657"/>
          <w:jc w:val="center"/>
        </w:trPr>
        <w:tc>
          <w:tcPr>
            <w:tcW w:w="0" w:type="auto"/>
            <w:gridSpan w:val="3"/>
            <w:shd w:val="clear" w:color="auto" w:fill="FFFFFF"/>
            <w:tcMar>
              <w:top w:w="30" w:type="dxa"/>
              <w:left w:w="20" w:type="dxa"/>
              <w:bottom w:w="30" w:type="dxa"/>
              <w:right w:w="20" w:type="dxa"/>
            </w:tcMar>
            <w:vAlign w:val="bottom"/>
            <w:hideMark/>
          </w:tcPr>
          <w:p w14:paraId="290766AB" w14:textId="77777777" w:rsidR="00000000" w:rsidRDefault="00EE5306">
            <w:pPr>
              <w:spacing w:after="100"/>
              <w:divId w:val="388918696"/>
              <w:rPr>
                <w:rFonts w:eastAsia="Times New Roman"/>
              </w:rPr>
            </w:pPr>
            <w:r>
              <w:rPr>
                <w:rFonts w:eastAsia="Times New Roman"/>
                <w:b/>
                <w:bCs/>
                <w:color w:val="000000"/>
                <w:sz w:val="20"/>
                <w:szCs w:val="20"/>
              </w:rPr>
              <w:t>Net income (loss)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1BFA7B60" w14:textId="77777777" w:rsidR="00000000" w:rsidRDefault="00EE530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5BCFC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3E6D65" w14:textId="77777777" w:rsidR="00000000" w:rsidRDefault="00EE5306">
            <w:pPr>
              <w:spacing w:after="100"/>
              <w:jc w:val="right"/>
              <w:rPr>
                <w:rFonts w:eastAsia="Times New Roman"/>
              </w:rPr>
            </w:pPr>
            <w:r>
              <w:rPr>
                <w:rFonts w:eastAsia="Times New Roman"/>
                <w:color w:val="000000"/>
                <w:sz w:val="20"/>
                <w:szCs w:val="20"/>
              </w:rPr>
              <w:t>(121.1)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F7716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6D269"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82FD5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3E6599" w14:textId="77777777" w:rsidR="00000000" w:rsidRDefault="00EE5306">
            <w:pPr>
              <w:spacing w:after="100"/>
              <w:jc w:val="right"/>
              <w:rPr>
                <w:rFonts w:eastAsia="Times New Roman"/>
              </w:rPr>
            </w:pPr>
            <w:r>
              <w:rPr>
                <w:rFonts w:eastAsia="Times New Roman"/>
                <w:color w:val="000000"/>
                <w:sz w:val="20"/>
                <w:szCs w:val="20"/>
              </w:rPr>
              <w:t>384.3 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CC7AB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DB4E6"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61A84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181ABFF" w14:textId="77777777" w:rsidR="00000000" w:rsidRDefault="00EE5306">
            <w:pPr>
              <w:spacing w:after="100"/>
              <w:jc w:val="right"/>
              <w:rPr>
                <w:rFonts w:eastAsia="Times New Roman"/>
              </w:rPr>
            </w:pPr>
            <w:r>
              <w:rPr>
                <w:rFonts w:eastAsia="Times New Roman"/>
                <w:color w:val="000000"/>
                <w:sz w:val="20"/>
                <w:szCs w:val="20"/>
              </w:rPr>
              <w:t>430.9 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B0274E" w14:textId="77777777" w:rsidR="00000000" w:rsidRDefault="00EE5306">
            <w:pPr>
              <w:spacing w:after="100"/>
              <w:jc w:val="right"/>
              <w:rPr>
                <w:rFonts w:eastAsia="Times New Roman"/>
              </w:rPr>
            </w:pPr>
          </w:p>
        </w:tc>
      </w:tr>
      <w:tr w:rsidR="00000000" w14:paraId="148D905A" w14:textId="77777777">
        <w:trPr>
          <w:divId w:val="2104951657"/>
          <w:trHeight w:val="280"/>
          <w:jc w:val="center"/>
        </w:trPr>
        <w:tc>
          <w:tcPr>
            <w:tcW w:w="0" w:type="auto"/>
            <w:gridSpan w:val="3"/>
            <w:shd w:val="clear" w:color="auto" w:fill="CCEEFF"/>
            <w:tcMar>
              <w:top w:w="0" w:type="dxa"/>
              <w:left w:w="20" w:type="dxa"/>
              <w:bottom w:w="0" w:type="dxa"/>
              <w:right w:w="20" w:type="dxa"/>
            </w:tcMar>
            <w:vAlign w:val="center"/>
            <w:hideMark/>
          </w:tcPr>
          <w:p w14:paraId="7341CFA7"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C832C1"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4FDDF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03545B"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AC7D1B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C45AB5"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DD87858" w14:textId="77777777" w:rsidR="00000000" w:rsidRDefault="00EE5306">
            <w:pPr>
              <w:spacing w:after="100"/>
              <w:rPr>
                <w:rFonts w:eastAsia="Times New Roman"/>
                <w:sz w:val="20"/>
                <w:szCs w:val="20"/>
              </w:rPr>
            </w:pPr>
          </w:p>
        </w:tc>
      </w:tr>
      <w:tr w:rsidR="00000000" w14:paraId="0AFB304A" w14:textId="77777777">
        <w:trPr>
          <w:divId w:val="2104951657"/>
          <w:jc w:val="center"/>
        </w:trPr>
        <w:tc>
          <w:tcPr>
            <w:tcW w:w="0" w:type="auto"/>
            <w:gridSpan w:val="3"/>
            <w:shd w:val="clear" w:color="auto" w:fill="FFFFFF"/>
            <w:tcMar>
              <w:top w:w="30" w:type="dxa"/>
              <w:left w:w="20" w:type="dxa"/>
              <w:bottom w:w="30" w:type="dxa"/>
              <w:right w:w="20" w:type="dxa"/>
            </w:tcMar>
            <w:vAlign w:val="bottom"/>
            <w:hideMark/>
          </w:tcPr>
          <w:p w14:paraId="15E79202" w14:textId="77777777" w:rsidR="00000000" w:rsidRDefault="00EE5306">
            <w:pPr>
              <w:spacing w:after="100"/>
              <w:rPr>
                <w:rFonts w:eastAsia="Times New Roman"/>
              </w:rPr>
            </w:pPr>
            <w:r>
              <w:rPr>
                <w:rFonts w:eastAsia="Times New Roman"/>
                <w:b/>
                <w:bCs/>
                <w:color w:val="000000"/>
                <w:sz w:val="20"/>
                <w:szCs w:val="20"/>
              </w:rPr>
              <w:t>Net income (loss) per common share:</w:t>
            </w:r>
          </w:p>
        </w:tc>
        <w:tc>
          <w:tcPr>
            <w:tcW w:w="0" w:type="auto"/>
            <w:gridSpan w:val="3"/>
            <w:shd w:val="clear" w:color="auto" w:fill="FFFFFF"/>
            <w:tcMar>
              <w:top w:w="0" w:type="dxa"/>
              <w:left w:w="20" w:type="dxa"/>
              <w:bottom w:w="0" w:type="dxa"/>
              <w:right w:w="20" w:type="dxa"/>
            </w:tcMar>
            <w:vAlign w:val="center"/>
            <w:hideMark/>
          </w:tcPr>
          <w:p w14:paraId="6FD90AE0"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31D6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0BACC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F0C06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116B3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4BAB65" w14:textId="77777777" w:rsidR="00000000" w:rsidRDefault="00EE5306">
            <w:pPr>
              <w:spacing w:after="100"/>
              <w:rPr>
                <w:rFonts w:eastAsia="Times New Roman"/>
                <w:sz w:val="20"/>
                <w:szCs w:val="20"/>
              </w:rPr>
            </w:pPr>
          </w:p>
        </w:tc>
      </w:tr>
      <w:tr w:rsidR="00000000" w14:paraId="544C758E" w14:textId="77777777">
        <w:trPr>
          <w:divId w:val="2104951657"/>
          <w:jc w:val="center"/>
        </w:trPr>
        <w:tc>
          <w:tcPr>
            <w:tcW w:w="0" w:type="auto"/>
            <w:gridSpan w:val="3"/>
            <w:shd w:val="clear" w:color="auto" w:fill="CCEEFF"/>
            <w:tcMar>
              <w:top w:w="30" w:type="dxa"/>
              <w:left w:w="155" w:type="dxa"/>
              <w:bottom w:w="30" w:type="dxa"/>
              <w:right w:w="20" w:type="dxa"/>
            </w:tcMar>
            <w:vAlign w:val="bottom"/>
            <w:hideMark/>
          </w:tcPr>
          <w:p w14:paraId="61783E41" w14:textId="77777777" w:rsidR="00000000" w:rsidRDefault="00EE5306">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14:paraId="5CF9265E"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D41CD6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7289F1" w14:textId="77777777" w:rsidR="00000000" w:rsidRDefault="00EE5306">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14:paraId="0522B70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32350"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FE834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BFE7AF5" w14:textId="77777777" w:rsidR="00000000" w:rsidRDefault="00EE5306">
            <w:pPr>
              <w:spacing w:after="100"/>
              <w:jc w:val="right"/>
              <w:rPr>
                <w:rFonts w:eastAsia="Times New Roman"/>
              </w:rPr>
            </w:pPr>
            <w:r>
              <w:rPr>
                <w:rFonts w:eastAsia="Times New Roman"/>
                <w:color w:val="000000"/>
                <w:sz w:val="20"/>
                <w:szCs w:val="20"/>
              </w:rPr>
              <w:t>5.07 </w:t>
            </w:r>
          </w:p>
        </w:tc>
        <w:tc>
          <w:tcPr>
            <w:tcW w:w="0" w:type="auto"/>
            <w:shd w:val="clear" w:color="auto" w:fill="CCEEFF"/>
            <w:tcMar>
              <w:top w:w="30" w:type="dxa"/>
              <w:left w:w="0" w:type="dxa"/>
              <w:bottom w:w="30" w:type="dxa"/>
              <w:right w:w="20" w:type="dxa"/>
            </w:tcMar>
            <w:vAlign w:val="bottom"/>
            <w:hideMark/>
          </w:tcPr>
          <w:p w14:paraId="0CBFC5C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31353"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D91B3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F4D794" w14:textId="77777777" w:rsidR="00000000" w:rsidRDefault="00EE5306">
            <w:pPr>
              <w:spacing w:after="100"/>
              <w:jc w:val="right"/>
              <w:rPr>
                <w:rFonts w:eastAsia="Times New Roman"/>
              </w:rPr>
            </w:pPr>
            <w:r>
              <w:rPr>
                <w:rFonts w:eastAsia="Times New Roman"/>
                <w:color w:val="000000"/>
                <w:sz w:val="20"/>
                <w:szCs w:val="20"/>
              </w:rPr>
              <w:t>5.35 </w:t>
            </w:r>
          </w:p>
        </w:tc>
        <w:tc>
          <w:tcPr>
            <w:tcW w:w="0" w:type="auto"/>
            <w:shd w:val="clear" w:color="auto" w:fill="CCEEFF"/>
            <w:tcMar>
              <w:top w:w="30" w:type="dxa"/>
              <w:left w:w="0" w:type="dxa"/>
              <w:bottom w:w="30" w:type="dxa"/>
              <w:right w:w="20" w:type="dxa"/>
            </w:tcMar>
            <w:vAlign w:val="bottom"/>
            <w:hideMark/>
          </w:tcPr>
          <w:p w14:paraId="2CFF2C1F" w14:textId="77777777" w:rsidR="00000000" w:rsidRDefault="00EE5306">
            <w:pPr>
              <w:spacing w:after="100"/>
              <w:jc w:val="right"/>
              <w:rPr>
                <w:rFonts w:eastAsia="Times New Roman"/>
              </w:rPr>
            </w:pPr>
          </w:p>
        </w:tc>
      </w:tr>
      <w:tr w:rsidR="00000000" w14:paraId="47F48DE1" w14:textId="77777777">
        <w:trPr>
          <w:divId w:val="2104951657"/>
          <w:jc w:val="center"/>
        </w:trPr>
        <w:tc>
          <w:tcPr>
            <w:tcW w:w="0" w:type="auto"/>
            <w:gridSpan w:val="3"/>
            <w:shd w:val="clear" w:color="auto" w:fill="FFFFFF"/>
            <w:tcMar>
              <w:top w:w="30" w:type="dxa"/>
              <w:left w:w="155" w:type="dxa"/>
              <w:bottom w:w="30" w:type="dxa"/>
              <w:right w:w="20" w:type="dxa"/>
            </w:tcMar>
            <w:vAlign w:val="bottom"/>
            <w:hideMark/>
          </w:tcPr>
          <w:p w14:paraId="1446AFB1" w14:textId="77777777" w:rsidR="00000000" w:rsidRDefault="00EE5306">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14:paraId="76CECA60" w14:textId="77777777" w:rsidR="00000000" w:rsidRDefault="00EE5306">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636C41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E0E03C5" w14:textId="77777777" w:rsidR="00000000" w:rsidRDefault="00EE5306">
            <w:pPr>
              <w:spacing w:after="100"/>
              <w:jc w:val="right"/>
              <w:rPr>
                <w:rFonts w:eastAsia="Times New Roman"/>
              </w:rPr>
            </w:pPr>
            <w:r>
              <w:rPr>
                <w:rFonts w:eastAsia="Times New Roman"/>
                <w:color w:val="000000"/>
                <w:sz w:val="20"/>
                <w:szCs w:val="20"/>
              </w:rPr>
              <w:t>(1.65)</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AB36CD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25603" w14:textId="77777777" w:rsidR="00000000" w:rsidRDefault="00EE530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78A5A86"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1BFB1AD" w14:textId="77777777" w:rsidR="00000000" w:rsidRDefault="00EE5306">
            <w:pPr>
              <w:spacing w:after="100"/>
              <w:jc w:val="right"/>
              <w:rPr>
                <w:rFonts w:eastAsia="Times New Roman"/>
              </w:rPr>
            </w:pPr>
            <w:r>
              <w:rPr>
                <w:rFonts w:eastAsia="Times New Roman"/>
                <w:color w:val="000000"/>
                <w:sz w:val="20"/>
                <w:szCs w:val="20"/>
              </w:rPr>
              <w:t>4.98 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21030C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B6682" w14:textId="77777777" w:rsidR="00000000" w:rsidRDefault="00EE530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6084F82"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7DF169A" w14:textId="77777777" w:rsidR="00000000" w:rsidRDefault="00EE5306">
            <w:pPr>
              <w:spacing w:after="100"/>
              <w:jc w:val="right"/>
              <w:rPr>
                <w:rFonts w:eastAsia="Times New Roman"/>
              </w:rPr>
            </w:pPr>
            <w:r>
              <w:rPr>
                <w:rFonts w:eastAsia="Times New Roman"/>
                <w:color w:val="000000"/>
                <w:sz w:val="20"/>
                <w:szCs w:val="20"/>
              </w:rPr>
              <w:t>5.27 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472ECD6" w14:textId="77777777" w:rsidR="00000000" w:rsidRDefault="00EE5306">
            <w:pPr>
              <w:spacing w:after="100"/>
              <w:jc w:val="right"/>
              <w:rPr>
                <w:rFonts w:eastAsia="Times New Roman"/>
              </w:rPr>
            </w:pPr>
          </w:p>
        </w:tc>
      </w:tr>
      <w:tr w:rsidR="00000000" w14:paraId="45A2FC7A" w14:textId="77777777">
        <w:trPr>
          <w:divId w:val="2104951657"/>
          <w:jc w:val="center"/>
        </w:trPr>
        <w:tc>
          <w:tcPr>
            <w:tcW w:w="0" w:type="auto"/>
            <w:gridSpan w:val="3"/>
            <w:shd w:val="clear" w:color="auto" w:fill="CCEEFF"/>
            <w:tcMar>
              <w:top w:w="30" w:type="dxa"/>
              <w:left w:w="20" w:type="dxa"/>
              <w:bottom w:w="30" w:type="dxa"/>
              <w:right w:w="20" w:type="dxa"/>
            </w:tcMar>
            <w:vAlign w:val="bottom"/>
            <w:hideMark/>
          </w:tcPr>
          <w:p w14:paraId="0BF3DD2A" w14:textId="77777777" w:rsidR="00000000" w:rsidRDefault="00EE5306">
            <w:pPr>
              <w:spacing w:after="100"/>
              <w:rPr>
                <w:rFonts w:eastAsia="Times New Roman"/>
              </w:rPr>
            </w:pPr>
            <w:r>
              <w:rPr>
                <w:rFonts w:eastAsia="Times New Roman"/>
                <w:b/>
                <w:bCs/>
                <w:color w:val="000000"/>
                <w:sz w:val="20"/>
                <w:szCs w:val="20"/>
              </w:rPr>
              <w:t>Weighted-average common shares outstanding:</w:t>
            </w:r>
          </w:p>
        </w:tc>
        <w:tc>
          <w:tcPr>
            <w:tcW w:w="0" w:type="auto"/>
            <w:gridSpan w:val="3"/>
            <w:shd w:val="clear" w:color="auto" w:fill="CCEEFF"/>
            <w:tcMar>
              <w:top w:w="0" w:type="dxa"/>
              <w:left w:w="20" w:type="dxa"/>
              <w:bottom w:w="0" w:type="dxa"/>
              <w:right w:w="20" w:type="dxa"/>
            </w:tcMar>
            <w:vAlign w:val="center"/>
            <w:hideMark/>
          </w:tcPr>
          <w:p w14:paraId="2578415E" w14:textId="77777777" w:rsidR="00000000" w:rsidRDefault="00EE530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17073F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1D82C7"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12EE10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7C00D1"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6383701" w14:textId="77777777" w:rsidR="00000000" w:rsidRDefault="00EE5306">
            <w:pPr>
              <w:spacing w:after="100"/>
              <w:rPr>
                <w:rFonts w:eastAsia="Times New Roman"/>
                <w:sz w:val="20"/>
                <w:szCs w:val="20"/>
              </w:rPr>
            </w:pPr>
          </w:p>
        </w:tc>
      </w:tr>
      <w:tr w:rsidR="00000000" w14:paraId="4450206F" w14:textId="77777777">
        <w:trPr>
          <w:divId w:val="2104951657"/>
          <w:jc w:val="center"/>
        </w:trPr>
        <w:tc>
          <w:tcPr>
            <w:tcW w:w="0" w:type="auto"/>
            <w:gridSpan w:val="3"/>
            <w:shd w:val="clear" w:color="auto" w:fill="FFFFFF"/>
            <w:tcMar>
              <w:top w:w="30" w:type="dxa"/>
              <w:left w:w="155" w:type="dxa"/>
              <w:bottom w:w="30" w:type="dxa"/>
              <w:right w:w="20" w:type="dxa"/>
            </w:tcMar>
            <w:vAlign w:val="bottom"/>
            <w:hideMark/>
          </w:tcPr>
          <w:p w14:paraId="18BCA95E" w14:textId="77777777" w:rsidR="00000000" w:rsidRDefault="00EE5306">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14:paraId="18BA34D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8A1710" w14:textId="77777777" w:rsidR="00000000" w:rsidRDefault="00EE5306">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14:paraId="5EA39D6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B258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3C92F4" w14:textId="77777777" w:rsidR="00000000" w:rsidRDefault="00EE5306">
            <w:pPr>
              <w:spacing w:after="100"/>
              <w:jc w:val="right"/>
              <w:rPr>
                <w:rFonts w:eastAsia="Times New Roman"/>
              </w:rPr>
            </w:pPr>
            <w:r>
              <w:rPr>
                <w:rFonts w:eastAsia="Times New Roman"/>
                <w:color w:val="000000"/>
                <w:sz w:val="20"/>
                <w:szCs w:val="20"/>
              </w:rPr>
              <w:t>75.8 </w:t>
            </w:r>
          </w:p>
        </w:tc>
        <w:tc>
          <w:tcPr>
            <w:tcW w:w="0" w:type="auto"/>
            <w:shd w:val="clear" w:color="auto" w:fill="FFFFFF"/>
            <w:tcMar>
              <w:top w:w="30" w:type="dxa"/>
              <w:left w:w="0" w:type="dxa"/>
              <w:bottom w:w="30" w:type="dxa"/>
              <w:right w:w="20" w:type="dxa"/>
            </w:tcMar>
            <w:vAlign w:val="bottom"/>
            <w:hideMark/>
          </w:tcPr>
          <w:p w14:paraId="45DE505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DE2B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AE8827" w14:textId="77777777" w:rsidR="00000000" w:rsidRDefault="00EE5306">
            <w:pPr>
              <w:spacing w:after="100"/>
              <w:jc w:val="right"/>
              <w:rPr>
                <w:rFonts w:eastAsia="Times New Roman"/>
              </w:rPr>
            </w:pPr>
            <w:r>
              <w:rPr>
                <w:rFonts w:eastAsia="Times New Roman"/>
                <w:color w:val="000000"/>
                <w:sz w:val="20"/>
                <w:szCs w:val="20"/>
              </w:rPr>
              <w:t>80.6 </w:t>
            </w:r>
          </w:p>
        </w:tc>
        <w:tc>
          <w:tcPr>
            <w:tcW w:w="0" w:type="auto"/>
            <w:shd w:val="clear" w:color="auto" w:fill="FFFFFF"/>
            <w:tcMar>
              <w:top w:w="30" w:type="dxa"/>
              <w:left w:w="0" w:type="dxa"/>
              <w:bottom w:w="30" w:type="dxa"/>
              <w:right w:w="20" w:type="dxa"/>
            </w:tcMar>
            <w:vAlign w:val="bottom"/>
            <w:hideMark/>
          </w:tcPr>
          <w:p w14:paraId="11AA10B8" w14:textId="77777777" w:rsidR="00000000" w:rsidRDefault="00EE5306">
            <w:pPr>
              <w:spacing w:after="100"/>
              <w:jc w:val="right"/>
              <w:rPr>
                <w:rFonts w:eastAsia="Times New Roman"/>
              </w:rPr>
            </w:pPr>
          </w:p>
        </w:tc>
      </w:tr>
      <w:tr w:rsidR="00000000" w14:paraId="76DCC66C" w14:textId="77777777">
        <w:trPr>
          <w:divId w:val="2104951657"/>
          <w:jc w:val="center"/>
        </w:trPr>
        <w:tc>
          <w:tcPr>
            <w:tcW w:w="0" w:type="auto"/>
            <w:gridSpan w:val="3"/>
            <w:shd w:val="clear" w:color="auto" w:fill="CCEEFF"/>
            <w:tcMar>
              <w:top w:w="30" w:type="dxa"/>
              <w:left w:w="155" w:type="dxa"/>
              <w:bottom w:w="30" w:type="dxa"/>
              <w:right w:w="20" w:type="dxa"/>
            </w:tcMar>
            <w:vAlign w:val="bottom"/>
            <w:hideMark/>
          </w:tcPr>
          <w:p w14:paraId="50F92800" w14:textId="77777777" w:rsidR="00000000" w:rsidRDefault="00EE5306">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14:paraId="01807480" w14:textId="77777777" w:rsidR="00000000" w:rsidRDefault="00EE5306">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8020693" w14:textId="77777777" w:rsidR="00000000" w:rsidRDefault="00EE5306">
            <w:pPr>
              <w:spacing w:after="100"/>
              <w:jc w:val="right"/>
              <w:rPr>
                <w:rFonts w:eastAsia="Times New Roman"/>
              </w:rPr>
            </w:pPr>
            <w:r>
              <w:rPr>
                <w:rFonts w:eastAsia="Times New Roman"/>
                <w:color w:val="000000"/>
                <w:sz w:val="20"/>
                <w:szCs w:val="20"/>
              </w:rPr>
              <w:t>73.5 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0C3187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8E2AC1" w14:textId="77777777" w:rsidR="00000000" w:rsidRDefault="00EE5306">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40AF751" w14:textId="77777777" w:rsidR="00000000" w:rsidRDefault="00EE5306">
            <w:pPr>
              <w:spacing w:after="100"/>
              <w:jc w:val="right"/>
              <w:rPr>
                <w:rFonts w:eastAsia="Times New Roman"/>
              </w:rPr>
            </w:pPr>
            <w:r>
              <w:rPr>
                <w:rFonts w:eastAsia="Times New Roman"/>
                <w:color w:val="000000"/>
                <w:sz w:val="20"/>
                <w:szCs w:val="20"/>
              </w:rPr>
              <w:t>77.2 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3BECA0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91BB9" w14:textId="77777777" w:rsidR="00000000" w:rsidRDefault="00EE5306">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A89766D" w14:textId="77777777" w:rsidR="00000000" w:rsidRDefault="00EE5306">
            <w:pPr>
              <w:spacing w:after="100"/>
              <w:jc w:val="right"/>
              <w:rPr>
                <w:rFonts w:eastAsia="Times New Roman"/>
              </w:rPr>
            </w:pPr>
            <w:r>
              <w:rPr>
                <w:rFonts w:eastAsia="Times New Roman"/>
                <w:color w:val="000000"/>
                <w:sz w:val="20"/>
                <w:szCs w:val="20"/>
              </w:rPr>
              <w:t>81.7 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69114EE" w14:textId="77777777" w:rsidR="00000000" w:rsidRDefault="00EE5306">
            <w:pPr>
              <w:spacing w:after="100"/>
              <w:jc w:val="right"/>
              <w:rPr>
                <w:rFonts w:eastAsia="Times New Roman"/>
              </w:rPr>
            </w:pPr>
          </w:p>
        </w:tc>
      </w:tr>
      <w:tr w:rsidR="00000000" w14:paraId="052328FE" w14:textId="77777777">
        <w:trPr>
          <w:divId w:val="2104951657"/>
          <w:jc w:val="center"/>
        </w:trPr>
        <w:tc>
          <w:tcPr>
            <w:tcW w:w="0" w:type="auto"/>
            <w:gridSpan w:val="3"/>
            <w:shd w:val="clear" w:color="auto" w:fill="FFFFFF"/>
            <w:tcMar>
              <w:top w:w="30" w:type="dxa"/>
              <w:left w:w="20" w:type="dxa"/>
              <w:bottom w:w="30" w:type="dxa"/>
              <w:right w:w="20" w:type="dxa"/>
            </w:tcMar>
            <w:vAlign w:val="bottom"/>
            <w:hideMark/>
          </w:tcPr>
          <w:p w14:paraId="0EB526E2" w14:textId="77777777" w:rsidR="00000000" w:rsidRDefault="00EE5306">
            <w:pPr>
              <w:spacing w:after="100"/>
              <w:rPr>
                <w:rFonts w:eastAsia="Times New Roman"/>
              </w:rPr>
            </w:pPr>
            <w:r>
              <w:rPr>
                <w:rFonts w:eastAsia="Times New Roman"/>
                <w:color w:val="000000"/>
                <w:sz w:val="20"/>
                <w:szCs w:val="20"/>
              </w:rPr>
              <w:t>Dividends declared per share</w:t>
            </w:r>
          </w:p>
        </w:tc>
        <w:tc>
          <w:tcPr>
            <w:tcW w:w="0" w:type="auto"/>
            <w:gridSpan w:val="3"/>
            <w:shd w:val="clear" w:color="auto" w:fill="FFFFFF"/>
            <w:tcMar>
              <w:top w:w="0" w:type="dxa"/>
              <w:left w:w="20" w:type="dxa"/>
              <w:bottom w:w="0" w:type="dxa"/>
              <w:right w:w="20" w:type="dxa"/>
            </w:tcMar>
            <w:vAlign w:val="center"/>
            <w:hideMark/>
          </w:tcPr>
          <w:p w14:paraId="56A15323" w14:textId="77777777" w:rsidR="00000000" w:rsidRDefault="00EE5306">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05FF57E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2FDC323A" w14:textId="77777777" w:rsidR="00000000" w:rsidRDefault="00EE5306">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D7FB7D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C3B47" w14:textId="77777777" w:rsidR="00000000" w:rsidRDefault="00EE530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B3ABE8D"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07AD0410" w14:textId="77777777" w:rsidR="00000000" w:rsidRDefault="00EE5306">
            <w:pPr>
              <w:spacing w:after="100"/>
              <w:jc w:val="right"/>
              <w:rPr>
                <w:rFonts w:eastAsia="Times New Roman"/>
              </w:rPr>
            </w:pPr>
            <w:r>
              <w:rPr>
                <w:rFonts w:eastAsia="Times New Roman"/>
                <w:color w:val="000000"/>
                <w:sz w:val="20"/>
                <w:szCs w:val="20"/>
              </w:rPr>
              <w:t>2.75 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13818F5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3BE0F" w14:textId="77777777" w:rsidR="00000000" w:rsidRDefault="00EE530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97F4906"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33214385" w14:textId="77777777" w:rsidR="00000000" w:rsidRDefault="00EE5306">
            <w:pPr>
              <w:spacing w:after="100"/>
              <w:jc w:val="right"/>
              <w:rPr>
                <w:rFonts w:eastAsia="Times New Roman"/>
              </w:rPr>
            </w:pPr>
            <w:r>
              <w:rPr>
                <w:rFonts w:eastAsia="Times New Roman"/>
                <w:color w:val="000000"/>
                <w:sz w:val="20"/>
                <w:szCs w:val="20"/>
              </w:rPr>
              <w:t>2.50 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1E282514" w14:textId="77777777" w:rsidR="00000000" w:rsidRDefault="00EE5306">
            <w:pPr>
              <w:spacing w:after="100"/>
              <w:jc w:val="right"/>
              <w:rPr>
                <w:rFonts w:eastAsia="Times New Roman"/>
              </w:rPr>
            </w:pPr>
          </w:p>
        </w:tc>
      </w:tr>
    </w:tbl>
    <w:p w14:paraId="30E838A5" w14:textId="77777777" w:rsidR="00000000" w:rsidRDefault="00EE5306">
      <w:pPr>
        <w:jc w:val="center"/>
        <w:divId w:val="1733771772"/>
        <w:rPr>
          <w:rFonts w:eastAsia="Times New Roman"/>
        </w:rPr>
      </w:pPr>
      <w:r>
        <w:rPr>
          <w:rFonts w:eastAsia="Times New Roman"/>
          <w:color w:val="000000"/>
          <w:sz w:val="20"/>
          <w:szCs w:val="20"/>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7F25DEA" w14:textId="77777777">
        <w:trPr>
          <w:divId w:val="2022471202"/>
          <w:jc w:val="center"/>
        </w:trPr>
        <w:tc>
          <w:tcPr>
            <w:tcW w:w="50" w:type="pct"/>
            <w:vAlign w:val="center"/>
            <w:hideMark/>
          </w:tcPr>
          <w:p w14:paraId="57D1D766" w14:textId="77777777" w:rsidR="00000000" w:rsidRDefault="00EE5306">
            <w:pPr>
              <w:jc w:val="center"/>
              <w:rPr>
                <w:rFonts w:eastAsia="Times New Roman"/>
              </w:rPr>
            </w:pPr>
          </w:p>
        </w:tc>
        <w:tc>
          <w:tcPr>
            <w:tcW w:w="1699" w:type="pct"/>
            <w:vAlign w:val="center"/>
            <w:hideMark/>
          </w:tcPr>
          <w:p w14:paraId="28414C82" w14:textId="77777777" w:rsidR="00000000" w:rsidRDefault="00EE5306">
            <w:pPr>
              <w:spacing w:after="100"/>
              <w:rPr>
                <w:rFonts w:eastAsia="Times New Roman"/>
                <w:sz w:val="20"/>
                <w:szCs w:val="20"/>
              </w:rPr>
            </w:pPr>
          </w:p>
        </w:tc>
        <w:tc>
          <w:tcPr>
            <w:tcW w:w="5" w:type="pct"/>
            <w:vAlign w:val="center"/>
            <w:hideMark/>
          </w:tcPr>
          <w:p w14:paraId="6C20D2A4" w14:textId="77777777" w:rsidR="00000000" w:rsidRDefault="00EE5306">
            <w:pPr>
              <w:spacing w:after="100"/>
              <w:rPr>
                <w:rFonts w:eastAsia="Times New Roman"/>
                <w:sz w:val="20"/>
                <w:szCs w:val="20"/>
              </w:rPr>
            </w:pPr>
          </w:p>
        </w:tc>
        <w:tc>
          <w:tcPr>
            <w:tcW w:w="50" w:type="pct"/>
            <w:vAlign w:val="center"/>
            <w:hideMark/>
          </w:tcPr>
          <w:p w14:paraId="423DDF5B" w14:textId="77777777" w:rsidR="00000000" w:rsidRDefault="00EE5306">
            <w:pPr>
              <w:spacing w:after="100"/>
              <w:rPr>
                <w:rFonts w:eastAsia="Times New Roman"/>
                <w:sz w:val="20"/>
                <w:szCs w:val="20"/>
              </w:rPr>
            </w:pPr>
          </w:p>
        </w:tc>
        <w:tc>
          <w:tcPr>
            <w:tcW w:w="1436" w:type="pct"/>
            <w:vAlign w:val="center"/>
            <w:hideMark/>
          </w:tcPr>
          <w:p w14:paraId="5AAE709C" w14:textId="77777777" w:rsidR="00000000" w:rsidRDefault="00EE5306">
            <w:pPr>
              <w:spacing w:after="100"/>
              <w:rPr>
                <w:rFonts w:eastAsia="Times New Roman"/>
                <w:sz w:val="20"/>
                <w:szCs w:val="20"/>
              </w:rPr>
            </w:pPr>
          </w:p>
        </w:tc>
        <w:tc>
          <w:tcPr>
            <w:tcW w:w="5" w:type="pct"/>
            <w:vAlign w:val="center"/>
            <w:hideMark/>
          </w:tcPr>
          <w:p w14:paraId="7123069B" w14:textId="77777777" w:rsidR="00000000" w:rsidRDefault="00EE5306">
            <w:pPr>
              <w:spacing w:after="100"/>
              <w:rPr>
                <w:rFonts w:eastAsia="Times New Roman"/>
                <w:sz w:val="20"/>
                <w:szCs w:val="20"/>
              </w:rPr>
            </w:pPr>
          </w:p>
        </w:tc>
        <w:tc>
          <w:tcPr>
            <w:tcW w:w="50" w:type="pct"/>
            <w:vAlign w:val="center"/>
            <w:hideMark/>
          </w:tcPr>
          <w:p w14:paraId="67C164C3" w14:textId="77777777" w:rsidR="00000000" w:rsidRDefault="00EE5306">
            <w:pPr>
              <w:spacing w:after="100"/>
              <w:rPr>
                <w:rFonts w:eastAsia="Times New Roman"/>
                <w:sz w:val="20"/>
                <w:szCs w:val="20"/>
              </w:rPr>
            </w:pPr>
          </w:p>
        </w:tc>
        <w:tc>
          <w:tcPr>
            <w:tcW w:w="1699" w:type="pct"/>
            <w:vAlign w:val="center"/>
            <w:hideMark/>
          </w:tcPr>
          <w:p w14:paraId="014381CF" w14:textId="77777777" w:rsidR="00000000" w:rsidRDefault="00EE5306">
            <w:pPr>
              <w:spacing w:after="100"/>
              <w:rPr>
                <w:rFonts w:eastAsia="Times New Roman"/>
                <w:sz w:val="20"/>
                <w:szCs w:val="20"/>
              </w:rPr>
            </w:pPr>
          </w:p>
        </w:tc>
        <w:tc>
          <w:tcPr>
            <w:tcW w:w="5" w:type="pct"/>
            <w:vAlign w:val="center"/>
            <w:hideMark/>
          </w:tcPr>
          <w:p w14:paraId="15D78412" w14:textId="77777777" w:rsidR="00000000" w:rsidRDefault="00EE5306">
            <w:pPr>
              <w:spacing w:after="100"/>
              <w:rPr>
                <w:rFonts w:eastAsia="Times New Roman"/>
                <w:sz w:val="20"/>
                <w:szCs w:val="20"/>
              </w:rPr>
            </w:pPr>
          </w:p>
        </w:tc>
      </w:tr>
      <w:tr w:rsidR="00000000" w14:paraId="54D98E15" w14:textId="77777777">
        <w:trPr>
          <w:divId w:val="2022471202"/>
          <w:jc w:val="center"/>
        </w:trPr>
        <w:tc>
          <w:tcPr>
            <w:tcW w:w="0" w:type="auto"/>
            <w:gridSpan w:val="3"/>
            <w:tcMar>
              <w:top w:w="0" w:type="dxa"/>
              <w:left w:w="20" w:type="dxa"/>
              <w:bottom w:w="0" w:type="dxa"/>
              <w:right w:w="20" w:type="dxa"/>
            </w:tcMar>
            <w:vAlign w:val="center"/>
            <w:hideMark/>
          </w:tcPr>
          <w:p w14:paraId="7809A1E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94EC7B" w14:textId="77777777" w:rsidR="00000000" w:rsidRDefault="00EE5306">
            <w:pPr>
              <w:spacing w:after="100"/>
              <w:jc w:val="center"/>
              <w:rPr>
                <w:rFonts w:eastAsia="Times New Roman"/>
              </w:rPr>
            </w:pPr>
            <w:r>
              <w:rPr>
                <w:rFonts w:eastAsia="Times New Roman"/>
                <w:color w:val="000000"/>
                <w:sz w:val="20"/>
                <w:szCs w:val="20"/>
              </w:rPr>
              <w:t>F-3</w:t>
            </w:r>
          </w:p>
        </w:tc>
        <w:tc>
          <w:tcPr>
            <w:tcW w:w="0" w:type="auto"/>
            <w:gridSpan w:val="3"/>
            <w:tcMar>
              <w:top w:w="0" w:type="dxa"/>
              <w:left w:w="20" w:type="dxa"/>
              <w:bottom w:w="0" w:type="dxa"/>
              <w:right w:w="20" w:type="dxa"/>
            </w:tcMar>
            <w:vAlign w:val="center"/>
            <w:hideMark/>
          </w:tcPr>
          <w:p w14:paraId="0040E68E" w14:textId="77777777" w:rsidR="00000000" w:rsidRDefault="00EE5306">
            <w:pPr>
              <w:spacing w:after="100"/>
              <w:jc w:val="center"/>
              <w:rPr>
                <w:rFonts w:eastAsia="Times New Roman"/>
              </w:rPr>
            </w:pPr>
          </w:p>
        </w:tc>
      </w:tr>
    </w:tbl>
    <w:p w14:paraId="392C93D2" w14:textId="77777777" w:rsidR="00000000" w:rsidRDefault="00EE5306">
      <w:pPr>
        <w:rPr>
          <w:rFonts w:eastAsia="Times New Roman"/>
        </w:rPr>
      </w:pPr>
      <w:r>
        <w:rPr>
          <w:rFonts w:eastAsia="Times New Roman"/>
        </w:rPr>
        <w:pict w14:anchorId="3F47E2FB">
          <v:rect id="_x0000_i1113" style="width:0;height:1.5pt" o:hralign="center" o:hrstd="t" o:hr="t" fillcolor="#a0a0a0" stroked="f"/>
        </w:pict>
      </w:r>
    </w:p>
    <w:p w14:paraId="7E2FBF7E" w14:textId="77777777" w:rsidR="00000000" w:rsidRDefault="00EE5306">
      <w:pPr>
        <w:divId w:val="1291856862"/>
        <w:rPr>
          <w:rFonts w:eastAsia="Times New Roman"/>
        </w:rPr>
      </w:pPr>
    </w:p>
    <w:p w14:paraId="08D24DAC" w14:textId="77777777" w:rsidR="00000000" w:rsidRDefault="00EE5306">
      <w:pPr>
        <w:jc w:val="center"/>
        <w:rPr>
          <w:rFonts w:eastAsia="Times New Roman"/>
        </w:rPr>
      </w:pPr>
      <w:r>
        <w:rPr>
          <w:rFonts w:eastAsia="Times New Roman"/>
          <w:b/>
          <w:bCs/>
          <w:color w:val="000000"/>
          <w:sz w:val="20"/>
          <w:szCs w:val="20"/>
        </w:rPr>
        <w:t>RALPH LAUREN CORPORATION</w:t>
      </w:r>
    </w:p>
    <w:p w14:paraId="06FA6D92" w14:textId="77777777" w:rsidR="00000000" w:rsidRDefault="00EE5306">
      <w:pPr>
        <w:jc w:val="center"/>
        <w:divId w:val="1509060621"/>
        <w:rPr>
          <w:rFonts w:eastAsia="Times New Roman"/>
        </w:rPr>
      </w:pPr>
      <w:r>
        <w:rPr>
          <w:rFonts w:eastAsia="Times New Roman"/>
          <w:b/>
          <w:bCs/>
          <w:color w:val="000000"/>
          <w:sz w:val="20"/>
          <w:szCs w:val="20"/>
        </w:rPr>
        <w:t>CONSOLIDATED STATEMENTS OF COMPREHENSIVE INCOME (LOSS)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044"/>
        <w:gridCol w:w="37"/>
        <w:gridCol w:w="36"/>
        <w:gridCol w:w="36"/>
        <w:gridCol w:w="36"/>
        <w:gridCol w:w="120"/>
        <w:gridCol w:w="790"/>
        <w:gridCol w:w="36"/>
        <w:gridCol w:w="36"/>
        <w:gridCol w:w="36"/>
        <w:gridCol w:w="36"/>
        <w:gridCol w:w="120"/>
        <w:gridCol w:w="790"/>
        <w:gridCol w:w="36"/>
        <w:gridCol w:w="36"/>
        <w:gridCol w:w="36"/>
        <w:gridCol w:w="36"/>
        <w:gridCol w:w="120"/>
        <w:gridCol w:w="790"/>
        <w:gridCol w:w="36"/>
      </w:tblGrid>
      <w:tr w:rsidR="00000000" w14:paraId="65FB0938" w14:textId="77777777">
        <w:trPr>
          <w:divId w:val="648443740"/>
          <w:jc w:val="center"/>
        </w:trPr>
        <w:tc>
          <w:tcPr>
            <w:tcW w:w="50" w:type="pct"/>
            <w:vAlign w:val="center"/>
            <w:hideMark/>
          </w:tcPr>
          <w:p w14:paraId="504A225A" w14:textId="77777777" w:rsidR="00000000" w:rsidRDefault="00EE5306">
            <w:pPr>
              <w:jc w:val="center"/>
              <w:rPr>
                <w:rFonts w:eastAsia="Times New Roman"/>
              </w:rPr>
            </w:pPr>
          </w:p>
        </w:tc>
        <w:tc>
          <w:tcPr>
            <w:tcW w:w="3075" w:type="pct"/>
            <w:vAlign w:val="center"/>
            <w:hideMark/>
          </w:tcPr>
          <w:p w14:paraId="4714A5E5" w14:textId="77777777" w:rsidR="00000000" w:rsidRDefault="00EE5306">
            <w:pPr>
              <w:spacing w:after="100"/>
              <w:rPr>
                <w:rFonts w:eastAsia="Times New Roman"/>
                <w:sz w:val="20"/>
                <w:szCs w:val="20"/>
              </w:rPr>
            </w:pPr>
          </w:p>
        </w:tc>
        <w:tc>
          <w:tcPr>
            <w:tcW w:w="5" w:type="pct"/>
            <w:vAlign w:val="center"/>
            <w:hideMark/>
          </w:tcPr>
          <w:p w14:paraId="7E2D1BCD" w14:textId="77777777" w:rsidR="00000000" w:rsidRDefault="00EE5306">
            <w:pPr>
              <w:spacing w:after="100"/>
              <w:rPr>
                <w:rFonts w:eastAsia="Times New Roman"/>
                <w:sz w:val="20"/>
                <w:szCs w:val="20"/>
              </w:rPr>
            </w:pPr>
          </w:p>
        </w:tc>
        <w:tc>
          <w:tcPr>
            <w:tcW w:w="5" w:type="pct"/>
            <w:vAlign w:val="center"/>
            <w:hideMark/>
          </w:tcPr>
          <w:p w14:paraId="239090F8" w14:textId="77777777" w:rsidR="00000000" w:rsidRDefault="00EE5306">
            <w:pPr>
              <w:spacing w:after="100"/>
              <w:rPr>
                <w:rFonts w:eastAsia="Times New Roman"/>
                <w:sz w:val="20"/>
                <w:szCs w:val="20"/>
              </w:rPr>
            </w:pPr>
          </w:p>
        </w:tc>
        <w:tc>
          <w:tcPr>
            <w:tcW w:w="26" w:type="pct"/>
            <w:vAlign w:val="center"/>
            <w:hideMark/>
          </w:tcPr>
          <w:p w14:paraId="7C16398E" w14:textId="77777777" w:rsidR="00000000" w:rsidRDefault="00EE5306">
            <w:pPr>
              <w:spacing w:after="100"/>
              <w:rPr>
                <w:rFonts w:eastAsia="Times New Roman"/>
                <w:sz w:val="20"/>
                <w:szCs w:val="20"/>
              </w:rPr>
            </w:pPr>
          </w:p>
        </w:tc>
        <w:tc>
          <w:tcPr>
            <w:tcW w:w="5" w:type="pct"/>
            <w:vAlign w:val="center"/>
            <w:hideMark/>
          </w:tcPr>
          <w:p w14:paraId="7BAAF704" w14:textId="77777777" w:rsidR="00000000" w:rsidRDefault="00EE5306">
            <w:pPr>
              <w:spacing w:after="100"/>
              <w:rPr>
                <w:rFonts w:eastAsia="Times New Roman"/>
                <w:sz w:val="20"/>
                <w:szCs w:val="20"/>
              </w:rPr>
            </w:pPr>
          </w:p>
        </w:tc>
        <w:tc>
          <w:tcPr>
            <w:tcW w:w="50" w:type="pct"/>
            <w:vAlign w:val="center"/>
            <w:hideMark/>
          </w:tcPr>
          <w:p w14:paraId="68D34D29" w14:textId="77777777" w:rsidR="00000000" w:rsidRDefault="00EE5306">
            <w:pPr>
              <w:spacing w:after="100"/>
              <w:rPr>
                <w:rFonts w:eastAsia="Times New Roman"/>
                <w:sz w:val="20"/>
                <w:szCs w:val="20"/>
              </w:rPr>
            </w:pPr>
          </w:p>
        </w:tc>
        <w:tc>
          <w:tcPr>
            <w:tcW w:w="531" w:type="pct"/>
            <w:vAlign w:val="center"/>
            <w:hideMark/>
          </w:tcPr>
          <w:p w14:paraId="0D440FB7" w14:textId="77777777" w:rsidR="00000000" w:rsidRDefault="00EE5306">
            <w:pPr>
              <w:spacing w:after="100"/>
              <w:rPr>
                <w:rFonts w:eastAsia="Times New Roman"/>
                <w:sz w:val="20"/>
                <w:szCs w:val="20"/>
              </w:rPr>
            </w:pPr>
          </w:p>
        </w:tc>
        <w:tc>
          <w:tcPr>
            <w:tcW w:w="5" w:type="pct"/>
            <w:vAlign w:val="center"/>
            <w:hideMark/>
          </w:tcPr>
          <w:p w14:paraId="071B8F97" w14:textId="77777777" w:rsidR="00000000" w:rsidRDefault="00EE5306">
            <w:pPr>
              <w:spacing w:after="100"/>
              <w:rPr>
                <w:rFonts w:eastAsia="Times New Roman"/>
                <w:sz w:val="20"/>
                <w:szCs w:val="20"/>
              </w:rPr>
            </w:pPr>
          </w:p>
        </w:tc>
        <w:tc>
          <w:tcPr>
            <w:tcW w:w="5" w:type="pct"/>
            <w:vAlign w:val="center"/>
            <w:hideMark/>
          </w:tcPr>
          <w:p w14:paraId="4760387F" w14:textId="77777777" w:rsidR="00000000" w:rsidRDefault="00EE5306">
            <w:pPr>
              <w:spacing w:after="100"/>
              <w:rPr>
                <w:rFonts w:eastAsia="Times New Roman"/>
                <w:sz w:val="20"/>
                <w:szCs w:val="20"/>
              </w:rPr>
            </w:pPr>
          </w:p>
        </w:tc>
        <w:tc>
          <w:tcPr>
            <w:tcW w:w="26" w:type="pct"/>
            <w:vAlign w:val="center"/>
            <w:hideMark/>
          </w:tcPr>
          <w:p w14:paraId="51643328" w14:textId="77777777" w:rsidR="00000000" w:rsidRDefault="00EE5306">
            <w:pPr>
              <w:spacing w:after="100"/>
              <w:rPr>
                <w:rFonts w:eastAsia="Times New Roman"/>
                <w:sz w:val="20"/>
                <w:szCs w:val="20"/>
              </w:rPr>
            </w:pPr>
          </w:p>
        </w:tc>
        <w:tc>
          <w:tcPr>
            <w:tcW w:w="5" w:type="pct"/>
            <w:vAlign w:val="center"/>
            <w:hideMark/>
          </w:tcPr>
          <w:p w14:paraId="0C0B6944" w14:textId="77777777" w:rsidR="00000000" w:rsidRDefault="00EE5306">
            <w:pPr>
              <w:spacing w:after="100"/>
              <w:rPr>
                <w:rFonts w:eastAsia="Times New Roman"/>
                <w:sz w:val="20"/>
                <w:szCs w:val="20"/>
              </w:rPr>
            </w:pPr>
          </w:p>
        </w:tc>
        <w:tc>
          <w:tcPr>
            <w:tcW w:w="50" w:type="pct"/>
            <w:vAlign w:val="center"/>
            <w:hideMark/>
          </w:tcPr>
          <w:p w14:paraId="2CD2001D" w14:textId="77777777" w:rsidR="00000000" w:rsidRDefault="00EE5306">
            <w:pPr>
              <w:spacing w:after="100"/>
              <w:rPr>
                <w:rFonts w:eastAsia="Times New Roman"/>
                <w:sz w:val="20"/>
                <w:szCs w:val="20"/>
              </w:rPr>
            </w:pPr>
          </w:p>
        </w:tc>
        <w:tc>
          <w:tcPr>
            <w:tcW w:w="531" w:type="pct"/>
            <w:vAlign w:val="center"/>
            <w:hideMark/>
          </w:tcPr>
          <w:p w14:paraId="0F5B2B09" w14:textId="77777777" w:rsidR="00000000" w:rsidRDefault="00EE5306">
            <w:pPr>
              <w:spacing w:after="100"/>
              <w:rPr>
                <w:rFonts w:eastAsia="Times New Roman"/>
                <w:sz w:val="20"/>
                <w:szCs w:val="20"/>
              </w:rPr>
            </w:pPr>
          </w:p>
        </w:tc>
        <w:tc>
          <w:tcPr>
            <w:tcW w:w="5" w:type="pct"/>
            <w:vAlign w:val="center"/>
            <w:hideMark/>
          </w:tcPr>
          <w:p w14:paraId="378EAB39" w14:textId="77777777" w:rsidR="00000000" w:rsidRDefault="00EE5306">
            <w:pPr>
              <w:spacing w:after="100"/>
              <w:rPr>
                <w:rFonts w:eastAsia="Times New Roman"/>
                <w:sz w:val="20"/>
                <w:szCs w:val="20"/>
              </w:rPr>
            </w:pPr>
          </w:p>
        </w:tc>
        <w:tc>
          <w:tcPr>
            <w:tcW w:w="5" w:type="pct"/>
            <w:vAlign w:val="center"/>
            <w:hideMark/>
          </w:tcPr>
          <w:p w14:paraId="774B70F6" w14:textId="77777777" w:rsidR="00000000" w:rsidRDefault="00EE5306">
            <w:pPr>
              <w:spacing w:after="100"/>
              <w:rPr>
                <w:rFonts w:eastAsia="Times New Roman"/>
                <w:sz w:val="20"/>
                <w:szCs w:val="20"/>
              </w:rPr>
            </w:pPr>
          </w:p>
        </w:tc>
        <w:tc>
          <w:tcPr>
            <w:tcW w:w="26" w:type="pct"/>
            <w:vAlign w:val="center"/>
            <w:hideMark/>
          </w:tcPr>
          <w:p w14:paraId="2439839B" w14:textId="77777777" w:rsidR="00000000" w:rsidRDefault="00EE5306">
            <w:pPr>
              <w:spacing w:after="100"/>
              <w:rPr>
                <w:rFonts w:eastAsia="Times New Roman"/>
                <w:sz w:val="20"/>
                <w:szCs w:val="20"/>
              </w:rPr>
            </w:pPr>
          </w:p>
        </w:tc>
        <w:tc>
          <w:tcPr>
            <w:tcW w:w="5" w:type="pct"/>
            <w:vAlign w:val="center"/>
            <w:hideMark/>
          </w:tcPr>
          <w:p w14:paraId="4D7A9D10" w14:textId="77777777" w:rsidR="00000000" w:rsidRDefault="00EE5306">
            <w:pPr>
              <w:spacing w:after="100"/>
              <w:rPr>
                <w:rFonts w:eastAsia="Times New Roman"/>
                <w:sz w:val="20"/>
                <w:szCs w:val="20"/>
              </w:rPr>
            </w:pPr>
          </w:p>
        </w:tc>
        <w:tc>
          <w:tcPr>
            <w:tcW w:w="50" w:type="pct"/>
            <w:vAlign w:val="center"/>
            <w:hideMark/>
          </w:tcPr>
          <w:p w14:paraId="73E83AC9" w14:textId="77777777" w:rsidR="00000000" w:rsidRDefault="00EE5306">
            <w:pPr>
              <w:spacing w:after="100"/>
              <w:rPr>
                <w:rFonts w:eastAsia="Times New Roman"/>
                <w:sz w:val="20"/>
                <w:szCs w:val="20"/>
              </w:rPr>
            </w:pPr>
          </w:p>
        </w:tc>
        <w:tc>
          <w:tcPr>
            <w:tcW w:w="531" w:type="pct"/>
            <w:vAlign w:val="center"/>
            <w:hideMark/>
          </w:tcPr>
          <w:p w14:paraId="2F243844" w14:textId="77777777" w:rsidR="00000000" w:rsidRDefault="00EE5306">
            <w:pPr>
              <w:spacing w:after="100"/>
              <w:rPr>
                <w:rFonts w:eastAsia="Times New Roman"/>
                <w:sz w:val="20"/>
                <w:szCs w:val="20"/>
              </w:rPr>
            </w:pPr>
          </w:p>
        </w:tc>
        <w:tc>
          <w:tcPr>
            <w:tcW w:w="5" w:type="pct"/>
            <w:vAlign w:val="center"/>
            <w:hideMark/>
          </w:tcPr>
          <w:p w14:paraId="1B8F5D4D" w14:textId="77777777" w:rsidR="00000000" w:rsidRDefault="00EE5306">
            <w:pPr>
              <w:spacing w:after="100"/>
              <w:rPr>
                <w:rFonts w:eastAsia="Times New Roman"/>
                <w:sz w:val="20"/>
                <w:szCs w:val="20"/>
              </w:rPr>
            </w:pPr>
          </w:p>
        </w:tc>
      </w:tr>
      <w:tr w:rsidR="00000000" w14:paraId="26FBF83D" w14:textId="77777777">
        <w:trPr>
          <w:divId w:val="648443740"/>
          <w:jc w:val="center"/>
        </w:trPr>
        <w:tc>
          <w:tcPr>
            <w:tcW w:w="0" w:type="auto"/>
            <w:gridSpan w:val="3"/>
            <w:tcMar>
              <w:top w:w="30" w:type="dxa"/>
              <w:left w:w="20" w:type="dxa"/>
              <w:bottom w:w="30" w:type="dxa"/>
              <w:right w:w="20" w:type="dxa"/>
            </w:tcMar>
            <w:vAlign w:val="bottom"/>
            <w:hideMark/>
          </w:tcPr>
          <w:p w14:paraId="6A9D96A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AA9D21F"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1FEECB5A"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0283AC61" w14:textId="77777777">
        <w:trPr>
          <w:divId w:val="648443740"/>
          <w:jc w:val="center"/>
        </w:trPr>
        <w:tc>
          <w:tcPr>
            <w:tcW w:w="0" w:type="auto"/>
            <w:gridSpan w:val="3"/>
            <w:tcMar>
              <w:top w:w="30" w:type="dxa"/>
              <w:left w:w="20" w:type="dxa"/>
              <w:bottom w:w="30" w:type="dxa"/>
              <w:right w:w="20" w:type="dxa"/>
            </w:tcMar>
            <w:vAlign w:val="bottom"/>
            <w:hideMark/>
          </w:tcPr>
          <w:p w14:paraId="2B6F0D02"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E52DF30"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492FFF"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EC3114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C7A506A"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B6BF63C"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7D21BDC"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6C2DE163" w14:textId="77777777">
        <w:trPr>
          <w:divId w:val="648443740"/>
          <w:jc w:val="center"/>
        </w:trPr>
        <w:tc>
          <w:tcPr>
            <w:tcW w:w="0" w:type="auto"/>
            <w:gridSpan w:val="3"/>
            <w:tcMar>
              <w:top w:w="0" w:type="dxa"/>
              <w:left w:w="20" w:type="dxa"/>
              <w:bottom w:w="0" w:type="dxa"/>
              <w:right w:w="20" w:type="dxa"/>
            </w:tcMar>
            <w:vAlign w:val="center"/>
            <w:hideMark/>
          </w:tcPr>
          <w:p w14:paraId="1078B678"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1FCDA0A" w14:textId="77777777" w:rsidR="00000000" w:rsidRDefault="00EE530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5C455DD7"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13A58EEF" w14:textId="77777777">
        <w:trPr>
          <w:divId w:val="648443740"/>
          <w:jc w:val="center"/>
        </w:trPr>
        <w:tc>
          <w:tcPr>
            <w:tcW w:w="0" w:type="auto"/>
            <w:gridSpan w:val="3"/>
            <w:shd w:val="clear" w:color="auto" w:fill="CCEEFF"/>
            <w:tcMar>
              <w:top w:w="30" w:type="dxa"/>
              <w:left w:w="20" w:type="dxa"/>
              <w:bottom w:w="30" w:type="dxa"/>
              <w:right w:w="20" w:type="dxa"/>
            </w:tcMar>
            <w:vAlign w:val="bottom"/>
            <w:hideMark/>
          </w:tcPr>
          <w:p w14:paraId="372C9378" w14:textId="77777777" w:rsidR="00000000" w:rsidRDefault="00EE5306">
            <w:pPr>
              <w:spacing w:after="100"/>
              <w:divId w:val="1099132700"/>
              <w:rPr>
                <w:rFonts w:eastAsia="Times New Roman"/>
              </w:rPr>
            </w:pPr>
            <w:r>
              <w:rPr>
                <w:rFonts w:eastAsia="Times New Roman"/>
                <w:b/>
                <w:bCs/>
                <w:color w:val="000000"/>
                <w:sz w:val="20"/>
                <w:szCs w:val="20"/>
              </w:rPr>
              <w:t>Net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442229DA"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DAC601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EE5E25" w14:textId="77777777" w:rsidR="00000000" w:rsidRDefault="00EE5306">
            <w:pPr>
              <w:spacing w:after="100"/>
              <w:jc w:val="right"/>
              <w:rPr>
                <w:rFonts w:eastAsia="Times New Roman"/>
              </w:rPr>
            </w:pPr>
            <w:r>
              <w:rPr>
                <w:rFonts w:eastAsia="Times New Roman"/>
                <w:color w:val="000000"/>
                <w:sz w:val="20"/>
                <w:szCs w:val="20"/>
              </w:rPr>
              <w:t>(121.1)</w:t>
            </w:r>
          </w:p>
        </w:tc>
        <w:tc>
          <w:tcPr>
            <w:tcW w:w="0" w:type="auto"/>
            <w:shd w:val="clear" w:color="auto" w:fill="CCEEFF"/>
            <w:tcMar>
              <w:top w:w="30" w:type="dxa"/>
              <w:left w:w="0" w:type="dxa"/>
              <w:bottom w:w="30" w:type="dxa"/>
              <w:right w:w="20" w:type="dxa"/>
            </w:tcMar>
            <w:vAlign w:val="bottom"/>
            <w:hideMark/>
          </w:tcPr>
          <w:p w14:paraId="3B9E6F8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A8AAE"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1704D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2248FC" w14:textId="77777777" w:rsidR="00000000" w:rsidRDefault="00EE5306">
            <w:pPr>
              <w:spacing w:after="100"/>
              <w:jc w:val="right"/>
              <w:rPr>
                <w:rFonts w:eastAsia="Times New Roman"/>
              </w:rPr>
            </w:pPr>
            <w:r>
              <w:rPr>
                <w:rFonts w:eastAsia="Times New Roman"/>
                <w:color w:val="000000"/>
                <w:sz w:val="20"/>
                <w:szCs w:val="20"/>
              </w:rPr>
              <w:t>384.3 </w:t>
            </w:r>
          </w:p>
        </w:tc>
        <w:tc>
          <w:tcPr>
            <w:tcW w:w="0" w:type="auto"/>
            <w:shd w:val="clear" w:color="auto" w:fill="CCEEFF"/>
            <w:tcMar>
              <w:top w:w="30" w:type="dxa"/>
              <w:left w:w="0" w:type="dxa"/>
              <w:bottom w:w="30" w:type="dxa"/>
              <w:right w:w="20" w:type="dxa"/>
            </w:tcMar>
            <w:vAlign w:val="bottom"/>
            <w:hideMark/>
          </w:tcPr>
          <w:p w14:paraId="4F56B5F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F134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E3692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44E4C3" w14:textId="77777777" w:rsidR="00000000" w:rsidRDefault="00EE5306">
            <w:pPr>
              <w:spacing w:after="100"/>
              <w:jc w:val="right"/>
              <w:rPr>
                <w:rFonts w:eastAsia="Times New Roman"/>
              </w:rPr>
            </w:pPr>
            <w:r>
              <w:rPr>
                <w:rFonts w:eastAsia="Times New Roman"/>
                <w:color w:val="000000"/>
                <w:sz w:val="20"/>
                <w:szCs w:val="20"/>
              </w:rPr>
              <w:t>430.9 </w:t>
            </w:r>
          </w:p>
        </w:tc>
        <w:tc>
          <w:tcPr>
            <w:tcW w:w="0" w:type="auto"/>
            <w:shd w:val="clear" w:color="auto" w:fill="CCEEFF"/>
            <w:tcMar>
              <w:top w:w="30" w:type="dxa"/>
              <w:left w:w="0" w:type="dxa"/>
              <w:bottom w:w="30" w:type="dxa"/>
              <w:right w:w="20" w:type="dxa"/>
            </w:tcMar>
            <w:vAlign w:val="bottom"/>
            <w:hideMark/>
          </w:tcPr>
          <w:p w14:paraId="2008FB83" w14:textId="77777777" w:rsidR="00000000" w:rsidRDefault="00EE5306">
            <w:pPr>
              <w:spacing w:after="100"/>
              <w:jc w:val="right"/>
              <w:rPr>
                <w:rFonts w:eastAsia="Times New Roman"/>
              </w:rPr>
            </w:pPr>
          </w:p>
        </w:tc>
      </w:tr>
      <w:tr w:rsidR="00000000" w14:paraId="361853E0" w14:textId="77777777">
        <w:trPr>
          <w:divId w:val="648443740"/>
          <w:jc w:val="center"/>
        </w:trPr>
        <w:tc>
          <w:tcPr>
            <w:tcW w:w="0" w:type="auto"/>
            <w:gridSpan w:val="3"/>
            <w:shd w:val="clear" w:color="auto" w:fill="FFFFFF"/>
            <w:tcMar>
              <w:top w:w="30" w:type="dxa"/>
              <w:left w:w="20" w:type="dxa"/>
              <w:bottom w:w="30" w:type="dxa"/>
              <w:right w:w="20" w:type="dxa"/>
            </w:tcMar>
            <w:vAlign w:val="bottom"/>
            <w:hideMark/>
          </w:tcPr>
          <w:p w14:paraId="51691F18" w14:textId="77777777" w:rsidR="00000000" w:rsidRDefault="00EE5306">
            <w:pPr>
              <w:spacing w:after="100"/>
              <w:rPr>
                <w:rFonts w:eastAsia="Times New Roman"/>
              </w:rPr>
            </w:pPr>
            <w:r>
              <w:rPr>
                <w:rFonts w:eastAsia="Times New Roman"/>
                <w:b/>
                <w:bCs/>
                <w:color w:val="000000"/>
                <w:sz w:val="20"/>
                <w:szCs w:val="20"/>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48DAC55E"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2855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51F41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0D9A2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E0944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A633A6" w14:textId="77777777" w:rsidR="00000000" w:rsidRDefault="00EE5306">
            <w:pPr>
              <w:spacing w:after="100"/>
              <w:rPr>
                <w:rFonts w:eastAsia="Times New Roman"/>
                <w:sz w:val="20"/>
                <w:szCs w:val="20"/>
              </w:rPr>
            </w:pPr>
          </w:p>
        </w:tc>
      </w:tr>
      <w:tr w:rsidR="00000000" w14:paraId="50A62275" w14:textId="77777777">
        <w:trPr>
          <w:divId w:val="648443740"/>
          <w:jc w:val="center"/>
        </w:trPr>
        <w:tc>
          <w:tcPr>
            <w:tcW w:w="0" w:type="auto"/>
            <w:gridSpan w:val="3"/>
            <w:shd w:val="clear" w:color="auto" w:fill="CCEEFF"/>
            <w:tcMar>
              <w:top w:w="30" w:type="dxa"/>
              <w:left w:w="20" w:type="dxa"/>
              <w:bottom w:w="30" w:type="dxa"/>
              <w:right w:w="20" w:type="dxa"/>
            </w:tcMar>
            <w:vAlign w:val="bottom"/>
            <w:hideMark/>
          </w:tcPr>
          <w:p w14:paraId="5E5699C8" w14:textId="77777777" w:rsidR="00000000" w:rsidRDefault="00EE5306">
            <w:pPr>
              <w:spacing w:after="100"/>
              <w:rPr>
                <w:rFonts w:eastAsia="Times New Roman"/>
              </w:rPr>
            </w:pPr>
            <w:r>
              <w:rPr>
                <w:rFonts w:eastAsia="Times New Roman"/>
                <w:color w:val="000000"/>
                <w:sz w:val="20"/>
                <w:szCs w:val="20"/>
              </w:rPr>
              <w:t>Foreign currency translation gains (losses)</w:t>
            </w:r>
          </w:p>
        </w:tc>
        <w:tc>
          <w:tcPr>
            <w:tcW w:w="0" w:type="auto"/>
            <w:gridSpan w:val="3"/>
            <w:shd w:val="clear" w:color="auto" w:fill="CCEEFF"/>
            <w:tcMar>
              <w:top w:w="0" w:type="dxa"/>
              <w:left w:w="20" w:type="dxa"/>
              <w:bottom w:w="0" w:type="dxa"/>
              <w:right w:w="20" w:type="dxa"/>
            </w:tcMar>
            <w:vAlign w:val="center"/>
            <w:hideMark/>
          </w:tcPr>
          <w:p w14:paraId="3B566C9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90BC03" w14:textId="77777777" w:rsidR="00000000" w:rsidRDefault="00EE5306">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3489B32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AC6F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9EFB58" w14:textId="77777777" w:rsidR="00000000" w:rsidRDefault="00EE5306">
            <w:pPr>
              <w:spacing w:after="100"/>
              <w:jc w:val="right"/>
              <w:rPr>
                <w:rFonts w:eastAsia="Times New Roman"/>
              </w:rPr>
            </w:pPr>
            <w:r>
              <w:rPr>
                <w:rFonts w:eastAsia="Times New Roman"/>
                <w:color w:val="000000"/>
                <w:sz w:val="20"/>
                <w:szCs w:val="20"/>
              </w:rPr>
              <w:t>(11.9)</w:t>
            </w:r>
          </w:p>
        </w:tc>
        <w:tc>
          <w:tcPr>
            <w:tcW w:w="0" w:type="auto"/>
            <w:shd w:val="clear" w:color="auto" w:fill="CCEEFF"/>
            <w:tcMar>
              <w:top w:w="30" w:type="dxa"/>
              <w:left w:w="0" w:type="dxa"/>
              <w:bottom w:w="30" w:type="dxa"/>
              <w:right w:w="20" w:type="dxa"/>
            </w:tcMar>
            <w:vAlign w:val="bottom"/>
            <w:hideMark/>
          </w:tcPr>
          <w:p w14:paraId="011D391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24AE5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41A1F6" w14:textId="77777777" w:rsidR="00000000" w:rsidRDefault="00EE5306">
            <w:pPr>
              <w:spacing w:after="100"/>
              <w:jc w:val="right"/>
              <w:rPr>
                <w:rFonts w:eastAsia="Times New Roman"/>
              </w:rPr>
            </w:pPr>
            <w:r>
              <w:rPr>
                <w:rFonts w:eastAsia="Times New Roman"/>
                <w:color w:val="000000"/>
                <w:sz w:val="20"/>
                <w:szCs w:val="20"/>
              </w:rPr>
              <w:t>(39.2)</w:t>
            </w:r>
          </w:p>
        </w:tc>
        <w:tc>
          <w:tcPr>
            <w:tcW w:w="0" w:type="auto"/>
            <w:shd w:val="clear" w:color="auto" w:fill="CCEEFF"/>
            <w:tcMar>
              <w:top w:w="30" w:type="dxa"/>
              <w:left w:w="0" w:type="dxa"/>
              <w:bottom w:w="30" w:type="dxa"/>
              <w:right w:w="20" w:type="dxa"/>
            </w:tcMar>
            <w:vAlign w:val="bottom"/>
            <w:hideMark/>
          </w:tcPr>
          <w:p w14:paraId="43EF5BEB" w14:textId="77777777" w:rsidR="00000000" w:rsidRDefault="00EE5306">
            <w:pPr>
              <w:spacing w:after="100"/>
              <w:jc w:val="right"/>
              <w:rPr>
                <w:rFonts w:eastAsia="Times New Roman"/>
              </w:rPr>
            </w:pPr>
          </w:p>
        </w:tc>
      </w:tr>
      <w:tr w:rsidR="00000000" w14:paraId="656124BF" w14:textId="77777777">
        <w:trPr>
          <w:divId w:val="648443740"/>
          <w:jc w:val="center"/>
        </w:trPr>
        <w:tc>
          <w:tcPr>
            <w:tcW w:w="0" w:type="auto"/>
            <w:gridSpan w:val="3"/>
            <w:shd w:val="clear" w:color="auto" w:fill="FFFFFF"/>
            <w:tcMar>
              <w:top w:w="30" w:type="dxa"/>
              <w:left w:w="20" w:type="dxa"/>
              <w:bottom w:w="30" w:type="dxa"/>
              <w:right w:w="20" w:type="dxa"/>
            </w:tcMar>
            <w:vAlign w:val="bottom"/>
            <w:hideMark/>
          </w:tcPr>
          <w:p w14:paraId="1084C56A" w14:textId="77777777" w:rsidR="00000000" w:rsidRDefault="00EE5306">
            <w:pPr>
              <w:spacing w:after="100"/>
              <w:rPr>
                <w:rFonts w:eastAsia="Times New Roman"/>
              </w:rPr>
            </w:pPr>
            <w:r>
              <w:rPr>
                <w:rFonts w:eastAsia="Times New Roman"/>
                <w:color w:val="000000"/>
                <w:sz w:val="20"/>
                <w:szCs w:val="20"/>
              </w:rPr>
              <w:t>Net gains (losses) on cash flow hedges</w:t>
            </w:r>
          </w:p>
        </w:tc>
        <w:tc>
          <w:tcPr>
            <w:tcW w:w="0" w:type="auto"/>
            <w:gridSpan w:val="3"/>
            <w:shd w:val="clear" w:color="auto" w:fill="FFFFFF"/>
            <w:tcMar>
              <w:top w:w="0" w:type="dxa"/>
              <w:left w:w="20" w:type="dxa"/>
              <w:bottom w:w="0" w:type="dxa"/>
              <w:right w:w="20" w:type="dxa"/>
            </w:tcMar>
            <w:vAlign w:val="center"/>
            <w:hideMark/>
          </w:tcPr>
          <w:p w14:paraId="50961DF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0972BD" w14:textId="77777777" w:rsidR="00000000" w:rsidRDefault="00EE5306">
            <w:pPr>
              <w:spacing w:after="100"/>
              <w:jc w:val="right"/>
              <w:rPr>
                <w:rFonts w:eastAsia="Times New Roman"/>
              </w:rPr>
            </w:pPr>
            <w:r>
              <w:rPr>
                <w:rFonts w:eastAsia="Times New Roman"/>
                <w:color w:val="000000"/>
                <w:sz w:val="20"/>
                <w:szCs w:val="20"/>
              </w:rPr>
              <w:t>(13.4)</w:t>
            </w:r>
          </w:p>
        </w:tc>
        <w:tc>
          <w:tcPr>
            <w:tcW w:w="0" w:type="auto"/>
            <w:shd w:val="clear" w:color="auto" w:fill="FFFFFF"/>
            <w:tcMar>
              <w:top w:w="30" w:type="dxa"/>
              <w:left w:w="0" w:type="dxa"/>
              <w:bottom w:w="30" w:type="dxa"/>
              <w:right w:w="20" w:type="dxa"/>
            </w:tcMar>
            <w:vAlign w:val="bottom"/>
            <w:hideMark/>
          </w:tcPr>
          <w:p w14:paraId="478391D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7F463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B49227" w14:textId="77777777" w:rsidR="00000000" w:rsidRDefault="00EE5306">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14:paraId="4857BF8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5B845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0154D" w14:textId="77777777" w:rsidR="00000000" w:rsidRDefault="00EE5306">
            <w:pPr>
              <w:spacing w:after="100"/>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14:paraId="736E312B" w14:textId="77777777" w:rsidR="00000000" w:rsidRDefault="00EE5306">
            <w:pPr>
              <w:spacing w:after="100"/>
              <w:jc w:val="right"/>
              <w:rPr>
                <w:rFonts w:eastAsia="Times New Roman"/>
              </w:rPr>
            </w:pPr>
          </w:p>
        </w:tc>
      </w:tr>
      <w:tr w:rsidR="00000000" w14:paraId="74FD2F71" w14:textId="77777777">
        <w:trPr>
          <w:divId w:val="648443740"/>
          <w:jc w:val="center"/>
        </w:trPr>
        <w:tc>
          <w:tcPr>
            <w:tcW w:w="0" w:type="auto"/>
            <w:gridSpan w:val="3"/>
            <w:shd w:val="clear" w:color="auto" w:fill="CCEEFF"/>
            <w:tcMar>
              <w:top w:w="30" w:type="dxa"/>
              <w:left w:w="20" w:type="dxa"/>
              <w:bottom w:w="30" w:type="dxa"/>
              <w:right w:w="20" w:type="dxa"/>
            </w:tcMar>
            <w:vAlign w:val="bottom"/>
            <w:hideMark/>
          </w:tcPr>
          <w:p w14:paraId="5ACBA367" w14:textId="77777777" w:rsidR="00000000" w:rsidRDefault="00EE5306">
            <w:pPr>
              <w:spacing w:after="100"/>
              <w:ind w:hanging="180"/>
              <w:divId w:val="778527531"/>
              <w:rPr>
                <w:rFonts w:eastAsia="Times New Roman"/>
              </w:rPr>
            </w:pPr>
            <w:r>
              <w:rPr>
                <w:rFonts w:eastAsia="Times New Roman"/>
                <w:color w:val="000000"/>
                <w:sz w:val="20"/>
                <w:szCs w:val="20"/>
              </w:rPr>
              <w:t>Net gains (losses) on defined benefit plans</w:t>
            </w:r>
          </w:p>
        </w:tc>
        <w:tc>
          <w:tcPr>
            <w:tcW w:w="0" w:type="auto"/>
            <w:gridSpan w:val="3"/>
            <w:shd w:val="clear" w:color="auto" w:fill="CCEEFF"/>
            <w:tcMar>
              <w:top w:w="0" w:type="dxa"/>
              <w:left w:w="20" w:type="dxa"/>
              <w:bottom w:w="0" w:type="dxa"/>
              <w:right w:w="20" w:type="dxa"/>
            </w:tcMar>
            <w:vAlign w:val="center"/>
            <w:hideMark/>
          </w:tcPr>
          <w:p w14:paraId="51489576"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9AB10C" w14:textId="77777777" w:rsidR="00000000" w:rsidRDefault="00EE5306">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118709C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DF64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2DA801" w14:textId="77777777" w:rsidR="00000000" w:rsidRDefault="00EE5306">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bottom"/>
            <w:hideMark/>
          </w:tcPr>
          <w:p w14:paraId="539320A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79A6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CB3A10" w14:textId="77777777" w:rsidR="00000000" w:rsidRDefault="00EE5306">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3C7F26B8" w14:textId="77777777" w:rsidR="00000000" w:rsidRDefault="00EE5306">
            <w:pPr>
              <w:spacing w:after="100"/>
              <w:jc w:val="right"/>
              <w:rPr>
                <w:rFonts w:eastAsia="Times New Roman"/>
              </w:rPr>
            </w:pPr>
          </w:p>
        </w:tc>
      </w:tr>
      <w:tr w:rsidR="00000000" w14:paraId="6BE87FD0" w14:textId="77777777">
        <w:trPr>
          <w:divId w:val="648443740"/>
          <w:jc w:val="center"/>
        </w:trPr>
        <w:tc>
          <w:tcPr>
            <w:tcW w:w="0" w:type="auto"/>
            <w:gridSpan w:val="3"/>
            <w:shd w:val="clear" w:color="auto" w:fill="FFFFFF"/>
            <w:tcMar>
              <w:top w:w="30" w:type="dxa"/>
              <w:left w:w="20" w:type="dxa"/>
              <w:bottom w:w="30" w:type="dxa"/>
              <w:right w:w="20" w:type="dxa"/>
            </w:tcMar>
            <w:vAlign w:val="bottom"/>
            <w:hideMark/>
          </w:tcPr>
          <w:p w14:paraId="3011F0A5" w14:textId="77777777" w:rsidR="00000000" w:rsidRDefault="00EE5306">
            <w:pPr>
              <w:spacing w:after="100"/>
              <w:divId w:val="263848673"/>
              <w:rPr>
                <w:rFonts w:eastAsia="Times New Roman"/>
              </w:rPr>
            </w:pPr>
            <w:r>
              <w:rPr>
                <w:rFonts w:eastAsia="Times New Roman"/>
                <w:b/>
                <w:bCs/>
                <w:color w:val="000000"/>
                <w:sz w:val="20"/>
                <w:szCs w:val="20"/>
              </w:rPr>
              <w:t>Other comprehensive loss, net of tax</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3B49C7AD"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7E1A9B" w14:textId="77777777" w:rsidR="00000000" w:rsidRDefault="00EE5306">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CF6F3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A990E"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FE5C2B" w14:textId="77777777" w:rsidR="00000000" w:rsidRDefault="00EE5306">
            <w:pPr>
              <w:spacing w:after="100"/>
              <w:jc w:val="right"/>
              <w:rPr>
                <w:rFonts w:eastAsia="Times New Roman"/>
              </w:rPr>
            </w:pPr>
            <w:r>
              <w:rPr>
                <w:rFonts w:eastAsia="Times New Roman"/>
                <w:color w:val="000000"/>
                <w:sz w:val="20"/>
                <w:szCs w:val="20"/>
              </w:rPr>
              <w:t>(14.8)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22AC4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8AECE"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9714E4" w14:textId="77777777" w:rsidR="00000000" w:rsidRDefault="00EE5306">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0932A4" w14:textId="77777777" w:rsidR="00000000" w:rsidRDefault="00EE5306">
            <w:pPr>
              <w:spacing w:after="100"/>
              <w:jc w:val="right"/>
              <w:rPr>
                <w:rFonts w:eastAsia="Times New Roman"/>
              </w:rPr>
            </w:pPr>
          </w:p>
        </w:tc>
      </w:tr>
      <w:tr w:rsidR="00000000" w14:paraId="26AA4DD9" w14:textId="77777777">
        <w:trPr>
          <w:divId w:val="648443740"/>
          <w:jc w:val="center"/>
        </w:trPr>
        <w:tc>
          <w:tcPr>
            <w:tcW w:w="0" w:type="auto"/>
            <w:gridSpan w:val="3"/>
            <w:shd w:val="clear" w:color="auto" w:fill="CCEEFF"/>
            <w:tcMar>
              <w:top w:w="30" w:type="dxa"/>
              <w:left w:w="20" w:type="dxa"/>
              <w:bottom w:w="30" w:type="dxa"/>
              <w:right w:w="20" w:type="dxa"/>
            </w:tcMar>
            <w:vAlign w:val="bottom"/>
            <w:hideMark/>
          </w:tcPr>
          <w:p w14:paraId="517C3E48" w14:textId="77777777" w:rsidR="00000000" w:rsidRDefault="00EE5306">
            <w:pPr>
              <w:spacing w:after="100"/>
              <w:divId w:val="1950115605"/>
              <w:rPr>
                <w:rFonts w:eastAsia="Times New Roman"/>
              </w:rPr>
            </w:pPr>
            <w:r>
              <w:rPr>
                <w:rFonts w:eastAsia="Times New Roman"/>
                <w:b/>
                <w:bCs/>
                <w:color w:val="000000"/>
                <w:sz w:val="20"/>
                <w:szCs w:val="20"/>
              </w:rPr>
              <w:t>Total comprehensive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266E2367"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50F8B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6162B6" w14:textId="77777777" w:rsidR="00000000" w:rsidRDefault="00EE5306">
            <w:pPr>
              <w:spacing w:after="100"/>
              <w:jc w:val="right"/>
              <w:rPr>
                <w:rFonts w:eastAsia="Times New Roman"/>
              </w:rPr>
            </w:pPr>
            <w:r>
              <w:rPr>
                <w:rFonts w:eastAsia="Times New Roman"/>
                <w:color w:val="000000"/>
                <w:sz w:val="20"/>
                <w:szCs w:val="20"/>
              </w:rPr>
              <w:t>(123.7)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14B3B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02869"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5B1A5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0D448F" w14:textId="77777777" w:rsidR="00000000" w:rsidRDefault="00EE5306">
            <w:pPr>
              <w:spacing w:after="100"/>
              <w:jc w:val="right"/>
              <w:rPr>
                <w:rFonts w:eastAsia="Times New Roman"/>
              </w:rPr>
            </w:pPr>
            <w:r>
              <w:rPr>
                <w:rFonts w:eastAsia="Times New Roman"/>
                <w:color w:val="000000"/>
                <w:sz w:val="20"/>
                <w:szCs w:val="20"/>
              </w:rPr>
              <w:t>369.5 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0BDF1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A5797"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7EF45B"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70F8E2" w14:textId="77777777" w:rsidR="00000000" w:rsidRDefault="00EE5306">
            <w:pPr>
              <w:spacing w:after="100"/>
              <w:jc w:val="right"/>
              <w:rPr>
                <w:rFonts w:eastAsia="Times New Roman"/>
              </w:rPr>
            </w:pPr>
            <w:r>
              <w:rPr>
                <w:rFonts w:eastAsia="Times New Roman"/>
                <w:color w:val="000000"/>
                <w:sz w:val="20"/>
                <w:szCs w:val="20"/>
              </w:rPr>
              <w:t>426.0 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08EE4A" w14:textId="77777777" w:rsidR="00000000" w:rsidRDefault="00EE5306">
            <w:pPr>
              <w:spacing w:after="100"/>
              <w:jc w:val="right"/>
              <w:rPr>
                <w:rFonts w:eastAsia="Times New Roman"/>
              </w:rPr>
            </w:pPr>
          </w:p>
        </w:tc>
      </w:tr>
    </w:tbl>
    <w:p w14:paraId="6E7943D0" w14:textId="77777777" w:rsidR="00000000" w:rsidRDefault="00EE5306">
      <w:pPr>
        <w:jc w:val="center"/>
        <w:divId w:val="746927235"/>
        <w:rPr>
          <w:rFonts w:eastAsia="Times New Roman"/>
        </w:rPr>
      </w:pPr>
      <w:r>
        <w:rPr>
          <w:rFonts w:eastAsia="Times New Roman"/>
          <w:color w:val="000000"/>
          <w:sz w:val="20"/>
          <w:szCs w:val="20"/>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0F6478D" w14:textId="77777777">
        <w:trPr>
          <w:divId w:val="95445744"/>
          <w:jc w:val="center"/>
        </w:trPr>
        <w:tc>
          <w:tcPr>
            <w:tcW w:w="50" w:type="pct"/>
            <w:vAlign w:val="center"/>
            <w:hideMark/>
          </w:tcPr>
          <w:p w14:paraId="3D2B756E" w14:textId="77777777" w:rsidR="00000000" w:rsidRDefault="00EE5306">
            <w:pPr>
              <w:jc w:val="center"/>
              <w:rPr>
                <w:rFonts w:eastAsia="Times New Roman"/>
              </w:rPr>
            </w:pPr>
          </w:p>
        </w:tc>
        <w:tc>
          <w:tcPr>
            <w:tcW w:w="1699" w:type="pct"/>
            <w:vAlign w:val="center"/>
            <w:hideMark/>
          </w:tcPr>
          <w:p w14:paraId="4744C1F8" w14:textId="77777777" w:rsidR="00000000" w:rsidRDefault="00EE5306">
            <w:pPr>
              <w:spacing w:after="100"/>
              <w:rPr>
                <w:rFonts w:eastAsia="Times New Roman"/>
                <w:sz w:val="20"/>
                <w:szCs w:val="20"/>
              </w:rPr>
            </w:pPr>
          </w:p>
        </w:tc>
        <w:tc>
          <w:tcPr>
            <w:tcW w:w="5" w:type="pct"/>
            <w:vAlign w:val="center"/>
            <w:hideMark/>
          </w:tcPr>
          <w:p w14:paraId="33D22C19" w14:textId="77777777" w:rsidR="00000000" w:rsidRDefault="00EE5306">
            <w:pPr>
              <w:spacing w:after="100"/>
              <w:rPr>
                <w:rFonts w:eastAsia="Times New Roman"/>
                <w:sz w:val="20"/>
                <w:szCs w:val="20"/>
              </w:rPr>
            </w:pPr>
          </w:p>
        </w:tc>
        <w:tc>
          <w:tcPr>
            <w:tcW w:w="50" w:type="pct"/>
            <w:vAlign w:val="center"/>
            <w:hideMark/>
          </w:tcPr>
          <w:p w14:paraId="20F28F3B" w14:textId="77777777" w:rsidR="00000000" w:rsidRDefault="00EE5306">
            <w:pPr>
              <w:spacing w:after="100"/>
              <w:rPr>
                <w:rFonts w:eastAsia="Times New Roman"/>
                <w:sz w:val="20"/>
                <w:szCs w:val="20"/>
              </w:rPr>
            </w:pPr>
          </w:p>
        </w:tc>
        <w:tc>
          <w:tcPr>
            <w:tcW w:w="1436" w:type="pct"/>
            <w:vAlign w:val="center"/>
            <w:hideMark/>
          </w:tcPr>
          <w:p w14:paraId="146D7D3D" w14:textId="77777777" w:rsidR="00000000" w:rsidRDefault="00EE5306">
            <w:pPr>
              <w:spacing w:after="100"/>
              <w:rPr>
                <w:rFonts w:eastAsia="Times New Roman"/>
                <w:sz w:val="20"/>
                <w:szCs w:val="20"/>
              </w:rPr>
            </w:pPr>
          </w:p>
        </w:tc>
        <w:tc>
          <w:tcPr>
            <w:tcW w:w="5" w:type="pct"/>
            <w:vAlign w:val="center"/>
            <w:hideMark/>
          </w:tcPr>
          <w:p w14:paraId="476A467B" w14:textId="77777777" w:rsidR="00000000" w:rsidRDefault="00EE5306">
            <w:pPr>
              <w:spacing w:after="100"/>
              <w:rPr>
                <w:rFonts w:eastAsia="Times New Roman"/>
                <w:sz w:val="20"/>
                <w:szCs w:val="20"/>
              </w:rPr>
            </w:pPr>
          </w:p>
        </w:tc>
        <w:tc>
          <w:tcPr>
            <w:tcW w:w="50" w:type="pct"/>
            <w:vAlign w:val="center"/>
            <w:hideMark/>
          </w:tcPr>
          <w:p w14:paraId="531EB4CC" w14:textId="77777777" w:rsidR="00000000" w:rsidRDefault="00EE5306">
            <w:pPr>
              <w:spacing w:after="100"/>
              <w:rPr>
                <w:rFonts w:eastAsia="Times New Roman"/>
                <w:sz w:val="20"/>
                <w:szCs w:val="20"/>
              </w:rPr>
            </w:pPr>
          </w:p>
        </w:tc>
        <w:tc>
          <w:tcPr>
            <w:tcW w:w="1699" w:type="pct"/>
            <w:vAlign w:val="center"/>
            <w:hideMark/>
          </w:tcPr>
          <w:p w14:paraId="5C0AE753" w14:textId="77777777" w:rsidR="00000000" w:rsidRDefault="00EE5306">
            <w:pPr>
              <w:spacing w:after="100"/>
              <w:rPr>
                <w:rFonts w:eastAsia="Times New Roman"/>
                <w:sz w:val="20"/>
                <w:szCs w:val="20"/>
              </w:rPr>
            </w:pPr>
          </w:p>
        </w:tc>
        <w:tc>
          <w:tcPr>
            <w:tcW w:w="5" w:type="pct"/>
            <w:vAlign w:val="center"/>
            <w:hideMark/>
          </w:tcPr>
          <w:p w14:paraId="2959469A" w14:textId="77777777" w:rsidR="00000000" w:rsidRDefault="00EE5306">
            <w:pPr>
              <w:spacing w:after="100"/>
              <w:rPr>
                <w:rFonts w:eastAsia="Times New Roman"/>
                <w:sz w:val="20"/>
                <w:szCs w:val="20"/>
              </w:rPr>
            </w:pPr>
          </w:p>
        </w:tc>
      </w:tr>
      <w:tr w:rsidR="00000000" w14:paraId="205FF752" w14:textId="77777777">
        <w:trPr>
          <w:divId w:val="95445744"/>
          <w:jc w:val="center"/>
        </w:trPr>
        <w:tc>
          <w:tcPr>
            <w:tcW w:w="0" w:type="auto"/>
            <w:gridSpan w:val="3"/>
            <w:tcMar>
              <w:top w:w="0" w:type="dxa"/>
              <w:left w:w="20" w:type="dxa"/>
              <w:bottom w:w="0" w:type="dxa"/>
              <w:right w:w="20" w:type="dxa"/>
            </w:tcMar>
            <w:vAlign w:val="center"/>
            <w:hideMark/>
          </w:tcPr>
          <w:p w14:paraId="6323E29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2B95435" w14:textId="77777777" w:rsidR="00000000" w:rsidRDefault="00EE5306">
            <w:pPr>
              <w:spacing w:after="100"/>
              <w:jc w:val="center"/>
              <w:rPr>
                <w:rFonts w:eastAsia="Times New Roman"/>
              </w:rPr>
            </w:pPr>
            <w:r>
              <w:rPr>
                <w:rFonts w:eastAsia="Times New Roman"/>
                <w:color w:val="000000"/>
                <w:sz w:val="20"/>
                <w:szCs w:val="20"/>
              </w:rPr>
              <w:t>F-4</w:t>
            </w:r>
          </w:p>
        </w:tc>
        <w:tc>
          <w:tcPr>
            <w:tcW w:w="0" w:type="auto"/>
            <w:gridSpan w:val="3"/>
            <w:tcMar>
              <w:top w:w="0" w:type="dxa"/>
              <w:left w:w="20" w:type="dxa"/>
              <w:bottom w:w="0" w:type="dxa"/>
              <w:right w:w="20" w:type="dxa"/>
            </w:tcMar>
            <w:vAlign w:val="center"/>
            <w:hideMark/>
          </w:tcPr>
          <w:p w14:paraId="4AE077C7" w14:textId="77777777" w:rsidR="00000000" w:rsidRDefault="00EE5306">
            <w:pPr>
              <w:spacing w:after="100"/>
              <w:jc w:val="center"/>
              <w:rPr>
                <w:rFonts w:eastAsia="Times New Roman"/>
              </w:rPr>
            </w:pPr>
          </w:p>
        </w:tc>
      </w:tr>
    </w:tbl>
    <w:p w14:paraId="1C9FB917" w14:textId="77777777" w:rsidR="00000000" w:rsidRDefault="00EE5306">
      <w:pPr>
        <w:rPr>
          <w:rFonts w:eastAsia="Times New Roman"/>
        </w:rPr>
      </w:pPr>
      <w:r>
        <w:rPr>
          <w:rFonts w:eastAsia="Times New Roman"/>
        </w:rPr>
        <w:pict w14:anchorId="43DB92AC">
          <v:rect id="_x0000_i1114" style="width:0;height:1.5pt" o:hralign="center" o:hrstd="t" o:hr="t" fillcolor="#a0a0a0" stroked="f"/>
        </w:pict>
      </w:r>
    </w:p>
    <w:p w14:paraId="368C78F4" w14:textId="77777777" w:rsidR="00000000" w:rsidRDefault="00EE5306">
      <w:pPr>
        <w:divId w:val="1822042366"/>
        <w:rPr>
          <w:rFonts w:eastAsia="Times New Roman"/>
        </w:rPr>
      </w:pPr>
    </w:p>
    <w:p w14:paraId="4608FB10" w14:textId="77777777" w:rsidR="00000000" w:rsidRDefault="00EE5306">
      <w:pPr>
        <w:jc w:val="center"/>
        <w:rPr>
          <w:rFonts w:eastAsia="Times New Roman"/>
        </w:rPr>
      </w:pPr>
      <w:r>
        <w:rPr>
          <w:rFonts w:eastAsia="Times New Roman"/>
          <w:b/>
          <w:bCs/>
          <w:color w:val="000000"/>
          <w:sz w:val="20"/>
          <w:szCs w:val="20"/>
        </w:rPr>
        <w:t>RALPH LAUREN CORPORATION</w:t>
      </w:r>
    </w:p>
    <w:p w14:paraId="61946728" w14:textId="77777777" w:rsidR="00000000" w:rsidRDefault="00EE5306">
      <w:pPr>
        <w:jc w:val="center"/>
        <w:divId w:val="1292789894"/>
        <w:rPr>
          <w:rFonts w:eastAsia="Times New Roman"/>
        </w:rPr>
      </w:pPr>
      <w:r>
        <w:rPr>
          <w:rFonts w:eastAsia="Times New Roman"/>
          <w:b/>
          <w:bCs/>
          <w:color w:val="000000"/>
          <w:sz w:val="20"/>
          <w:szCs w:val="20"/>
        </w:rPr>
        <w:t>CONSOLIDATED STATEMENTS OF CASH FLOWS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5289"/>
        <w:gridCol w:w="39"/>
        <w:gridCol w:w="36"/>
        <w:gridCol w:w="36"/>
        <w:gridCol w:w="36"/>
        <w:gridCol w:w="115"/>
        <w:gridCol w:w="707"/>
        <w:gridCol w:w="36"/>
        <w:gridCol w:w="36"/>
        <w:gridCol w:w="36"/>
        <w:gridCol w:w="36"/>
        <w:gridCol w:w="115"/>
        <w:gridCol w:w="707"/>
        <w:gridCol w:w="36"/>
        <w:gridCol w:w="36"/>
        <w:gridCol w:w="36"/>
        <w:gridCol w:w="36"/>
        <w:gridCol w:w="116"/>
        <w:gridCol w:w="709"/>
        <w:gridCol w:w="36"/>
      </w:tblGrid>
      <w:tr w:rsidR="00000000" w14:paraId="0DFAB8B6" w14:textId="77777777">
        <w:trPr>
          <w:divId w:val="1908876971"/>
          <w:jc w:val="center"/>
        </w:trPr>
        <w:tc>
          <w:tcPr>
            <w:tcW w:w="50" w:type="pct"/>
            <w:vAlign w:val="center"/>
            <w:hideMark/>
          </w:tcPr>
          <w:p w14:paraId="15465B46" w14:textId="77777777" w:rsidR="00000000" w:rsidRDefault="00EE5306">
            <w:pPr>
              <w:jc w:val="center"/>
              <w:rPr>
                <w:rFonts w:eastAsia="Times New Roman"/>
              </w:rPr>
            </w:pPr>
          </w:p>
        </w:tc>
        <w:tc>
          <w:tcPr>
            <w:tcW w:w="3226" w:type="pct"/>
            <w:vAlign w:val="center"/>
            <w:hideMark/>
          </w:tcPr>
          <w:p w14:paraId="47285BEE" w14:textId="77777777" w:rsidR="00000000" w:rsidRDefault="00EE5306">
            <w:pPr>
              <w:spacing w:after="100"/>
              <w:rPr>
                <w:rFonts w:eastAsia="Times New Roman"/>
                <w:sz w:val="20"/>
                <w:szCs w:val="20"/>
              </w:rPr>
            </w:pPr>
          </w:p>
        </w:tc>
        <w:tc>
          <w:tcPr>
            <w:tcW w:w="5" w:type="pct"/>
            <w:vAlign w:val="center"/>
            <w:hideMark/>
          </w:tcPr>
          <w:p w14:paraId="725B8895" w14:textId="77777777" w:rsidR="00000000" w:rsidRDefault="00EE5306">
            <w:pPr>
              <w:spacing w:after="100"/>
              <w:rPr>
                <w:rFonts w:eastAsia="Times New Roman"/>
                <w:sz w:val="20"/>
                <w:szCs w:val="20"/>
              </w:rPr>
            </w:pPr>
          </w:p>
        </w:tc>
        <w:tc>
          <w:tcPr>
            <w:tcW w:w="5" w:type="pct"/>
            <w:vAlign w:val="center"/>
            <w:hideMark/>
          </w:tcPr>
          <w:p w14:paraId="3C93B523" w14:textId="77777777" w:rsidR="00000000" w:rsidRDefault="00EE5306">
            <w:pPr>
              <w:spacing w:after="100"/>
              <w:rPr>
                <w:rFonts w:eastAsia="Times New Roman"/>
                <w:sz w:val="20"/>
                <w:szCs w:val="20"/>
              </w:rPr>
            </w:pPr>
          </w:p>
        </w:tc>
        <w:tc>
          <w:tcPr>
            <w:tcW w:w="26" w:type="pct"/>
            <w:vAlign w:val="center"/>
            <w:hideMark/>
          </w:tcPr>
          <w:p w14:paraId="0998E70B" w14:textId="77777777" w:rsidR="00000000" w:rsidRDefault="00EE5306">
            <w:pPr>
              <w:spacing w:after="100"/>
              <w:rPr>
                <w:rFonts w:eastAsia="Times New Roman"/>
                <w:sz w:val="20"/>
                <w:szCs w:val="20"/>
              </w:rPr>
            </w:pPr>
          </w:p>
        </w:tc>
        <w:tc>
          <w:tcPr>
            <w:tcW w:w="5" w:type="pct"/>
            <w:vAlign w:val="center"/>
            <w:hideMark/>
          </w:tcPr>
          <w:p w14:paraId="49E456FB" w14:textId="77777777" w:rsidR="00000000" w:rsidRDefault="00EE5306">
            <w:pPr>
              <w:spacing w:after="100"/>
              <w:rPr>
                <w:rFonts w:eastAsia="Times New Roman"/>
                <w:sz w:val="20"/>
                <w:szCs w:val="20"/>
              </w:rPr>
            </w:pPr>
          </w:p>
        </w:tc>
        <w:tc>
          <w:tcPr>
            <w:tcW w:w="50" w:type="pct"/>
            <w:vAlign w:val="center"/>
            <w:hideMark/>
          </w:tcPr>
          <w:p w14:paraId="57E9A7AF" w14:textId="77777777" w:rsidR="00000000" w:rsidRDefault="00EE5306">
            <w:pPr>
              <w:spacing w:after="100"/>
              <w:rPr>
                <w:rFonts w:eastAsia="Times New Roman"/>
                <w:sz w:val="20"/>
                <w:szCs w:val="20"/>
              </w:rPr>
            </w:pPr>
          </w:p>
        </w:tc>
        <w:tc>
          <w:tcPr>
            <w:tcW w:w="480" w:type="pct"/>
            <w:vAlign w:val="center"/>
            <w:hideMark/>
          </w:tcPr>
          <w:p w14:paraId="39D2CFDF" w14:textId="77777777" w:rsidR="00000000" w:rsidRDefault="00EE5306">
            <w:pPr>
              <w:spacing w:after="100"/>
              <w:rPr>
                <w:rFonts w:eastAsia="Times New Roman"/>
                <w:sz w:val="20"/>
                <w:szCs w:val="20"/>
              </w:rPr>
            </w:pPr>
          </w:p>
        </w:tc>
        <w:tc>
          <w:tcPr>
            <w:tcW w:w="5" w:type="pct"/>
            <w:vAlign w:val="center"/>
            <w:hideMark/>
          </w:tcPr>
          <w:p w14:paraId="677D7C0B" w14:textId="77777777" w:rsidR="00000000" w:rsidRDefault="00EE5306">
            <w:pPr>
              <w:spacing w:after="100"/>
              <w:rPr>
                <w:rFonts w:eastAsia="Times New Roman"/>
                <w:sz w:val="20"/>
                <w:szCs w:val="20"/>
              </w:rPr>
            </w:pPr>
          </w:p>
        </w:tc>
        <w:tc>
          <w:tcPr>
            <w:tcW w:w="5" w:type="pct"/>
            <w:vAlign w:val="center"/>
            <w:hideMark/>
          </w:tcPr>
          <w:p w14:paraId="540CB0A0" w14:textId="77777777" w:rsidR="00000000" w:rsidRDefault="00EE5306">
            <w:pPr>
              <w:spacing w:after="100"/>
              <w:rPr>
                <w:rFonts w:eastAsia="Times New Roman"/>
                <w:sz w:val="20"/>
                <w:szCs w:val="20"/>
              </w:rPr>
            </w:pPr>
          </w:p>
        </w:tc>
        <w:tc>
          <w:tcPr>
            <w:tcW w:w="26" w:type="pct"/>
            <w:vAlign w:val="center"/>
            <w:hideMark/>
          </w:tcPr>
          <w:p w14:paraId="05E0C2EB" w14:textId="77777777" w:rsidR="00000000" w:rsidRDefault="00EE5306">
            <w:pPr>
              <w:spacing w:after="100"/>
              <w:rPr>
                <w:rFonts w:eastAsia="Times New Roman"/>
                <w:sz w:val="20"/>
                <w:szCs w:val="20"/>
              </w:rPr>
            </w:pPr>
          </w:p>
        </w:tc>
        <w:tc>
          <w:tcPr>
            <w:tcW w:w="5" w:type="pct"/>
            <w:vAlign w:val="center"/>
            <w:hideMark/>
          </w:tcPr>
          <w:p w14:paraId="1AA26E37" w14:textId="77777777" w:rsidR="00000000" w:rsidRDefault="00EE5306">
            <w:pPr>
              <w:spacing w:after="100"/>
              <w:rPr>
                <w:rFonts w:eastAsia="Times New Roman"/>
                <w:sz w:val="20"/>
                <w:szCs w:val="20"/>
              </w:rPr>
            </w:pPr>
          </w:p>
        </w:tc>
        <w:tc>
          <w:tcPr>
            <w:tcW w:w="50" w:type="pct"/>
            <w:vAlign w:val="center"/>
            <w:hideMark/>
          </w:tcPr>
          <w:p w14:paraId="646AFA56" w14:textId="77777777" w:rsidR="00000000" w:rsidRDefault="00EE5306">
            <w:pPr>
              <w:spacing w:after="100"/>
              <w:rPr>
                <w:rFonts w:eastAsia="Times New Roman"/>
                <w:sz w:val="20"/>
                <w:szCs w:val="20"/>
              </w:rPr>
            </w:pPr>
          </w:p>
        </w:tc>
        <w:tc>
          <w:tcPr>
            <w:tcW w:w="480" w:type="pct"/>
            <w:vAlign w:val="center"/>
            <w:hideMark/>
          </w:tcPr>
          <w:p w14:paraId="7712A495" w14:textId="77777777" w:rsidR="00000000" w:rsidRDefault="00EE5306">
            <w:pPr>
              <w:spacing w:after="100"/>
              <w:rPr>
                <w:rFonts w:eastAsia="Times New Roman"/>
                <w:sz w:val="20"/>
                <w:szCs w:val="20"/>
              </w:rPr>
            </w:pPr>
          </w:p>
        </w:tc>
        <w:tc>
          <w:tcPr>
            <w:tcW w:w="5" w:type="pct"/>
            <w:vAlign w:val="center"/>
            <w:hideMark/>
          </w:tcPr>
          <w:p w14:paraId="2140E530" w14:textId="77777777" w:rsidR="00000000" w:rsidRDefault="00EE5306">
            <w:pPr>
              <w:spacing w:after="100"/>
              <w:rPr>
                <w:rFonts w:eastAsia="Times New Roman"/>
                <w:sz w:val="20"/>
                <w:szCs w:val="20"/>
              </w:rPr>
            </w:pPr>
          </w:p>
        </w:tc>
        <w:tc>
          <w:tcPr>
            <w:tcW w:w="5" w:type="pct"/>
            <w:vAlign w:val="center"/>
            <w:hideMark/>
          </w:tcPr>
          <w:p w14:paraId="51A51C0E" w14:textId="77777777" w:rsidR="00000000" w:rsidRDefault="00EE5306">
            <w:pPr>
              <w:spacing w:after="100"/>
              <w:rPr>
                <w:rFonts w:eastAsia="Times New Roman"/>
                <w:sz w:val="20"/>
                <w:szCs w:val="20"/>
              </w:rPr>
            </w:pPr>
          </w:p>
        </w:tc>
        <w:tc>
          <w:tcPr>
            <w:tcW w:w="26" w:type="pct"/>
            <w:vAlign w:val="center"/>
            <w:hideMark/>
          </w:tcPr>
          <w:p w14:paraId="46323913" w14:textId="77777777" w:rsidR="00000000" w:rsidRDefault="00EE5306">
            <w:pPr>
              <w:spacing w:after="100"/>
              <w:rPr>
                <w:rFonts w:eastAsia="Times New Roman"/>
                <w:sz w:val="20"/>
                <w:szCs w:val="20"/>
              </w:rPr>
            </w:pPr>
          </w:p>
        </w:tc>
        <w:tc>
          <w:tcPr>
            <w:tcW w:w="5" w:type="pct"/>
            <w:vAlign w:val="center"/>
            <w:hideMark/>
          </w:tcPr>
          <w:p w14:paraId="0FC46EA3" w14:textId="77777777" w:rsidR="00000000" w:rsidRDefault="00EE5306">
            <w:pPr>
              <w:spacing w:after="100"/>
              <w:rPr>
                <w:rFonts w:eastAsia="Times New Roman"/>
                <w:sz w:val="20"/>
                <w:szCs w:val="20"/>
              </w:rPr>
            </w:pPr>
          </w:p>
        </w:tc>
        <w:tc>
          <w:tcPr>
            <w:tcW w:w="50" w:type="pct"/>
            <w:vAlign w:val="center"/>
            <w:hideMark/>
          </w:tcPr>
          <w:p w14:paraId="7DD529CB" w14:textId="77777777" w:rsidR="00000000" w:rsidRDefault="00EE5306">
            <w:pPr>
              <w:spacing w:after="100"/>
              <w:rPr>
                <w:rFonts w:eastAsia="Times New Roman"/>
                <w:sz w:val="20"/>
                <w:szCs w:val="20"/>
              </w:rPr>
            </w:pPr>
          </w:p>
        </w:tc>
        <w:tc>
          <w:tcPr>
            <w:tcW w:w="481" w:type="pct"/>
            <w:vAlign w:val="center"/>
            <w:hideMark/>
          </w:tcPr>
          <w:p w14:paraId="75B154FE" w14:textId="77777777" w:rsidR="00000000" w:rsidRDefault="00EE5306">
            <w:pPr>
              <w:spacing w:after="100"/>
              <w:rPr>
                <w:rFonts w:eastAsia="Times New Roman"/>
                <w:sz w:val="20"/>
                <w:szCs w:val="20"/>
              </w:rPr>
            </w:pPr>
          </w:p>
        </w:tc>
        <w:tc>
          <w:tcPr>
            <w:tcW w:w="5" w:type="pct"/>
            <w:vAlign w:val="center"/>
            <w:hideMark/>
          </w:tcPr>
          <w:p w14:paraId="2F16850B" w14:textId="77777777" w:rsidR="00000000" w:rsidRDefault="00EE5306">
            <w:pPr>
              <w:spacing w:after="100"/>
              <w:rPr>
                <w:rFonts w:eastAsia="Times New Roman"/>
                <w:sz w:val="20"/>
                <w:szCs w:val="20"/>
              </w:rPr>
            </w:pPr>
          </w:p>
        </w:tc>
      </w:tr>
      <w:tr w:rsidR="00000000" w14:paraId="33900298" w14:textId="77777777">
        <w:trPr>
          <w:divId w:val="1908876971"/>
          <w:jc w:val="center"/>
        </w:trPr>
        <w:tc>
          <w:tcPr>
            <w:tcW w:w="0" w:type="auto"/>
            <w:gridSpan w:val="3"/>
            <w:tcMar>
              <w:top w:w="30" w:type="dxa"/>
              <w:left w:w="20" w:type="dxa"/>
              <w:bottom w:w="30" w:type="dxa"/>
              <w:right w:w="20" w:type="dxa"/>
            </w:tcMar>
            <w:vAlign w:val="bottom"/>
            <w:hideMark/>
          </w:tcPr>
          <w:p w14:paraId="668CDD0E" w14:textId="77777777" w:rsidR="00000000" w:rsidRDefault="00EE5306">
            <w:pPr>
              <w:spacing w:after="100"/>
              <w:rPr>
                <w:rFonts w:eastAsia="Times New Roman"/>
              </w:rPr>
            </w:pPr>
            <w:r>
              <w:rPr>
                <w:rFonts w:eastAsia="Times New Roman"/>
                <w:color w:val="000000"/>
                <w:sz w:val="19"/>
                <w:szCs w:val="19"/>
              </w:rPr>
              <w:t> </w:t>
            </w:r>
          </w:p>
        </w:tc>
        <w:tc>
          <w:tcPr>
            <w:tcW w:w="0" w:type="auto"/>
            <w:gridSpan w:val="3"/>
            <w:tcMar>
              <w:top w:w="0" w:type="dxa"/>
              <w:left w:w="20" w:type="dxa"/>
              <w:bottom w:w="0" w:type="dxa"/>
              <w:right w:w="20" w:type="dxa"/>
            </w:tcMar>
            <w:vAlign w:val="center"/>
            <w:hideMark/>
          </w:tcPr>
          <w:p w14:paraId="4509521B"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119F9E7E"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4465BFDD" w14:textId="77777777">
        <w:trPr>
          <w:divId w:val="1908876971"/>
          <w:jc w:val="center"/>
        </w:trPr>
        <w:tc>
          <w:tcPr>
            <w:tcW w:w="0" w:type="auto"/>
            <w:gridSpan w:val="3"/>
            <w:tcMar>
              <w:top w:w="30" w:type="dxa"/>
              <w:left w:w="20" w:type="dxa"/>
              <w:bottom w:w="30" w:type="dxa"/>
              <w:right w:w="20" w:type="dxa"/>
            </w:tcMar>
            <w:vAlign w:val="bottom"/>
            <w:hideMark/>
          </w:tcPr>
          <w:p w14:paraId="36C04B40" w14:textId="77777777" w:rsidR="00000000" w:rsidRDefault="00EE5306">
            <w:pPr>
              <w:spacing w:after="100"/>
              <w:rPr>
                <w:rFonts w:eastAsia="Times New Roman"/>
              </w:rPr>
            </w:pPr>
            <w:r>
              <w:rPr>
                <w:rFonts w:eastAsia="Times New Roman"/>
                <w:color w:val="000000"/>
                <w:sz w:val="19"/>
                <w:szCs w:val="19"/>
              </w:rPr>
              <w:t> </w:t>
            </w:r>
          </w:p>
        </w:tc>
        <w:tc>
          <w:tcPr>
            <w:tcW w:w="0" w:type="auto"/>
            <w:gridSpan w:val="3"/>
            <w:tcMar>
              <w:top w:w="0" w:type="dxa"/>
              <w:left w:w="20" w:type="dxa"/>
              <w:bottom w:w="0" w:type="dxa"/>
              <w:right w:w="20" w:type="dxa"/>
            </w:tcMar>
            <w:vAlign w:val="center"/>
            <w:hideMark/>
          </w:tcPr>
          <w:p w14:paraId="0A139B6A"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3DD7B9"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889A01C"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D02C17"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73820A2"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F48BC1F"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6A286393" w14:textId="77777777">
        <w:trPr>
          <w:divId w:val="1908876971"/>
          <w:jc w:val="center"/>
        </w:trPr>
        <w:tc>
          <w:tcPr>
            <w:tcW w:w="0" w:type="auto"/>
            <w:gridSpan w:val="3"/>
            <w:tcMar>
              <w:top w:w="0" w:type="dxa"/>
              <w:left w:w="20" w:type="dxa"/>
              <w:bottom w:w="0" w:type="dxa"/>
              <w:right w:w="20" w:type="dxa"/>
            </w:tcMar>
            <w:vAlign w:val="center"/>
            <w:hideMark/>
          </w:tcPr>
          <w:p w14:paraId="0E7E4985"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DD72AB1" w14:textId="77777777" w:rsidR="00000000" w:rsidRDefault="00EE530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628D84B1"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6FAAF96A" w14:textId="77777777">
        <w:trPr>
          <w:divId w:val="1908876971"/>
          <w:jc w:val="center"/>
        </w:trPr>
        <w:tc>
          <w:tcPr>
            <w:tcW w:w="0" w:type="auto"/>
            <w:gridSpan w:val="3"/>
            <w:shd w:val="clear" w:color="auto" w:fill="CCEEFF"/>
            <w:tcMar>
              <w:top w:w="30" w:type="dxa"/>
              <w:left w:w="20" w:type="dxa"/>
              <w:bottom w:w="30" w:type="dxa"/>
              <w:right w:w="20" w:type="dxa"/>
            </w:tcMar>
            <w:vAlign w:val="bottom"/>
            <w:hideMark/>
          </w:tcPr>
          <w:p w14:paraId="2A80E01C" w14:textId="77777777" w:rsidR="00000000" w:rsidRDefault="00EE5306">
            <w:pPr>
              <w:spacing w:after="100"/>
              <w:rPr>
                <w:rFonts w:eastAsia="Times New Roman"/>
              </w:rPr>
            </w:pPr>
            <w:r>
              <w:rPr>
                <w:rFonts w:eastAsia="Times New Roman"/>
                <w:b/>
                <w:bCs/>
                <w:color w:val="000000"/>
                <w:sz w:val="19"/>
                <w:szCs w:val="19"/>
              </w:rPr>
              <w:t>Cash flows from operating activities:</w:t>
            </w:r>
          </w:p>
        </w:tc>
        <w:tc>
          <w:tcPr>
            <w:tcW w:w="0" w:type="auto"/>
            <w:gridSpan w:val="3"/>
            <w:shd w:val="clear" w:color="auto" w:fill="CCEEFF"/>
            <w:tcMar>
              <w:top w:w="0" w:type="dxa"/>
              <w:left w:w="20" w:type="dxa"/>
              <w:bottom w:w="0" w:type="dxa"/>
              <w:right w:w="20" w:type="dxa"/>
            </w:tcMar>
            <w:vAlign w:val="center"/>
            <w:hideMark/>
          </w:tcPr>
          <w:p w14:paraId="2D22669E"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78A1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08CA1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3E210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871F9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D35685" w14:textId="77777777" w:rsidR="00000000" w:rsidRDefault="00EE5306">
            <w:pPr>
              <w:spacing w:after="100"/>
              <w:rPr>
                <w:rFonts w:eastAsia="Times New Roman"/>
                <w:sz w:val="20"/>
                <w:szCs w:val="20"/>
              </w:rPr>
            </w:pPr>
          </w:p>
        </w:tc>
      </w:tr>
      <w:tr w:rsidR="00000000" w14:paraId="2C89885E" w14:textId="77777777">
        <w:trPr>
          <w:divId w:val="1908876971"/>
          <w:jc w:val="center"/>
        </w:trPr>
        <w:tc>
          <w:tcPr>
            <w:tcW w:w="0" w:type="auto"/>
            <w:gridSpan w:val="3"/>
            <w:shd w:val="clear" w:color="auto" w:fill="FFFFFF"/>
            <w:tcMar>
              <w:top w:w="30" w:type="dxa"/>
              <w:left w:w="20" w:type="dxa"/>
              <w:bottom w:w="30" w:type="dxa"/>
              <w:right w:w="20" w:type="dxa"/>
            </w:tcMar>
            <w:vAlign w:val="bottom"/>
            <w:hideMark/>
          </w:tcPr>
          <w:p w14:paraId="0D2F5431" w14:textId="77777777" w:rsidR="00000000" w:rsidRDefault="00EE5306">
            <w:pPr>
              <w:spacing w:after="100"/>
              <w:rPr>
                <w:rFonts w:eastAsia="Times New Roman"/>
              </w:rPr>
            </w:pPr>
            <w:r>
              <w:rPr>
                <w:rFonts w:eastAsia="Times New Roman"/>
                <w:color w:val="000000"/>
                <w:sz w:val="19"/>
                <w:szCs w:val="19"/>
              </w:rPr>
              <w:t>Net income (loss)</w:t>
            </w:r>
          </w:p>
        </w:tc>
        <w:tc>
          <w:tcPr>
            <w:tcW w:w="0" w:type="auto"/>
            <w:gridSpan w:val="3"/>
            <w:shd w:val="clear" w:color="auto" w:fill="FFFFFF"/>
            <w:tcMar>
              <w:top w:w="0" w:type="dxa"/>
              <w:left w:w="20" w:type="dxa"/>
              <w:bottom w:w="0" w:type="dxa"/>
              <w:right w:w="20" w:type="dxa"/>
            </w:tcMar>
            <w:vAlign w:val="center"/>
            <w:hideMark/>
          </w:tcPr>
          <w:p w14:paraId="6BBD98DD"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39E57E9" w14:textId="77777777" w:rsidR="00000000" w:rsidRDefault="00EE5306">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4C9F68C6" w14:textId="77777777" w:rsidR="00000000" w:rsidRDefault="00EE5306">
            <w:pPr>
              <w:spacing w:after="100"/>
              <w:jc w:val="right"/>
              <w:rPr>
                <w:rFonts w:eastAsia="Times New Roman"/>
              </w:rPr>
            </w:pPr>
            <w:r>
              <w:rPr>
                <w:rFonts w:eastAsia="Times New Roman"/>
                <w:color w:val="000000"/>
                <w:sz w:val="19"/>
                <w:szCs w:val="19"/>
              </w:rPr>
              <w:t>(121.1)</w:t>
            </w:r>
          </w:p>
        </w:tc>
        <w:tc>
          <w:tcPr>
            <w:tcW w:w="0" w:type="auto"/>
            <w:shd w:val="clear" w:color="auto" w:fill="FFFFFF"/>
            <w:tcMar>
              <w:top w:w="30" w:type="dxa"/>
              <w:left w:w="0" w:type="dxa"/>
              <w:bottom w:w="30" w:type="dxa"/>
              <w:right w:w="20" w:type="dxa"/>
            </w:tcMar>
            <w:vAlign w:val="bottom"/>
            <w:hideMark/>
          </w:tcPr>
          <w:p w14:paraId="1A8359A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45BAD"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0DD22A" w14:textId="77777777" w:rsidR="00000000" w:rsidRDefault="00EE5306">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514478B0" w14:textId="77777777" w:rsidR="00000000" w:rsidRDefault="00EE5306">
            <w:pPr>
              <w:spacing w:after="100"/>
              <w:jc w:val="right"/>
              <w:rPr>
                <w:rFonts w:eastAsia="Times New Roman"/>
              </w:rPr>
            </w:pPr>
            <w:r>
              <w:rPr>
                <w:rFonts w:eastAsia="Times New Roman"/>
                <w:color w:val="000000"/>
                <w:sz w:val="19"/>
                <w:szCs w:val="19"/>
              </w:rPr>
              <w:t>384.3 </w:t>
            </w:r>
          </w:p>
        </w:tc>
        <w:tc>
          <w:tcPr>
            <w:tcW w:w="0" w:type="auto"/>
            <w:shd w:val="clear" w:color="auto" w:fill="FFFFFF"/>
            <w:tcMar>
              <w:top w:w="30" w:type="dxa"/>
              <w:left w:w="0" w:type="dxa"/>
              <w:bottom w:w="30" w:type="dxa"/>
              <w:right w:w="20" w:type="dxa"/>
            </w:tcMar>
            <w:vAlign w:val="bottom"/>
            <w:hideMark/>
          </w:tcPr>
          <w:p w14:paraId="4AD6D34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740E61"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5872EF" w14:textId="77777777" w:rsidR="00000000" w:rsidRDefault="00EE5306">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1D3E108B" w14:textId="77777777" w:rsidR="00000000" w:rsidRDefault="00EE5306">
            <w:pPr>
              <w:spacing w:after="100"/>
              <w:jc w:val="right"/>
              <w:rPr>
                <w:rFonts w:eastAsia="Times New Roman"/>
              </w:rPr>
            </w:pPr>
            <w:r>
              <w:rPr>
                <w:rFonts w:eastAsia="Times New Roman"/>
                <w:color w:val="000000"/>
                <w:sz w:val="19"/>
                <w:szCs w:val="19"/>
              </w:rPr>
              <w:t>430.9 </w:t>
            </w:r>
          </w:p>
        </w:tc>
        <w:tc>
          <w:tcPr>
            <w:tcW w:w="0" w:type="auto"/>
            <w:shd w:val="clear" w:color="auto" w:fill="FFFFFF"/>
            <w:tcMar>
              <w:top w:w="30" w:type="dxa"/>
              <w:left w:w="0" w:type="dxa"/>
              <w:bottom w:w="30" w:type="dxa"/>
              <w:right w:w="20" w:type="dxa"/>
            </w:tcMar>
            <w:vAlign w:val="bottom"/>
            <w:hideMark/>
          </w:tcPr>
          <w:p w14:paraId="710D768A" w14:textId="77777777" w:rsidR="00000000" w:rsidRDefault="00EE5306">
            <w:pPr>
              <w:spacing w:after="100"/>
              <w:jc w:val="right"/>
              <w:rPr>
                <w:rFonts w:eastAsia="Times New Roman"/>
              </w:rPr>
            </w:pPr>
          </w:p>
        </w:tc>
      </w:tr>
      <w:tr w:rsidR="00000000" w14:paraId="3DBE5D12" w14:textId="77777777">
        <w:trPr>
          <w:divId w:val="1908876971"/>
          <w:jc w:val="center"/>
        </w:trPr>
        <w:tc>
          <w:tcPr>
            <w:tcW w:w="0" w:type="auto"/>
            <w:gridSpan w:val="3"/>
            <w:shd w:val="clear" w:color="auto" w:fill="CCEEFF"/>
            <w:tcMar>
              <w:top w:w="30" w:type="dxa"/>
              <w:left w:w="200" w:type="dxa"/>
              <w:bottom w:w="30" w:type="dxa"/>
              <w:right w:w="20" w:type="dxa"/>
            </w:tcMar>
            <w:hideMark/>
          </w:tcPr>
          <w:p w14:paraId="334137EB" w14:textId="77777777" w:rsidR="00000000" w:rsidRDefault="00EE5306">
            <w:pPr>
              <w:spacing w:after="100"/>
              <w:ind w:hanging="180"/>
              <w:rPr>
                <w:rFonts w:eastAsia="Times New Roman"/>
              </w:rPr>
            </w:pPr>
            <w:r>
              <w:rPr>
                <w:rFonts w:eastAsia="Times New Roman"/>
                <w:color w:val="000000"/>
                <w:sz w:val="19"/>
                <w:szCs w:val="19"/>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680B0DEE" w14:textId="77777777" w:rsidR="00000000" w:rsidRDefault="00EE5306">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2625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2284C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BDD5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765A4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71EDD8" w14:textId="77777777" w:rsidR="00000000" w:rsidRDefault="00EE5306">
            <w:pPr>
              <w:spacing w:after="100"/>
              <w:rPr>
                <w:rFonts w:eastAsia="Times New Roman"/>
                <w:sz w:val="20"/>
                <w:szCs w:val="20"/>
              </w:rPr>
            </w:pPr>
          </w:p>
        </w:tc>
      </w:tr>
      <w:tr w:rsidR="00000000" w14:paraId="4A7805E7" w14:textId="77777777">
        <w:trPr>
          <w:divId w:val="1908876971"/>
          <w:jc w:val="center"/>
        </w:trPr>
        <w:tc>
          <w:tcPr>
            <w:tcW w:w="0" w:type="auto"/>
            <w:gridSpan w:val="3"/>
            <w:shd w:val="clear" w:color="auto" w:fill="FFFFFF"/>
            <w:tcMar>
              <w:top w:w="30" w:type="dxa"/>
              <w:left w:w="155" w:type="dxa"/>
              <w:bottom w:w="30" w:type="dxa"/>
              <w:right w:w="20" w:type="dxa"/>
            </w:tcMar>
            <w:vAlign w:val="bottom"/>
            <w:hideMark/>
          </w:tcPr>
          <w:p w14:paraId="4B056111" w14:textId="77777777" w:rsidR="00000000" w:rsidRDefault="00EE5306">
            <w:pPr>
              <w:spacing w:after="100"/>
              <w:rPr>
                <w:rFonts w:eastAsia="Times New Roman"/>
              </w:rPr>
            </w:pPr>
            <w:r>
              <w:rPr>
                <w:rFonts w:eastAsia="Times New Roman"/>
                <w:color w:val="000000"/>
                <w:sz w:val="19"/>
                <w:szCs w:val="19"/>
              </w:rPr>
              <w:t>Depreciation and amortization expense</w:t>
            </w:r>
          </w:p>
        </w:tc>
        <w:tc>
          <w:tcPr>
            <w:tcW w:w="0" w:type="auto"/>
            <w:gridSpan w:val="3"/>
            <w:shd w:val="clear" w:color="auto" w:fill="FFFFFF"/>
            <w:tcMar>
              <w:top w:w="0" w:type="dxa"/>
              <w:left w:w="20" w:type="dxa"/>
              <w:bottom w:w="0" w:type="dxa"/>
              <w:right w:w="20" w:type="dxa"/>
            </w:tcMar>
            <w:vAlign w:val="center"/>
            <w:hideMark/>
          </w:tcPr>
          <w:p w14:paraId="2869A7B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54B9F9" w14:textId="77777777" w:rsidR="00000000" w:rsidRDefault="00EE5306">
            <w:pPr>
              <w:spacing w:after="100"/>
              <w:jc w:val="right"/>
              <w:rPr>
                <w:rFonts w:eastAsia="Times New Roman"/>
              </w:rPr>
            </w:pPr>
            <w:r>
              <w:rPr>
                <w:rFonts w:eastAsia="Times New Roman"/>
                <w:color w:val="000000"/>
                <w:sz w:val="19"/>
                <w:szCs w:val="19"/>
              </w:rPr>
              <w:t>247.6 </w:t>
            </w:r>
          </w:p>
        </w:tc>
        <w:tc>
          <w:tcPr>
            <w:tcW w:w="0" w:type="auto"/>
            <w:shd w:val="clear" w:color="auto" w:fill="FFFFFF"/>
            <w:tcMar>
              <w:top w:w="30" w:type="dxa"/>
              <w:left w:w="0" w:type="dxa"/>
              <w:bottom w:w="30" w:type="dxa"/>
              <w:right w:w="20" w:type="dxa"/>
            </w:tcMar>
            <w:vAlign w:val="bottom"/>
            <w:hideMark/>
          </w:tcPr>
          <w:p w14:paraId="656F8E2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C477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3E0137" w14:textId="77777777" w:rsidR="00000000" w:rsidRDefault="00EE5306">
            <w:pPr>
              <w:spacing w:after="100"/>
              <w:jc w:val="right"/>
              <w:rPr>
                <w:rFonts w:eastAsia="Times New Roman"/>
              </w:rPr>
            </w:pPr>
            <w:r>
              <w:rPr>
                <w:rFonts w:eastAsia="Times New Roman"/>
                <w:color w:val="000000"/>
                <w:sz w:val="19"/>
                <w:szCs w:val="19"/>
              </w:rPr>
              <w:t>269.5 </w:t>
            </w:r>
          </w:p>
        </w:tc>
        <w:tc>
          <w:tcPr>
            <w:tcW w:w="0" w:type="auto"/>
            <w:shd w:val="clear" w:color="auto" w:fill="FFFFFF"/>
            <w:tcMar>
              <w:top w:w="30" w:type="dxa"/>
              <w:left w:w="0" w:type="dxa"/>
              <w:bottom w:w="30" w:type="dxa"/>
              <w:right w:w="20" w:type="dxa"/>
            </w:tcMar>
            <w:vAlign w:val="bottom"/>
            <w:hideMark/>
          </w:tcPr>
          <w:p w14:paraId="7CC146C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67D5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C46DF7" w14:textId="77777777" w:rsidR="00000000" w:rsidRDefault="00EE5306">
            <w:pPr>
              <w:spacing w:after="100"/>
              <w:jc w:val="right"/>
              <w:rPr>
                <w:rFonts w:eastAsia="Times New Roman"/>
              </w:rPr>
            </w:pPr>
            <w:r>
              <w:rPr>
                <w:rFonts w:eastAsia="Times New Roman"/>
                <w:color w:val="000000"/>
                <w:sz w:val="19"/>
                <w:szCs w:val="19"/>
              </w:rPr>
              <w:t>281.3 </w:t>
            </w:r>
          </w:p>
        </w:tc>
        <w:tc>
          <w:tcPr>
            <w:tcW w:w="0" w:type="auto"/>
            <w:shd w:val="clear" w:color="auto" w:fill="FFFFFF"/>
            <w:tcMar>
              <w:top w:w="30" w:type="dxa"/>
              <w:left w:w="0" w:type="dxa"/>
              <w:bottom w:w="30" w:type="dxa"/>
              <w:right w:w="20" w:type="dxa"/>
            </w:tcMar>
            <w:vAlign w:val="bottom"/>
            <w:hideMark/>
          </w:tcPr>
          <w:p w14:paraId="24BB8F5F" w14:textId="77777777" w:rsidR="00000000" w:rsidRDefault="00EE5306">
            <w:pPr>
              <w:spacing w:after="100"/>
              <w:jc w:val="right"/>
              <w:rPr>
                <w:rFonts w:eastAsia="Times New Roman"/>
              </w:rPr>
            </w:pPr>
          </w:p>
        </w:tc>
      </w:tr>
      <w:tr w:rsidR="00000000" w14:paraId="735D54C3" w14:textId="77777777">
        <w:trPr>
          <w:divId w:val="1908876971"/>
          <w:jc w:val="center"/>
        </w:trPr>
        <w:tc>
          <w:tcPr>
            <w:tcW w:w="0" w:type="auto"/>
            <w:gridSpan w:val="3"/>
            <w:shd w:val="clear" w:color="auto" w:fill="CCEEFF"/>
            <w:tcMar>
              <w:top w:w="30" w:type="dxa"/>
              <w:left w:w="155" w:type="dxa"/>
              <w:bottom w:w="30" w:type="dxa"/>
              <w:right w:w="20" w:type="dxa"/>
            </w:tcMar>
            <w:vAlign w:val="bottom"/>
            <w:hideMark/>
          </w:tcPr>
          <w:p w14:paraId="79875950" w14:textId="77777777" w:rsidR="00000000" w:rsidRDefault="00EE5306">
            <w:pPr>
              <w:spacing w:after="100"/>
              <w:rPr>
                <w:rFonts w:eastAsia="Times New Roman"/>
              </w:rPr>
            </w:pPr>
            <w:r>
              <w:rPr>
                <w:rFonts w:eastAsia="Times New Roman"/>
                <w:color w:val="000000"/>
                <w:sz w:val="19"/>
                <w:szCs w:val="19"/>
              </w:rPr>
              <w:t>Deferred income tax expense (benefit)</w:t>
            </w:r>
          </w:p>
        </w:tc>
        <w:tc>
          <w:tcPr>
            <w:tcW w:w="0" w:type="auto"/>
            <w:gridSpan w:val="3"/>
            <w:shd w:val="clear" w:color="auto" w:fill="CCEEFF"/>
            <w:tcMar>
              <w:top w:w="0" w:type="dxa"/>
              <w:left w:w="20" w:type="dxa"/>
              <w:bottom w:w="0" w:type="dxa"/>
              <w:right w:w="20" w:type="dxa"/>
            </w:tcMar>
            <w:vAlign w:val="center"/>
            <w:hideMark/>
          </w:tcPr>
          <w:p w14:paraId="587A4F9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4B511B" w14:textId="77777777" w:rsidR="00000000" w:rsidRDefault="00EE5306">
            <w:pPr>
              <w:spacing w:after="100"/>
              <w:jc w:val="right"/>
              <w:rPr>
                <w:rFonts w:eastAsia="Times New Roman"/>
              </w:rPr>
            </w:pPr>
            <w:r>
              <w:rPr>
                <w:rFonts w:eastAsia="Times New Roman"/>
                <w:color w:val="000000"/>
                <w:sz w:val="19"/>
                <w:szCs w:val="19"/>
              </w:rPr>
              <w:t>35.6 </w:t>
            </w:r>
          </w:p>
        </w:tc>
        <w:tc>
          <w:tcPr>
            <w:tcW w:w="0" w:type="auto"/>
            <w:shd w:val="clear" w:color="auto" w:fill="CCEEFF"/>
            <w:tcMar>
              <w:top w:w="30" w:type="dxa"/>
              <w:left w:w="0" w:type="dxa"/>
              <w:bottom w:w="30" w:type="dxa"/>
              <w:right w:w="20" w:type="dxa"/>
            </w:tcMar>
            <w:vAlign w:val="bottom"/>
            <w:hideMark/>
          </w:tcPr>
          <w:p w14:paraId="4F73541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D198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78DB21" w14:textId="77777777" w:rsidR="00000000" w:rsidRDefault="00EE5306">
            <w:pPr>
              <w:spacing w:after="100"/>
              <w:jc w:val="right"/>
              <w:rPr>
                <w:rFonts w:eastAsia="Times New Roman"/>
              </w:rPr>
            </w:pPr>
            <w:r>
              <w:rPr>
                <w:rFonts w:eastAsia="Times New Roman"/>
                <w:color w:val="000000"/>
                <w:sz w:val="19"/>
                <w:szCs w:val="19"/>
              </w:rPr>
              <w:t>(168.8)</w:t>
            </w:r>
          </w:p>
        </w:tc>
        <w:tc>
          <w:tcPr>
            <w:tcW w:w="0" w:type="auto"/>
            <w:shd w:val="clear" w:color="auto" w:fill="CCEEFF"/>
            <w:tcMar>
              <w:top w:w="30" w:type="dxa"/>
              <w:left w:w="0" w:type="dxa"/>
              <w:bottom w:w="30" w:type="dxa"/>
              <w:right w:w="20" w:type="dxa"/>
            </w:tcMar>
            <w:vAlign w:val="bottom"/>
            <w:hideMark/>
          </w:tcPr>
          <w:p w14:paraId="217B7CB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6B8E4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3F37C7" w14:textId="77777777" w:rsidR="00000000" w:rsidRDefault="00EE5306">
            <w:pPr>
              <w:spacing w:after="100"/>
              <w:jc w:val="right"/>
              <w:rPr>
                <w:rFonts w:eastAsia="Times New Roman"/>
              </w:rPr>
            </w:pPr>
            <w:r>
              <w:rPr>
                <w:rFonts w:eastAsia="Times New Roman"/>
                <w:color w:val="000000"/>
                <w:sz w:val="19"/>
                <w:szCs w:val="19"/>
              </w:rPr>
              <w:t>8.5 </w:t>
            </w:r>
          </w:p>
        </w:tc>
        <w:tc>
          <w:tcPr>
            <w:tcW w:w="0" w:type="auto"/>
            <w:shd w:val="clear" w:color="auto" w:fill="CCEEFF"/>
            <w:tcMar>
              <w:top w:w="30" w:type="dxa"/>
              <w:left w:w="0" w:type="dxa"/>
              <w:bottom w:w="30" w:type="dxa"/>
              <w:right w:w="20" w:type="dxa"/>
            </w:tcMar>
            <w:vAlign w:val="bottom"/>
            <w:hideMark/>
          </w:tcPr>
          <w:p w14:paraId="6A4BA748" w14:textId="77777777" w:rsidR="00000000" w:rsidRDefault="00EE5306">
            <w:pPr>
              <w:spacing w:after="100"/>
              <w:jc w:val="right"/>
              <w:rPr>
                <w:rFonts w:eastAsia="Times New Roman"/>
              </w:rPr>
            </w:pPr>
          </w:p>
        </w:tc>
      </w:tr>
      <w:tr w:rsidR="00000000" w14:paraId="6453947A" w14:textId="77777777">
        <w:trPr>
          <w:divId w:val="1908876971"/>
          <w:jc w:val="center"/>
        </w:trPr>
        <w:tc>
          <w:tcPr>
            <w:tcW w:w="0" w:type="auto"/>
            <w:gridSpan w:val="3"/>
            <w:shd w:val="clear" w:color="auto" w:fill="FFFFFF"/>
            <w:tcMar>
              <w:top w:w="30" w:type="dxa"/>
              <w:left w:w="155" w:type="dxa"/>
              <w:bottom w:w="30" w:type="dxa"/>
              <w:right w:w="20" w:type="dxa"/>
            </w:tcMar>
            <w:vAlign w:val="bottom"/>
            <w:hideMark/>
          </w:tcPr>
          <w:p w14:paraId="5E89B459" w14:textId="77777777" w:rsidR="00000000" w:rsidRDefault="00EE5306">
            <w:pPr>
              <w:spacing w:after="100"/>
              <w:rPr>
                <w:rFonts w:eastAsia="Times New Roman"/>
              </w:rPr>
            </w:pPr>
            <w:r>
              <w:rPr>
                <w:rFonts w:eastAsia="Times New Roman"/>
                <w:color w:val="000000"/>
                <w:sz w:val="19"/>
                <w:szCs w:val="19"/>
              </w:rPr>
              <w:t>Loss on sale of property</w:t>
            </w:r>
          </w:p>
        </w:tc>
        <w:tc>
          <w:tcPr>
            <w:tcW w:w="0" w:type="auto"/>
            <w:gridSpan w:val="3"/>
            <w:shd w:val="clear" w:color="auto" w:fill="FFFFFF"/>
            <w:tcMar>
              <w:top w:w="0" w:type="dxa"/>
              <w:left w:w="20" w:type="dxa"/>
              <w:bottom w:w="0" w:type="dxa"/>
              <w:right w:w="20" w:type="dxa"/>
            </w:tcMar>
            <w:vAlign w:val="center"/>
            <w:hideMark/>
          </w:tcPr>
          <w:p w14:paraId="63D8AFB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DAFE11"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0E51973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1CB1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78926A"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4E959F6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0594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3CE69B" w14:textId="77777777" w:rsidR="00000000" w:rsidRDefault="00EE5306">
            <w:pPr>
              <w:spacing w:after="100"/>
              <w:jc w:val="right"/>
              <w:rPr>
                <w:rFonts w:eastAsia="Times New Roman"/>
              </w:rPr>
            </w:pPr>
            <w:r>
              <w:rPr>
                <w:rFonts w:eastAsia="Times New Roman"/>
                <w:color w:val="000000"/>
                <w:sz w:val="19"/>
                <w:szCs w:val="19"/>
              </w:rPr>
              <w:t>11.6 </w:t>
            </w:r>
          </w:p>
        </w:tc>
        <w:tc>
          <w:tcPr>
            <w:tcW w:w="0" w:type="auto"/>
            <w:shd w:val="clear" w:color="auto" w:fill="FFFFFF"/>
            <w:tcMar>
              <w:top w:w="30" w:type="dxa"/>
              <w:left w:w="0" w:type="dxa"/>
              <w:bottom w:w="30" w:type="dxa"/>
              <w:right w:w="20" w:type="dxa"/>
            </w:tcMar>
            <w:vAlign w:val="bottom"/>
            <w:hideMark/>
          </w:tcPr>
          <w:p w14:paraId="5667B9E6" w14:textId="77777777" w:rsidR="00000000" w:rsidRDefault="00EE5306">
            <w:pPr>
              <w:spacing w:after="100"/>
              <w:jc w:val="right"/>
              <w:rPr>
                <w:rFonts w:eastAsia="Times New Roman"/>
              </w:rPr>
            </w:pPr>
          </w:p>
        </w:tc>
      </w:tr>
      <w:tr w:rsidR="00000000" w14:paraId="03F8BC75" w14:textId="77777777">
        <w:trPr>
          <w:divId w:val="1908876971"/>
          <w:jc w:val="center"/>
        </w:trPr>
        <w:tc>
          <w:tcPr>
            <w:tcW w:w="0" w:type="auto"/>
            <w:gridSpan w:val="3"/>
            <w:shd w:val="clear" w:color="auto" w:fill="CCEEFF"/>
            <w:tcMar>
              <w:top w:w="30" w:type="dxa"/>
              <w:left w:w="155" w:type="dxa"/>
              <w:bottom w:w="30" w:type="dxa"/>
              <w:right w:w="20" w:type="dxa"/>
            </w:tcMar>
            <w:vAlign w:val="bottom"/>
            <w:hideMark/>
          </w:tcPr>
          <w:p w14:paraId="75740A0C" w14:textId="77777777" w:rsidR="00000000" w:rsidRDefault="00EE5306">
            <w:pPr>
              <w:spacing w:after="100"/>
              <w:rPr>
                <w:rFonts w:eastAsia="Times New Roman"/>
              </w:rPr>
            </w:pPr>
            <w:r>
              <w:rPr>
                <w:rFonts w:eastAsia="Times New Roman"/>
                <w:color w:val="000000"/>
                <w:sz w:val="19"/>
                <w:szCs w:val="19"/>
              </w:rPr>
              <w:t>Non-cash stock-based compensation expense</w:t>
            </w:r>
          </w:p>
        </w:tc>
        <w:tc>
          <w:tcPr>
            <w:tcW w:w="0" w:type="auto"/>
            <w:gridSpan w:val="3"/>
            <w:shd w:val="clear" w:color="auto" w:fill="CCEEFF"/>
            <w:tcMar>
              <w:top w:w="0" w:type="dxa"/>
              <w:left w:w="20" w:type="dxa"/>
              <w:bottom w:w="0" w:type="dxa"/>
              <w:right w:w="20" w:type="dxa"/>
            </w:tcMar>
            <w:vAlign w:val="center"/>
            <w:hideMark/>
          </w:tcPr>
          <w:p w14:paraId="7FB2669E"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17A9C4" w14:textId="77777777" w:rsidR="00000000" w:rsidRDefault="00EE5306">
            <w:pPr>
              <w:spacing w:after="100"/>
              <w:jc w:val="right"/>
              <w:rPr>
                <w:rFonts w:eastAsia="Times New Roman"/>
              </w:rPr>
            </w:pPr>
            <w:r>
              <w:rPr>
                <w:rFonts w:eastAsia="Times New Roman"/>
                <w:color w:val="000000"/>
                <w:sz w:val="19"/>
                <w:szCs w:val="19"/>
              </w:rPr>
              <w:t>72.7 </w:t>
            </w:r>
          </w:p>
        </w:tc>
        <w:tc>
          <w:tcPr>
            <w:tcW w:w="0" w:type="auto"/>
            <w:shd w:val="clear" w:color="auto" w:fill="CCEEFF"/>
            <w:tcMar>
              <w:top w:w="30" w:type="dxa"/>
              <w:left w:w="0" w:type="dxa"/>
              <w:bottom w:w="30" w:type="dxa"/>
              <w:right w:w="20" w:type="dxa"/>
            </w:tcMar>
            <w:vAlign w:val="bottom"/>
            <w:hideMark/>
          </w:tcPr>
          <w:p w14:paraId="78D8B37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9F8C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78EF2F" w14:textId="77777777" w:rsidR="00000000" w:rsidRDefault="00EE5306">
            <w:pPr>
              <w:spacing w:after="100"/>
              <w:jc w:val="right"/>
              <w:rPr>
                <w:rFonts w:eastAsia="Times New Roman"/>
              </w:rPr>
            </w:pPr>
            <w:r>
              <w:rPr>
                <w:rFonts w:eastAsia="Times New Roman"/>
                <w:color w:val="000000"/>
                <w:sz w:val="19"/>
                <w:szCs w:val="19"/>
              </w:rPr>
              <w:t>100.6 </w:t>
            </w:r>
          </w:p>
        </w:tc>
        <w:tc>
          <w:tcPr>
            <w:tcW w:w="0" w:type="auto"/>
            <w:shd w:val="clear" w:color="auto" w:fill="CCEEFF"/>
            <w:tcMar>
              <w:top w:w="30" w:type="dxa"/>
              <w:left w:w="0" w:type="dxa"/>
              <w:bottom w:w="30" w:type="dxa"/>
              <w:right w:w="20" w:type="dxa"/>
            </w:tcMar>
            <w:vAlign w:val="bottom"/>
            <w:hideMark/>
          </w:tcPr>
          <w:p w14:paraId="527CCD9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7184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9C4000" w14:textId="77777777" w:rsidR="00000000" w:rsidRDefault="00EE5306">
            <w:pPr>
              <w:spacing w:after="100"/>
              <w:jc w:val="right"/>
              <w:rPr>
                <w:rFonts w:eastAsia="Times New Roman"/>
              </w:rPr>
            </w:pPr>
            <w:r>
              <w:rPr>
                <w:rFonts w:eastAsia="Times New Roman"/>
                <w:color w:val="000000"/>
                <w:sz w:val="19"/>
                <w:szCs w:val="19"/>
              </w:rPr>
              <w:t>88.6 </w:t>
            </w:r>
          </w:p>
        </w:tc>
        <w:tc>
          <w:tcPr>
            <w:tcW w:w="0" w:type="auto"/>
            <w:shd w:val="clear" w:color="auto" w:fill="CCEEFF"/>
            <w:tcMar>
              <w:top w:w="30" w:type="dxa"/>
              <w:left w:w="0" w:type="dxa"/>
              <w:bottom w:w="30" w:type="dxa"/>
              <w:right w:w="20" w:type="dxa"/>
            </w:tcMar>
            <w:vAlign w:val="bottom"/>
            <w:hideMark/>
          </w:tcPr>
          <w:p w14:paraId="29502DC6" w14:textId="77777777" w:rsidR="00000000" w:rsidRDefault="00EE5306">
            <w:pPr>
              <w:spacing w:after="100"/>
              <w:jc w:val="right"/>
              <w:rPr>
                <w:rFonts w:eastAsia="Times New Roman"/>
              </w:rPr>
            </w:pPr>
          </w:p>
        </w:tc>
      </w:tr>
      <w:tr w:rsidR="00000000" w14:paraId="1F15ABFB" w14:textId="77777777">
        <w:trPr>
          <w:divId w:val="1908876971"/>
          <w:jc w:val="center"/>
        </w:trPr>
        <w:tc>
          <w:tcPr>
            <w:tcW w:w="0" w:type="auto"/>
            <w:gridSpan w:val="3"/>
            <w:shd w:val="clear" w:color="auto" w:fill="FFFFFF"/>
            <w:tcMar>
              <w:top w:w="30" w:type="dxa"/>
              <w:left w:w="155" w:type="dxa"/>
              <w:bottom w:w="30" w:type="dxa"/>
              <w:right w:w="20" w:type="dxa"/>
            </w:tcMar>
            <w:vAlign w:val="bottom"/>
            <w:hideMark/>
          </w:tcPr>
          <w:p w14:paraId="78627877" w14:textId="77777777" w:rsidR="00000000" w:rsidRDefault="00EE5306">
            <w:pPr>
              <w:spacing w:after="100"/>
              <w:rPr>
                <w:rFonts w:eastAsia="Times New Roman"/>
              </w:rPr>
            </w:pPr>
            <w:r>
              <w:rPr>
                <w:rFonts w:eastAsia="Times New Roman"/>
                <w:color w:val="000000"/>
                <w:sz w:val="19"/>
                <w:szCs w:val="19"/>
              </w:rPr>
              <w:t>Non-cash impairment of assets, including equity method investment</w:t>
            </w:r>
          </w:p>
        </w:tc>
        <w:tc>
          <w:tcPr>
            <w:tcW w:w="0" w:type="auto"/>
            <w:gridSpan w:val="3"/>
            <w:shd w:val="clear" w:color="auto" w:fill="FFFFFF"/>
            <w:tcMar>
              <w:top w:w="0" w:type="dxa"/>
              <w:left w:w="20" w:type="dxa"/>
              <w:bottom w:w="0" w:type="dxa"/>
              <w:right w:w="20" w:type="dxa"/>
            </w:tcMar>
            <w:vAlign w:val="center"/>
            <w:hideMark/>
          </w:tcPr>
          <w:p w14:paraId="74B4749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EB00A8" w14:textId="77777777" w:rsidR="00000000" w:rsidRDefault="00EE5306">
            <w:pPr>
              <w:spacing w:after="100"/>
              <w:jc w:val="right"/>
              <w:rPr>
                <w:rFonts w:eastAsia="Times New Roman"/>
              </w:rPr>
            </w:pPr>
            <w:r>
              <w:rPr>
                <w:rFonts w:eastAsia="Times New Roman"/>
                <w:color w:val="000000"/>
                <w:sz w:val="19"/>
                <w:szCs w:val="19"/>
              </w:rPr>
              <w:t>96.0 </w:t>
            </w:r>
          </w:p>
        </w:tc>
        <w:tc>
          <w:tcPr>
            <w:tcW w:w="0" w:type="auto"/>
            <w:shd w:val="clear" w:color="auto" w:fill="FFFFFF"/>
            <w:tcMar>
              <w:top w:w="30" w:type="dxa"/>
              <w:left w:w="0" w:type="dxa"/>
              <w:bottom w:w="30" w:type="dxa"/>
              <w:right w:w="20" w:type="dxa"/>
            </w:tcMar>
            <w:vAlign w:val="bottom"/>
            <w:hideMark/>
          </w:tcPr>
          <w:p w14:paraId="5785017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673F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ECCCD6" w14:textId="77777777" w:rsidR="00000000" w:rsidRDefault="00EE5306">
            <w:pPr>
              <w:spacing w:after="100"/>
              <w:jc w:val="right"/>
              <w:rPr>
                <w:rFonts w:eastAsia="Times New Roman"/>
              </w:rPr>
            </w:pPr>
            <w:r>
              <w:rPr>
                <w:rFonts w:eastAsia="Times New Roman"/>
                <w:color w:val="000000"/>
                <w:sz w:val="19"/>
                <w:szCs w:val="19"/>
              </w:rPr>
              <w:t>38.7 </w:t>
            </w:r>
          </w:p>
        </w:tc>
        <w:tc>
          <w:tcPr>
            <w:tcW w:w="0" w:type="auto"/>
            <w:shd w:val="clear" w:color="auto" w:fill="FFFFFF"/>
            <w:tcMar>
              <w:top w:w="30" w:type="dxa"/>
              <w:left w:w="0" w:type="dxa"/>
              <w:bottom w:w="30" w:type="dxa"/>
              <w:right w:w="20" w:type="dxa"/>
            </w:tcMar>
            <w:vAlign w:val="bottom"/>
            <w:hideMark/>
          </w:tcPr>
          <w:p w14:paraId="297B075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6113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E4432" w14:textId="77777777" w:rsidR="00000000" w:rsidRDefault="00EE5306">
            <w:pPr>
              <w:spacing w:after="100"/>
              <w:jc w:val="right"/>
              <w:rPr>
                <w:rFonts w:eastAsia="Times New Roman"/>
              </w:rPr>
            </w:pPr>
            <w:r>
              <w:rPr>
                <w:rFonts w:eastAsia="Times New Roman"/>
                <w:color w:val="000000"/>
                <w:sz w:val="19"/>
                <w:szCs w:val="19"/>
              </w:rPr>
              <w:t>25.8 </w:t>
            </w:r>
          </w:p>
        </w:tc>
        <w:tc>
          <w:tcPr>
            <w:tcW w:w="0" w:type="auto"/>
            <w:shd w:val="clear" w:color="auto" w:fill="FFFFFF"/>
            <w:tcMar>
              <w:top w:w="30" w:type="dxa"/>
              <w:left w:w="0" w:type="dxa"/>
              <w:bottom w:w="30" w:type="dxa"/>
              <w:right w:w="20" w:type="dxa"/>
            </w:tcMar>
            <w:vAlign w:val="bottom"/>
            <w:hideMark/>
          </w:tcPr>
          <w:p w14:paraId="756AD90D" w14:textId="77777777" w:rsidR="00000000" w:rsidRDefault="00EE5306">
            <w:pPr>
              <w:spacing w:after="100"/>
              <w:jc w:val="right"/>
              <w:rPr>
                <w:rFonts w:eastAsia="Times New Roman"/>
              </w:rPr>
            </w:pPr>
          </w:p>
        </w:tc>
      </w:tr>
      <w:tr w:rsidR="00000000" w14:paraId="55C48727" w14:textId="77777777">
        <w:trPr>
          <w:divId w:val="1908876971"/>
          <w:jc w:val="center"/>
        </w:trPr>
        <w:tc>
          <w:tcPr>
            <w:tcW w:w="0" w:type="auto"/>
            <w:gridSpan w:val="3"/>
            <w:shd w:val="clear" w:color="auto" w:fill="CCEEFF"/>
            <w:tcMar>
              <w:top w:w="30" w:type="dxa"/>
              <w:left w:w="155" w:type="dxa"/>
              <w:bottom w:w="30" w:type="dxa"/>
              <w:right w:w="20" w:type="dxa"/>
            </w:tcMar>
            <w:vAlign w:val="bottom"/>
            <w:hideMark/>
          </w:tcPr>
          <w:p w14:paraId="1D738817" w14:textId="77777777" w:rsidR="00000000" w:rsidRDefault="00EE5306">
            <w:pPr>
              <w:spacing w:after="100"/>
              <w:rPr>
                <w:rFonts w:eastAsia="Times New Roman"/>
              </w:rPr>
            </w:pPr>
            <w:r>
              <w:rPr>
                <w:rFonts w:eastAsia="Times New Roman"/>
                <w:color w:val="000000"/>
                <w:sz w:val="19"/>
                <w:szCs w:val="19"/>
              </w:rPr>
              <w:t>Bad debt expense (benefit)</w:t>
            </w:r>
          </w:p>
        </w:tc>
        <w:tc>
          <w:tcPr>
            <w:tcW w:w="0" w:type="auto"/>
            <w:gridSpan w:val="3"/>
            <w:shd w:val="clear" w:color="auto" w:fill="CCEEFF"/>
            <w:tcMar>
              <w:top w:w="0" w:type="dxa"/>
              <w:left w:w="20" w:type="dxa"/>
              <w:bottom w:w="0" w:type="dxa"/>
              <w:right w:w="20" w:type="dxa"/>
            </w:tcMar>
            <w:vAlign w:val="center"/>
            <w:hideMark/>
          </w:tcPr>
          <w:p w14:paraId="74388DE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A8D5EC" w14:textId="77777777" w:rsidR="00000000" w:rsidRDefault="00EE5306">
            <w:pPr>
              <w:spacing w:after="100"/>
              <w:jc w:val="right"/>
              <w:rPr>
                <w:rFonts w:eastAsia="Times New Roman"/>
              </w:rPr>
            </w:pPr>
            <w:r>
              <w:rPr>
                <w:rFonts w:eastAsia="Times New Roman"/>
                <w:color w:val="000000"/>
                <w:sz w:val="19"/>
                <w:szCs w:val="19"/>
              </w:rPr>
              <w:t>(27.6)</w:t>
            </w:r>
          </w:p>
        </w:tc>
        <w:tc>
          <w:tcPr>
            <w:tcW w:w="0" w:type="auto"/>
            <w:shd w:val="clear" w:color="auto" w:fill="CCEEFF"/>
            <w:tcMar>
              <w:top w:w="30" w:type="dxa"/>
              <w:left w:w="0" w:type="dxa"/>
              <w:bottom w:w="30" w:type="dxa"/>
              <w:right w:w="20" w:type="dxa"/>
            </w:tcMar>
            <w:vAlign w:val="bottom"/>
            <w:hideMark/>
          </w:tcPr>
          <w:p w14:paraId="4023941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498D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980DDA" w14:textId="77777777" w:rsidR="00000000" w:rsidRDefault="00EE5306">
            <w:pPr>
              <w:spacing w:after="100"/>
              <w:jc w:val="right"/>
              <w:rPr>
                <w:rFonts w:eastAsia="Times New Roman"/>
              </w:rPr>
            </w:pPr>
            <w:r>
              <w:rPr>
                <w:rFonts w:eastAsia="Times New Roman"/>
                <w:color w:val="000000"/>
                <w:sz w:val="19"/>
                <w:szCs w:val="19"/>
              </w:rPr>
              <w:t>58.7 </w:t>
            </w:r>
          </w:p>
        </w:tc>
        <w:tc>
          <w:tcPr>
            <w:tcW w:w="0" w:type="auto"/>
            <w:shd w:val="clear" w:color="auto" w:fill="CCEEFF"/>
            <w:tcMar>
              <w:top w:w="30" w:type="dxa"/>
              <w:left w:w="0" w:type="dxa"/>
              <w:bottom w:w="30" w:type="dxa"/>
              <w:right w:w="20" w:type="dxa"/>
            </w:tcMar>
            <w:vAlign w:val="bottom"/>
            <w:hideMark/>
          </w:tcPr>
          <w:p w14:paraId="4558424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4899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4E7AB5" w14:textId="77777777" w:rsidR="00000000" w:rsidRDefault="00EE5306">
            <w:pPr>
              <w:spacing w:after="100"/>
              <w:jc w:val="right"/>
              <w:rPr>
                <w:rFonts w:eastAsia="Times New Roman"/>
              </w:rPr>
            </w:pPr>
            <w:r>
              <w:rPr>
                <w:rFonts w:eastAsia="Times New Roman"/>
                <w:color w:val="000000"/>
                <w:sz w:val="19"/>
                <w:szCs w:val="19"/>
              </w:rPr>
              <w:t>0.4 </w:t>
            </w:r>
          </w:p>
        </w:tc>
        <w:tc>
          <w:tcPr>
            <w:tcW w:w="0" w:type="auto"/>
            <w:shd w:val="clear" w:color="auto" w:fill="CCEEFF"/>
            <w:tcMar>
              <w:top w:w="30" w:type="dxa"/>
              <w:left w:w="0" w:type="dxa"/>
              <w:bottom w:w="30" w:type="dxa"/>
              <w:right w:w="20" w:type="dxa"/>
            </w:tcMar>
            <w:vAlign w:val="bottom"/>
            <w:hideMark/>
          </w:tcPr>
          <w:p w14:paraId="6AC65555" w14:textId="77777777" w:rsidR="00000000" w:rsidRDefault="00EE5306">
            <w:pPr>
              <w:spacing w:after="100"/>
              <w:jc w:val="right"/>
              <w:rPr>
                <w:rFonts w:eastAsia="Times New Roman"/>
              </w:rPr>
            </w:pPr>
          </w:p>
        </w:tc>
      </w:tr>
      <w:tr w:rsidR="00000000" w14:paraId="21B8712E" w14:textId="77777777">
        <w:trPr>
          <w:divId w:val="1908876971"/>
          <w:jc w:val="center"/>
        </w:trPr>
        <w:tc>
          <w:tcPr>
            <w:tcW w:w="0" w:type="auto"/>
            <w:gridSpan w:val="3"/>
            <w:shd w:val="clear" w:color="auto" w:fill="FFFFFF"/>
            <w:tcMar>
              <w:top w:w="30" w:type="dxa"/>
              <w:left w:w="155" w:type="dxa"/>
              <w:bottom w:w="30" w:type="dxa"/>
              <w:right w:w="20" w:type="dxa"/>
            </w:tcMar>
            <w:vAlign w:val="bottom"/>
            <w:hideMark/>
          </w:tcPr>
          <w:p w14:paraId="6F81C4F2" w14:textId="77777777" w:rsidR="00000000" w:rsidRDefault="00EE5306">
            <w:pPr>
              <w:spacing w:after="100"/>
              <w:rPr>
                <w:rFonts w:eastAsia="Times New Roman"/>
              </w:rPr>
            </w:pPr>
            <w:r>
              <w:rPr>
                <w:rFonts w:eastAsia="Times New Roman"/>
                <w:color w:val="000000"/>
                <w:sz w:val="19"/>
                <w:szCs w:val="19"/>
              </w:rPr>
              <w:t>Other non-cash charges (benefits)</w:t>
            </w:r>
          </w:p>
        </w:tc>
        <w:tc>
          <w:tcPr>
            <w:tcW w:w="0" w:type="auto"/>
            <w:gridSpan w:val="3"/>
            <w:shd w:val="clear" w:color="auto" w:fill="FFFFFF"/>
            <w:tcMar>
              <w:top w:w="0" w:type="dxa"/>
              <w:left w:w="20" w:type="dxa"/>
              <w:bottom w:w="0" w:type="dxa"/>
              <w:right w:w="20" w:type="dxa"/>
            </w:tcMar>
            <w:vAlign w:val="center"/>
            <w:hideMark/>
          </w:tcPr>
          <w:p w14:paraId="606D79B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E245DA" w14:textId="77777777" w:rsidR="00000000" w:rsidRDefault="00EE5306">
            <w:pPr>
              <w:spacing w:after="100"/>
              <w:jc w:val="right"/>
              <w:rPr>
                <w:rFonts w:eastAsia="Times New Roman"/>
              </w:rPr>
            </w:pPr>
            <w:r>
              <w:rPr>
                <w:rFonts w:eastAsia="Times New Roman"/>
                <w:color w:val="000000"/>
                <w:sz w:val="19"/>
                <w:szCs w:val="19"/>
              </w:rPr>
              <w:t>1.8 </w:t>
            </w:r>
          </w:p>
        </w:tc>
        <w:tc>
          <w:tcPr>
            <w:tcW w:w="0" w:type="auto"/>
            <w:shd w:val="clear" w:color="auto" w:fill="FFFFFF"/>
            <w:tcMar>
              <w:top w:w="30" w:type="dxa"/>
              <w:left w:w="0" w:type="dxa"/>
              <w:bottom w:w="30" w:type="dxa"/>
              <w:right w:w="20" w:type="dxa"/>
            </w:tcMar>
            <w:vAlign w:val="bottom"/>
            <w:hideMark/>
          </w:tcPr>
          <w:p w14:paraId="1D9EB22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4987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F91BF0" w14:textId="77777777" w:rsidR="00000000" w:rsidRDefault="00EE5306">
            <w:pPr>
              <w:spacing w:after="100"/>
              <w:jc w:val="right"/>
              <w:rPr>
                <w:rFonts w:eastAsia="Times New Roman"/>
              </w:rPr>
            </w:pPr>
            <w:r>
              <w:rPr>
                <w:rFonts w:eastAsia="Times New Roman"/>
                <w:color w:val="000000"/>
                <w:sz w:val="19"/>
                <w:szCs w:val="19"/>
              </w:rPr>
              <w:t>(2.3)</w:t>
            </w:r>
          </w:p>
        </w:tc>
        <w:tc>
          <w:tcPr>
            <w:tcW w:w="0" w:type="auto"/>
            <w:shd w:val="clear" w:color="auto" w:fill="FFFFFF"/>
            <w:tcMar>
              <w:top w:w="30" w:type="dxa"/>
              <w:left w:w="0" w:type="dxa"/>
              <w:bottom w:w="30" w:type="dxa"/>
              <w:right w:w="20" w:type="dxa"/>
            </w:tcMar>
            <w:vAlign w:val="bottom"/>
            <w:hideMark/>
          </w:tcPr>
          <w:p w14:paraId="39B1ADD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65E66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457941" w14:textId="77777777" w:rsidR="00000000" w:rsidRDefault="00EE5306">
            <w:pPr>
              <w:spacing w:after="100"/>
              <w:jc w:val="right"/>
              <w:rPr>
                <w:rFonts w:eastAsia="Times New Roman"/>
              </w:rPr>
            </w:pPr>
            <w:r>
              <w:rPr>
                <w:rFonts w:eastAsia="Times New Roman"/>
                <w:color w:val="000000"/>
                <w:sz w:val="19"/>
                <w:szCs w:val="19"/>
              </w:rPr>
              <w:t>6.5 </w:t>
            </w:r>
          </w:p>
        </w:tc>
        <w:tc>
          <w:tcPr>
            <w:tcW w:w="0" w:type="auto"/>
            <w:shd w:val="clear" w:color="auto" w:fill="FFFFFF"/>
            <w:tcMar>
              <w:top w:w="30" w:type="dxa"/>
              <w:left w:w="0" w:type="dxa"/>
              <w:bottom w:w="30" w:type="dxa"/>
              <w:right w:w="20" w:type="dxa"/>
            </w:tcMar>
            <w:vAlign w:val="bottom"/>
            <w:hideMark/>
          </w:tcPr>
          <w:p w14:paraId="5449791F" w14:textId="77777777" w:rsidR="00000000" w:rsidRDefault="00EE5306">
            <w:pPr>
              <w:spacing w:after="100"/>
              <w:jc w:val="right"/>
              <w:rPr>
                <w:rFonts w:eastAsia="Times New Roman"/>
              </w:rPr>
            </w:pPr>
          </w:p>
        </w:tc>
      </w:tr>
      <w:tr w:rsidR="00000000" w14:paraId="5055B318" w14:textId="77777777">
        <w:trPr>
          <w:divId w:val="1908876971"/>
          <w:jc w:val="center"/>
        </w:trPr>
        <w:tc>
          <w:tcPr>
            <w:tcW w:w="0" w:type="auto"/>
            <w:gridSpan w:val="3"/>
            <w:shd w:val="clear" w:color="auto" w:fill="CCEEFF"/>
            <w:tcMar>
              <w:top w:w="30" w:type="dxa"/>
              <w:left w:w="155" w:type="dxa"/>
              <w:bottom w:w="30" w:type="dxa"/>
              <w:right w:w="20" w:type="dxa"/>
            </w:tcMar>
            <w:vAlign w:val="bottom"/>
            <w:hideMark/>
          </w:tcPr>
          <w:p w14:paraId="3BDAC029" w14:textId="77777777" w:rsidR="00000000" w:rsidRDefault="00EE5306">
            <w:pPr>
              <w:spacing w:after="100"/>
              <w:rPr>
                <w:rFonts w:eastAsia="Times New Roman"/>
              </w:rPr>
            </w:pPr>
            <w:r>
              <w:rPr>
                <w:rFonts w:eastAsia="Times New Roman"/>
                <w:color w:val="000000"/>
                <w:sz w:val="19"/>
                <w:szCs w:val="19"/>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14:paraId="520AC58D"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9983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60BE8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7A57B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844FC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F4D9D5" w14:textId="77777777" w:rsidR="00000000" w:rsidRDefault="00EE5306">
            <w:pPr>
              <w:spacing w:after="100"/>
              <w:rPr>
                <w:rFonts w:eastAsia="Times New Roman"/>
                <w:sz w:val="20"/>
                <w:szCs w:val="20"/>
              </w:rPr>
            </w:pPr>
          </w:p>
        </w:tc>
      </w:tr>
      <w:tr w:rsidR="00000000" w14:paraId="1ABD9A2C" w14:textId="77777777">
        <w:trPr>
          <w:divId w:val="1908876971"/>
          <w:jc w:val="center"/>
        </w:trPr>
        <w:tc>
          <w:tcPr>
            <w:tcW w:w="0" w:type="auto"/>
            <w:gridSpan w:val="3"/>
            <w:shd w:val="clear" w:color="auto" w:fill="FFFFFF"/>
            <w:tcMar>
              <w:top w:w="30" w:type="dxa"/>
              <w:left w:w="380" w:type="dxa"/>
              <w:bottom w:w="30" w:type="dxa"/>
              <w:right w:w="20" w:type="dxa"/>
            </w:tcMar>
            <w:vAlign w:val="bottom"/>
            <w:hideMark/>
          </w:tcPr>
          <w:p w14:paraId="02C47D15" w14:textId="77777777" w:rsidR="00000000" w:rsidRDefault="00EE5306">
            <w:pPr>
              <w:spacing w:after="100"/>
              <w:rPr>
                <w:rFonts w:eastAsia="Times New Roman"/>
              </w:rPr>
            </w:pPr>
            <w:r>
              <w:rPr>
                <w:rFonts w:eastAsia="Times New Roman"/>
                <w:color w:val="000000"/>
                <w:sz w:val="19"/>
                <w:szCs w:val="19"/>
              </w:rPr>
              <w:t>Accounts receivable</w:t>
            </w:r>
          </w:p>
        </w:tc>
        <w:tc>
          <w:tcPr>
            <w:tcW w:w="0" w:type="auto"/>
            <w:gridSpan w:val="3"/>
            <w:shd w:val="clear" w:color="auto" w:fill="FFFFFF"/>
            <w:tcMar>
              <w:top w:w="0" w:type="dxa"/>
              <w:left w:w="20" w:type="dxa"/>
              <w:bottom w:w="0" w:type="dxa"/>
              <w:right w:w="20" w:type="dxa"/>
            </w:tcMar>
            <w:vAlign w:val="center"/>
            <w:hideMark/>
          </w:tcPr>
          <w:p w14:paraId="46FF4E8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750204" w14:textId="77777777" w:rsidR="00000000" w:rsidRDefault="00EE5306">
            <w:pPr>
              <w:spacing w:after="100"/>
              <w:jc w:val="right"/>
              <w:rPr>
                <w:rFonts w:eastAsia="Times New Roman"/>
              </w:rPr>
            </w:pPr>
            <w:r>
              <w:rPr>
                <w:rFonts w:eastAsia="Times New Roman"/>
                <w:color w:val="000000"/>
                <w:sz w:val="19"/>
                <w:szCs w:val="19"/>
              </w:rPr>
              <w:t>(143.0)</w:t>
            </w:r>
          </w:p>
        </w:tc>
        <w:tc>
          <w:tcPr>
            <w:tcW w:w="0" w:type="auto"/>
            <w:shd w:val="clear" w:color="auto" w:fill="FFFFFF"/>
            <w:tcMar>
              <w:top w:w="30" w:type="dxa"/>
              <w:left w:w="0" w:type="dxa"/>
              <w:bottom w:w="30" w:type="dxa"/>
              <w:right w:w="20" w:type="dxa"/>
            </w:tcMar>
            <w:vAlign w:val="bottom"/>
            <w:hideMark/>
          </w:tcPr>
          <w:p w14:paraId="62DB23E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E181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EEC76E" w14:textId="77777777" w:rsidR="00000000" w:rsidRDefault="00EE5306">
            <w:pPr>
              <w:spacing w:after="100"/>
              <w:jc w:val="right"/>
              <w:rPr>
                <w:rFonts w:eastAsia="Times New Roman"/>
              </w:rPr>
            </w:pPr>
            <w:r>
              <w:rPr>
                <w:rFonts w:eastAsia="Times New Roman"/>
                <w:color w:val="000000"/>
                <w:sz w:val="19"/>
                <w:szCs w:val="19"/>
              </w:rPr>
              <w:t>57.6 </w:t>
            </w:r>
          </w:p>
        </w:tc>
        <w:tc>
          <w:tcPr>
            <w:tcW w:w="0" w:type="auto"/>
            <w:shd w:val="clear" w:color="auto" w:fill="FFFFFF"/>
            <w:tcMar>
              <w:top w:w="30" w:type="dxa"/>
              <w:left w:w="0" w:type="dxa"/>
              <w:bottom w:w="30" w:type="dxa"/>
              <w:right w:w="20" w:type="dxa"/>
            </w:tcMar>
            <w:vAlign w:val="bottom"/>
            <w:hideMark/>
          </w:tcPr>
          <w:p w14:paraId="3C658CB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44CC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934C22" w14:textId="77777777" w:rsidR="00000000" w:rsidRDefault="00EE5306">
            <w:pPr>
              <w:spacing w:after="100"/>
              <w:jc w:val="right"/>
              <w:rPr>
                <w:rFonts w:eastAsia="Times New Roman"/>
              </w:rPr>
            </w:pPr>
            <w:r>
              <w:rPr>
                <w:rFonts w:eastAsia="Times New Roman"/>
                <w:color w:val="000000"/>
                <w:sz w:val="19"/>
                <w:szCs w:val="19"/>
              </w:rPr>
              <w:t>10.1 </w:t>
            </w:r>
          </w:p>
        </w:tc>
        <w:tc>
          <w:tcPr>
            <w:tcW w:w="0" w:type="auto"/>
            <w:shd w:val="clear" w:color="auto" w:fill="FFFFFF"/>
            <w:tcMar>
              <w:top w:w="30" w:type="dxa"/>
              <w:left w:w="0" w:type="dxa"/>
              <w:bottom w:w="30" w:type="dxa"/>
              <w:right w:w="20" w:type="dxa"/>
            </w:tcMar>
            <w:vAlign w:val="bottom"/>
            <w:hideMark/>
          </w:tcPr>
          <w:p w14:paraId="1ADC9144" w14:textId="77777777" w:rsidR="00000000" w:rsidRDefault="00EE5306">
            <w:pPr>
              <w:spacing w:after="100"/>
              <w:jc w:val="right"/>
              <w:rPr>
                <w:rFonts w:eastAsia="Times New Roman"/>
              </w:rPr>
            </w:pPr>
          </w:p>
        </w:tc>
      </w:tr>
      <w:tr w:rsidR="00000000" w14:paraId="7BCC3CD0" w14:textId="77777777">
        <w:trPr>
          <w:divId w:val="1908876971"/>
          <w:jc w:val="center"/>
        </w:trPr>
        <w:tc>
          <w:tcPr>
            <w:tcW w:w="0" w:type="auto"/>
            <w:gridSpan w:val="3"/>
            <w:shd w:val="clear" w:color="auto" w:fill="CCEEFF"/>
            <w:tcMar>
              <w:top w:w="30" w:type="dxa"/>
              <w:left w:w="380" w:type="dxa"/>
              <w:bottom w:w="30" w:type="dxa"/>
              <w:right w:w="20" w:type="dxa"/>
            </w:tcMar>
            <w:vAlign w:val="bottom"/>
            <w:hideMark/>
          </w:tcPr>
          <w:p w14:paraId="76D053DC" w14:textId="77777777" w:rsidR="00000000" w:rsidRDefault="00EE5306">
            <w:pPr>
              <w:spacing w:after="100"/>
              <w:rPr>
                <w:rFonts w:eastAsia="Times New Roman"/>
              </w:rPr>
            </w:pPr>
            <w:r>
              <w:rPr>
                <w:rFonts w:eastAsia="Times New Roman"/>
                <w:color w:val="000000"/>
                <w:sz w:val="19"/>
                <w:szCs w:val="19"/>
              </w:rPr>
              <w:t>Inventories</w:t>
            </w:r>
          </w:p>
        </w:tc>
        <w:tc>
          <w:tcPr>
            <w:tcW w:w="0" w:type="auto"/>
            <w:gridSpan w:val="3"/>
            <w:shd w:val="clear" w:color="auto" w:fill="CCEEFF"/>
            <w:tcMar>
              <w:top w:w="0" w:type="dxa"/>
              <w:left w:w="20" w:type="dxa"/>
              <w:bottom w:w="0" w:type="dxa"/>
              <w:right w:w="20" w:type="dxa"/>
            </w:tcMar>
            <w:vAlign w:val="center"/>
            <w:hideMark/>
          </w:tcPr>
          <w:p w14:paraId="312E22D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FC99E8" w14:textId="77777777" w:rsidR="00000000" w:rsidRDefault="00EE5306">
            <w:pPr>
              <w:spacing w:after="100"/>
              <w:jc w:val="right"/>
              <w:rPr>
                <w:rFonts w:eastAsia="Times New Roman"/>
              </w:rPr>
            </w:pPr>
            <w:r>
              <w:rPr>
                <w:rFonts w:eastAsia="Times New Roman"/>
                <w:color w:val="000000"/>
                <w:sz w:val="19"/>
                <w:szCs w:val="19"/>
              </w:rPr>
              <w:t>3.7 </w:t>
            </w:r>
          </w:p>
        </w:tc>
        <w:tc>
          <w:tcPr>
            <w:tcW w:w="0" w:type="auto"/>
            <w:shd w:val="clear" w:color="auto" w:fill="CCEEFF"/>
            <w:tcMar>
              <w:top w:w="30" w:type="dxa"/>
              <w:left w:w="0" w:type="dxa"/>
              <w:bottom w:w="30" w:type="dxa"/>
              <w:right w:w="20" w:type="dxa"/>
            </w:tcMar>
            <w:vAlign w:val="bottom"/>
            <w:hideMark/>
          </w:tcPr>
          <w:p w14:paraId="62A92B6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2EB4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37F87A" w14:textId="77777777" w:rsidR="00000000" w:rsidRDefault="00EE5306">
            <w:pPr>
              <w:spacing w:after="100"/>
              <w:jc w:val="right"/>
              <w:rPr>
                <w:rFonts w:eastAsia="Times New Roman"/>
              </w:rPr>
            </w:pPr>
            <w:r>
              <w:rPr>
                <w:rFonts w:eastAsia="Times New Roman"/>
                <w:color w:val="000000"/>
                <w:sz w:val="19"/>
                <w:szCs w:val="19"/>
              </w:rPr>
              <w:t>72.3 </w:t>
            </w:r>
          </w:p>
        </w:tc>
        <w:tc>
          <w:tcPr>
            <w:tcW w:w="0" w:type="auto"/>
            <w:shd w:val="clear" w:color="auto" w:fill="CCEEFF"/>
            <w:tcMar>
              <w:top w:w="30" w:type="dxa"/>
              <w:left w:w="0" w:type="dxa"/>
              <w:bottom w:w="30" w:type="dxa"/>
              <w:right w:w="20" w:type="dxa"/>
            </w:tcMar>
            <w:vAlign w:val="bottom"/>
            <w:hideMark/>
          </w:tcPr>
          <w:p w14:paraId="36442E5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1DCF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782156" w14:textId="77777777" w:rsidR="00000000" w:rsidRDefault="00EE5306">
            <w:pPr>
              <w:spacing w:after="100"/>
              <w:jc w:val="right"/>
              <w:rPr>
                <w:rFonts w:eastAsia="Times New Roman"/>
              </w:rPr>
            </w:pPr>
            <w:r>
              <w:rPr>
                <w:rFonts w:eastAsia="Times New Roman"/>
                <w:color w:val="000000"/>
                <w:sz w:val="19"/>
                <w:szCs w:val="19"/>
              </w:rPr>
              <w:t>(83.6)</w:t>
            </w:r>
          </w:p>
        </w:tc>
        <w:tc>
          <w:tcPr>
            <w:tcW w:w="0" w:type="auto"/>
            <w:shd w:val="clear" w:color="auto" w:fill="CCEEFF"/>
            <w:tcMar>
              <w:top w:w="30" w:type="dxa"/>
              <w:left w:w="0" w:type="dxa"/>
              <w:bottom w:w="30" w:type="dxa"/>
              <w:right w:w="20" w:type="dxa"/>
            </w:tcMar>
            <w:vAlign w:val="bottom"/>
            <w:hideMark/>
          </w:tcPr>
          <w:p w14:paraId="05A3E671" w14:textId="77777777" w:rsidR="00000000" w:rsidRDefault="00EE5306">
            <w:pPr>
              <w:spacing w:after="100"/>
              <w:jc w:val="right"/>
              <w:rPr>
                <w:rFonts w:eastAsia="Times New Roman"/>
              </w:rPr>
            </w:pPr>
          </w:p>
        </w:tc>
      </w:tr>
      <w:tr w:rsidR="00000000" w14:paraId="16161CEC" w14:textId="77777777">
        <w:trPr>
          <w:divId w:val="1908876971"/>
          <w:jc w:val="center"/>
        </w:trPr>
        <w:tc>
          <w:tcPr>
            <w:tcW w:w="0" w:type="auto"/>
            <w:gridSpan w:val="3"/>
            <w:shd w:val="clear" w:color="auto" w:fill="FFFFFF"/>
            <w:tcMar>
              <w:top w:w="30" w:type="dxa"/>
              <w:left w:w="380" w:type="dxa"/>
              <w:bottom w:w="30" w:type="dxa"/>
              <w:right w:w="20" w:type="dxa"/>
            </w:tcMar>
            <w:vAlign w:val="bottom"/>
            <w:hideMark/>
          </w:tcPr>
          <w:p w14:paraId="6545E781" w14:textId="77777777" w:rsidR="00000000" w:rsidRDefault="00EE5306">
            <w:pPr>
              <w:spacing w:after="100"/>
              <w:rPr>
                <w:rFonts w:eastAsia="Times New Roman"/>
              </w:rPr>
            </w:pPr>
            <w:r>
              <w:rPr>
                <w:rFonts w:eastAsia="Times New Roman"/>
                <w:color w:val="000000"/>
                <w:sz w:val="19"/>
                <w:szCs w:val="19"/>
              </w:rPr>
              <w:t>Prepaid expenses and other current assets</w:t>
            </w:r>
          </w:p>
        </w:tc>
        <w:tc>
          <w:tcPr>
            <w:tcW w:w="0" w:type="auto"/>
            <w:gridSpan w:val="3"/>
            <w:shd w:val="clear" w:color="auto" w:fill="FFFFFF"/>
            <w:tcMar>
              <w:top w:w="0" w:type="dxa"/>
              <w:left w:w="20" w:type="dxa"/>
              <w:bottom w:w="0" w:type="dxa"/>
              <w:right w:w="20" w:type="dxa"/>
            </w:tcMar>
            <w:vAlign w:val="center"/>
            <w:hideMark/>
          </w:tcPr>
          <w:p w14:paraId="45CF281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41C73C" w14:textId="77777777" w:rsidR="00000000" w:rsidRDefault="00EE5306">
            <w:pPr>
              <w:spacing w:after="100"/>
              <w:jc w:val="right"/>
              <w:rPr>
                <w:rFonts w:eastAsia="Times New Roman"/>
              </w:rPr>
            </w:pPr>
            <w:r>
              <w:rPr>
                <w:rFonts w:eastAsia="Times New Roman"/>
                <w:color w:val="000000"/>
                <w:sz w:val="19"/>
                <w:szCs w:val="19"/>
              </w:rPr>
              <w:t>5.2 </w:t>
            </w:r>
          </w:p>
        </w:tc>
        <w:tc>
          <w:tcPr>
            <w:tcW w:w="0" w:type="auto"/>
            <w:shd w:val="clear" w:color="auto" w:fill="FFFFFF"/>
            <w:tcMar>
              <w:top w:w="30" w:type="dxa"/>
              <w:left w:w="0" w:type="dxa"/>
              <w:bottom w:w="30" w:type="dxa"/>
              <w:right w:w="20" w:type="dxa"/>
            </w:tcMar>
            <w:vAlign w:val="bottom"/>
            <w:hideMark/>
          </w:tcPr>
          <w:p w14:paraId="71850A3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5830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E13D7F" w14:textId="77777777" w:rsidR="00000000" w:rsidRDefault="00EE5306">
            <w:pPr>
              <w:spacing w:after="100"/>
              <w:jc w:val="right"/>
              <w:rPr>
                <w:rFonts w:eastAsia="Times New Roman"/>
              </w:rPr>
            </w:pPr>
            <w:r>
              <w:rPr>
                <w:rFonts w:eastAsia="Times New Roman"/>
                <w:color w:val="000000"/>
                <w:sz w:val="19"/>
                <w:szCs w:val="19"/>
              </w:rPr>
              <w:t>58.2 </w:t>
            </w:r>
          </w:p>
        </w:tc>
        <w:tc>
          <w:tcPr>
            <w:tcW w:w="0" w:type="auto"/>
            <w:shd w:val="clear" w:color="auto" w:fill="FFFFFF"/>
            <w:tcMar>
              <w:top w:w="30" w:type="dxa"/>
              <w:left w:w="0" w:type="dxa"/>
              <w:bottom w:w="30" w:type="dxa"/>
              <w:right w:w="20" w:type="dxa"/>
            </w:tcMar>
            <w:vAlign w:val="bottom"/>
            <w:hideMark/>
          </w:tcPr>
          <w:p w14:paraId="0E011EA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2E87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9D8667" w14:textId="77777777" w:rsidR="00000000" w:rsidRDefault="00EE5306">
            <w:pPr>
              <w:spacing w:after="100"/>
              <w:jc w:val="right"/>
              <w:rPr>
                <w:rFonts w:eastAsia="Times New Roman"/>
              </w:rPr>
            </w:pPr>
            <w:r>
              <w:rPr>
                <w:rFonts w:eastAsia="Times New Roman"/>
                <w:color w:val="000000"/>
                <w:sz w:val="19"/>
                <w:szCs w:val="19"/>
              </w:rPr>
              <w:t>(40.5)</w:t>
            </w:r>
          </w:p>
        </w:tc>
        <w:tc>
          <w:tcPr>
            <w:tcW w:w="0" w:type="auto"/>
            <w:shd w:val="clear" w:color="auto" w:fill="FFFFFF"/>
            <w:tcMar>
              <w:top w:w="30" w:type="dxa"/>
              <w:left w:w="0" w:type="dxa"/>
              <w:bottom w:w="30" w:type="dxa"/>
              <w:right w:w="20" w:type="dxa"/>
            </w:tcMar>
            <w:vAlign w:val="bottom"/>
            <w:hideMark/>
          </w:tcPr>
          <w:p w14:paraId="143A27D0" w14:textId="77777777" w:rsidR="00000000" w:rsidRDefault="00EE5306">
            <w:pPr>
              <w:spacing w:after="100"/>
              <w:jc w:val="right"/>
              <w:rPr>
                <w:rFonts w:eastAsia="Times New Roman"/>
              </w:rPr>
            </w:pPr>
          </w:p>
        </w:tc>
      </w:tr>
      <w:tr w:rsidR="00000000" w14:paraId="4EEC30E7" w14:textId="77777777">
        <w:trPr>
          <w:divId w:val="1908876971"/>
          <w:jc w:val="center"/>
        </w:trPr>
        <w:tc>
          <w:tcPr>
            <w:tcW w:w="0" w:type="auto"/>
            <w:gridSpan w:val="3"/>
            <w:shd w:val="clear" w:color="auto" w:fill="CCEEFF"/>
            <w:tcMar>
              <w:top w:w="30" w:type="dxa"/>
              <w:left w:w="380" w:type="dxa"/>
              <w:bottom w:w="30" w:type="dxa"/>
              <w:right w:w="20" w:type="dxa"/>
            </w:tcMar>
            <w:vAlign w:val="bottom"/>
            <w:hideMark/>
          </w:tcPr>
          <w:p w14:paraId="696052B6" w14:textId="77777777" w:rsidR="00000000" w:rsidRDefault="00EE5306">
            <w:pPr>
              <w:spacing w:after="100"/>
              <w:rPr>
                <w:rFonts w:eastAsia="Times New Roman"/>
              </w:rPr>
            </w:pPr>
            <w:r>
              <w:rPr>
                <w:rFonts w:eastAsia="Times New Roman"/>
                <w:color w:val="000000"/>
                <w:sz w:val="19"/>
                <w:szCs w:val="19"/>
              </w:rPr>
              <w:t>Accounts payable and accrued liabilities</w:t>
            </w:r>
          </w:p>
        </w:tc>
        <w:tc>
          <w:tcPr>
            <w:tcW w:w="0" w:type="auto"/>
            <w:gridSpan w:val="3"/>
            <w:shd w:val="clear" w:color="auto" w:fill="CCEEFF"/>
            <w:tcMar>
              <w:top w:w="0" w:type="dxa"/>
              <w:left w:w="20" w:type="dxa"/>
              <w:bottom w:w="0" w:type="dxa"/>
              <w:right w:w="20" w:type="dxa"/>
            </w:tcMar>
            <w:vAlign w:val="center"/>
            <w:hideMark/>
          </w:tcPr>
          <w:p w14:paraId="2F520D2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D030E4" w14:textId="77777777" w:rsidR="00000000" w:rsidRDefault="00EE5306">
            <w:pPr>
              <w:spacing w:after="100"/>
              <w:jc w:val="right"/>
              <w:rPr>
                <w:rFonts w:eastAsia="Times New Roman"/>
              </w:rPr>
            </w:pPr>
            <w:r>
              <w:rPr>
                <w:rFonts w:eastAsia="Times New Roman"/>
                <w:color w:val="000000"/>
                <w:sz w:val="19"/>
                <w:szCs w:val="19"/>
              </w:rPr>
              <w:t>296.8 </w:t>
            </w:r>
          </w:p>
        </w:tc>
        <w:tc>
          <w:tcPr>
            <w:tcW w:w="0" w:type="auto"/>
            <w:shd w:val="clear" w:color="auto" w:fill="CCEEFF"/>
            <w:tcMar>
              <w:top w:w="30" w:type="dxa"/>
              <w:left w:w="0" w:type="dxa"/>
              <w:bottom w:w="30" w:type="dxa"/>
              <w:right w:w="20" w:type="dxa"/>
            </w:tcMar>
            <w:vAlign w:val="bottom"/>
            <w:hideMark/>
          </w:tcPr>
          <w:p w14:paraId="42F087D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874C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C42A05" w14:textId="77777777" w:rsidR="00000000" w:rsidRDefault="00EE5306">
            <w:pPr>
              <w:spacing w:after="100"/>
              <w:jc w:val="right"/>
              <w:rPr>
                <w:rFonts w:eastAsia="Times New Roman"/>
              </w:rPr>
            </w:pPr>
            <w:r>
              <w:rPr>
                <w:rFonts w:eastAsia="Times New Roman"/>
                <w:color w:val="000000"/>
                <w:sz w:val="19"/>
                <w:szCs w:val="19"/>
              </w:rPr>
              <w:t>(64.3)</w:t>
            </w:r>
          </w:p>
        </w:tc>
        <w:tc>
          <w:tcPr>
            <w:tcW w:w="0" w:type="auto"/>
            <w:shd w:val="clear" w:color="auto" w:fill="CCEEFF"/>
            <w:tcMar>
              <w:top w:w="30" w:type="dxa"/>
              <w:left w:w="0" w:type="dxa"/>
              <w:bottom w:w="30" w:type="dxa"/>
              <w:right w:w="20" w:type="dxa"/>
            </w:tcMar>
            <w:vAlign w:val="bottom"/>
            <w:hideMark/>
          </w:tcPr>
          <w:p w14:paraId="678CB8B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9809F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C34ABC" w14:textId="77777777" w:rsidR="00000000" w:rsidRDefault="00EE5306">
            <w:pPr>
              <w:spacing w:after="100"/>
              <w:jc w:val="right"/>
              <w:rPr>
                <w:rFonts w:eastAsia="Times New Roman"/>
              </w:rPr>
            </w:pPr>
            <w:r>
              <w:rPr>
                <w:rFonts w:eastAsia="Times New Roman"/>
                <w:color w:val="000000"/>
                <w:sz w:val="19"/>
                <w:szCs w:val="19"/>
              </w:rPr>
              <w:t>(4.7)</w:t>
            </w:r>
          </w:p>
        </w:tc>
        <w:tc>
          <w:tcPr>
            <w:tcW w:w="0" w:type="auto"/>
            <w:shd w:val="clear" w:color="auto" w:fill="CCEEFF"/>
            <w:tcMar>
              <w:top w:w="30" w:type="dxa"/>
              <w:left w:w="0" w:type="dxa"/>
              <w:bottom w:w="30" w:type="dxa"/>
              <w:right w:w="20" w:type="dxa"/>
            </w:tcMar>
            <w:vAlign w:val="bottom"/>
            <w:hideMark/>
          </w:tcPr>
          <w:p w14:paraId="5216C764" w14:textId="77777777" w:rsidR="00000000" w:rsidRDefault="00EE5306">
            <w:pPr>
              <w:spacing w:after="100"/>
              <w:jc w:val="right"/>
              <w:rPr>
                <w:rFonts w:eastAsia="Times New Roman"/>
              </w:rPr>
            </w:pPr>
          </w:p>
        </w:tc>
      </w:tr>
      <w:tr w:rsidR="00000000" w14:paraId="0BA65432" w14:textId="77777777">
        <w:trPr>
          <w:divId w:val="1908876971"/>
          <w:jc w:val="center"/>
        </w:trPr>
        <w:tc>
          <w:tcPr>
            <w:tcW w:w="0" w:type="auto"/>
            <w:gridSpan w:val="3"/>
            <w:shd w:val="clear" w:color="auto" w:fill="FFFFFF"/>
            <w:tcMar>
              <w:top w:w="30" w:type="dxa"/>
              <w:left w:w="380" w:type="dxa"/>
              <w:bottom w:w="30" w:type="dxa"/>
              <w:right w:w="20" w:type="dxa"/>
            </w:tcMar>
            <w:vAlign w:val="bottom"/>
            <w:hideMark/>
          </w:tcPr>
          <w:p w14:paraId="561CE522" w14:textId="77777777" w:rsidR="00000000" w:rsidRDefault="00EE5306">
            <w:pPr>
              <w:spacing w:after="100"/>
              <w:rPr>
                <w:rFonts w:eastAsia="Times New Roman"/>
              </w:rPr>
            </w:pPr>
            <w:r>
              <w:rPr>
                <w:rFonts w:eastAsia="Times New Roman"/>
                <w:color w:val="000000"/>
                <w:sz w:val="19"/>
                <w:szCs w:val="19"/>
              </w:rPr>
              <w:t>Income tax receivables and payables</w:t>
            </w:r>
          </w:p>
        </w:tc>
        <w:tc>
          <w:tcPr>
            <w:tcW w:w="0" w:type="auto"/>
            <w:gridSpan w:val="3"/>
            <w:shd w:val="clear" w:color="auto" w:fill="FFFFFF"/>
            <w:tcMar>
              <w:top w:w="0" w:type="dxa"/>
              <w:left w:w="20" w:type="dxa"/>
              <w:bottom w:w="0" w:type="dxa"/>
              <w:right w:w="20" w:type="dxa"/>
            </w:tcMar>
            <w:vAlign w:val="center"/>
            <w:hideMark/>
          </w:tcPr>
          <w:p w14:paraId="2D8F33A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BE4405" w14:textId="77777777" w:rsidR="00000000" w:rsidRDefault="00EE5306">
            <w:pPr>
              <w:spacing w:after="100"/>
              <w:jc w:val="right"/>
              <w:rPr>
                <w:rFonts w:eastAsia="Times New Roman"/>
              </w:rPr>
            </w:pPr>
            <w:r>
              <w:rPr>
                <w:rFonts w:eastAsia="Times New Roman"/>
                <w:color w:val="000000"/>
                <w:sz w:val="19"/>
                <w:szCs w:val="19"/>
              </w:rPr>
              <w:t>(37.8)</w:t>
            </w:r>
          </w:p>
        </w:tc>
        <w:tc>
          <w:tcPr>
            <w:tcW w:w="0" w:type="auto"/>
            <w:shd w:val="clear" w:color="auto" w:fill="FFFFFF"/>
            <w:tcMar>
              <w:top w:w="30" w:type="dxa"/>
              <w:left w:w="0" w:type="dxa"/>
              <w:bottom w:w="30" w:type="dxa"/>
              <w:right w:w="20" w:type="dxa"/>
            </w:tcMar>
            <w:vAlign w:val="bottom"/>
            <w:hideMark/>
          </w:tcPr>
          <w:p w14:paraId="43445B4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F202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31D5E2" w14:textId="77777777" w:rsidR="00000000" w:rsidRDefault="00EE5306">
            <w:pPr>
              <w:spacing w:after="100"/>
              <w:jc w:val="right"/>
              <w:rPr>
                <w:rFonts w:eastAsia="Times New Roman"/>
              </w:rPr>
            </w:pPr>
            <w:r>
              <w:rPr>
                <w:rFonts w:eastAsia="Times New Roman"/>
                <w:color w:val="000000"/>
                <w:sz w:val="19"/>
                <w:szCs w:val="19"/>
              </w:rPr>
              <w:t>(42.5)</w:t>
            </w:r>
          </w:p>
        </w:tc>
        <w:tc>
          <w:tcPr>
            <w:tcW w:w="0" w:type="auto"/>
            <w:shd w:val="clear" w:color="auto" w:fill="FFFFFF"/>
            <w:tcMar>
              <w:top w:w="30" w:type="dxa"/>
              <w:left w:w="0" w:type="dxa"/>
              <w:bottom w:w="30" w:type="dxa"/>
              <w:right w:w="20" w:type="dxa"/>
            </w:tcMar>
            <w:vAlign w:val="bottom"/>
            <w:hideMark/>
          </w:tcPr>
          <w:p w14:paraId="3CE704C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F6A0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82CA82" w14:textId="77777777" w:rsidR="00000000" w:rsidRDefault="00EE5306">
            <w:pPr>
              <w:spacing w:after="100"/>
              <w:jc w:val="right"/>
              <w:rPr>
                <w:rFonts w:eastAsia="Times New Roman"/>
              </w:rPr>
            </w:pPr>
            <w:r>
              <w:rPr>
                <w:rFonts w:eastAsia="Times New Roman"/>
                <w:color w:val="000000"/>
                <w:sz w:val="19"/>
                <w:szCs w:val="19"/>
              </w:rPr>
              <w:t>29.7 </w:t>
            </w:r>
          </w:p>
        </w:tc>
        <w:tc>
          <w:tcPr>
            <w:tcW w:w="0" w:type="auto"/>
            <w:shd w:val="clear" w:color="auto" w:fill="FFFFFF"/>
            <w:tcMar>
              <w:top w:w="30" w:type="dxa"/>
              <w:left w:w="0" w:type="dxa"/>
              <w:bottom w:w="30" w:type="dxa"/>
              <w:right w:w="20" w:type="dxa"/>
            </w:tcMar>
            <w:vAlign w:val="bottom"/>
            <w:hideMark/>
          </w:tcPr>
          <w:p w14:paraId="759FB9C3" w14:textId="77777777" w:rsidR="00000000" w:rsidRDefault="00EE5306">
            <w:pPr>
              <w:spacing w:after="100"/>
              <w:jc w:val="right"/>
              <w:rPr>
                <w:rFonts w:eastAsia="Times New Roman"/>
              </w:rPr>
            </w:pPr>
          </w:p>
        </w:tc>
      </w:tr>
      <w:tr w:rsidR="00000000" w14:paraId="27E83E7E" w14:textId="77777777">
        <w:trPr>
          <w:divId w:val="1908876971"/>
          <w:jc w:val="center"/>
        </w:trPr>
        <w:tc>
          <w:tcPr>
            <w:tcW w:w="0" w:type="auto"/>
            <w:gridSpan w:val="3"/>
            <w:shd w:val="clear" w:color="auto" w:fill="CCEEFF"/>
            <w:tcMar>
              <w:top w:w="30" w:type="dxa"/>
              <w:left w:w="380" w:type="dxa"/>
              <w:bottom w:w="30" w:type="dxa"/>
              <w:right w:w="20" w:type="dxa"/>
            </w:tcMar>
            <w:vAlign w:val="bottom"/>
            <w:hideMark/>
          </w:tcPr>
          <w:p w14:paraId="06F8BA70" w14:textId="77777777" w:rsidR="00000000" w:rsidRDefault="00EE5306">
            <w:pPr>
              <w:spacing w:after="100"/>
              <w:rPr>
                <w:rFonts w:eastAsia="Times New Roman"/>
              </w:rPr>
            </w:pPr>
            <w:r>
              <w:rPr>
                <w:rFonts w:eastAsia="Times New Roman"/>
                <w:color w:val="000000"/>
                <w:sz w:val="19"/>
                <w:szCs w:val="19"/>
              </w:rPr>
              <w:t>Deferred income</w:t>
            </w:r>
          </w:p>
        </w:tc>
        <w:tc>
          <w:tcPr>
            <w:tcW w:w="0" w:type="auto"/>
            <w:gridSpan w:val="3"/>
            <w:shd w:val="clear" w:color="auto" w:fill="CCEEFF"/>
            <w:tcMar>
              <w:top w:w="0" w:type="dxa"/>
              <w:left w:w="20" w:type="dxa"/>
              <w:bottom w:w="0" w:type="dxa"/>
              <w:right w:w="20" w:type="dxa"/>
            </w:tcMar>
            <w:vAlign w:val="center"/>
            <w:hideMark/>
          </w:tcPr>
          <w:p w14:paraId="0F151DFA"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2BB7A5" w14:textId="77777777" w:rsidR="00000000" w:rsidRDefault="00EE5306">
            <w:pPr>
              <w:spacing w:after="100"/>
              <w:jc w:val="right"/>
              <w:rPr>
                <w:rFonts w:eastAsia="Times New Roman"/>
              </w:rPr>
            </w:pPr>
            <w:r>
              <w:rPr>
                <w:rFonts w:eastAsia="Times New Roman"/>
                <w:color w:val="000000"/>
                <w:sz w:val="19"/>
                <w:szCs w:val="19"/>
              </w:rPr>
              <w:t>(3.2)</w:t>
            </w:r>
          </w:p>
        </w:tc>
        <w:tc>
          <w:tcPr>
            <w:tcW w:w="0" w:type="auto"/>
            <w:shd w:val="clear" w:color="auto" w:fill="CCEEFF"/>
            <w:tcMar>
              <w:top w:w="30" w:type="dxa"/>
              <w:left w:w="0" w:type="dxa"/>
              <w:bottom w:w="30" w:type="dxa"/>
              <w:right w:w="20" w:type="dxa"/>
            </w:tcMar>
            <w:vAlign w:val="bottom"/>
            <w:hideMark/>
          </w:tcPr>
          <w:p w14:paraId="0030F4C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2B6D3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0947D9"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41161D8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7D21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C43EA1" w14:textId="77777777" w:rsidR="00000000" w:rsidRDefault="00EE5306">
            <w:pPr>
              <w:spacing w:after="100"/>
              <w:jc w:val="right"/>
              <w:rPr>
                <w:rFonts w:eastAsia="Times New Roman"/>
              </w:rPr>
            </w:pPr>
            <w:r>
              <w:rPr>
                <w:rFonts w:eastAsia="Times New Roman"/>
                <w:color w:val="000000"/>
                <w:sz w:val="19"/>
                <w:szCs w:val="19"/>
              </w:rPr>
              <w:t>(16.5)</w:t>
            </w:r>
          </w:p>
        </w:tc>
        <w:tc>
          <w:tcPr>
            <w:tcW w:w="0" w:type="auto"/>
            <w:shd w:val="clear" w:color="auto" w:fill="CCEEFF"/>
            <w:tcMar>
              <w:top w:w="30" w:type="dxa"/>
              <w:left w:w="0" w:type="dxa"/>
              <w:bottom w:w="30" w:type="dxa"/>
              <w:right w:w="20" w:type="dxa"/>
            </w:tcMar>
            <w:vAlign w:val="bottom"/>
            <w:hideMark/>
          </w:tcPr>
          <w:p w14:paraId="3EA3AB1D" w14:textId="77777777" w:rsidR="00000000" w:rsidRDefault="00EE5306">
            <w:pPr>
              <w:spacing w:after="100"/>
              <w:jc w:val="right"/>
              <w:rPr>
                <w:rFonts w:eastAsia="Times New Roman"/>
              </w:rPr>
            </w:pPr>
          </w:p>
        </w:tc>
      </w:tr>
      <w:tr w:rsidR="00000000" w14:paraId="54520464" w14:textId="77777777">
        <w:trPr>
          <w:divId w:val="1908876971"/>
          <w:jc w:val="center"/>
        </w:trPr>
        <w:tc>
          <w:tcPr>
            <w:tcW w:w="0" w:type="auto"/>
            <w:gridSpan w:val="3"/>
            <w:shd w:val="clear" w:color="auto" w:fill="FFFFFF"/>
            <w:tcMar>
              <w:top w:w="30" w:type="dxa"/>
              <w:left w:w="380" w:type="dxa"/>
              <w:bottom w:w="30" w:type="dxa"/>
              <w:right w:w="20" w:type="dxa"/>
            </w:tcMar>
            <w:vAlign w:val="bottom"/>
            <w:hideMark/>
          </w:tcPr>
          <w:p w14:paraId="13B24224" w14:textId="77777777" w:rsidR="00000000" w:rsidRDefault="00EE5306">
            <w:pPr>
              <w:spacing w:after="100"/>
              <w:rPr>
                <w:rFonts w:eastAsia="Times New Roman"/>
              </w:rPr>
            </w:pPr>
            <w:r>
              <w:rPr>
                <w:rFonts w:eastAsia="Times New Roman"/>
                <w:color w:val="000000"/>
                <w:sz w:val="19"/>
                <w:szCs w:val="19"/>
              </w:rPr>
              <w:t>Other balance sheet changes</w:t>
            </w:r>
          </w:p>
        </w:tc>
        <w:tc>
          <w:tcPr>
            <w:tcW w:w="0" w:type="auto"/>
            <w:gridSpan w:val="3"/>
            <w:shd w:val="clear" w:color="auto" w:fill="FFFFFF"/>
            <w:tcMar>
              <w:top w:w="0" w:type="dxa"/>
              <w:left w:w="20" w:type="dxa"/>
              <w:bottom w:w="0" w:type="dxa"/>
              <w:right w:w="20" w:type="dxa"/>
            </w:tcMar>
            <w:vAlign w:val="center"/>
            <w:hideMark/>
          </w:tcPr>
          <w:p w14:paraId="38A014C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4ADF60" w14:textId="77777777" w:rsidR="00000000" w:rsidRDefault="00EE5306">
            <w:pPr>
              <w:spacing w:after="100"/>
              <w:jc w:val="right"/>
              <w:rPr>
                <w:rFonts w:eastAsia="Times New Roman"/>
              </w:rPr>
            </w:pPr>
            <w:r>
              <w:rPr>
                <w:rFonts w:eastAsia="Times New Roman"/>
                <w:color w:val="000000"/>
                <w:sz w:val="19"/>
                <w:szCs w:val="19"/>
              </w:rPr>
              <w:t>(45.8)</w:t>
            </w:r>
          </w:p>
        </w:tc>
        <w:tc>
          <w:tcPr>
            <w:tcW w:w="0" w:type="auto"/>
            <w:shd w:val="clear" w:color="auto" w:fill="FFFFFF"/>
            <w:tcMar>
              <w:top w:w="30" w:type="dxa"/>
              <w:left w:w="0" w:type="dxa"/>
              <w:bottom w:w="30" w:type="dxa"/>
              <w:right w:w="20" w:type="dxa"/>
            </w:tcMar>
            <w:vAlign w:val="bottom"/>
            <w:hideMark/>
          </w:tcPr>
          <w:p w14:paraId="03685D1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C7EE8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16B391" w14:textId="77777777" w:rsidR="00000000" w:rsidRDefault="00EE5306">
            <w:pPr>
              <w:spacing w:after="100"/>
              <w:jc w:val="right"/>
              <w:rPr>
                <w:rFonts w:eastAsia="Times New Roman"/>
              </w:rPr>
            </w:pPr>
            <w:r>
              <w:rPr>
                <w:rFonts w:eastAsia="Times New Roman"/>
                <w:color w:val="000000"/>
                <w:sz w:val="19"/>
                <w:szCs w:val="19"/>
              </w:rPr>
              <w:t>(7.4)</w:t>
            </w:r>
          </w:p>
        </w:tc>
        <w:tc>
          <w:tcPr>
            <w:tcW w:w="0" w:type="auto"/>
            <w:shd w:val="clear" w:color="auto" w:fill="FFFFFF"/>
            <w:tcMar>
              <w:top w:w="30" w:type="dxa"/>
              <w:left w:w="0" w:type="dxa"/>
              <w:bottom w:w="30" w:type="dxa"/>
              <w:right w:w="20" w:type="dxa"/>
            </w:tcMar>
            <w:vAlign w:val="bottom"/>
            <w:hideMark/>
          </w:tcPr>
          <w:p w14:paraId="6BF3AB8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90D0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458010" w14:textId="77777777" w:rsidR="00000000" w:rsidRDefault="00EE5306">
            <w:pPr>
              <w:spacing w:after="100"/>
              <w:jc w:val="right"/>
              <w:rPr>
                <w:rFonts w:eastAsia="Times New Roman"/>
              </w:rPr>
            </w:pPr>
            <w:r>
              <w:rPr>
                <w:rFonts w:eastAsia="Times New Roman"/>
                <w:color w:val="000000"/>
                <w:sz w:val="19"/>
                <w:szCs w:val="19"/>
              </w:rPr>
              <w:t>35.7 </w:t>
            </w:r>
          </w:p>
        </w:tc>
        <w:tc>
          <w:tcPr>
            <w:tcW w:w="0" w:type="auto"/>
            <w:shd w:val="clear" w:color="auto" w:fill="FFFFFF"/>
            <w:tcMar>
              <w:top w:w="30" w:type="dxa"/>
              <w:left w:w="0" w:type="dxa"/>
              <w:bottom w:w="30" w:type="dxa"/>
              <w:right w:w="20" w:type="dxa"/>
            </w:tcMar>
            <w:vAlign w:val="bottom"/>
            <w:hideMark/>
          </w:tcPr>
          <w:p w14:paraId="514EBA68" w14:textId="77777777" w:rsidR="00000000" w:rsidRDefault="00EE5306">
            <w:pPr>
              <w:spacing w:after="100"/>
              <w:jc w:val="right"/>
              <w:rPr>
                <w:rFonts w:eastAsia="Times New Roman"/>
              </w:rPr>
            </w:pPr>
          </w:p>
        </w:tc>
      </w:tr>
      <w:tr w:rsidR="00000000" w14:paraId="0BF0CCF2" w14:textId="77777777">
        <w:trPr>
          <w:divId w:val="1908876971"/>
          <w:jc w:val="center"/>
        </w:trPr>
        <w:tc>
          <w:tcPr>
            <w:tcW w:w="0" w:type="auto"/>
            <w:gridSpan w:val="3"/>
            <w:shd w:val="clear" w:color="auto" w:fill="CCEEFF"/>
            <w:tcMar>
              <w:top w:w="30" w:type="dxa"/>
              <w:left w:w="20" w:type="dxa"/>
              <w:bottom w:w="30" w:type="dxa"/>
              <w:right w:w="20" w:type="dxa"/>
            </w:tcMar>
            <w:vAlign w:val="bottom"/>
            <w:hideMark/>
          </w:tcPr>
          <w:p w14:paraId="697F5DA5" w14:textId="77777777" w:rsidR="00000000" w:rsidRDefault="00EE5306">
            <w:pPr>
              <w:spacing w:after="100"/>
              <w:divId w:val="222327671"/>
              <w:rPr>
                <w:rFonts w:eastAsia="Times New Roman"/>
              </w:rPr>
            </w:pPr>
            <w:r>
              <w:rPr>
                <w:rFonts w:eastAsia="Times New Roman"/>
                <w:b/>
                <w:bCs/>
                <w:color w:val="000000"/>
                <w:sz w:val="19"/>
                <w:szCs w:val="19"/>
              </w:rPr>
              <w:t>Net cash provided by operating activities</w:t>
            </w:r>
            <w:r>
              <w:rPr>
                <w:rFonts w:eastAsia="Times New Roman"/>
                <w:color w:val="000000"/>
                <w:sz w:val="19"/>
                <w:szCs w:val="19"/>
              </w:rPr>
              <w:t xml:space="preserve"> </w:t>
            </w:r>
          </w:p>
        </w:tc>
        <w:tc>
          <w:tcPr>
            <w:tcW w:w="0" w:type="auto"/>
            <w:gridSpan w:val="3"/>
            <w:shd w:val="clear" w:color="auto" w:fill="CCEEFF"/>
            <w:tcMar>
              <w:top w:w="0" w:type="dxa"/>
              <w:left w:w="20" w:type="dxa"/>
              <w:bottom w:w="0" w:type="dxa"/>
              <w:right w:w="20" w:type="dxa"/>
            </w:tcMar>
            <w:vAlign w:val="center"/>
            <w:hideMark/>
          </w:tcPr>
          <w:p w14:paraId="563883AB"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201335" w14:textId="77777777" w:rsidR="00000000" w:rsidRDefault="00EE5306">
            <w:pPr>
              <w:spacing w:after="100"/>
              <w:jc w:val="right"/>
              <w:rPr>
                <w:rFonts w:eastAsia="Times New Roman"/>
              </w:rPr>
            </w:pPr>
            <w:r>
              <w:rPr>
                <w:rFonts w:eastAsia="Times New Roman"/>
                <w:color w:val="000000"/>
                <w:sz w:val="19"/>
                <w:szCs w:val="19"/>
              </w:rPr>
              <w:t>380.9 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8DBB2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1E4BF"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C1267C" w14:textId="77777777" w:rsidR="00000000" w:rsidRDefault="00EE5306">
            <w:pPr>
              <w:spacing w:after="100"/>
              <w:jc w:val="right"/>
              <w:rPr>
                <w:rFonts w:eastAsia="Times New Roman"/>
              </w:rPr>
            </w:pPr>
            <w:r>
              <w:rPr>
                <w:rFonts w:eastAsia="Times New Roman"/>
                <w:color w:val="000000"/>
                <w:sz w:val="19"/>
                <w:szCs w:val="19"/>
              </w:rPr>
              <w:t>754.6 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EE5E9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027F0"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F914E7" w14:textId="77777777" w:rsidR="00000000" w:rsidRDefault="00EE5306">
            <w:pPr>
              <w:spacing w:after="100"/>
              <w:jc w:val="right"/>
              <w:rPr>
                <w:rFonts w:eastAsia="Times New Roman"/>
              </w:rPr>
            </w:pPr>
            <w:r>
              <w:rPr>
                <w:rFonts w:eastAsia="Times New Roman"/>
                <w:color w:val="000000"/>
                <w:sz w:val="19"/>
                <w:szCs w:val="19"/>
              </w:rPr>
              <w:t>783.8 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A3BF5B" w14:textId="77777777" w:rsidR="00000000" w:rsidRDefault="00EE5306">
            <w:pPr>
              <w:spacing w:after="100"/>
              <w:jc w:val="right"/>
              <w:rPr>
                <w:rFonts w:eastAsia="Times New Roman"/>
              </w:rPr>
            </w:pPr>
          </w:p>
        </w:tc>
      </w:tr>
      <w:tr w:rsidR="00000000" w14:paraId="4A988939" w14:textId="77777777">
        <w:trPr>
          <w:divId w:val="1908876971"/>
          <w:jc w:val="center"/>
        </w:trPr>
        <w:tc>
          <w:tcPr>
            <w:tcW w:w="0" w:type="auto"/>
            <w:gridSpan w:val="3"/>
            <w:shd w:val="clear" w:color="auto" w:fill="FFFFFF"/>
            <w:tcMar>
              <w:top w:w="30" w:type="dxa"/>
              <w:left w:w="20" w:type="dxa"/>
              <w:bottom w:w="30" w:type="dxa"/>
              <w:right w:w="20" w:type="dxa"/>
            </w:tcMar>
            <w:vAlign w:val="bottom"/>
            <w:hideMark/>
          </w:tcPr>
          <w:p w14:paraId="2FF30CF3" w14:textId="77777777" w:rsidR="00000000" w:rsidRDefault="00EE5306">
            <w:pPr>
              <w:spacing w:after="100"/>
              <w:rPr>
                <w:rFonts w:eastAsia="Times New Roman"/>
              </w:rPr>
            </w:pPr>
            <w:r>
              <w:rPr>
                <w:rFonts w:eastAsia="Times New Roman"/>
                <w:b/>
                <w:bCs/>
                <w:color w:val="000000"/>
                <w:sz w:val="19"/>
                <w:szCs w:val="19"/>
              </w:rPr>
              <w:t>Cash flows from investing activities:</w:t>
            </w:r>
          </w:p>
        </w:tc>
        <w:tc>
          <w:tcPr>
            <w:tcW w:w="0" w:type="auto"/>
            <w:gridSpan w:val="3"/>
            <w:shd w:val="clear" w:color="auto" w:fill="FFFFFF"/>
            <w:tcMar>
              <w:top w:w="0" w:type="dxa"/>
              <w:left w:w="20" w:type="dxa"/>
              <w:bottom w:w="0" w:type="dxa"/>
              <w:right w:w="20" w:type="dxa"/>
            </w:tcMar>
            <w:vAlign w:val="center"/>
            <w:hideMark/>
          </w:tcPr>
          <w:p w14:paraId="1A448020" w14:textId="77777777" w:rsidR="00000000" w:rsidRDefault="00EE530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F407C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DBCB1E"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0C059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3FDEA2"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44C9FBA" w14:textId="77777777" w:rsidR="00000000" w:rsidRDefault="00EE5306">
            <w:pPr>
              <w:spacing w:after="100"/>
              <w:rPr>
                <w:rFonts w:eastAsia="Times New Roman"/>
                <w:sz w:val="20"/>
                <w:szCs w:val="20"/>
              </w:rPr>
            </w:pPr>
          </w:p>
        </w:tc>
      </w:tr>
      <w:tr w:rsidR="00000000" w14:paraId="7930AF08" w14:textId="77777777">
        <w:trPr>
          <w:divId w:val="1908876971"/>
          <w:jc w:val="center"/>
        </w:trPr>
        <w:tc>
          <w:tcPr>
            <w:tcW w:w="0" w:type="auto"/>
            <w:gridSpan w:val="3"/>
            <w:shd w:val="clear" w:color="auto" w:fill="CCEEFF"/>
            <w:tcMar>
              <w:top w:w="30" w:type="dxa"/>
              <w:left w:w="155" w:type="dxa"/>
              <w:bottom w:w="30" w:type="dxa"/>
              <w:right w:w="20" w:type="dxa"/>
            </w:tcMar>
            <w:vAlign w:val="bottom"/>
            <w:hideMark/>
          </w:tcPr>
          <w:p w14:paraId="58D53AB4" w14:textId="77777777" w:rsidR="00000000" w:rsidRDefault="00EE5306">
            <w:pPr>
              <w:spacing w:after="100"/>
              <w:rPr>
                <w:rFonts w:eastAsia="Times New Roman"/>
              </w:rPr>
            </w:pPr>
            <w:r>
              <w:rPr>
                <w:rFonts w:eastAsia="Times New Roman"/>
                <w:color w:val="000000"/>
                <w:sz w:val="19"/>
                <w:szCs w:val="19"/>
              </w:rPr>
              <w:t>Capital expenditures</w:t>
            </w:r>
          </w:p>
        </w:tc>
        <w:tc>
          <w:tcPr>
            <w:tcW w:w="0" w:type="auto"/>
            <w:gridSpan w:val="3"/>
            <w:shd w:val="clear" w:color="auto" w:fill="CCEEFF"/>
            <w:tcMar>
              <w:top w:w="0" w:type="dxa"/>
              <w:left w:w="20" w:type="dxa"/>
              <w:bottom w:w="0" w:type="dxa"/>
              <w:right w:w="20" w:type="dxa"/>
            </w:tcMar>
            <w:vAlign w:val="center"/>
            <w:hideMark/>
          </w:tcPr>
          <w:p w14:paraId="0739F3E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4F40C2" w14:textId="77777777" w:rsidR="00000000" w:rsidRDefault="00EE5306">
            <w:pPr>
              <w:spacing w:after="100"/>
              <w:jc w:val="right"/>
              <w:rPr>
                <w:rFonts w:eastAsia="Times New Roman"/>
              </w:rPr>
            </w:pPr>
            <w:r>
              <w:rPr>
                <w:rFonts w:eastAsia="Times New Roman"/>
                <w:color w:val="000000"/>
                <w:sz w:val="19"/>
                <w:szCs w:val="19"/>
              </w:rPr>
              <w:t>(107.8)</w:t>
            </w:r>
          </w:p>
        </w:tc>
        <w:tc>
          <w:tcPr>
            <w:tcW w:w="0" w:type="auto"/>
            <w:shd w:val="clear" w:color="auto" w:fill="CCEEFF"/>
            <w:tcMar>
              <w:top w:w="30" w:type="dxa"/>
              <w:left w:w="0" w:type="dxa"/>
              <w:bottom w:w="30" w:type="dxa"/>
              <w:right w:w="20" w:type="dxa"/>
            </w:tcMar>
            <w:vAlign w:val="bottom"/>
            <w:hideMark/>
          </w:tcPr>
          <w:p w14:paraId="5C7429C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73357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D81531" w14:textId="77777777" w:rsidR="00000000" w:rsidRDefault="00EE5306">
            <w:pPr>
              <w:spacing w:after="100"/>
              <w:jc w:val="right"/>
              <w:rPr>
                <w:rFonts w:eastAsia="Times New Roman"/>
              </w:rPr>
            </w:pPr>
            <w:r>
              <w:rPr>
                <w:rFonts w:eastAsia="Times New Roman"/>
                <w:color w:val="000000"/>
                <w:sz w:val="19"/>
                <w:szCs w:val="19"/>
              </w:rPr>
              <w:t>(270.3)</w:t>
            </w:r>
          </w:p>
        </w:tc>
        <w:tc>
          <w:tcPr>
            <w:tcW w:w="0" w:type="auto"/>
            <w:shd w:val="clear" w:color="auto" w:fill="CCEEFF"/>
            <w:tcMar>
              <w:top w:w="30" w:type="dxa"/>
              <w:left w:w="0" w:type="dxa"/>
              <w:bottom w:w="30" w:type="dxa"/>
              <w:right w:w="20" w:type="dxa"/>
            </w:tcMar>
            <w:vAlign w:val="bottom"/>
            <w:hideMark/>
          </w:tcPr>
          <w:p w14:paraId="49B1BA5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47592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3FF11" w14:textId="77777777" w:rsidR="00000000" w:rsidRDefault="00EE5306">
            <w:pPr>
              <w:spacing w:after="100"/>
              <w:jc w:val="right"/>
              <w:rPr>
                <w:rFonts w:eastAsia="Times New Roman"/>
              </w:rPr>
            </w:pPr>
            <w:r>
              <w:rPr>
                <w:rFonts w:eastAsia="Times New Roman"/>
                <w:color w:val="000000"/>
                <w:sz w:val="19"/>
                <w:szCs w:val="19"/>
              </w:rPr>
              <w:t>(197.7)</w:t>
            </w:r>
          </w:p>
        </w:tc>
        <w:tc>
          <w:tcPr>
            <w:tcW w:w="0" w:type="auto"/>
            <w:shd w:val="clear" w:color="auto" w:fill="CCEEFF"/>
            <w:tcMar>
              <w:top w:w="30" w:type="dxa"/>
              <w:left w:w="0" w:type="dxa"/>
              <w:bottom w:w="30" w:type="dxa"/>
              <w:right w:w="20" w:type="dxa"/>
            </w:tcMar>
            <w:vAlign w:val="bottom"/>
            <w:hideMark/>
          </w:tcPr>
          <w:p w14:paraId="53CCF71B" w14:textId="77777777" w:rsidR="00000000" w:rsidRDefault="00EE5306">
            <w:pPr>
              <w:spacing w:after="100"/>
              <w:jc w:val="right"/>
              <w:rPr>
                <w:rFonts w:eastAsia="Times New Roman"/>
              </w:rPr>
            </w:pPr>
          </w:p>
        </w:tc>
      </w:tr>
      <w:tr w:rsidR="00000000" w14:paraId="61556A94" w14:textId="77777777">
        <w:trPr>
          <w:divId w:val="1908876971"/>
          <w:jc w:val="center"/>
        </w:trPr>
        <w:tc>
          <w:tcPr>
            <w:tcW w:w="0" w:type="auto"/>
            <w:gridSpan w:val="3"/>
            <w:shd w:val="clear" w:color="auto" w:fill="FFFFFF"/>
            <w:tcMar>
              <w:top w:w="30" w:type="dxa"/>
              <w:left w:w="155" w:type="dxa"/>
              <w:bottom w:w="30" w:type="dxa"/>
              <w:right w:w="20" w:type="dxa"/>
            </w:tcMar>
            <w:vAlign w:val="bottom"/>
            <w:hideMark/>
          </w:tcPr>
          <w:p w14:paraId="5BB7B925" w14:textId="77777777" w:rsidR="00000000" w:rsidRDefault="00EE5306">
            <w:pPr>
              <w:spacing w:after="100"/>
              <w:rPr>
                <w:rFonts w:eastAsia="Times New Roman"/>
              </w:rPr>
            </w:pPr>
            <w:r>
              <w:rPr>
                <w:rFonts w:eastAsia="Times New Roman"/>
                <w:color w:val="000000"/>
                <w:sz w:val="19"/>
                <w:szCs w:val="19"/>
              </w:rPr>
              <w:t>Purchases of investments</w:t>
            </w:r>
          </w:p>
        </w:tc>
        <w:tc>
          <w:tcPr>
            <w:tcW w:w="0" w:type="auto"/>
            <w:gridSpan w:val="3"/>
            <w:shd w:val="clear" w:color="auto" w:fill="FFFFFF"/>
            <w:tcMar>
              <w:top w:w="0" w:type="dxa"/>
              <w:left w:w="20" w:type="dxa"/>
              <w:bottom w:w="0" w:type="dxa"/>
              <w:right w:w="20" w:type="dxa"/>
            </w:tcMar>
            <w:vAlign w:val="center"/>
            <w:hideMark/>
          </w:tcPr>
          <w:p w14:paraId="3246A85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B5F583" w14:textId="77777777" w:rsidR="00000000" w:rsidRDefault="00EE5306">
            <w:pPr>
              <w:spacing w:after="100"/>
              <w:jc w:val="right"/>
              <w:rPr>
                <w:rFonts w:eastAsia="Times New Roman"/>
              </w:rPr>
            </w:pPr>
            <w:r>
              <w:rPr>
                <w:rFonts w:eastAsia="Times New Roman"/>
                <w:color w:val="000000"/>
                <w:sz w:val="19"/>
                <w:szCs w:val="19"/>
              </w:rPr>
              <w:t>(704.6)</w:t>
            </w:r>
          </w:p>
        </w:tc>
        <w:tc>
          <w:tcPr>
            <w:tcW w:w="0" w:type="auto"/>
            <w:shd w:val="clear" w:color="auto" w:fill="FFFFFF"/>
            <w:tcMar>
              <w:top w:w="30" w:type="dxa"/>
              <w:left w:w="0" w:type="dxa"/>
              <w:bottom w:w="30" w:type="dxa"/>
              <w:right w:w="20" w:type="dxa"/>
            </w:tcMar>
            <w:vAlign w:val="bottom"/>
            <w:hideMark/>
          </w:tcPr>
          <w:p w14:paraId="6E989AD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9652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2964DA" w14:textId="77777777" w:rsidR="00000000" w:rsidRDefault="00EE5306">
            <w:pPr>
              <w:spacing w:after="100"/>
              <w:jc w:val="right"/>
              <w:rPr>
                <w:rFonts w:eastAsia="Times New Roman"/>
              </w:rPr>
            </w:pPr>
            <w:r>
              <w:rPr>
                <w:rFonts w:eastAsia="Times New Roman"/>
                <w:color w:val="000000"/>
                <w:sz w:val="19"/>
                <w:szCs w:val="19"/>
              </w:rPr>
              <w:t>(1,289.7)</w:t>
            </w:r>
          </w:p>
        </w:tc>
        <w:tc>
          <w:tcPr>
            <w:tcW w:w="0" w:type="auto"/>
            <w:shd w:val="clear" w:color="auto" w:fill="FFFFFF"/>
            <w:tcMar>
              <w:top w:w="30" w:type="dxa"/>
              <w:left w:w="0" w:type="dxa"/>
              <w:bottom w:w="30" w:type="dxa"/>
              <w:right w:w="20" w:type="dxa"/>
            </w:tcMar>
            <w:vAlign w:val="bottom"/>
            <w:hideMark/>
          </w:tcPr>
          <w:p w14:paraId="120ECC2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A962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2074BE" w14:textId="77777777" w:rsidR="00000000" w:rsidRDefault="00EE5306">
            <w:pPr>
              <w:spacing w:after="100"/>
              <w:jc w:val="right"/>
              <w:rPr>
                <w:rFonts w:eastAsia="Times New Roman"/>
              </w:rPr>
            </w:pPr>
            <w:r>
              <w:rPr>
                <w:rFonts w:eastAsia="Times New Roman"/>
                <w:color w:val="000000"/>
                <w:sz w:val="19"/>
                <w:szCs w:val="19"/>
              </w:rPr>
              <w:t>(3,030.8)</w:t>
            </w:r>
          </w:p>
        </w:tc>
        <w:tc>
          <w:tcPr>
            <w:tcW w:w="0" w:type="auto"/>
            <w:shd w:val="clear" w:color="auto" w:fill="FFFFFF"/>
            <w:tcMar>
              <w:top w:w="30" w:type="dxa"/>
              <w:left w:w="0" w:type="dxa"/>
              <w:bottom w:w="30" w:type="dxa"/>
              <w:right w:w="20" w:type="dxa"/>
            </w:tcMar>
            <w:vAlign w:val="bottom"/>
            <w:hideMark/>
          </w:tcPr>
          <w:p w14:paraId="612B9DE6" w14:textId="77777777" w:rsidR="00000000" w:rsidRDefault="00EE5306">
            <w:pPr>
              <w:spacing w:after="100"/>
              <w:jc w:val="right"/>
              <w:rPr>
                <w:rFonts w:eastAsia="Times New Roman"/>
              </w:rPr>
            </w:pPr>
          </w:p>
        </w:tc>
      </w:tr>
      <w:tr w:rsidR="00000000" w14:paraId="4787B28A" w14:textId="77777777">
        <w:trPr>
          <w:divId w:val="1908876971"/>
          <w:jc w:val="center"/>
        </w:trPr>
        <w:tc>
          <w:tcPr>
            <w:tcW w:w="0" w:type="auto"/>
            <w:gridSpan w:val="3"/>
            <w:shd w:val="clear" w:color="auto" w:fill="CCEEFF"/>
            <w:tcMar>
              <w:top w:w="30" w:type="dxa"/>
              <w:left w:w="155" w:type="dxa"/>
              <w:bottom w:w="30" w:type="dxa"/>
              <w:right w:w="20" w:type="dxa"/>
            </w:tcMar>
            <w:vAlign w:val="bottom"/>
            <w:hideMark/>
          </w:tcPr>
          <w:p w14:paraId="24E68A6E" w14:textId="77777777" w:rsidR="00000000" w:rsidRDefault="00EE5306">
            <w:pPr>
              <w:spacing w:after="100"/>
              <w:rPr>
                <w:rFonts w:eastAsia="Times New Roman"/>
              </w:rPr>
            </w:pPr>
            <w:r>
              <w:rPr>
                <w:rFonts w:eastAsia="Times New Roman"/>
                <w:color w:val="000000"/>
                <w:sz w:val="19"/>
                <w:szCs w:val="19"/>
              </w:rPr>
              <w:t>Proceeds from sales and maturities of investments</w:t>
            </w:r>
          </w:p>
        </w:tc>
        <w:tc>
          <w:tcPr>
            <w:tcW w:w="0" w:type="auto"/>
            <w:gridSpan w:val="3"/>
            <w:shd w:val="clear" w:color="auto" w:fill="CCEEFF"/>
            <w:tcMar>
              <w:top w:w="0" w:type="dxa"/>
              <w:left w:w="20" w:type="dxa"/>
              <w:bottom w:w="0" w:type="dxa"/>
              <w:right w:w="20" w:type="dxa"/>
            </w:tcMar>
            <w:vAlign w:val="center"/>
            <w:hideMark/>
          </w:tcPr>
          <w:p w14:paraId="3B596F8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19935E" w14:textId="77777777" w:rsidR="00000000" w:rsidRDefault="00EE5306">
            <w:pPr>
              <w:spacing w:after="100"/>
              <w:jc w:val="right"/>
              <w:rPr>
                <w:rFonts w:eastAsia="Times New Roman"/>
              </w:rPr>
            </w:pPr>
            <w:r>
              <w:rPr>
                <w:rFonts w:eastAsia="Times New Roman"/>
                <w:color w:val="000000"/>
                <w:sz w:val="19"/>
                <w:szCs w:val="19"/>
              </w:rPr>
              <w:t>1,007.2 </w:t>
            </w:r>
          </w:p>
        </w:tc>
        <w:tc>
          <w:tcPr>
            <w:tcW w:w="0" w:type="auto"/>
            <w:shd w:val="clear" w:color="auto" w:fill="CCEEFF"/>
            <w:tcMar>
              <w:top w:w="30" w:type="dxa"/>
              <w:left w:w="0" w:type="dxa"/>
              <w:bottom w:w="30" w:type="dxa"/>
              <w:right w:w="20" w:type="dxa"/>
            </w:tcMar>
            <w:vAlign w:val="bottom"/>
            <w:hideMark/>
          </w:tcPr>
          <w:p w14:paraId="7D3775D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1446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98ED6B" w14:textId="77777777" w:rsidR="00000000" w:rsidRDefault="00EE5306">
            <w:pPr>
              <w:spacing w:after="100"/>
              <w:jc w:val="right"/>
              <w:rPr>
                <w:rFonts w:eastAsia="Times New Roman"/>
              </w:rPr>
            </w:pPr>
            <w:r>
              <w:rPr>
                <w:rFonts w:eastAsia="Times New Roman"/>
                <w:color w:val="000000"/>
                <w:sz w:val="19"/>
                <w:szCs w:val="19"/>
              </w:rPr>
              <w:t>2,240.4 </w:t>
            </w:r>
          </w:p>
        </w:tc>
        <w:tc>
          <w:tcPr>
            <w:tcW w:w="0" w:type="auto"/>
            <w:shd w:val="clear" w:color="auto" w:fill="CCEEFF"/>
            <w:tcMar>
              <w:top w:w="30" w:type="dxa"/>
              <w:left w:w="0" w:type="dxa"/>
              <w:bottom w:w="30" w:type="dxa"/>
              <w:right w:w="20" w:type="dxa"/>
            </w:tcMar>
            <w:vAlign w:val="bottom"/>
            <w:hideMark/>
          </w:tcPr>
          <w:p w14:paraId="4FD8F3D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F745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01E40" w14:textId="77777777" w:rsidR="00000000" w:rsidRDefault="00EE5306">
            <w:pPr>
              <w:spacing w:after="100"/>
              <w:jc w:val="right"/>
              <w:rPr>
                <w:rFonts w:eastAsia="Times New Roman"/>
              </w:rPr>
            </w:pPr>
            <w:r>
              <w:rPr>
                <w:rFonts w:eastAsia="Times New Roman"/>
                <w:color w:val="000000"/>
                <w:sz w:val="19"/>
                <w:szCs w:val="19"/>
              </w:rPr>
              <w:t>2,357.5 </w:t>
            </w:r>
          </w:p>
        </w:tc>
        <w:tc>
          <w:tcPr>
            <w:tcW w:w="0" w:type="auto"/>
            <w:shd w:val="clear" w:color="auto" w:fill="CCEEFF"/>
            <w:tcMar>
              <w:top w:w="30" w:type="dxa"/>
              <w:left w:w="0" w:type="dxa"/>
              <w:bottom w:w="30" w:type="dxa"/>
              <w:right w:w="20" w:type="dxa"/>
            </w:tcMar>
            <w:vAlign w:val="bottom"/>
            <w:hideMark/>
          </w:tcPr>
          <w:p w14:paraId="0EC570DE" w14:textId="77777777" w:rsidR="00000000" w:rsidRDefault="00EE5306">
            <w:pPr>
              <w:spacing w:after="100"/>
              <w:jc w:val="right"/>
              <w:rPr>
                <w:rFonts w:eastAsia="Times New Roman"/>
              </w:rPr>
            </w:pPr>
          </w:p>
        </w:tc>
      </w:tr>
      <w:tr w:rsidR="00000000" w14:paraId="7F9F46F1" w14:textId="77777777">
        <w:trPr>
          <w:divId w:val="1908876971"/>
          <w:jc w:val="center"/>
        </w:trPr>
        <w:tc>
          <w:tcPr>
            <w:tcW w:w="0" w:type="auto"/>
            <w:gridSpan w:val="3"/>
            <w:shd w:val="clear" w:color="auto" w:fill="FFFFFF"/>
            <w:tcMar>
              <w:top w:w="30" w:type="dxa"/>
              <w:left w:w="20" w:type="dxa"/>
              <w:bottom w:w="30" w:type="dxa"/>
              <w:right w:w="20" w:type="dxa"/>
            </w:tcMar>
            <w:vAlign w:val="bottom"/>
            <w:hideMark/>
          </w:tcPr>
          <w:p w14:paraId="3BD93352" w14:textId="77777777" w:rsidR="00000000" w:rsidRDefault="00EE5306">
            <w:pPr>
              <w:spacing w:after="100"/>
              <w:ind w:hanging="180"/>
              <w:divId w:val="1401908923"/>
              <w:rPr>
                <w:rFonts w:eastAsia="Times New Roman"/>
              </w:rPr>
            </w:pPr>
            <w:r>
              <w:rPr>
                <w:rFonts w:eastAsia="Times New Roman"/>
                <w:color w:val="000000"/>
                <w:sz w:val="19"/>
                <w:szCs w:val="19"/>
              </w:rPr>
              <w:t>Proceeds from sale of property</w:t>
            </w:r>
          </w:p>
        </w:tc>
        <w:tc>
          <w:tcPr>
            <w:tcW w:w="0" w:type="auto"/>
            <w:gridSpan w:val="3"/>
            <w:shd w:val="clear" w:color="auto" w:fill="FFFFFF"/>
            <w:tcMar>
              <w:top w:w="0" w:type="dxa"/>
              <w:left w:w="20" w:type="dxa"/>
              <w:bottom w:w="0" w:type="dxa"/>
              <w:right w:w="20" w:type="dxa"/>
            </w:tcMar>
            <w:vAlign w:val="center"/>
            <w:hideMark/>
          </w:tcPr>
          <w:p w14:paraId="1692ACCE"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FC106A"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480E611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B06E9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90C8D8" w14:textId="77777777" w:rsidR="00000000" w:rsidRDefault="00EE5306">
            <w:pPr>
              <w:spacing w:after="100"/>
              <w:jc w:val="right"/>
              <w:rPr>
                <w:rFonts w:eastAsia="Times New Roman"/>
              </w:rPr>
            </w:pPr>
            <w:r>
              <w:rPr>
                <w:rFonts w:eastAsia="Times New Roman"/>
                <w:color w:val="000000"/>
                <w:sz w:val="19"/>
                <w:szCs w:val="19"/>
              </w:rPr>
              <w:t>20.8 </w:t>
            </w:r>
          </w:p>
        </w:tc>
        <w:tc>
          <w:tcPr>
            <w:tcW w:w="0" w:type="auto"/>
            <w:shd w:val="clear" w:color="auto" w:fill="FFFFFF"/>
            <w:tcMar>
              <w:top w:w="30" w:type="dxa"/>
              <w:left w:w="0" w:type="dxa"/>
              <w:bottom w:w="30" w:type="dxa"/>
              <w:right w:w="20" w:type="dxa"/>
            </w:tcMar>
            <w:vAlign w:val="bottom"/>
            <w:hideMark/>
          </w:tcPr>
          <w:p w14:paraId="0675BC5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7467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E67263" w14:textId="77777777" w:rsidR="00000000" w:rsidRDefault="00EE5306">
            <w:pPr>
              <w:spacing w:after="100"/>
              <w:jc w:val="right"/>
              <w:rPr>
                <w:rFonts w:eastAsia="Times New Roman"/>
              </w:rPr>
            </w:pPr>
            <w:r>
              <w:rPr>
                <w:rFonts w:eastAsia="Times New Roman"/>
                <w:color w:val="000000"/>
                <w:sz w:val="19"/>
                <w:szCs w:val="19"/>
              </w:rPr>
              <w:t>20.0 </w:t>
            </w:r>
          </w:p>
        </w:tc>
        <w:tc>
          <w:tcPr>
            <w:tcW w:w="0" w:type="auto"/>
            <w:shd w:val="clear" w:color="auto" w:fill="FFFFFF"/>
            <w:tcMar>
              <w:top w:w="30" w:type="dxa"/>
              <w:left w:w="0" w:type="dxa"/>
              <w:bottom w:w="30" w:type="dxa"/>
              <w:right w:w="20" w:type="dxa"/>
            </w:tcMar>
            <w:vAlign w:val="bottom"/>
            <w:hideMark/>
          </w:tcPr>
          <w:p w14:paraId="73BEF3E3" w14:textId="77777777" w:rsidR="00000000" w:rsidRDefault="00EE5306">
            <w:pPr>
              <w:spacing w:after="100"/>
              <w:jc w:val="right"/>
              <w:rPr>
                <w:rFonts w:eastAsia="Times New Roman"/>
              </w:rPr>
            </w:pPr>
          </w:p>
        </w:tc>
      </w:tr>
      <w:tr w:rsidR="00000000" w14:paraId="5B1145D9" w14:textId="77777777">
        <w:trPr>
          <w:divId w:val="1908876971"/>
          <w:jc w:val="center"/>
        </w:trPr>
        <w:tc>
          <w:tcPr>
            <w:tcW w:w="0" w:type="auto"/>
            <w:gridSpan w:val="3"/>
            <w:shd w:val="clear" w:color="auto" w:fill="CCEEFF"/>
            <w:tcMar>
              <w:top w:w="30" w:type="dxa"/>
              <w:left w:w="20" w:type="dxa"/>
              <w:bottom w:w="30" w:type="dxa"/>
              <w:right w:w="20" w:type="dxa"/>
            </w:tcMar>
            <w:vAlign w:val="bottom"/>
            <w:hideMark/>
          </w:tcPr>
          <w:p w14:paraId="1C7198F1" w14:textId="77777777" w:rsidR="00000000" w:rsidRDefault="00EE5306">
            <w:pPr>
              <w:spacing w:after="100"/>
              <w:ind w:hanging="180"/>
              <w:divId w:val="424694642"/>
              <w:rPr>
                <w:rFonts w:eastAsia="Times New Roman"/>
              </w:rPr>
            </w:pPr>
            <w:r>
              <w:rPr>
                <w:rFonts w:eastAsia="Times New Roman"/>
                <w:color w:val="000000"/>
                <w:sz w:val="19"/>
                <w:szCs w:val="19"/>
              </w:rPr>
              <w:t>Settlement of net investment hedges</w:t>
            </w:r>
          </w:p>
        </w:tc>
        <w:tc>
          <w:tcPr>
            <w:tcW w:w="0" w:type="auto"/>
            <w:gridSpan w:val="3"/>
            <w:shd w:val="clear" w:color="auto" w:fill="CCEEFF"/>
            <w:tcMar>
              <w:top w:w="0" w:type="dxa"/>
              <w:left w:w="20" w:type="dxa"/>
              <w:bottom w:w="0" w:type="dxa"/>
              <w:right w:w="20" w:type="dxa"/>
            </w:tcMar>
            <w:vAlign w:val="center"/>
            <w:hideMark/>
          </w:tcPr>
          <w:p w14:paraId="4D052619"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937109" w14:textId="77777777" w:rsidR="00000000" w:rsidRDefault="00EE5306">
            <w:pPr>
              <w:spacing w:after="100"/>
              <w:jc w:val="right"/>
              <w:rPr>
                <w:rFonts w:eastAsia="Times New Roman"/>
              </w:rPr>
            </w:pPr>
            <w:r>
              <w:rPr>
                <w:rFonts w:eastAsia="Times New Roman"/>
                <w:color w:val="000000"/>
                <w:sz w:val="19"/>
                <w:szCs w:val="19"/>
              </w:rPr>
              <w:t>3.7 </w:t>
            </w:r>
          </w:p>
        </w:tc>
        <w:tc>
          <w:tcPr>
            <w:tcW w:w="0" w:type="auto"/>
            <w:shd w:val="clear" w:color="auto" w:fill="CCEEFF"/>
            <w:tcMar>
              <w:top w:w="30" w:type="dxa"/>
              <w:left w:w="0" w:type="dxa"/>
              <w:bottom w:w="30" w:type="dxa"/>
              <w:right w:w="20" w:type="dxa"/>
            </w:tcMar>
            <w:vAlign w:val="bottom"/>
            <w:hideMark/>
          </w:tcPr>
          <w:p w14:paraId="08644BF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26F6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38E995"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0265DC3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CD5D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652A26" w14:textId="77777777" w:rsidR="00000000" w:rsidRDefault="00EE5306">
            <w:pPr>
              <w:spacing w:after="100"/>
              <w:jc w:val="right"/>
              <w:rPr>
                <w:rFonts w:eastAsia="Times New Roman"/>
              </w:rPr>
            </w:pPr>
            <w:r>
              <w:rPr>
                <w:rFonts w:eastAsia="Times New Roman"/>
                <w:color w:val="000000"/>
                <w:sz w:val="19"/>
                <w:szCs w:val="19"/>
              </w:rPr>
              <w:t>(23.8)</w:t>
            </w:r>
          </w:p>
        </w:tc>
        <w:tc>
          <w:tcPr>
            <w:tcW w:w="0" w:type="auto"/>
            <w:shd w:val="clear" w:color="auto" w:fill="CCEEFF"/>
            <w:tcMar>
              <w:top w:w="30" w:type="dxa"/>
              <w:left w:w="0" w:type="dxa"/>
              <w:bottom w:w="30" w:type="dxa"/>
              <w:right w:w="20" w:type="dxa"/>
            </w:tcMar>
            <w:vAlign w:val="bottom"/>
            <w:hideMark/>
          </w:tcPr>
          <w:p w14:paraId="070EBA64" w14:textId="77777777" w:rsidR="00000000" w:rsidRDefault="00EE5306">
            <w:pPr>
              <w:spacing w:after="100"/>
              <w:jc w:val="right"/>
              <w:rPr>
                <w:rFonts w:eastAsia="Times New Roman"/>
              </w:rPr>
            </w:pPr>
          </w:p>
        </w:tc>
      </w:tr>
      <w:tr w:rsidR="00000000" w14:paraId="5ED6C11A" w14:textId="77777777">
        <w:trPr>
          <w:divId w:val="1908876971"/>
          <w:jc w:val="center"/>
        </w:trPr>
        <w:tc>
          <w:tcPr>
            <w:tcW w:w="0" w:type="auto"/>
            <w:gridSpan w:val="3"/>
            <w:shd w:val="clear" w:color="auto" w:fill="FFFFFF"/>
            <w:tcMar>
              <w:top w:w="30" w:type="dxa"/>
              <w:left w:w="335" w:type="dxa"/>
              <w:bottom w:w="30" w:type="dxa"/>
              <w:right w:w="20" w:type="dxa"/>
            </w:tcMar>
            <w:vAlign w:val="bottom"/>
            <w:hideMark/>
          </w:tcPr>
          <w:p w14:paraId="40B18686" w14:textId="77777777" w:rsidR="00000000" w:rsidRDefault="00EE5306">
            <w:pPr>
              <w:spacing w:after="100"/>
              <w:ind w:hanging="180"/>
              <w:rPr>
                <w:rFonts w:eastAsia="Times New Roman"/>
              </w:rPr>
            </w:pPr>
            <w:r>
              <w:rPr>
                <w:rFonts w:eastAsia="Times New Roman"/>
                <w:color w:val="000000"/>
                <w:sz w:val="19"/>
                <w:szCs w:val="19"/>
              </w:rPr>
              <w:t>Other investing activities</w:t>
            </w:r>
          </w:p>
        </w:tc>
        <w:tc>
          <w:tcPr>
            <w:tcW w:w="0" w:type="auto"/>
            <w:gridSpan w:val="3"/>
            <w:shd w:val="clear" w:color="auto" w:fill="FFFFFF"/>
            <w:tcMar>
              <w:top w:w="0" w:type="dxa"/>
              <w:left w:w="20" w:type="dxa"/>
              <w:bottom w:w="0" w:type="dxa"/>
              <w:right w:w="20" w:type="dxa"/>
            </w:tcMar>
            <w:vAlign w:val="center"/>
            <w:hideMark/>
          </w:tcPr>
          <w:p w14:paraId="7582A3B5"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CF5F93" w14:textId="77777777" w:rsidR="00000000" w:rsidRDefault="00EE5306">
            <w:pPr>
              <w:spacing w:after="100"/>
              <w:jc w:val="right"/>
              <w:rPr>
                <w:rFonts w:eastAsia="Times New Roman"/>
              </w:rPr>
            </w:pPr>
            <w:r>
              <w:rPr>
                <w:rFonts w:eastAsia="Times New Roman"/>
                <w:color w:val="000000"/>
                <w:sz w:val="19"/>
                <w:szCs w:val="19"/>
              </w:rPr>
              <w:t>(3.5)</w:t>
            </w:r>
          </w:p>
        </w:tc>
        <w:tc>
          <w:tcPr>
            <w:tcW w:w="0" w:type="auto"/>
            <w:shd w:val="clear" w:color="auto" w:fill="FFFFFF"/>
            <w:tcMar>
              <w:top w:w="30" w:type="dxa"/>
              <w:left w:w="0" w:type="dxa"/>
              <w:bottom w:w="30" w:type="dxa"/>
              <w:right w:w="20" w:type="dxa"/>
            </w:tcMar>
            <w:vAlign w:val="bottom"/>
            <w:hideMark/>
          </w:tcPr>
          <w:p w14:paraId="419257F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5056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D317C" w14:textId="77777777" w:rsidR="00000000" w:rsidRDefault="00EE5306">
            <w:pPr>
              <w:spacing w:after="100"/>
              <w:jc w:val="right"/>
              <w:rPr>
                <w:rFonts w:eastAsia="Times New Roman"/>
              </w:rPr>
            </w:pPr>
            <w:r>
              <w:rPr>
                <w:rFonts w:eastAsia="Times New Roman"/>
                <w:color w:val="000000"/>
                <w:sz w:val="19"/>
                <w:szCs w:val="19"/>
              </w:rPr>
              <w:t>0.9 </w:t>
            </w:r>
          </w:p>
        </w:tc>
        <w:tc>
          <w:tcPr>
            <w:tcW w:w="0" w:type="auto"/>
            <w:shd w:val="clear" w:color="auto" w:fill="FFFFFF"/>
            <w:tcMar>
              <w:top w:w="30" w:type="dxa"/>
              <w:left w:w="0" w:type="dxa"/>
              <w:bottom w:w="30" w:type="dxa"/>
              <w:right w:w="20" w:type="dxa"/>
            </w:tcMar>
            <w:vAlign w:val="bottom"/>
            <w:hideMark/>
          </w:tcPr>
          <w:p w14:paraId="66903F8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31EC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216DC0" w14:textId="77777777" w:rsidR="00000000" w:rsidRDefault="00EE5306">
            <w:pPr>
              <w:spacing w:after="100"/>
              <w:jc w:val="right"/>
              <w:rPr>
                <w:rFonts w:eastAsia="Times New Roman"/>
              </w:rPr>
            </w:pPr>
            <w:r>
              <w:rPr>
                <w:rFonts w:eastAsia="Times New Roman"/>
                <w:color w:val="000000"/>
                <w:sz w:val="19"/>
                <w:szCs w:val="19"/>
              </w:rPr>
              <w:t>(4.5)</w:t>
            </w:r>
          </w:p>
        </w:tc>
        <w:tc>
          <w:tcPr>
            <w:tcW w:w="0" w:type="auto"/>
            <w:shd w:val="clear" w:color="auto" w:fill="FFFFFF"/>
            <w:tcMar>
              <w:top w:w="30" w:type="dxa"/>
              <w:left w:w="0" w:type="dxa"/>
              <w:bottom w:w="30" w:type="dxa"/>
              <w:right w:w="20" w:type="dxa"/>
            </w:tcMar>
            <w:vAlign w:val="bottom"/>
            <w:hideMark/>
          </w:tcPr>
          <w:p w14:paraId="277C18F9" w14:textId="77777777" w:rsidR="00000000" w:rsidRDefault="00EE5306">
            <w:pPr>
              <w:spacing w:after="100"/>
              <w:jc w:val="right"/>
              <w:rPr>
                <w:rFonts w:eastAsia="Times New Roman"/>
              </w:rPr>
            </w:pPr>
          </w:p>
        </w:tc>
      </w:tr>
      <w:tr w:rsidR="00000000" w14:paraId="1D7C2D76" w14:textId="77777777">
        <w:trPr>
          <w:divId w:val="1908876971"/>
          <w:jc w:val="center"/>
        </w:trPr>
        <w:tc>
          <w:tcPr>
            <w:tcW w:w="0" w:type="auto"/>
            <w:gridSpan w:val="3"/>
            <w:shd w:val="clear" w:color="auto" w:fill="CCEEFF"/>
            <w:tcMar>
              <w:top w:w="30" w:type="dxa"/>
              <w:left w:w="20" w:type="dxa"/>
              <w:bottom w:w="30" w:type="dxa"/>
              <w:right w:w="20" w:type="dxa"/>
            </w:tcMar>
            <w:vAlign w:val="bottom"/>
            <w:hideMark/>
          </w:tcPr>
          <w:p w14:paraId="6FBAE892" w14:textId="77777777" w:rsidR="00000000" w:rsidRDefault="00EE5306">
            <w:pPr>
              <w:spacing w:after="100"/>
              <w:divId w:val="1512452281"/>
              <w:rPr>
                <w:rFonts w:eastAsia="Times New Roman"/>
              </w:rPr>
            </w:pPr>
            <w:r>
              <w:rPr>
                <w:rFonts w:eastAsia="Times New Roman"/>
                <w:b/>
                <w:bCs/>
                <w:color w:val="000000"/>
                <w:sz w:val="19"/>
                <w:szCs w:val="19"/>
              </w:rPr>
              <w:t>Net cash provided by (used in) investing activities</w:t>
            </w:r>
            <w:r>
              <w:rPr>
                <w:rFonts w:eastAsia="Times New Roman"/>
                <w:color w:val="000000"/>
                <w:sz w:val="19"/>
                <w:szCs w:val="19"/>
              </w:rPr>
              <w:t xml:space="preserve"> </w:t>
            </w:r>
          </w:p>
        </w:tc>
        <w:tc>
          <w:tcPr>
            <w:tcW w:w="0" w:type="auto"/>
            <w:gridSpan w:val="3"/>
            <w:shd w:val="clear" w:color="auto" w:fill="CCEEFF"/>
            <w:tcMar>
              <w:top w:w="0" w:type="dxa"/>
              <w:left w:w="20" w:type="dxa"/>
              <w:bottom w:w="0" w:type="dxa"/>
              <w:right w:w="20" w:type="dxa"/>
            </w:tcMar>
            <w:vAlign w:val="center"/>
            <w:hideMark/>
          </w:tcPr>
          <w:p w14:paraId="707918FB"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C03D68" w14:textId="77777777" w:rsidR="00000000" w:rsidRDefault="00EE5306">
            <w:pPr>
              <w:spacing w:after="100"/>
              <w:jc w:val="right"/>
              <w:rPr>
                <w:rFonts w:eastAsia="Times New Roman"/>
              </w:rPr>
            </w:pPr>
            <w:r>
              <w:rPr>
                <w:rFonts w:eastAsia="Times New Roman"/>
                <w:color w:val="000000"/>
                <w:sz w:val="19"/>
                <w:szCs w:val="19"/>
              </w:rPr>
              <w:t>195.0 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00B21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D318A"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224769" w14:textId="77777777" w:rsidR="00000000" w:rsidRDefault="00EE5306">
            <w:pPr>
              <w:spacing w:after="100"/>
              <w:jc w:val="right"/>
              <w:rPr>
                <w:rFonts w:eastAsia="Times New Roman"/>
              </w:rPr>
            </w:pPr>
            <w:r>
              <w:rPr>
                <w:rFonts w:eastAsia="Times New Roman"/>
                <w:color w:val="000000"/>
                <w:sz w:val="19"/>
                <w:szCs w:val="19"/>
              </w:rPr>
              <w:t>702.1 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1A5D8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33B2B"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81B7C4" w14:textId="77777777" w:rsidR="00000000" w:rsidRDefault="00EE5306">
            <w:pPr>
              <w:spacing w:after="100"/>
              <w:jc w:val="right"/>
              <w:rPr>
                <w:rFonts w:eastAsia="Times New Roman"/>
              </w:rPr>
            </w:pPr>
            <w:r>
              <w:rPr>
                <w:rFonts w:eastAsia="Times New Roman"/>
                <w:color w:val="000000"/>
                <w:sz w:val="19"/>
                <w:szCs w:val="19"/>
              </w:rPr>
              <w:t>(879.3)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739731" w14:textId="77777777" w:rsidR="00000000" w:rsidRDefault="00EE5306">
            <w:pPr>
              <w:spacing w:after="100"/>
              <w:jc w:val="right"/>
              <w:rPr>
                <w:rFonts w:eastAsia="Times New Roman"/>
              </w:rPr>
            </w:pPr>
          </w:p>
        </w:tc>
      </w:tr>
      <w:tr w:rsidR="00000000" w14:paraId="46D33935" w14:textId="77777777">
        <w:trPr>
          <w:divId w:val="1908876971"/>
          <w:jc w:val="center"/>
        </w:trPr>
        <w:tc>
          <w:tcPr>
            <w:tcW w:w="0" w:type="auto"/>
            <w:gridSpan w:val="3"/>
            <w:shd w:val="clear" w:color="auto" w:fill="FFFFFF"/>
            <w:tcMar>
              <w:top w:w="30" w:type="dxa"/>
              <w:left w:w="20" w:type="dxa"/>
              <w:bottom w:w="30" w:type="dxa"/>
              <w:right w:w="20" w:type="dxa"/>
            </w:tcMar>
            <w:vAlign w:val="bottom"/>
            <w:hideMark/>
          </w:tcPr>
          <w:p w14:paraId="3FE8C8AE" w14:textId="77777777" w:rsidR="00000000" w:rsidRDefault="00EE5306">
            <w:pPr>
              <w:spacing w:after="100"/>
              <w:rPr>
                <w:rFonts w:eastAsia="Times New Roman"/>
              </w:rPr>
            </w:pPr>
            <w:r>
              <w:rPr>
                <w:rFonts w:eastAsia="Times New Roman"/>
                <w:b/>
                <w:bCs/>
                <w:color w:val="000000"/>
                <w:sz w:val="19"/>
                <w:szCs w:val="19"/>
              </w:rPr>
              <w:t>Cash flows from financing activities:</w:t>
            </w:r>
          </w:p>
        </w:tc>
        <w:tc>
          <w:tcPr>
            <w:tcW w:w="0" w:type="auto"/>
            <w:gridSpan w:val="3"/>
            <w:shd w:val="clear" w:color="auto" w:fill="FFFFFF"/>
            <w:tcMar>
              <w:top w:w="0" w:type="dxa"/>
              <w:left w:w="20" w:type="dxa"/>
              <w:bottom w:w="0" w:type="dxa"/>
              <w:right w:w="20" w:type="dxa"/>
            </w:tcMar>
            <w:vAlign w:val="center"/>
            <w:hideMark/>
          </w:tcPr>
          <w:p w14:paraId="6067999E" w14:textId="77777777" w:rsidR="00000000" w:rsidRDefault="00EE530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7D3D8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AD6869"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8B693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509648"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A23B8D" w14:textId="77777777" w:rsidR="00000000" w:rsidRDefault="00EE5306">
            <w:pPr>
              <w:spacing w:after="100"/>
              <w:rPr>
                <w:rFonts w:eastAsia="Times New Roman"/>
                <w:sz w:val="20"/>
                <w:szCs w:val="20"/>
              </w:rPr>
            </w:pPr>
          </w:p>
        </w:tc>
      </w:tr>
      <w:tr w:rsidR="00000000" w14:paraId="688979DB" w14:textId="77777777">
        <w:trPr>
          <w:divId w:val="1908876971"/>
          <w:jc w:val="center"/>
        </w:trPr>
        <w:tc>
          <w:tcPr>
            <w:tcW w:w="0" w:type="auto"/>
            <w:gridSpan w:val="3"/>
            <w:shd w:val="clear" w:color="auto" w:fill="CCEEFF"/>
            <w:tcMar>
              <w:top w:w="30" w:type="dxa"/>
              <w:left w:w="155" w:type="dxa"/>
              <w:bottom w:w="30" w:type="dxa"/>
              <w:right w:w="20" w:type="dxa"/>
            </w:tcMar>
            <w:vAlign w:val="bottom"/>
            <w:hideMark/>
          </w:tcPr>
          <w:p w14:paraId="30468DCE" w14:textId="77777777" w:rsidR="00000000" w:rsidRDefault="00EE5306">
            <w:pPr>
              <w:spacing w:after="100"/>
              <w:rPr>
                <w:rFonts w:eastAsia="Times New Roman"/>
              </w:rPr>
            </w:pPr>
            <w:r>
              <w:rPr>
                <w:rFonts w:eastAsia="Times New Roman"/>
                <w:color w:val="000000"/>
                <w:sz w:val="19"/>
                <w:szCs w:val="19"/>
              </w:rPr>
              <w:t>Proceeds from credit facility borrowings</w:t>
            </w:r>
          </w:p>
        </w:tc>
        <w:tc>
          <w:tcPr>
            <w:tcW w:w="0" w:type="auto"/>
            <w:gridSpan w:val="3"/>
            <w:shd w:val="clear" w:color="auto" w:fill="CCEEFF"/>
            <w:tcMar>
              <w:top w:w="0" w:type="dxa"/>
              <w:left w:w="20" w:type="dxa"/>
              <w:bottom w:w="0" w:type="dxa"/>
              <w:right w:w="20" w:type="dxa"/>
            </w:tcMar>
            <w:vAlign w:val="center"/>
            <w:hideMark/>
          </w:tcPr>
          <w:p w14:paraId="1DBAF2BA"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FE89B6"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6AF5D12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67ED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1BFF41" w14:textId="77777777" w:rsidR="00000000" w:rsidRDefault="00EE5306">
            <w:pPr>
              <w:spacing w:after="100"/>
              <w:jc w:val="right"/>
              <w:rPr>
                <w:rFonts w:eastAsia="Times New Roman"/>
              </w:rPr>
            </w:pPr>
            <w:r>
              <w:rPr>
                <w:rFonts w:eastAsia="Times New Roman"/>
                <w:color w:val="000000"/>
                <w:sz w:val="19"/>
                <w:szCs w:val="19"/>
              </w:rPr>
              <w:t>475.0 </w:t>
            </w:r>
          </w:p>
        </w:tc>
        <w:tc>
          <w:tcPr>
            <w:tcW w:w="0" w:type="auto"/>
            <w:shd w:val="clear" w:color="auto" w:fill="CCEEFF"/>
            <w:tcMar>
              <w:top w:w="30" w:type="dxa"/>
              <w:left w:w="0" w:type="dxa"/>
              <w:bottom w:w="30" w:type="dxa"/>
              <w:right w:w="20" w:type="dxa"/>
            </w:tcMar>
            <w:vAlign w:val="bottom"/>
            <w:hideMark/>
          </w:tcPr>
          <w:p w14:paraId="531C26A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0467F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14E2D2"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3A4E4A69" w14:textId="77777777" w:rsidR="00000000" w:rsidRDefault="00EE5306">
            <w:pPr>
              <w:spacing w:after="100"/>
              <w:jc w:val="right"/>
              <w:rPr>
                <w:rFonts w:eastAsia="Times New Roman"/>
              </w:rPr>
            </w:pPr>
          </w:p>
        </w:tc>
      </w:tr>
      <w:tr w:rsidR="00000000" w14:paraId="4F561B4D" w14:textId="77777777">
        <w:trPr>
          <w:divId w:val="1908876971"/>
          <w:jc w:val="center"/>
        </w:trPr>
        <w:tc>
          <w:tcPr>
            <w:tcW w:w="0" w:type="auto"/>
            <w:gridSpan w:val="3"/>
            <w:shd w:val="clear" w:color="auto" w:fill="FFFFFF"/>
            <w:tcMar>
              <w:top w:w="30" w:type="dxa"/>
              <w:left w:w="155" w:type="dxa"/>
              <w:bottom w:w="30" w:type="dxa"/>
              <w:right w:w="20" w:type="dxa"/>
            </w:tcMar>
            <w:vAlign w:val="bottom"/>
            <w:hideMark/>
          </w:tcPr>
          <w:p w14:paraId="7D14ACFB" w14:textId="77777777" w:rsidR="00000000" w:rsidRDefault="00EE5306">
            <w:pPr>
              <w:spacing w:after="100"/>
              <w:rPr>
                <w:rFonts w:eastAsia="Times New Roman"/>
              </w:rPr>
            </w:pPr>
            <w:r>
              <w:rPr>
                <w:rFonts w:eastAsia="Times New Roman"/>
                <w:color w:val="000000"/>
                <w:sz w:val="19"/>
                <w:szCs w:val="19"/>
              </w:rPr>
              <w:t>Repayments of credit facility borrowings</w:t>
            </w:r>
          </w:p>
        </w:tc>
        <w:tc>
          <w:tcPr>
            <w:tcW w:w="0" w:type="auto"/>
            <w:gridSpan w:val="3"/>
            <w:shd w:val="clear" w:color="auto" w:fill="FFFFFF"/>
            <w:tcMar>
              <w:top w:w="0" w:type="dxa"/>
              <w:left w:w="20" w:type="dxa"/>
              <w:bottom w:w="0" w:type="dxa"/>
              <w:right w:w="20" w:type="dxa"/>
            </w:tcMar>
            <w:vAlign w:val="center"/>
            <w:hideMark/>
          </w:tcPr>
          <w:p w14:paraId="1D3D2501"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C148BE" w14:textId="77777777" w:rsidR="00000000" w:rsidRDefault="00EE5306">
            <w:pPr>
              <w:spacing w:after="100"/>
              <w:jc w:val="right"/>
              <w:rPr>
                <w:rFonts w:eastAsia="Times New Roman"/>
              </w:rPr>
            </w:pPr>
            <w:r>
              <w:rPr>
                <w:rFonts w:eastAsia="Times New Roman"/>
                <w:color w:val="000000"/>
                <w:sz w:val="19"/>
                <w:szCs w:val="19"/>
              </w:rPr>
              <w:t>(475.0)</w:t>
            </w:r>
          </w:p>
        </w:tc>
        <w:tc>
          <w:tcPr>
            <w:tcW w:w="0" w:type="auto"/>
            <w:shd w:val="clear" w:color="auto" w:fill="FFFFFF"/>
            <w:tcMar>
              <w:top w:w="30" w:type="dxa"/>
              <w:left w:w="0" w:type="dxa"/>
              <w:bottom w:w="30" w:type="dxa"/>
              <w:right w:w="20" w:type="dxa"/>
            </w:tcMar>
            <w:vAlign w:val="bottom"/>
            <w:hideMark/>
          </w:tcPr>
          <w:p w14:paraId="0B106F6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8E75B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47E41F"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15075AE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6D0A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F002EC" w14:textId="77777777" w:rsidR="00000000" w:rsidRDefault="00EE5306">
            <w:pPr>
              <w:spacing w:after="100"/>
              <w:jc w:val="right"/>
              <w:rPr>
                <w:rFonts w:eastAsia="Times New Roman"/>
              </w:rPr>
            </w:pPr>
            <w:r>
              <w:rPr>
                <w:rFonts w:eastAsia="Times New Roman"/>
                <w:color w:val="000000"/>
                <w:sz w:val="19"/>
                <w:szCs w:val="19"/>
              </w:rPr>
              <w:t>(9.9)</w:t>
            </w:r>
          </w:p>
        </w:tc>
        <w:tc>
          <w:tcPr>
            <w:tcW w:w="0" w:type="auto"/>
            <w:shd w:val="clear" w:color="auto" w:fill="FFFFFF"/>
            <w:tcMar>
              <w:top w:w="30" w:type="dxa"/>
              <w:left w:w="0" w:type="dxa"/>
              <w:bottom w:w="30" w:type="dxa"/>
              <w:right w:w="20" w:type="dxa"/>
            </w:tcMar>
            <w:vAlign w:val="bottom"/>
            <w:hideMark/>
          </w:tcPr>
          <w:p w14:paraId="05ACC033" w14:textId="77777777" w:rsidR="00000000" w:rsidRDefault="00EE5306">
            <w:pPr>
              <w:spacing w:after="100"/>
              <w:jc w:val="right"/>
              <w:rPr>
                <w:rFonts w:eastAsia="Times New Roman"/>
              </w:rPr>
            </w:pPr>
          </w:p>
        </w:tc>
      </w:tr>
      <w:tr w:rsidR="00000000" w14:paraId="7441B27E" w14:textId="77777777">
        <w:trPr>
          <w:divId w:val="1908876971"/>
          <w:jc w:val="center"/>
        </w:trPr>
        <w:tc>
          <w:tcPr>
            <w:tcW w:w="0" w:type="auto"/>
            <w:gridSpan w:val="3"/>
            <w:shd w:val="clear" w:color="auto" w:fill="CCEEFF"/>
            <w:tcMar>
              <w:top w:w="30" w:type="dxa"/>
              <w:left w:w="155" w:type="dxa"/>
              <w:bottom w:w="30" w:type="dxa"/>
              <w:right w:w="20" w:type="dxa"/>
            </w:tcMar>
            <w:vAlign w:val="bottom"/>
            <w:hideMark/>
          </w:tcPr>
          <w:p w14:paraId="35622A59" w14:textId="77777777" w:rsidR="00000000" w:rsidRDefault="00EE5306">
            <w:pPr>
              <w:spacing w:after="100"/>
              <w:rPr>
                <w:rFonts w:eastAsia="Times New Roman"/>
              </w:rPr>
            </w:pPr>
            <w:r>
              <w:rPr>
                <w:rFonts w:eastAsia="Times New Roman"/>
                <w:color w:val="000000"/>
                <w:sz w:val="19"/>
                <w:szCs w:val="19"/>
              </w:rPr>
              <w:t>Proceeds from the issuance of long-term debt</w:t>
            </w:r>
          </w:p>
        </w:tc>
        <w:tc>
          <w:tcPr>
            <w:tcW w:w="0" w:type="auto"/>
            <w:gridSpan w:val="3"/>
            <w:shd w:val="clear" w:color="auto" w:fill="CCEEFF"/>
            <w:tcMar>
              <w:top w:w="0" w:type="dxa"/>
              <w:left w:w="20" w:type="dxa"/>
              <w:bottom w:w="0" w:type="dxa"/>
              <w:right w:w="20" w:type="dxa"/>
            </w:tcMar>
            <w:vAlign w:val="center"/>
            <w:hideMark/>
          </w:tcPr>
          <w:p w14:paraId="11FF55DA"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8D448B" w14:textId="77777777" w:rsidR="00000000" w:rsidRDefault="00EE5306">
            <w:pPr>
              <w:spacing w:after="100"/>
              <w:jc w:val="right"/>
              <w:rPr>
                <w:rFonts w:eastAsia="Times New Roman"/>
              </w:rPr>
            </w:pPr>
            <w:r>
              <w:rPr>
                <w:rFonts w:eastAsia="Times New Roman"/>
                <w:color w:val="000000"/>
                <w:sz w:val="19"/>
                <w:szCs w:val="19"/>
              </w:rPr>
              <w:t>1,241.9 </w:t>
            </w:r>
          </w:p>
        </w:tc>
        <w:tc>
          <w:tcPr>
            <w:tcW w:w="0" w:type="auto"/>
            <w:shd w:val="clear" w:color="auto" w:fill="CCEEFF"/>
            <w:tcMar>
              <w:top w:w="30" w:type="dxa"/>
              <w:left w:w="0" w:type="dxa"/>
              <w:bottom w:w="30" w:type="dxa"/>
              <w:right w:w="20" w:type="dxa"/>
            </w:tcMar>
            <w:vAlign w:val="bottom"/>
            <w:hideMark/>
          </w:tcPr>
          <w:p w14:paraId="458B52C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269D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D23724"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7D9A2D1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1342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FACA27" w14:textId="77777777" w:rsidR="00000000" w:rsidRDefault="00EE5306">
            <w:pPr>
              <w:spacing w:after="100"/>
              <w:jc w:val="right"/>
              <w:rPr>
                <w:rFonts w:eastAsia="Times New Roman"/>
              </w:rPr>
            </w:pPr>
            <w:r>
              <w:rPr>
                <w:rFonts w:eastAsia="Times New Roman"/>
                <w:color w:val="000000"/>
                <w:sz w:val="19"/>
                <w:szCs w:val="19"/>
              </w:rPr>
              <w:t>398.1 </w:t>
            </w:r>
          </w:p>
        </w:tc>
        <w:tc>
          <w:tcPr>
            <w:tcW w:w="0" w:type="auto"/>
            <w:shd w:val="clear" w:color="auto" w:fill="CCEEFF"/>
            <w:tcMar>
              <w:top w:w="30" w:type="dxa"/>
              <w:left w:w="0" w:type="dxa"/>
              <w:bottom w:w="30" w:type="dxa"/>
              <w:right w:w="20" w:type="dxa"/>
            </w:tcMar>
            <w:vAlign w:val="bottom"/>
            <w:hideMark/>
          </w:tcPr>
          <w:p w14:paraId="542A4263" w14:textId="77777777" w:rsidR="00000000" w:rsidRDefault="00EE5306">
            <w:pPr>
              <w:spacing w:after="100"/>
              <w:jc w:val="right"/>
              <w:rPr>
                <w:rFonts w:eastAsia="Times New Roman"/>
              </w:rPr>
            </w:pPr>
          </w:p>
        </w:tc>
      </w:tr>
      <w:tr w:rsidR="00000000" w14:paraId="134F39E2" w14:textId="77777777">
        <w:trPr>
          <w:divId w:val="1908876971"/>
          <w:jc w:val="center"/>
        </w:trPr>
        <w:tc>
          <w:tcPr>
            <w:tcW w:w="0" w:type="auto"/>
            <w:gridSpan w:val="3"/>
            <w:shd w:val="clear" w:color="auto" w:fill="FFFFFF"/>
            <w:tcMar>
              <w:top w:w="30" w:type="dxa"/>
              <w:left w:w="155" w:type="dxa"/>
              <w:bottom w:w="30" w:type="dxa"/>
              <w:right w:w="20" w:type="dxa"/>
            </w:tcMar>
            <w:vAlign w:val="bottom"/>
            <w:hideMark/>
          </w:tcPr>
          <w:p w14:paraId="17698682" w14:textId="77777777" w:rsidR="00000000" w:rsidRDefault="00EE5306">
            <w:pPr>
              <w:spacing w:after="100"/>
              <w:rPr>
                <w:rFonts w:eastAsia="Times New Roman"/>
              </w:rPr>
            </w:pPr>
            <w:r>
              <w:rPr>
                <w:rFonts w:eastAsia="Times New Roman"/>
                <w:color w:val="000000"/>
                <w:sz w:val="19"/>
                <w:szCs w:val="19"/>
              </w:rPr>
              <w:t>Repayments of long-term debt</w:t>
            </w:r>
          </w:p>
        </w:tc>
        <w:tc>
          <w:tcPr>
            <w:tcW w:w="0" w:type="auto"/>
            <w:gridSpan w:val="3"/>
            <w:shd w:val="clear" w:color="auto" w:fill="FFFFFF"/>
            <w:tcMar>
              <w:top w:w="0" w:type="dxa"/>
              <w:left w:w="20" w:type="dxa"/>
              <w:bottom w:w="0" w:type="dxa"/>
              <w:right w:w="20" w:type="dxa"/>
            </w:tcMar>
            <w:vAlign w:val="center"/>
            <w:hideMark/>
          </w:tcPr>
          <w:p w14:paraId="4659F115"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8293E4" w14:textId="77777777" w:rsidR="00000000" w:rsidRDefault="00EE5306">
            <w:pPr>
              <w:spacing w:after="100"/>
              <w:jc w:val="right"/>
              <w:rPr>
                <w:rFonts w:eastAsia="Times New Roman"/>
              </w:rPr>
            </w:pPr>
            <w:r>
              <w:rPr>
                <w:rFonts w:eastAsia="Times New Roman"/>
                <w:color w:val="000000"/>
                <w:sz w:val="19"/>
                <w:szCs w:val="19"/>
              </w:rPr>
              <w:t>(300.0)</w:t>
            </w:r>
          </w:p>
        </w:tc>
        <w:tc>
          <w:tcPr>
            <w:tcW w:w="0" w:type="auto"/>
            <w:shd w:val="clear" w:color="auto" w:fill="FFFFFF"/>
            <w:tcMar>
              <w:top w:w="30" w:type="dxa"/>
              <w:left w:w="0" w:type="dxa"/>
              <w:bottom w:w="30" w:type="dxa"/>
              <w:right w:w="20" w:type="dxa"/>
            </w:tcMar>
            <w:vAlign w:val="bottom"/>
            <w:hideMark/>
          </w:tcPr>
          <w:p w14:paraId="43703C7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C624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E2BE05"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1FA08E3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BFFD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28F41" w14:textId="77777777" w:rsidR="00000000" w:rsidRDefault="00EE5306">
            <w:pPr>
              <w:spacing w:after="100"/>
              <w:jc w:val="right"/>
              <w:rPr>
                <w:rFonts w:eastAsia="Times New Roman"/>
              </w:rPr>
            </w:pPr>
            <w:r>
              <w:rPr>
                <w:rFonts w:eastAsia="Times New Roman"/>
                <w:color w:val="000000"/>
                <w:sz w:val="19"/>
                <w:szCs w:val="19"/>
              </w:rPr>
              <w:t>(300.0)</w:t>
            </w:r>
          </w:p>
        </w:tc>
        <w:tc>
          <w:tcPr>
            <w:tcW w:w="0" w:type="auto"/>
            <w:shd w:val="clear" w:color="auto" w:fill="FFFFFF"/>
            <w:tcMar>
              <w:top w:w="30" w:type="dxa"/>
              <w:left w:w="0" w:type="dxa"/>
              <w:bottom w:w="30" w:type="dxa"/>
              <w:right w:w="20" w:type="dxa"/>
            </w:tcMar>
            <w:vAlign w:val="bottom"/>
            <w:hideMark/>
          </w:tcPr>
          <w:p w14:paraId="680E9AA2" w14:textId="77777777" w:rsidR="00000000" w:rsidRDefault="00EE5306">
            <w:pPr>
              <w:spacing w:after="100"/>
              <w:jc w:val="right"/>
              <w:rPr>
                <w:rFonts w:eastAsia="Times New Roman"/>
              </w:rPr>
            </w:pPr>
          </w:p>
        </w:tc>
      </w:tr>
      <w:tr w:rsidR="00000000" w14:paraId="2974F79C" w14:textId="77777777">
        <w:trPr>
          <w:divId w:val="1908876971"/>
          <w:jc w:val="center"/>
        </w:trPr>
        <w:tc>
          <w:tcPr>
            <w:tcW w:w="0" w:type="auto"/>
            <w:gridSpan w:val="3"/>
            <w:shd w:val="clear" w:color="auto" w:fill="CCEEFF"/>
            <w:tcMar>
              <w:top w:w="30" w:type="dxa"/>
              <w:left w:w="155" w:type="dxa"/>
              <w:bottom w:w="30" w:type="dxa"/>
              <w:right w:w="20" w:type="dxa"/>
            </w:tcMar>
            <w:vAlign w:val="bottom"/>
            <w:hideMark/>
          </w:tcPr>
          <w:p w14:paraId="616C3E55" w14:textId="77777777" w:rsidR="00000000" w:rsidRDefault="00EE5306">
            <w:pPr>
              <w:spacing w:after="100"/>
              <w:rPr>
                <w:rFonts w:eastAsia="Times New Roman"/>
              </w:rPr>
            </w:pPr>
            <w:r>
              <w:rPr>
                <w:rFonts w:eastAsia="Times New Roman"/>
                <w:color w:val="000000"/>
                <w:sz w:val="19"/>
                <w:szCs w:val="19"/>
              </w:rPr>
              <w:t>Payments of finance lease obligations</w:t>
            </w:r>
          </w:p>
        </w:tc>
        <w:tc>
          <w:tcPr>
            <w:tcW w:w="0" w:type="auto"/>
            <w:gridSpan w:val="3"/>
            <w:shd w:val="clear" w:color="auto" w:fill="CCEEFF"/>
            <w:tcMar>
              <w:top w:w="0" w:type="dxa"/>
              <w:left w:w="20" w:type="dxa"/>
              <w:bottom w:w="0" w:type="dxa"/>
              <w:right w:w="20" w:type="dxa"/>
            </w:tcMar>
            <w:vAlign w:val="center"/>
            <w:hideMark/>
          </w:tcPr>
          <w:p w14:paraId="10A03BA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1DBB1A" w14:textId="77777777" w:rsidR="00000000" w:rsidRDefault="00EE5306">
            <w:pPr>
              <w:spacing w:after="100"/>
              <w:jc w:val="right"/>
              <w:rPr>
                <w:rFonts w:eastAsia="Times New Roman"/>
              </w:rPr>
            </w:pPr>
            <w:r>
              <w:rPr>
                <w:rFonts w:eastAsia="Times New Roman"/>
                <w:color w:val="000000"/>
                <w:sz w:val="19"/>
                <w:szCs w:val="19"/>
              </w:rPr>
              <w:t>(13.9)</w:t>
            </w:r>
          </w:p>
        </w:tc>
        <w:tc>
          <w:tcPr>
            <w:tcW w:w="0" w:type="auto"/>
            <w:shd w:val="clear" w:color="auto" w:fill="CCEEFF"/>
            <w:tcMar>
              <w:top w:w="30" w:type="dxa"/>
              <w:left w:w="0" w:type="dxa"/>
              <w:bottom w:w="30" w:type="dxa"/>
              <w:right w:w="20" w:type="dxa"/>
            </w:tcMar>
            <w:vAlign w:val="bottom"/>
            <w:hideMark/>
          </w:tcPr>
          <w:p w14:paraId="059FC63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2EF1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AFC0F" w14:textId="77777777" w:rsidR="00000000" w:rsidRDefault="00EE5306">
            <w:pPr>
              <w:spacing w:after="100"/>
              <w:jc w:val="right"/>
              <w:rPr>
                <w:rFonts w:eastAsia="Times New Roman"/>
              </w:rPr>
            </w:pPr>
            <w:r>
              <w:rPr>
                <w:rFonts w:eastAsia="Times New Roman"/>
                <w:color w:val="000000"/>
                <w:sz w:val="19"/>
                <w:szCs w:val="19"/>
              </w:rPr>
              <w:t>(13.6)</w:t>
            </w:r>
          </w:p>
        </w:tc>
        <w:tc>
          <w:tcPr>
            <w:tcW w:w="0" w:type="auto"/>
            <w:shd w:val="clear" w:color="auto" w:fill="CCEEFF"/>
            <w:tcMar>
              <w:top w:w="30" w:type="dxa"/>
              <w:left w:w="0" w:type="dxa"/>
              <w:bottom w:w="30" w:type="dxa"/>
              <w:right w:w="20" w:type="dxa"/>
            </w:tcMar>
            <w:vAlign w:val="bottom"/>
            <w:hideMark/>
          </w:tcPr>
          <w:p w14:paraId="3D446F7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5F66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7B0F7C" w14:textId="77777777" w:rsidR="00000000" w:rsidRDefault="00EE5306">
            <w:pPr>
              <w:spacing w:after="100"/>
              <w:jc w:val="right"/>
              <w:rPr>
                <w:rFonts w:eastAsia="Times New Roman"/>
              </w:rPr>
            </w:pPr>
            <w:r>
              <w:rPr>
                <w:rFonts w:eastAsia="Times New Roman"/>
                <w:color w:val="000000"/>
                <w:sz w:val="19"/>
                <w:szCs w:val="19"/>
              </w:rPr>
              <w:t>(19.6)</w:t>
            </w:r>
          </w:p>
        </w:tc>
        <w:tc>
          <w:tcPr>
            <w:tcW w:w="0" w:type="auto"/>
            <w:shd w:val="clear" w:color="auto" w:fill="CCEEFF"/>
            <w:tcMar>
              <w:top w:w="30" w:type="dxa"/>
              <w:left w:w="0" w:type="dxa"/>
              <w:bottom w:w="30" w:type="dxa"/>
              <w:right w:w="20" w:type="dxa"/>
            </w:tcMar>
            <w:vAlign w:val="bottom"/>
            <w:hideMark/>
          </w:tcPr>
          <w:p w14:paraId="210DCCC2" w14:textId="77777777" w:rsidR="00000000" w:rsidRDefault="00EE5306">
            <w:pPr>
              <w:spacing w:after="100"/>
              <w:jc w:val="right"/>
              <w:rPr>
                <w:rFonts w:eastAsia="Times New Roman"/>
              </w:rPr>
            </w:pPr>
          </w:p>
        </w:tc>
      </w:tr>
      <w:tr w:rsidR="00000000" w14:paraId="091AB483" w14:textId="77777777">
        <w:trPr>
          <w:divId w:val="1908876971"/>
          <w:jc w:val="center"/>
        </w:trPr>
        <w:tc>
          <w:tcPr>
            <w:tcW w:w="0" w:type="auto"/>
            <w:gridSpan w:val="3"/>
            <w:shd w:val="clear" w:color="auto" w:fill="FFFFFF"/>
            <w:tcMar>
              <w:top w:w="30" w:type="dxa"/>
              <w:left w:w="155" w:type="dxa"/>
              <w:bottom w:w="30" w:type="dxa"/>
              <w:right w:w="20" w:type="dxa"/>
            </w:tcMar>
            <w:vAlign w:val="bottom"/>
            <w:hideMark/>
          </w:tcPr>
          <w:p w14:paraId="074BD9F1" w14:textId="77777777" w:rsidR="00000000" w:rsidRDefault="00EE5306">
            <w:pPr>
              <w:spacing w:after="100"/>
              <w:rPr>
                <w:rFonts w:eastAsia="Times New Roman"/>
              </w:rPr>
            </w:pPr>
            <w:r>
              <w:rPr>
                <w:rFonts w:eastAsia="Times New Roman"/>
                <w:color w:val="000000"/>
                <w:sz w:val="19"/>
                <w:szCs w:val="19"/>
              </w:rPr>
              <w:t>Payments of dividends</w:t>
            </w:r>
          </w:p>
        </w:tc>
        <w:tc>
          <w:tcPr>
            <w:tcW w:w="0" w:type="auto"/>
            <w:gridSpan w:val="3"/>
            <w:shd w:val="clear" w:color="auto" w:fill="FFFFFF"/>
            <w:tcMar>
              <w:top w:w="0" w:type="dxa"/>
              <w:left w:w="20" w:type="dxa"/>
              <w:bottom w:w="0" w:type="dxa"/>
              <w:right w:w="20" w:type="dxa"/>
            </w:tcMar>
            <w:vAlign w:val="center"/>
            <w:hideMark/>
          </w:tcPr>
          <w:p w14:paraId="03F4A3D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3ECFF7" w14:textId="77777777" w:rsidR="00000000" w:rsidRDefault="00EE5306">
            <w:pPr>
              <w:spacing w:after="100"/>
              <w:jc w:val="right"/>
              <w:rPr>
                <w:rFonts w:eastAsia="Times New Roman"/>
              </w:rPr>
            </w:pPr>
            <w:r>
              <w:rPr>
                <w:rFonts w:eastAsia="Times New Roman"/>
                <w:color w:val="000000"/>
                <w:sz w:val="19"/>
                <w:szCs w:val="19"/>
              </w:rPr>
              <w:t>(49.8)</w:t>
            </w:r>
          </w:p>
        </w:tc>
        <w:tc>
          <w:tcPr>
            <w:tcW w:w="0" w:type="auto"/>
            <w:shd w:val="clear" w:color="auto" w:fill="FFFFFF"/>
            <w:tcMar>
              <w:top w:w="30" w:type="dxa"/>
              <w:left w:w="0" w:type="dxa"/>
              <w:bottom w:w="30" w:type="dxa"/>
              <w:right w:w="20" w:type="dxa"/>
            </w:tcMar>
            <w:vAlign w:val="bottom"/>
            <w:hideMark/>
          </w:tcPr>
          <w:p w14:paraId="13BD148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9DBD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0445B5" w14:textId="77777777" w:rsidR="00000000" w:rsidRDefault="00EE5306">
            <w:pPr>
              <w:spacing w:after="100"/>
              <w:jc w:val="right"/>
              <w:rPr>
                <w:rFonts w:eastAsia="Times New Roman"/>
              </w:rPr>
            </w:pPr>
            <w:r>
              <w:rPr>
                <w:rFonts w:eastAsia="Times New Roman"/>
                <w:color w:val="000000"/>
                <w:sz w:val="19"/>
                <w:szCs w:val="19"/>
              </w:rPr>
              <w:t>(203.9)</w:t>
            </w:r>
          </w:p>
        </w:tc>
        <w:tc>
          <w:tcPr>
            <w:tcW w:w="0" w:type="auto"/>
            <w:shd w:val="clear" w:color="auto" w:fill="FFFFFF"/>
            <w:tcMar>
              <w:top w:w="30" w:type="dxa"/>
              <w:left w:w="0" w:type="dxa"/>
              <w:bottom w:w="30" w:type="dxa"/>
              <w:right w:w="20" w:type="dxa"/>
            </w:tcMar>
            <w:vAlign w:val="bottom"/>
            <w:hideMark/>
          </w:tcPr>
          <w:p w14:paraId="1CF3393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62A8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FA3E15" w14:textId="77777777" w:rsidR="00000000" w:rsidRDefault="00EE5306">
            <w:pPr>
              <w:spacing w:after="100"/>
              <w:jc w:val="right"/>
              <w:rPr>
                <w:rFonts w:eastAsia="Times New Roman"/>
              </w:rPr>
            </w:pPr>
            <w:r>
              <w:rPr>
                <w:rFonts w:eastAsia="Times New Roman"/>
                <w:color w:val="000000"/>
                <w:sz w:val="19"/>
                <w:szCs w:val="19"/>
              </w:rPr>
              <w:t>(190.7)</w:t>
            </w:r>
          </w:p>
        </w:tc>
        <w:tc>
          <w:tcPr>
            <w:tcW w:w="0" w:type="auto"/>
            <w:shd w:val="clear" w:color="auto" w:fill="FFFFFF"/>
            <w:tcMar>
              <w:top w:w="30" w:type="dxa"/>
              <w:left w:w="0" w:type="dxa"/>
              <w:bottom w:w="30" w:type="dxa"/>
              <w:right w:w="20" w:type="dxa"/>
            </w:tcMar>
            <w:vAlign w:val="bottom"/>
            <w:hideMark/>
          </w:tcPr>
          <w:p w14:paraId="142C7895" w14:textId="77777777" w:rsidR="00000000" w:rsidRDefault="00EE5306">
            <w:pPr>
              <w:spacing w:after="100"/>
              <w:jc w:val="right"/>
              <w:rPr>
                <w:rFonts w:eastAsia="Times New Roman"/>
              </w:rPr>
            </w:pPr>
          </w:p>
        </w:tc>
      </w:tr>
      <w:tr w:rsidR="00000000" w14:paraId="5C8781EF" w14:textId="77777777">
        <w:trPr>
          <w:divId w:val="1908876971"/>
          <w:jc w:val="center"/>
        </w:trPr>
        <w:tc>
          <w:tcPr>
            <w:tcW w:w="0" w:type="auto"/>
            <w:gridSpan w:val="3"/>
            <w:shd w:val="clear" w:color="auto" w:fill="CCEEFF"/>
            <w:tcMar>
              <w:top w:w="30" w:type="dxa"/>
              <w:left w:w="20" w:type="dxa"/>
              <w:bottom w:w="30" w:type="dxa"/>
              <w:right w:w="20" w:type="dxa"/>
            </w:tcMar>
            <w:vAlign w:val="bottom"/>
            <w:hideMark/>
          </w:tcPr>
          <w:p w14:paraId="608BCAE6" w14:textId="77777777" w:rsidR="00000000" w:rsidRDefault="00EE5306">
            <w:pPr>
              <w:spacing w:after="100"/>
              <w:ind w:hanging="180"/>
              <w:divId w:val="1296715128"/>
              <w:rPr>
                <w:rFonts w:eastAsia="Times New Roman"/>
              </w:rPr>
            </w:pPr>
            <w:r>
              <w:rPr>
                <w:rFonts w:eastAsia="Times New Roman"/>
                <w:color w:val="000000"/>
                <w:sz w:val="19"/>
                <w:szCs w:val="19"/>
              </w:rPr>
              <w:t>Repurchases of common stock, including shares surrendered for tax withholdings</w:t>
            </w:r>
          </w:p>
        </w:tc>
        <w:tc>
          <w:tcPr>
            <w:tcW w:w="0" w:type="auto"/>
            <w:gridSpan w:val="3"/>
            <w:shd w:val="clear" w:color="auto" w:fill="CCEEFF"/>
            <w:tcMar>
              <w:top w:w="0" w:type="dxa"/>
              <w:left w:w="20" w:type="dxa"/>
              <w:bottom w:w="0" w:type="dxa"/>
              <w:right w:w="20" w:type="dxa"/>
            </w:tcMar>
            <w:vAlign w:val="center"/>
            <w:hideMark/>
          </w:tcPr>
          <w:p w14:paraId="6DF3B411"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4FDA33" w14:textId="77777777" w:rsidR="00000000" w:rsidRDefault="00EE5306">
            <w:pPr>
              <w:spacing w:after="100"/>
              <w:jc w:val="right"/>
              <w:rPr>
                <w:rFonts w:eastAsia="Times New Roman"/>
              </w:rPr>
            </w:pPr>
            <w:r>
              <w:rPr>
                <w:rFonts w:eastAsia="Times New Roman"/>
                <w:color w:val="000000"/>
                <w:sz w:val="19"/>
                <w:szCs w:val="19"/>
              </w:rPr>
              <w:t>(37.7)</w:t>
            </w:r>
          </w:p>
        </w:tc>
        <w:tc>
          <w:tcPr>
            <w:tcW w:w="0" w:type="auto"/>
            <w:shd w:val="clear" w:color="auto" w:fill="CCEEFF"/>
            <w:tcMar>
              <w:top w:w="30" w:type="dxa"/>
              <w:left w:w="0" w:type="dxa"/>
              <w:bottom w:w="30" w:type="dxa"/>
              <w:right w:w="20" w:type="dxa"/>
            </w:tcMar>
            <w:vAlign w:val="bottom"/>
            <w:hideMark/>
          </w:tcPr>
          <w:p w14:paraId="4772B14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7564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85635E" w14:textId="77777777" w:rsidR="00000000" w:rsidRDefault="00EE5306">
            <w:pPr>
              <w:spacing w:after="100"/>
              <w:jc w:val="right"/>
              <w:rPr>
                <w:rFonts w:eastAsia="Times New Roman"/>
              </w:rPr>
            </w:pPr>
            <w:r>
              <w:rPr>
                <w:rFonts w:eastAsia="Times New Roman"/>
                <w:color w:val="000000"/>
                <w:sz w:val="19"/>
                <w:szCs w:val="19"/>
              </w:rPr>
              <w:t>(694.8)</w:t>
            </w:r>
          </w:p>
        </w:tc>
        <w:tc>
          <w:tcPr>
            <w:tcW w:w="0" w:type="auto"/>
            <w:shd w:val="clear" w:color="auto" w:fill="CCEEFF"/>
            <w:tcMar>
              <w:top w:w="30" w:type="dxa"/>
              <w:left w:w="0" w:type="dxa"/>
              <w:bottom w:w="30" w:type="dxa"/>
              <w:right w:w="20" w:type="dxa"/>
            </w:tcMar>
            <w:vAlign w:val="bottom"/>
            <w:hideMark/>
          </w:tcPr>
          <w:p w14:paraId="4241DFD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635D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BD66E7" w14:textId="77777777" w:rsidR="00000000" w:rsidRDefault="00EE5306">
            <w:pPr>
              <w:spacing w:after="100"/>
              <w:jc w:val="right"/>
              <w:rPr>
                <w:rFonts w:eastAsia="Times New Roman"/>
              </w:rPr>
            </w:pPr>
            <w:r>
              <w:rPr>
                <w:rFonts w:eastAsia="Times New Roman"/>
                <w:color w:val="000000"/>
                <w:sz w:val="19"/>
                <w:szCs w:val="19"/>
              </w:rPr>
              <w:t>(502.6)</w:t>
            </w:r>
          </w:p>
        </w:tc>
        <w:tc>
          <w:tcPr>
            <w:tcW w:w="0" w:type="auto"/>
            <w:shd w:val="clear" w:color="auto" w:fill="CCEEFF"/>
            <w:tcMar>
              <w:top w:w="30" w:type="dxa"/>
              <w:left w:w="0" w:type="dxa"/>
              <w:bottom w:w="30" w:type="dxa"/>
              <w:right w:w="20" w:type="dxa"/>
            </w:tcMar>
            <w:vAlign w:val="bottom"/>
            <w:hideMark/>
          </w:tcPr>
          <w:p w14:paraId="2321A36E" w14:textId="77777777" w:rsidR="00000000" w:rsidRDefault="00EE5306">
            <w:pPr>
              <w:spacing w:after="100"/>
              <w:jc w:val="right"/>
              <w:rPr>
                <w:rFonts w:eastAsia="Times New Roman"/>
              </w:rPr>
            </w:pPr>
          </w:p>
        </w:tc>
      </w:tr>
      <w:tr w:rsidR="00000000" w14:paraId="4D52F8A1" w14:textId="77777777">
        <w:trPr>
          <w:divId w:val="1908876971"/>
          <w:jc w:val="center"/>
        </w:trPr>
        <w:tc>
          <w:tcPr>
            <w:tcW w:w="0" w:type="auto"/>
            <w:gridSpan w:val="3"/>
            <w:shd w:val="clear" w:color="auto" w:fill="FFFFFF"/>
            <w:tcMar>
              <w:top w:w="30" w:type="dxa"/>
              <w:left w:w="155" w:type="dxa"/>
              <w:bottom w:w="30" w:type="dxa"/>
              <w:right w:w="20" w:type="dxa"/>
            </w:tcMar>
            <w:vAlign w:val="bottom"/>
            <w:hideMark/>
          </w:tcPr>
          <w:p w14:paraId="559098E5" w14:textId="77777777" w:rsidR="00000000" w:rsidRDefault="00EE5306">
            <w:pPr>
              <w:spacing w:after="100"/>
              <w:rPr>
                <w:rFonts w:eastAsia="Times New Roman"/>
              </w:rPr>
            </w:pPr>
            <w:r>
              <w:rPr>
                <w:rFonts w:eastAsia="Times New Roman"/>
                <w:color w:val="000000"/>
                <w:sz w:val="19"/>
                <w:szCs w:val="19"/>
              </w:rPr>
              <w:t>Proceeds from exercise of stock options</w:t>
            </w:r>
          </w:p>
        </w:tc>
        <w:tc>
          <w:tcPr>
            <w:tcW w:w="0" w:type="auto"/>
            <w:gridSpan w:val="3"/>
            <w:shd w:val="clear" w:color="auto" w:fill="FFFFFF"/>
            <w:tcMar>
              <w:top w:w="0" w:type="dxa"/>
              <w:left w:w="20" w:type="dxa"/>
              <w:bottom w:w="0" w:type="dxa"/>
              <w:right w:w="20" w:type="dxa"/>
            </w:tcMar>
            <w:vAlign w:val="center"/>
            <w:hideMark/>
          </w:tcPr>
          <w:p w14:paraId="274678B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90B634"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2BAAC08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9F55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681DF" w14:textId="77777777" w:rsidR="00000000" w:rsidRDefault="00EE5306">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7D210B5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E20A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F7FBFD" w14:textId="77777777" w:rsidR="00000000" w:rsidRDefault="00EE5306">
            <w:pPr>
              <w:spacing w:after="100"/>
              <w:jc w:val="right"/>
              <w:rPr>
                <w:rFonts w:eastAsia="Times New Roman"/>
              </w:rPr>
            </w:pPr>
            <w:r>
              <w:rPr>
                <w:rFonts w:eastAsia="Times New Roman"/>
                <w:color w:val="000000"/>
                <w:sz w:val="19"/>
                <w:szCs w:val="19"/>
              </w:rPr>
              <w:t>21.8 </w:t>
            </w:r>
          </w:p>
        </w:tc>
        <w:tc>
          <w:tcPr>
            <w:tcW w:w="0" w:type="auto"/>
            <w:shd w:val="clear" w:color="auto" w:fill="FFFFFF"/>
            <w:tcMar>
              <w:top w:w="30" w:type="dxa"/>
              <w:left w:w="0" w:type="dxa"/>
              <w:bottom w:w="30" w:type="dxa"/>
              <w:right w:w="20" w:type="dxa"/>
            </w:tcMar>
            <w:vAlign w:val="bottom"/>
            <w:hideMark/>
          </w:tcPr>
          <w:p w14:paraId="6B8AF7D8" w14:textId="77777777" w:rsidR="00000000" w:rsidRDefault="00EE5306">
            <w:pPr>
              <w:spacing w:after="100"/>
              <w:jc w:val="right"/>
              <w:rPr>
                <w:rFonts w:eastAsia="Times New Roman"/>
              </w:rPr>
            </w:pPr>
          </w:p>
        </w:tc>
      </w:tr>
      <w:tr w:rsidR="00000000" w14:paraId="7A9FF715" w14:textId="77777777">
        <w:trPr>
          <w:divId w:val="1908876971"/>
          <w:jc w:val="center"/>
        </w:trPr>
        <w:tc>
          <w:tcPr>
            <w:tcW w:w="0" w:type="auto"/>
            <w:gridSpan w:val="3"/>
            <w:shd w:val="clear" w:color="auto" w:fill="CCEEFF"/>
            <w:tcMar>
              <w:top w:w="30" w:type="dxa"/>
              <w:left w:w="155" w:type="dxa"/>
              <w:bottom w:w="30" w:type="dxa"/>
              <w:right w:w="20" w:type="dxa"/>
            </w:tcMar>
            <w:vAlign w:val="bottom"/>
            <w:hideMark/>
          </w:tcPr>
          <w:p w14:paraId="03190658" w14:textId="77777777" w:rsidR="00000000" w:rsidRDefault="00EE5306">
            <w:pPr>
              <w:spacing w:after="100"/>
              <w:rPr>
                <w:rFonts w:eastAsia="Times New Roman"/>
              </w:rPr>
            </w:pPr>
            <w:r>
              <w:rPr>
                <w:rFonts w:eastAsia="Times New Roman"/>
                <w:color w:val="000000"/>
                <w:sz w:val="19"/>
                <w:szCs w:val="19"/>
              </w:rPr>
              <w:t>Other financing activities</w:t>
            </w:r>
          </w:p>
        </w:tc>
        <w:tc>
          <w:tcPr>
            <w:tcW w:w="0" w:type="auto"/>
            <w:gridSpan w:val="3"/>
            <w:shd w:val="clear" w:color="auto" w:fill="CCEEFF"/>
            <w:tcMar>
              <w:top w:w="0" w:type="dxa"/>
              <w:left w:w="20" w:type="dxa"/>
              <w:bottom w:w="0" w:type="dxa"/>
              <w:right w:w="20" w:type="dxa"/>
            </w:tcMar>
            <w:vAlign w:val="center"/>
            <w:hideMark/>
          </w:tcPr>
          <w:p w14:paraId="721506E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B5C653" w14:textId="77777777" w:rsidR="00000000" w:rsidRDefault="00EE5306">
            <w:pPr>
              <w:spacing w:after="100"/>
              <w:jc w:val="right"/>
              <w:rPr>
                <w:rFonts w:eastAsia="Times New Roman"/>
              </w:rPr>
            </w:pPr>
            <w:r>
              <w:rPr>
                <w:rFonts w:eastAsia="Times New Roman"/>
                <w:color w:val="000000"/>
                <w:sz w:val="19"/>
                <w:szCs w:val="19"/>
              </w:rPr>
              <w:t>(8.7)</w:t>
            </w:r>
          </w:p>
        </w:tc>
        <w:tc>
          <w:tcPr>
            <w:tcW w:w="0" w:type="auto"/>
            <w:shd w:val="clear" w:color="auto" w:fill="CCEEFF"/>
            <w:tcMar>
              <w:top w:w="30" w:type="dxa"/>
              <w:left w:w="0" w:type="dxa"/>
              <w:bottom w:w="30" w:type="dxa"/>
              <w:right w:w="20" w:type="dxa"/>
            </w:tcMar>
            <w:vAlign w:val="bottom"/>
            <w:hideMark/>
          </w:tcPr>
          <w:p w14:paraId="77862DC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7EE8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A6C852" w14:textId="77777777" w:rsidR="00000000" w:rsidRDefault="00EE5306">
            <w:pPr>
              <w:spacing w:after="100"/>
              <w:jc w:val="right"/>
              <w:rPr>
                <w:rFonts w:eastAsia="Times New Roman"/>
              </w:rPr>
            </w:pPr>
            <w:r>
              <w:rPr>
                <w:rFonts w:eastAsia="Times New Roman"/>
                <w:color w:val="000000"/>
                <w:sz w:val="19"/>
                <w:szCs w:val="19"/>
              </w:rPr>
              <w:t>(0.9)</w:t>
            </w:r>
          </w:p>
        </w:tc>
        <w:tc>
          <w:tcPr>
            <w:tcW w:w="0" w:type="auto"/>
            <w:shd w:val="clear" w:color="auto" w:fill="CCEEFF"/>
            <w:tcMar>
              <w:top w:w="30" w:type="dxa"/>
              <w:left w:w="0" w:type="dxa"/>
              <w:bottom w:w="30" w:type="dxa"/>
              <w:right w:w="20" w:type="dxa"/>
            </w:tcMar>
            <w:vAlign w:val="bottom"/>
            <w:hideMark/>
          </w:tcPr>
          <w:p w14:paraId="555FE7C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C809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EB20C" w14:textId="77777777" w:rsidR="00000000" w:rsidRDefault="00EE5306">
            <w:pPr>
              <w:spacing w:after="100"/>
              <w:jc w:val="right"/>
              <w:rPr>
                <w:rFonts w:eastAsia="Times New Roman"/>
              </w:rPr>
            </w:pPr>
            <w:r>
              <w:rPr>
                <w:rFonts w:eastAsia="Times New Roman"/>
                <w:color w:val="000000"/>
                <w:sz w:val="19"/>
                <w:szCs w:val="19"/>
              </w:rPr>
              <w:t>(2.8)</w:t>
            </w:r>
          </w:p>
        </w:tc>
        <w:tc>
          <w:tcPr>
            <w:tcW w:w="0" w:type="auto"/>
            <w:shd w:val="clear" w:color="auto" w:fill="CCEEFF"/>
            <w:tcMar>
              <w:top w:w="30" w:type="dxa"/>
              <w:left w:w="0" w:type="dxa"/>
              <w:bottom w:w="30" w:type="dxa"/>
              <w:right w:w="20" w:type="dxa"/>
            </w:tcMar>
            <w:vAlign w:val="bottom"/>
            <w:hideMark/>
          </w:tcPr>
          <w:p w14:paraId="003133E1" w14:textId="77777777" w:rsidR="00000000" w:rsidRDefault="00EE5306">
            <w:pPr>
              <w:spacing w:after="100"/>
              <w:jc w:val="right"/>
              <w:rPr>
                <w:rFonts w:eastAsia="Times New Roman"/>
              </w:rPr>
            </w:pPr>
          </w:p>
        </w:tc>
      </w:tr>
      <w:tr w:rsidR="00000000" w14:paraId="30906756" w14:textId="77777777">
        <w:trPr>
          <w:divId w:val="1908876971"/>
          <w:jc w:val="center"/>
        </w:trPr>
        <w:tc>
          <w:tcPr>
            <w:tcW w:w="0" w:type="auto"/>
            <w:gridSpan w:val="3"/>
            <w:shd w:val="clear" w:color="auto" w:fill="FFFFFF"/>
            <w:tcMar>
              <w:top w:w="30" w:type="dxa"/>
              <w:left w:w="20" w:type="dxa"/>
              <w:bottom w:w="30" w:type="dxa"/>
              <w:right w:w="20" w:type="dxa"/>
            </w:tcMar>
            <w:vAlign w:val="bottom"/>
            <w:hideMark/>
          </w:tcPr>
          <w:p w14:paraId="65D6D13F" w14:textId="77777777" w:rsidR="00000000" w:rsidRDefault="00EE5306">
            <w:pPr>
              <w:spacing w:after="100"/>
              <w:divId w:val="219292057"/>
              <w:rPr>
                <w:rFonts w:eastAsia="Times New Roman"/>
              </w:rPr>
            </w:pPr>
            <w:r>
              <w:rPr>
                <w:rFonts w:eastAsia="Times New Roman"/>
                <w:b/>
                <w:bCs/>
                <w:color w:val="000000"/>
                <w:sz w:val="19"/>
                <w:szCs w:val="19"/>
              </w:rPr>
              <w:t>Net cash provided by (used in) financing activities</w:t>
            </w:r>
            <w:r>
              <w:rPr>
                <w:rFonts w:eastAsia="Times New Roman"/>
                <w:color w:val="000000"/>
                <w:sz w:val="19"/>
                <w:szCs w:val="19"/>
              </w:rPr>
              <w:t xml:space="preserve"> </w:t>
            </w:r>
          </w:p>
        </w:tc>
        <w:tc>
          <w:tcPr>
            <w:tcW w:w="0" w:type="auto"/>
            <w:gridSpan w:val="3"/>
            <w:shd w:val="clear" w:color="auto" w:fill="FFFFFF"/>
            <w:tcMar>
              <w:top w:w="0" w:type="dxa"/>
              <w:left w:w="20" w:type="dxa"/>
              <w:bottom w:w="0" w:type="dxa"/>
              <w:right w:w="20" w:type="dxa"/>
            </w:tcMar>
            <w:vAlign w:val="center"/>
            <w:hideMark/>
          </w:tcPr>
          <w:p w14:paraId="7D264669"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6812E5" w14:textId="77777777" w:rsidR="00000000" w:rsidRDefault="00EE5306">
            <w:pPr>
              <w:spacing w:after="100"/>
              <w:jc w:val="right"/>
              <w:rPr>
                <w:rFonts w:eastAsia="Times New Roman"/>
              </w:rPr>
            </w:pPr>
            <w:r>
              <w:rPr>
                <w:rFonts w:eastAsia="Times New Roman"/>
                <w:color w:val="000000"/>
                <w:sz w:val="19"/>
                <w:szCs w:val="19"/>
              </w:rPr>
              <w:t>356.8 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A9B2A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6C9B7"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E55BCD" w14:textId="77777777" w:rsidR="00000000" w:rsidRDefault="00EE5306">
            <w:pPr>
              <w:spacing w:after="100"/>
              <w:jc w:val="right"/>
              <w:rPr>
                <w:rFonts w:eastAsia="Times New Roman"/>
              </w:rPr>
            </w:pPr>
            <w:r>
              <w:rPr>
                <w:rFonts w:eastAsia="Times New Roman"/>
                <w:color w:val="000000"/>
                <w:sz w:val="19"/>
                <w:szCs w:val="19"/>
              </w:rPr>
              <w:t>(438.2)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FFBE0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93A34"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AAB0D0" w14:textId="77777777" w:rsidR="00000000" w:rsidRDefault="00EE5306">
            <w:pPr>
              <w:spacing w:after="100"/>
              <w:jc w:val="right"/>
              <w:rPr>
                <w:rFonts w:eastAsia="Times New Roman"/>
              </w:rPr>
            </w:pPr>
            <w:r>
              <w:rPr>
                <w:rFonts w:eastAsia="Times New Roman"/>
                <w:color w:val="000000"/>
                <w:sz w:val="19"/>
                <w:szCs w:val="19"/>
              </w:rPr>
              <w:t>(605.7)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4DDFD2" w14:textId="77777777" w:rsidR="00000000" w:rsidRDefault="00EE5306">
            <w:pPr>
              <w:spacing w:after="100"/>
              <w:jc w:val="right"/>
              <w:rPr>
                <w:rFonts w:eastAsia="Times New Roman"/>
              </w:rPr>
            </w:pPr>
          </w:p>
        </w:tc>
      </w:tr>
      <w:tr w:rsidR="00000000" w14:paraId="37AFB2E6" w14:textId="77777777">
        <w:trPr>
          <w:divId w:val="1908876971"/>
          <w:jc w:val="center"/>
        </w:trPr>
        <w:tc>
          <w:tcPr>
            <w:tcW w:w="0" w:type="auto"/>
            <w:gridSpan w:val="3"/>
            <w:shd w:val="clear" w:color="auto" w:fill="CCEEFF"/>
            <w:tcMar>
              <w:top w:w="30" w:type="dxa"/>
              <w:left w:w="20" w:type="dxa"/>
              <w:bottom w:w="30" w:type="dxa"/>
              <w:right w:w="20" w:type="dxa"/>
            </w:tcMar>
            <w:vAlign w:val="bottom"/>
            <w:hideMark/>
          </w:tcPr>
          <w:p w14:paraId="2ED92563" w14:textId="77777777" w:rsidR="00000000" w:rsidRDefault="00EE5306">
            <w:pPr>
              <w:spacing w:after="100"/>
              <w:rPr>
                <w:rFonts w:eastAsia="Times New Roman"/>
              </w:rPr>
            </w:pPr>
            <w:r>
              <w:rPr>
                <w:rFonts w:eastAsia="Times New Roman"/>
                <w:color w:val="000000"/>
                <w:sz w:val="19"/>
                <w:szCs w:val="19"/>
              </w:rPr>
              <w:t>Effect of exchange rate changes on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5B7C03F5"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B0A24C" w14:textId="77777777" w:rsidR="00000000" w:rsidRDefault="00EE5306">
            <w:pPr>
              <w:spacing w:after="100"/>
              <w:jc w:val="right"/>
              <w:rPr>
                <w:rFonts w:eastAsia="Times New Roman"/>
              </w:rPr>
            </w:pPr>
            <w:r>
              <w:rPr>
                <w:rFonts w:eastAsia="Times New Roman"/>
                <w:color w:val="000000"/>
                <w:sz w:val="19"/>
                <w:szCs w:val="19"/>
              </w:rPr>
              <w:t>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4F24B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0318F"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BA13E4" w14:textId="77777777" w:rsidR="00000000" w:rsidRDefault="00EE5306">
            <w:pPr>
              <w:spacing w:after="100"/>
              <w:jc w:val="right"/>
              <w:rPr>
                <w:rFonts w:eastAsia="Times New Roman"/>
              </w:rPr>
            </w:pPr>
            <w:r>
              <w:rPr>
                <w:rFonts w:eastAsia="Times New Roman"/>
                <w:color w:val="000000"/>
                <w:sz w:val="19"/>
                <w:szCs w:val="19"/>
              </w:rPr>
              <w:t>(15.2)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99DC9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B10AC9"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F7B130" w14:textId="77777777" w:rsidR="00000000" w:rsidRDefault="00EE5306">
            <w:pPr>
              <w:spacing w:after="100"/>
              <w:jc w:val="right"/>
              <w:rPr>
                <w:rFonts w:eastAsia="Times New Roman"/>
              </w:rPr>
            </w:pPr>
            <w:r>
              <w:rPr>
                <w:rFonts w:eastAsia="Times New Roman"/>
                <w:color w:val="000000"/>
                <w:sz w:val="19"/>
                <w:szCs w:val="19"/>
              </w:rPr>
              <w:t>(27.8)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555521" w14:textId="77777777" w:rsidR="00000000" w:rsidRDefault="00EE5306">
            <w:pPr>
              <w:spacing w:after="100"/>
              <w:jc w:val="right"/>
              <w:rPr>
                <w:rFonts w:eastAsia="Times New Roman"/>
              </w:rPr>
            </w:pPr>
          </w:p>
        </w:tc>
      </w:tr>
      <w:tr w:rsidR="00000000" w14:paraId="206844B1" w14:textId="77777777">
        <w:trPr>
          <w:divId w:val="1908876971"/>
          <w:jc w:val="center"/>
        </w:trPr>
        <w:tc>
          <w:tcPr>
            <w:tcW w:w="0" w:type="auto"/>
            <w:gridSpan w:val="3"/>
            <w:tcMar>
              <w:top w:w="30" w:type="dxa"/>
              <w:left w:w="20" w:type="dxa"/>
              <w:bottom w:w="30" w:type="dxa"/>
              <w:right w:w="20" w:type="dxa"/>
            </w:tcMar>
            <w:vAlign w:val="bottom"/>
            <w:hideMark/>
          </w:tcPr>
          <w:p w14:paraId="6A6EE836" w14:textId="77777777" w:rsidR="00000000" w:rsidRDefault="00EE5306">
            <w:pPr>
              <w:spacing w:after="100"/>
              <w:rPr>
                <w:rFonts w:eastAsia="Times New Roman"/>
              </w:rPr>
            </w:pPr>
            <w:r>
              <w:rPr>
                <w:rFonts w:eastAsia="Times New Roman"/>
                <w:color w:val="000000"/>
                <w:sz w:val="19"/>
                <w:szCs w:val="19"/>
              </w:rPr>
              <w:t>Net increase (decrease) in cash, cash equivalents, and restricted cash</w:t>
            </w:r>
          </w:p>
        </w:tc>
        <w:tc>
          <w:tcPr>
            <w:tcW w:w="0" w:type="auto"/>
            <w:gridSpan w:val="3"/>
            <w:tcMar>
              <w:top w:w="0" w:type="dxa"/>
              <w:left w:w="20" w:type="dxa"/>
              <w:bottom w:w="0" w:type="dxa"/>
              <w:right w:w="20" w:type="dxa"/>
            </w:tcMar>
            <w:vAlign w:val="center"/>
            <w:hideMark/>
          </w:tcPr>
          <w:p w14:paraId="3BCF4479"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829C2B" w14:textId="77777777" w:rsidR="00000000" w:rsidRDefault="00EE5306">
            <w:pPr>
              <w:spacing w:after="100"/>
              <w:jc w:val="right"/>
              <w:rPr>
                <w:rFonts w:eastAsia="Times New Roman"/>
              </w:rPr>
            </w:pPr>
            <w:r>
              <w:rPr>
                <w:rFonts w:eastAsia="Times New Roman"/>
                <w:color w:val="000000"/>
                <w:sz w:val="19"/>
                <w:szCs w:val="19"/>
              </w:rPr>
              <w:t>958.2 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ADD8A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DD0B2"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1BF577" w14:textId="77777777" w:rsidR="00000000" w:rsidRDefault="00EE5306">
            <w:pPr>
              <w:spacing w:after="100"/>
              <w:jc w:val="right"/>
              <w:rPr>
                <w:rFonts w:eastAsia="Times New Roman"/>
              </w:rPr>
            </w:pPr>
            <w:r>
              <w:rPr>
                <w:rFonts w:eastAsia="Times New Roman"/>
                <w:color w:val="000000"/>
                <w:sz w:val="19"/>
                <w:szCs w:val="19"/>
              </w:rPr>
              <w:t>1,003.3 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A47D9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20B61"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2B4AB3" w14:textId="77777777" w:rsidR="00000000" w:rsidRDefault="00EE5306">
            <w:pPr>
              <w:spacing w:after="100"/>
              <w:jc w:val="right"/>
              <w:rPr>
                <w:rFonts w:eastAsia="Times New Roman"/>
              </w:rPr>
            </w:pPr>
            <w:r>
              <w:rPr>
                <w:rFonts w:eastAsia="Times New Roman"/>
                <w:color w:val="000000"/>
                <w:sz w:val="19"/>
                <w:szCs w:val="19"/>
              </w:rPr>
              <w:t>(729.0)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DD934A" w14:textId="77777777" w:rsidR="00000000" w:rsidRDefault="00EE5306">
            <w:pPr>
              <w:spacing w:after="100"/>
              <w:jc w:val="right"/>
              <w:rPr>
                <w:rFonts w:eastAsia="Times New Roman"/>
              </w:rPr>
            </w:pPr>
          </w:p>
        </w:tc>
      </w:tr>
      <w:tr w:rsidR="00000000" w14:paraId="0E81D75A" w14:textId="77777777">
        <w:trPr>
          <w:divId w:val="1908876971"/>
          <w:jc w:val="center"/>
        </w:trPr>
        <w:tc>
          <w:tcPr>
            <w:tcW w:w="0" w:type="auto"/>
            <w:gridSpan w:val="3"/>
            <w:shd w:val="clear" w:color="auto" w:fill="CCEEFF"/>
            <w:tcMar>
              <w:top w:w="30" w:type="dxa"/>
              <w:left w:w="20" w:type="dxa"/>
              <w:bottom w:w="30" w:type="dxa"/>
              <w:right w:w="20" w:type="dxa"/>
            </w:tcMar>
            <w:vAlign w:val="bottom"/>
            <w:hideMark/>
          </w:tcPr>
          <w:p w14:paraId="5B2006BA" w14:textId="77777777" w:rsidR="00000000" w:rsidRDefault="00EE5306">
            <w:pPr>
              <w:spacing w:after="100"/>
              <w:rPr>
                <w:rFonts w:eastAsia="Times New Roman"/>
              </w:rPr>
            </w:pPr>
            <w:r>
              <w:rPr>
                <w:rFonts w:eastAsia="Times New Roman"/>
                <w:color w:val="000000"/>
                <w:sz w:val="19"/>
                <w:szCs w:val="19"/>
              </w:rPr>
              <w:t>Cash, cash equivalents, and restricted cash at beginning of period</w:t>
            </w:r>
          </w:p>
        </w:tc>
        <w:tc>
          <w:tcPr>
            <w:tcW w:w="0" w:type="auto"/>
            <w:gridSpan w:val="3"/>
            <w:shd w:val="clear" w:color="auto" w:fill="CCEEFF"/>
            <w:tcMar>
              <w:top w:w="0" w:type="dxa"/>
              <w:left w:w="20" w:type="dxa"/>
              <w:bottom w:w="0" w:type="dxa"/>
              <w:right w:w="20" w:type="dxa"/>
            </w:tcMar>
            <w:vAlign w:val="center"/>
            <w:hideMark/>
          </w:tcPr>
          <w:p w14:paraId="76AEF1E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82E6B6" w14:textId="77777777" w:rsidR="00000000" w:rsidRDefault="00EE5306">
            <w:pPr>
              <w:spacing w:after="100"/>
              <w:jc w:val="right"/>
              <w:rPr>
                <w:rFonts w:eastAsia="Times New Roman"/>
              </w:rPr>
            </w:pPr>
            <w:r>
              <w:rPr>
                <w:rFonts w:eastAsia="Times New Roman"/>
                <w:color w:val="000000"/>
                <w:sz w:val="19"/>
                <w:szCs w:val="19"/>
              </w:rPr>
              <w:t>1,629.8 </w:t>
            </w:r>
          </w:p>
        </w:tc>
        <w:tc>
          <w:tcPr>
            <w:tcW w:w="0" w:type="auto"/>
            <w:shd w:val="clear" w:color="auto" w:fill="CCEEFF"/>
            <w:tcMar>
              <w:top w:w="30" w:type="dxa"/>
              <w:left w:w="0" w:type="dxa"/>
              <w:bottom w:w="30" w:type="dxa"/>
              <w:right w:w="20" w:type="dxa"/>
            </w:tcMar>
            <w:vAlign w:val="bottom"/>
            <w:hideMark/>
          </w:tcPr>
          <w:p w14:paraId="28D9AC2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E64C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5D15DC" w14:textId="77777777" w:rsidR="00000000" w:rsidRDefault="00EE5306">
            <w:pPr>
              <w:spacing w:after="100"/>
              <w:jc w:val="right"/>
              <w:rPr>
                <w:rFonts w:eastAsia="Times New Roman"/>
              </w:rPr>
            </w:pPr>
            <w:r>
              <w:rPr>
                <w:rFonts w:eastAsia="Times New Roman"/>
                <w:color w:val="000000"/>
                <w:sz w:val="19"/>
                <w:szCs w:val="19"/>
              </w:rPr>
              <w:t>626.5 </w:t>
            </w:r>
          </w:p>
        </w:tc>
        <w:tc>
          <w:tcPr>
            <w:tcW w:w="0" w:type="auto"/>
            <w:shd w:val="clear" w:color="auto" w:fill="CCEEFF"/>
            <w:tcMar>
              <w:top w:w="30" w:type="dxa"/>
              <w:left w:w="0" w:type="dxa"/>
              <w:bottom w:w="30" w:type="dxa"/>
              <w:right w:w="20" w:type="dxa"/>
            </w:tcMar>
            <w:vAlign w:val="bottom"/>
            <w:hideMark/>
          </w:tcPr>
          <w:p w14:paraId="401C848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4B5D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91A711" w14:textId="77777777" w:rsidR="00000000" w:rsidRDefault="00EE5306">
            <w:pPr>
              <w:spacing w:after="100"/>
              <w:jc w:val="right"/>
              <w:rPr>
                <w:rFonts w:eastAsia="Times New Roman"/>
              </w:rPr>
            </w:pPr>
            <w:r>
              <w:rPr>
                <w:rFonts w:eastAsia="Times New Roman"/>
                <w:color w:val="000000"/>
                <w:sz w:val="19"/>
                <w:szCs w:val="19"/>
              </w:rPr>
              <w:t>1,355.5 </w:t>
            </w:r>
          </w:p>
        </w:tc>
        <w:tc>
          <w:tcPr>
            <w:tcW w:w="0" w:type="auto"/>
            <w:shd w:val="clear" w:color="auto" w:fill="CCEEFF"/>
            <w:tcMar>
              <w:top w:w="30" w:type="dxa"/>
              <w:left w:w="0" w:type="dxa"/>
              <w:bottom w:w="30" w:type="dxa"/>
              <w:right w:w="20" w:type="dxa"/>
            </w:tcMar>
            <w:vAlign w:val="bottom"/>
            <w:hideMark/>
          </w:tcPr>
          <w:p w14:paraId="18C31178" w14:textId="77777777" w:rsidR="00000000" w:rsidRDefault="00EE5306">
            <w:pPr>
              <w:spacing w:after="100"/>
              <w:jc w:val="right"/>
              <w:rPr>
                <w:rFonts w:eastAsia="Times New Roman"/>
              </w:rPr>
            </w:pPr>
          </w:p>
        </w:tc>
      </w:tr>
      <w:tr w:rsidR="00000000" w14:paraId="7213C8A9" w14:textId="77777777">
        <w:trPr>
          <w:divId w:val="1908876971"/>
          <w:jc w:val="center"/>
        </w:trPr>
        <w:tc>
          <w:tcPr>
            <w:tcW w:w="0" w:type="auto"/>
            <w:gridSpan w:val="3"/>
            <w:shd w:val="clear" w:color="auto" w:fill="FFFFFF"/>
            <w:tcMar>
              <w:top w:w="30" w:type="dxa"/>
              <w:left w:w="20" w:type="dxa"/>
              <w:bottom w:w="30" w:type="dxa"/>
              <w:right w:w="20" w:type="dxa"/>
            </w:tcMar>
            <w:vAlign w:val="bottom"/>
            <w:hideMark/>
          </w:tcPr>
          <w:p w14:paraId="262F585C" w14:textId="77777777" w:rsidR="00000000" w:rsidRDefault="00EE5306">
            <w:pPr>
              <w:spacing w:after="100"/>
              <w:rPr>
                <w:rFonts w:eastAsia="Times New Roman"/>
              </w:rPr>
            </w:pPr>
            <w:r>
              <w:rPr>
                <w:rFonts w:eastAsia="Times New Roman"/>
                <w:color w:val="000000"/>
                <w:sz w:val="19"/>
                <w:szCs w:val="19"/>
              </w:rPr>
              <w:t>Cash, cash equivalents, and restricted cash at end of period</w:t>
            </w:r>
          </w:p>
        </w:tc>
        <w:tc>
          <w:tcPr>
            <w:tcW w:w="0" w:type="auto"/>
            <w:gridSpan w:val="3"/>
            <w:shd w:val="clear" w:color="auto" w:fill="FFFFFF"/>
            <w:tcMar>
              <w:top w:w="0" w:type="dxa"/>
              <w:left w:w="20" w:type="dxa"/>
              <w:bottom w:w="0" w:type="dxa"/>
              <w:right w:w="20" w:type="dxa"/>
            </w:tcMar>
            <w:vAlign w:val="center"/>
            <w:hideMark/>
          </w:tcPr>
          <w:p w14:paraId="015D91E6"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B2DB2D" w14:textId="77777777" w:rsidR="00000000" w:rsidRDefault="00EE5306">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8F3726" w14:textId="77777777" w:rsidR="00000000" w:rsidRDefault="00EE5306">
            <w:pPr>
              <w:spacing w:after="100"/>
              <w:jc w:val="right"/>
              <w:rPr>
                <w:rFonts w:eastAsia="Times New Roman"/>
              </w:rPr>
            </w:pPr>
            <w:r>
              <w:rPr>
                <w:rFonts w:eastAsia="Times New Roman"/>
                <w:color w:val="000000"/>
                <w:sz w:val="19"/>
                <w:szCs w:val="19"/>
              </w:rPr>
              <w:t>2,588.0 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437E1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9885A"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00EDE3" w14:textId="77777777" w:rsidR="00000000" w:rsidRDefault="00EE5306">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B30DC8" w14:textId="77777777" w:rsidR="00000000" w:rsidRDefault="00EE5306">
            <w:pPr>
              <w:spacing w:after="100"/>
              <w:jc w:val="right"/>
              <w:rPr>
                <w:rFonts w:eastAsia="Times New Roman"/>
              </w:rPr>
            </w:pPr>
            <w:r>
              <w:rPr>
                <w:rFonts w:eastAsia="Times New Roman"/>
                <w:color w:val="000000"/>
                <w:sz w:val="19"/>
                <w:szCs w:val="19"/>
              </w:rPr>
              <w:t>1,629.8 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24963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36650"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98FCF5" w14:textId="77777777" w:rsidR="00000000" w:rsidRDefault="00EE5306">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2CFA13" w14:textId="77777777" w:rsidR="00000000" w:rsidRDefault="00EE5306">
            <w:pPr>
              <w:spacing w:after="100"/>
              <w:jc w:val="right"/>
              <w:rPr>
                <w:rFonts w:eastAsia="Times New Roman"/>
              </w:rPr>
            </w:pPr>
            <w:r>
              <w:rPr>
                <w:rFonts w:eastAsia="Times New Roman"/>
                <w:color w:val="000000"/>
                <w:sz w:val="19"/>
                <w:szCs w:val="19"/>
              </w:rPr>
              <w:t>626.5 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829827" w14:textId="77777777" w:rsidR="00000000" w:rsidRDefault="00EE5306">
            <w:pPr>
              <w:spacing w:after="100"/>
              <w:jc w:val="right"/>
              <w:rPr>
                <w:rFonts w:eastAsia="Times New Roman"/>
              </w:rPr>
            </w:pPr>
          </w:p>
        </w:tc>
      </w:tr>
    </w:tbl>
    <w:p w14:paraId="7C05F9F2" w14:textId="77777777" w:rsidR="00000000" w:rsidRDefault="00EE5306">
      <w:pPr>
        <w:jc w:val="center"/>
        <w:divId w:val="190530231"/>
        <w:rPr>
          <w:rFonts w:eastAsia="Times New Roman"/>
        </w:rPr>
      </w:pPr>
      <w:r>
        <w:rPr>
          <w:rFonts w:eastAsia="Times New Roman"/>
          <w:color w:val="000000"/>
          <w:sz w:val="20"/>
          <w:szCs w:val="20"/>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C033C07" w14:textId="77777777">
        <w:trPr>
          <w:divId w:val="777598396"/>
          <w:jc w:val="center"/>
        </w:trPr>
        <w:tc>
          <w:tcPr>
            <w:tcW w:w="50" w:type="pct"/>
            <w:vAlign w:val="center"/>
            <w:hideMark/>
          </w:tcPr>
          <w:p w14:paraId="0C52B12D" w14:textId="77777777" w:rsidR="00000000" w:rsidRDefault="00EE5306">
            <w:pPr>
              <w:jc w:val="center"/>
              <w:rPr>
                <w:rFonts w:eastAsia="Times New Roman"/>
              </w:rPr>
            </w:pPr>
          </w:p>
        </w:tc>
        <w:tc>
          <w:tcPr>
            <w:tcW w:w="1699" w:type="pct"/>
            <w:vAlign w:val="center"/>
            <w:hideMark/>
          </w:tcPr>
          <w:p w14:paraId="5B63D35A" w14:textId="77777777" w:rsidR="00000000" w:rsidRDefault="00EE5306">
            <w:pPr>
              <w:spacing w:after="100"/>
              <w:rPr>
                <w:rFonts w:eastAsia="Times New Roman"/>
                <w:sz w:val="20"/>
                <w:szCs w:val="20"/>
              </w:rPr>
            </w:pPr>
          </w:p>
        </w:tc>
        <w:tc>
          <w:tcPr>
            <w:tcW w:w="5" w:type="pct"/>
            <w:vAlign w:val="center"/>
            <w:hideMark/>
          </w:tcPr>
          <w:p w14:paraId="1FB012E4" w14:textId="77777777" w:rsidR="00000000" w:rsidRDefault="00EE5306">
            <w:pPr>
              <w:spacing w:after="100"/>
              <w:rPr>
                <w:rFonts w:eastAsia="Times New Roman"/>
                <w:sz w:val="20"/>
                <w:szCs w:val="20"/>
              </w:rPr>
            </w:pPr>
          </w:p>
        </w:tc>
        <w:tc>
          <w:tcPr>
            <w:tcW w:w="50" w:type="pct"/>
            <w:vAlign w:val="center"/>
            <w:hideMark/>
          </w:tcPr>
          <w:p w14:paraId="40D17D95" w14:textId="77777777" w:rsidR="00000000" w:rsidRDefault="00EE5306">
            <w:pPr>
              <w:spacing w:after="100"/>
              <w:rPr>
                <w:rFonts w:eastAsia="Times New Roman"/>
                <w:sz w:val="20"/>
                <w:szCs w:val="20"/>
              </w:rPr>
            </w:pPr>
          </w:p>
        </w:tc>
        <w:tc>
          <w:tcPr>
            <w:tcW w:w="1436" w:type="pct"/>
            <w:vAlign w:val="center"/>
            <w:hideMark/>
          </w:tcPr>
          <w:p w14:paraId="3FCBA548" w14:textId="77777777" w:rsidR="00000000" w:rsidRDefault="00EE5306">
            <w:pPr>
              <w:spacing w:after="100"/>
              <w:rPr>
                <w:rFonts w:eastAsia="Times New Roman"/>
                <w:sz w:val="20"/>
                <w:szCs w:val="20"/>
              </w:rPr>
            </w:pPr>
          </w:p>
        </w:tc>
        <w:tc>
          <w:tcPr>
            <w:tcW w:w="5" w:type="pct"/>
            <w:vAlign w:val="center"/>
            <w:hideMark/>
          </w:tcPr>
          <w:p w14:paraId="02908112" w14:textId="77777777" w:rsidR="00000000" w:rsidRDefault="00EE5306">
            <w:pPr>
              <w:spacing w:after="100"/>
              <w:rPr>
                <w:rFonts w:eastAsia="Times New Roman"/>
                <w:sz w:val="20"/>
                <w:szCs w:val="20"/>
              </w:rPr>
            </w:pPr>
          </w:p>
        </w:tc>
        <w:tc>
          <w:tcPr>
            <w:tcW w:w="50" w:type="pct"/>
            <w:vAlign w:val="center"/>
            <w:hideMark/>
          </w:tcPr>
          <w:p w14:paraId="7CB42EB5" w14:textId="77777777" w:rsidR="00000000" w:rsidRDefault="00EE5306">
            <w:pPr>
              <w:spacing w:after="100"/>
              <w:rPr>
                <w:rFonts w:eastAsia="Times New Roman"/>
                <w:sz w:val="20"/>
                <w:szCs w:val="20"/>
              </w:rPr>
            </w:pPr>
          </w:p>
        </w:tc>
        <w:tc>
          <w:tcPr>
            <w:tcW w:w="1699" w:type="pct"/>
            <w:vAlign w:val="center"/>
            <w:hideMark/>
          </w:tcPr>
          <w:p w14:paraId="2770C52D" w14:textId="77777777" w:rsidR="00000000" w:rsidRDefault="00EE5306">
            <w:pPr>
              <w:spacing w:after="100"/>
              <w:rPr>
                <w:rFonts w:eastAsia="Times New Roman"/>
                <w:sz w:val="20"/>
                <w:szCs w:val="20"/>
              </w:rPr>
            </w:pPr>
          </w:p>
        </w:tc>
        <w:tc>
          <w:tcPr>
            <w:tcW w:w="5" w:type="pct"/>
            <w:vAlign w:val="center"/>
            <w:hideMark/>
          </w:tcPr>
          <w:p w14:paraId="2C491DA6" w14:textId="77777777" w:rsidR="00000000" w:rsidRDefault="00EE5306">
            <w:pPr>
              <w:spacing w:after="100"/>
              <w:rPr>
                <w:rFonts w:eastAsia="Times New Roman"/>
                <w:sz w:val="20"/>
                <w:szCs w:val="20"/>
              </w:rPr>
            </w:pPr>
          </w:p>
        </w:tc>
      </w:tr>
      <w:tr w:rsidR="00000000" w14:paraId="3877D698" w14:textId="77777777">
        <w:trPr>
          <w:divId w:val="777598396"/>
          <w:jc w:val="center"/>
        </w:trPr>
        <w:tc>
          <w:tcPr>
            <w:tcW w:w="0" w:type="auto"/>
            <w:gridSpan w:val="3"/>
            <w:tcMar>
              <w:top w:w="0" w:type="dxa"/>
              <w:left w:w="20" w:type="dxa"/>
              <w:bottom w:w="0" w:type="dxa"/>
              <w:right w:w="20" w:type="dxa"/>
            </w:tcMar>
            <w:vAlign w:val="center"/>
            <w:hideMark/>
          </w:tcPr>
          <w:p w14:paraId="7322A06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2704A51" w14:textId="77777777" w:rsidR="00000000" w:rsidRDefault="00EE5306">
            <w:pPr>
              <w:spacing w:after="100"/>
              <w:jc w:val="center"/>
              <w:rPr>
                <w:rFonts w:eastAsia="Times New Roman"/>
              </w:rPr>
            </w:pPr>
            <w:r>
              <w:rPr>
                <w:rFonts w:eastAsia="Times New Roman"/>
                <w:color w:val="000000"/>
                <w:sz w:val="20"/>
                <w:szCs w:val="20"/>
              </w:rPr>
              <w:t>F-5</w:t>
            </w:r>
          </w:p>
        </w:tc>
        <w:tc>
          <w:tcPr>
            <w:tcW w:w="0" w:type="auto"/>
            <w:gridSpan w:val="3"/>
            <w:tcMar>
              <w:top w:w="0" w:type="dxa"/>
              <w:left w:w="20" w:type="dxa"/>
              <w:bottom w:w="0" w:type="dxa"/>
              <w:right w:w="20" w:type="dxa"/>
            </w:tcMar>
            <w:vAlign w:val="center"/>
            <w:hideMark/>
          </w:tcPr>
          <w:p w14:paraId="78DFB035" w14:textId="77777777" w:rsidR="00000000" w:rsidRDefault="00EE5306">
            <w:pPr>
              <w:spacing w:after="100"/>
              <w:jc w:val="center"/>
              <w:rPr>
                <w:rFonts w:eastAsia="Times New Roman"/>
              </w:rPr>
            </w:pPr>
          </w:p>
        </w:tc>
      </w:tr>
    </w:tbl>
    <w:p w14:paraId="68704A13" w14:textId="77777777" w:rsidR="00000000" w:rsidRDefault="00EE5306">
      <w:pPr>
        <w:rPr>
          <w:rFonts w:eastAsia="Times New Roman"/>
        </w:rPr>
      </w:pPr>
      <w:r>
        <w:rPr>
          <w:rFonts w:eastAsia="Times New Roman"/>
        </w:rPr>
        <w:pict w14:anchorId="5996A201">
          <v:rect id="_x0000_i1115" style="width:0;height:1.5pt" o:hralign="center" o:hrstd="t" o:hr="t" fillcolor="#a0a0a0" stroked="f"/>
        </w:pict>
      </w:r>
    </w:p>
    <w:p w14:paraId="36D6B855" w14:textId="77777777" w:rsidR="00000000" w:rsidRDefault="00EE5306">
      <w:pPr>
        <w:divId w:val="1187446790"/>
        <w:rPr>
          <w:rFonts w:eastAsia="Times New Roman"/>
        </w:rPr>
      </w:pPr>
    </w:p>
    <w:p w14:paraId="666A7143" w14:textId="77777777" w:rsidR="00000000" w:rsidRDefault="00EE5306">
      <w:pPr>
        <w:jc w:val="center"/>
        <w:rPr>
          <w:rFonts w:eastAsia="Times New Roman"/>
        </w:rPr>
      </w:pPr>
      <w:r>
        <w:rPr>
          <w:rFonts w:eastAsia="Times New Roman"/>
          <w:b/>
          <w:bCs/>
          <w:color w:val="000000"/>
          <w:sz w:val="20"/>
          <w:szCs w:val="20"/>
        </w:rPr>
        <w:t>RALPH LAUREN CORPORATION</w:t>
      </w:r>
    </w:p>
    <w:p w14:paraId="1C88161F" w14:textId="77777777" w:rsidR="00000000" w:rsidRDefault="00EE5306">
      <w:pPr>
        <w:jc w:val="center"/>
        <w:divId w:val="1858931537"/>
        <w:rPr>
          <w:rFonts w:eastAsia="Times New Roman"/>
        </w:rPr>
      </w:pPr>
      <w:r>
        <w:rPr>
          <w:rFonts w:eastAsia="Times New Roman"/>
          <w:b/>
          <w:bCs/>
          <w:color w:val="000000"/>
          <w:sz w:val="20"/>
          <w:szCs w:val="20"/>
        </w:rPr>
        <w:t>CONSOLIDATED STATEMENTS OF EQUITY</w:t>
      </w:r>
    </w:p>
    <w:tbl>
      <w:tblPr>
        <w:tblW w:w="4970" w:type="pct"/>
        <w:jc w:val="center"/>
        <w:tblCellMar>
          <w:top w:w="15" w:type="dxa"/>
          <w:left w:w="15" w:type="dxa"/>
          <w:bottom w:w="15" w:type="dxa"/>
          <w:right w:w="15" w:type="dxa"/>
        </w:tblCellMar>
        <w:tblLook w:val="04A0" w:firstRow="1" w:lastRow="0" w:firstColumn="1" w:lastColumn="0" w:noHBand="0" w:noVBand="1"/>
      </w:tblPr>
      <w:tblGrid>
        <w:gridCol w:w="40"/>
        <w:gridCol w:w="104"/>
        <w:gridCol w:w="1596"/>
        <w:gridCol w:w="144"/>
        <w:gridCol w:w="453"/>
        <w:gridCol w:w="39"/>
        <w:gridCol w:w="36"/>
        <w:gridCol w:w="36"/>
        <w:gridCol w:w="36"/>
        <w:gridCol w:w="81"/>
        <w:gridCol w:w="385"/>
        <w:gridCol w:w="37"/>
        <w:gridCol w:w="37"/>
        <w:gridCol w:w="37"/>
        <w:gridCol w:w="36"/>
        <w:gridCol w:w="101"/>
        <w:gridCol w:w="470"/>
        <w:gridCol w:w="36"/>
        <w:gridCol w:w="36"/>
        <w:gridCol w:w="36"/>
        <w:gridCol w:w="36"/>
        <w:gridCol w:w="101"/>
        <w:gridCol w:w="626"/>
        <w:gridCol w:w="36"/>
        <w:gridCol w:w="36"/>
        <w:gridCol w:w="36"/>
        <w:gridCol w:w="36"/>
        <w:gridCol w:w="100"/>
        <w:gridCol w:w="520"/>
        <w:gridCol w:w="36"/>
        <w:gridCol w:w="36"/>
        <w:gridCol w:w="36"/>
        <w:gridCol w:w="36"/>
        <w:gridCol w:w="79"/>
        <w:gridCol w:w="388"/>
        <w:gridCol w:w="36"/>
        <w:gridCol w:w="36"/>
        <w:gridCol w:w="36"/>
        <w:gridCol w:w="36"/>
        <w:gridCol w:w="100"/>
        <w:gridCol w:w="587"/>
        <w:gridCol w:w="36"/>
        <w:gridCol w:w="36"/>
        <w:gridCol w:w="36"/>
        <w:gridCol w:w="36"/>
        <w:gridCol w:w="100"/>
        <w:gridCol w:w="467"/>
        <w:gridCol w:w="36"/>
        <w:gridCol w:w="36"/>
        <w:gridCol w:w="36"/>
        <w:gridCol w:w="36"/>
        <w:gridCol w:w="100"/>
        <w:gridCol w:w="520"/>
        <w:gridCol w:w="36"/>
      </w:tblGrid>
      <w:tr w:rsidR="00000000" w14:paraId="6E5E007F" w14:textId="77777777">
        <w:trPr>
          <w:divId w:val="1605722058"/>
          <w:jc w:val="center"/>
        </w:trPr>
        <w:tc>
          <w:tcPr>
            <w:tcW w:w="50" w:type="pct"/>
            <w:vAlign w:val="center"/>
            <w:hideMark/>
          </w:tcPr>
          <w:p w14:paraId="2BC563A0" w14:textId="77777777" w:rsidR="00000000" w:rsidRDefault="00EE5306">
            <w:pPr>
              <w:jc w:val="center"/>
              <w:rPr>
                <w:rFonts w:eastAsia="Times New Roman"/>
              </w:rPr>
            </w:pPr>
          </w:p>
        </w:tc>
        <w:tc>
          <w:tcPr>
            <w:tcW w:w="1864" w:type="pct"/>
            <w:gridSpan w:val="4"/>
            <w:vAlign w:val="center"/>
            <w:hideMark/>
          </w:tcPr>
          <w:p w14:paraId="4E8BCC16" w14:textId="77777777" w:rsidR="00000000" w:rsidRDefault="00EE5306">
            <w:pPr>
              <w:spacing w:after="100"/>
              <w:rPr>
                <w:rFonts w:eastAsia="Times New Roman"/>
                <w:sz w:val="20"/>
                <w:szCs w:val="20"/>
              </w:rPr>
            </w:pPr>
          </w:p>
        </w:tc>
        <w:tc>
          <w:tcPr>
            <w:tcW w:w="5" w:type="pct"/>
            <w:vAlign w:val="center"/>
            <w:hideMark/>
          </w:tcPr>
          <w:p w14:paraId="64215576" w14:textId="77777777" w:rsidR="00000000" w:rsidRDefault="00EE5306">
            <w:pPr>
              <w:spacing w:after="100"/>
              <w:rPr>
                <w:rFonts w:eastAsia="Times New Roman"/>
                <w:sz w:val="20"/>
                <w:szCs w:val="20"/>
              </w:rPr>
            </w:pPr>
          </w:p>
        </w:tc>
        <w:tc>
          <w:tcPr>
            <w:tcW w:w="5" w:type="pct"/>
            <w:vAlign w:val="center"/>
            <w:hideMark/>
          </w:tcPr>
          <w:p w14:paraId="6DD8782A" w14:textId="77777777" w:rsidR="00000000" w:rsidRDefault="00EE5306">
            <w:pPr>
              <w:spacing w:after="100"/>
              <w:rPr>
                <w:rFonts w:eastAsia="Times New Roman"/>
                <w:sz w:val="20"/>
                <w:szCs w:val="20"/>
              </w:rPr>
            </w:pPr>
          </w:p>
        </w:tc>
        <w:tc>
          <w:tcPr>
            <w:tcW w:w="26" w:type="pct"/>
            <w:vAlign w:val="center"/>
            <w:hideMark/>
          </w:tcPr>
          <w:p w14:paraId="2486DD78" w14:textId="77777777" w:rsidR="00000000" w:rsidRDefault="00EE5306">
            <w:pPr>
              <w:spacing w:after="100"/>
              <w:rPr>
                <w:rFonts w:eastAsia="Times New Roman"/>
                <w:sz w:val="20"/>
                <w:szCs w:val="20"/>
              </w:rPr>
            </w:pPr>
          </w:p>
        </w:tc>
        <w:tc>
          <w:tcPr>
            <w:tcW w:w="5" w:type="pct"/>
            <w:vAlign w:val="center"/>
            <w:hideMark/>
          </w:tcPr>
          <w:p w14:paraId="64EB01F5" w14:textId="77777777" w:rsidR="00000000" w:rsidRDefault="00EE5306">
            <w:pPr>
              <w:spacing w:after="100"/>
              <w:rPr>
                <w:rFonts w:eastAsia="Times New Roman"/>
                <w:sz w:val="20"/>
                <w:szCs w:val="20"/>
              </w:rPr>
            </w:pPr>
          </w:p>
        </w:tc>
        <w:tc>
          <w:tcPr>
            <w:tcW w:w="50" w:type="pct"/>
            <w:vAlign w:val="center"/>
            <w:hideMark/>
          </w:tcPr>
          <w:p w14:paraId="26B70B24" w14:textId="77777777" w:rsidR="00000000" w:rsidRDefault="00EE5306">
            <w:pPr>
              <w:spacing w:after="100"/>
              <w:rPr>
                <w:rFonts w:eastAsia="Times New Roman"/>
                <w:sz w:val="20"/>
                <w:szCs w:val="20"/>
              </w:rPr>
            </w:pPr>
          </w:p>
        </w:tc>
        <w:tc>
          <w:tcPr>
            <w:tcW w:w="239" w:type="pct"/>
            <w:vAlign w:val="center"/>
            <w:hideMark/>
          </w:tcPr>
          <w:p w14:paraId="57333693" w14:textId="77777777" w:rsidR="00000000" w:rsidRDefault="00EE5306">
            <w:pPr>
              <w:spacing w:after="100"/>
              <w:rPr>
                <w:rFonts w:eastAsia="Times New Roman"/>
                <w:sz w:val="20"/>
                <w:szCs w:val="20"/>
              </w:rPr>
            </w:pPr>
          </w:p>
        </w:tc>
        <w:tc>
          <w:tcPr>
            <w:tcW w:w="5" w:type="pct"/>
            <w:vAlign w:val="center"/>
            <w:hideMark/>
          </w:tcPr>
          <w:p w14:paraId="62C17EB7" w14:textId="77777777" w:rsidR="00000000" w:rsidRDefault="00EE5306">
            <w:pPr>
              <w:spacing w:after="100"/>
              <w:rPr>
                <w:rFonts w:eastAsia="Times New Roman"/>
                <w:sz w:val="20"/>
                <w:szCs w:val="20"/>
              </w:rPr>
            </w:pPr>
          </w:p>
        </w:tc>
        <w:tc>
          <w:tcPr>
            <w:tcW w:w="5" w:type="pct"/>
            <w:vAlign w:val="center"/>
            <w:hideMark/>
          </w:tcPr>
          <w:p w14:paraId="3427201A" w14:textId="77777777" w:rsidR="00000000" w:rsidRDefault="00EE5306">
            <w:pPr>
              <w:spacing w:after="100"/>
              <w:rPr>
                <w:rFonts w:eastAsia="Times New Roman"/>
                <w:sz w:val="20"/>
                <w:szCs w:val="20"/>
              </w:rPr>
            </w:pPr>
          </w:p>
        </w:tc>
        <w:tc>
          <w:tcPr>
            <w:tcW w:w="26" w:type="pct"/>
            <w:vAlign w:val="center"/>
            <w:hideMark/>
          </w:tcPr>
          <w:p w14:paraId="5C075551" w14:textId="77777777" w:rsidR="00000000" w:rsidRDefault="00EE5306">
            <w:pPr>
              <w:spacing w:after="100"/>
              <w:rPr>
                <w:rFonts w:eastAsia="Times New Roman"/>
                <w:sz w:val="20"/>
                <w:szCs w:val="20"/>
              </w:rPr>
            </w:pPr>
          </w:p>
        </w:tc>
        <w:tc>
          <w:tcPr>
            <w:tcW w:w="5" w:type="pct"/>
            <w:vAlign w:val="center"/>
            <w:hideMark/>
          </w:tcPr>
          <w:p w14:paraId="2060F665" w14:textId="77777777" w:rsidR="00000000" w:rsidRDefault="00EE5306">
            <w:pPr>
              <w:spacing w:after="100"/>
              <w:rPr>
                <w:rFonts w:eastAsia="Times New Roman"/>
                <w:sz w:val="20"/>
                <w:szCs w:val="20"/>
              </w:rPr>
            </w:pPr>
          </w:p>
        </w:tc>
        <w:tc>
          <w:tcPr>
            <w:tcW w:w="50" w:type="pct"/>
            <w:vAlign w:val="center"/>
            <w:hideMark/>
          </w:tcPr>
          <w:p w14:paraId="42D93EBB" w14:textId="77777777" w:rsidR="00000000" w:rsidRDefault="00EE5306">
            <w:pPr>
              <w:spacing w:after="100"/>
              <w:rPr>
                <w:rFonts w:eastAsia="Times New Roman"/>
                <w:sz w:val="20"/>
                <w:szCs w:val="20"/>
              </w:rPr>
            </w:pPr>
          </w:p>
        </w:tc>
        <w:tc>
          <w:tcPr>
            <w:tcW w:w="268" w:type="pct"/>
            <w:vAlign w:val="center"/>
            <w:hideMark/>
          </w:tcPr>
          <w:p w14:paraId="2348750F" w14:textId="77777777" w:rsidR="00000000" w:rsidRDefault="00EE5306">
            <w:pPr>
              <w:spacing w:after="100"/>
              <w:rPr>
                <w:rFonts w:eastAsia="Times New Roman"/>
                <w:sz w:val="20"/>
                <w:szCs w:val="20"/>
              </w:rPr>
            </w:pPr>
          </w:p>
        </w:tc>
        <w:tc>
          <w:tcPr>
            <w:tcW w:w="5" w:type="pct"/>
            <w:vAlign w:val="center"/>
            <w:hideMark/>
          </w:tcPr>
          <w:p w14:paraId="2DBF9438" w14:textId="77777777" w:rsidR="00000000" w:rsidRDefault="00EE5306">
            <w:pPr>
              <w:spacing w:after="100"/>
              <w:rPr>
                <w:rFonts w:eastAsia="Times New Roman"/>
                <w:sz w:val="20"/>
                <w:szCs w:val="20"/>
              </w:rPr>
            </w:pPr>
          </w:p>
        </w:tc>
        <w:tc>
          <w:tcPr>
            <w:tcW w:w="5" w:type="pct"/>
            <w:vAlign w:val="center"/>
            <w:hideMark/>
          </w:tcPr>
          <w:p w14:paraId="29A60508" w14:textId="77777777" w:rsidR="00000000" w:rsidRDefault="00EE5306">
            <w:pPr>
              <w:spacing w:after="100"/>
              <w:rPr>
                <w:rFonts w:eastAsia="Times New Roman"/>
                <w:sz w:val="20"/>
                <w:szCs w:val="20"/>
              </w:rPr>
            </w:pPr>
          </w:p>
        </w:tc>
        <w:tc>
          <w:tcPr>
            <w:tcW w:w="26" w:type="pct"/>
            <w:vAlign w:val="center"/>
            <w:hideMark/>
          </w:tcPr>
          <w:p w14:paraId="611BD1D4" w14:textId="77777777" w:rsidR="00000000" w:rsidRDefault="00EE5306">
            <w:pPr>
              <w:spacing w:after="100"/>
              <w:rPr>
                <w:rFonts w:eastAsia="Times New Roman"/>
                <w:sz w:val="20"/>
                <w:szCs w:val="20"/>
              </w:rPr>
            </w:pPr>
          </w:p>
        </w:tc>
        <w:tc>
          <w:tcPr>
            <w:tcW w:w="5" w:type="pct"/>
            <w:vAlign w:val="center"/>
            <w:hideMark/>
          </w:tcPr>
          <w:p w14:paraId="034DAEA0" w14:textId="77777777" w:rsidR="00000000" w:rsidRDefault="00EE5306">
            <w:pPr>
              <w:spacing w:after="100"/>
              <w:rPr>
                <w:rFonts w:eastAsia="Times New Roman"/>
                <w:sz w:val="20"/>
                <w:szCs w:val="20"/>
              </w:rPr>
            </w:pPr>
          </w:p>
        </w:tc>
        <w:tc>
          <w:tcPr>
            <w:tcW w:w="50" w:type="pct"/>
            <w:vAlign w:val="center"/>
            <w:hideMark/>
          </w:tcPr>
          <w:p w14:paraId="5630E639" w14:textId="77777777" w:rsidR="00000000" w:rsidRDefault="00EE5306">
            <w:pPr>
              <w:spacing w:after="100"/>
              <w:rPr>
                <w:rFonts w:eastAsia="Times New Roman"/>
                <w:sz w:val="20"/>
                <w:szCs w:val="20"/>
              </w:rPr>
            </w:pPr>
          </w:p>
        </w:tc>
        <w:tc>
          <w:tcPr>
            <w:tcW w:w="349" w:type="pct"/>
            <w:vAlign w:val="center"/>
            <w:hideMark/>
          </w:tcPr>
          <w:p w14:paraId="2CFCF818" w14:textId="77777777" w:rsidR="00000000" w:rsidRDefault="00EE5306">
            <w:pPr>
              <w:spacing w:after="100"/>
              <w:rPr>
                <w:rFonts w:eastAsia="Times New Roman"/>
                <w:sz w:val="20"/>
                <w:szCs w:val="20"/>
              </w:rPr>
            </w:pPr>
          </w:p>
        </w:tc>
        <w:tc>
          <w:tcPr>
            <w:tcW w:w="5" w:type="pct"/>
            <w:vAlign w:val="center"/>
            <w:hideMark/>
          </w:tcPr>
          <w:p w14:paraId="7FC683F6" w14:textId="77777777" w:rsidR="00000000" w:rsidRDefault="00EE5306">
            <w:pPr>
              <w:spacing w:after="100"/>
              <w:rPr>
                <w:rFonts w:eastAsia="Times New Roman"/>
                <w:sz w:val="20"/>
                <w:szCs w:val="20"/>
              </w:rPr>
            </w:pPr>
          </w:p>
        </w:tc>
        <w:tc>
          <w:tcPr>
            <w:tcW w:w="5" w:type="pct"/>
            <w:vAlign w:val="center"/>
            <w:hideMark/>
          </w:tcPr>
          <w:p w14:paraId="7DC16D00" w14:textId="77777777" w:rsidR="00000000" w:rsidRDefault="00EE5306">
            <w:pPr>
              <w:spacing w:after="100"/>
              <w:rPr>
                <w:rFonts w:eastAsia="Times New Roman"/>
                <w:sz w:val="20"/>
                <w:szCs w:val="20"/>
              </w:rPr>
            </w:pPr>
          </w:p>
        </w:tc>
        <w:tc>
          <w:tcPr>
            <w:tcW w:w="26" w:type="pct"/>
            <w:vAlign w:val="center"/>
            <w:hideMark/>
          </w:tcPr>
          <w:p w14:paraId="007F83ED" w14:textId="77777777" w:rsidR="00000000" w:rsidRDefault="00EE5306">
            <w:pPr>
              <w:spacing w:after="100"/>
              <w:rPr>
                <w:rFonts w:eastAsia="Times New Roman"/>
                <w:sz w:val="20"/>
                <w:szCs w:val="20"/>
              </w:rPr>
            </w:pPr>
          </w:p>
        </w:tc>
        <w:tc>
          <w:tcPr>
            <w:tcW w:w="5" w:type="pct"/>
            <w:vAlign w:val="center"/>
            <w:hideMark/>
          </w:tcPr>
          <w:p w14:paraId="36F4D65E" w14:textId="77777777" w:rsidR="00000000" w:rsidRDefault="00EE5306">
            <w:pPr>
              <w:spacing w:after="100"/>
              <w:rPr>
                <w:rFonts w:eastAsia="Times New Roman"/>
                <w:sz w:val="20"/>
                <w:szCs w:val="20"/>
              </w:rPr>
            </w:pPr>
          </w:p>
        </w:tc>
        <w:tc>
          <w:tcPr>
            <w:tcW w:w="50" w:type="pct"/>
            <w:vAlign w:val="center"/>
            <w:hideMark/>
          </w:tcPr>
          <w:p w14:paraId="69D0A1A0" w14:textId="77777777" w:rsidR="00000000" w:rsidRDefault="00EE5306">
            <w:pPr>
              <w:spacing w:after="100"/>
              <w:rPr>
                <w:rFonts w:eastAsia="Times New Roman"/>
                <w:sz w:val="20"/>
                <w:szCs w:val="20"/>
              </w:rPr>
            </w:pPr>
          </w:p>
        </w:tc>
        <w:tc>
          <w:tcPr>
            <w:tcW w:w="327" w:type="pct"/>
            <w:vAlign w:val="center"/>
            <w:hideMark/>
          </w:tcPr>
          <w:p w14:paraId="03D55564" w14:textId="77777777" w:rsidR="00000000" w:rsidRDefault="00EE5306">
            <w:pPr>
              <w:spacing w:after="100"/>
              <w:rPr>
                <w:rFonts w:eastAsia="Times New Roman"/>
                <w:sz w:val="20"/>
                <w:szCs w:val="20"/>
              </w:rPr>
            </w:pPr>
          </w:p>
        </w:tc>
        <w:tc>
          <w:tcPr>
            <w:tcW w:w="5" w:type="pct"/>
            <w:vAlign w:val="center"/>
            <w:hideMark/>
          </w:tcPr>
          <w:p w14:paraId="2A397DC6" w14:textId="77777777" w:rsidR="00000000" w:rsidRDefault="00EE5306">
            <w:pPr>
              <w:spacing w:after="100"/>
              <w:rPr>
                <w:rFonts w:eastAsia="Times New Roman"/>
                <w:sz w:val="20"/>
                <w:szCs w:val="20"/>
              </w:rPr>
            </w:pPr>
          </w:p>
        </w:tc>
        <w:tc>
          <w:tcPr>
            <w:tcW w:w="5" w:type="pct"/>
            <w:vAlign w:val="center"/>
            <w:hideMark/>
          </w:tcPr>
          <w:p w14:paraId="7A9AE15A" w14:textId="77777777" w:rsidR="00000000" w:rsidRDefault="00EE5306">
            <w:pPr>
              <w:spacing w:after="100"/>
              <w:rPr>
                <w:rFonts w:eastAsia="Times New Roman"/>
                <w:sz w:val="20"/>
                <w:szCs w:val="20"/>
              </w:rPr>
            </w:pPr>
          </w:p>
        </w:tc>
        <w:tc>
          <w:tcPr>
            <w:tcW w:w="26" w:type="pct"/>
            <w:vAlign w:val="center"/>
            <w:hideMark/>
          </w:tcPr>
          <w:p w14:paraId="22C44464" w14:textId="77777777" w:rsidR="00000000" w:rsidRDefault="00EE5306">
            <w:pPr>
              <w:spacing w:after="100"/>
              <w:rPr>
                <w:rFonts w:eastAsia="Times New Roman"/>
                <w:sz w:val="20"/>
                <w:szCs w:val="20"/>
              </w:rPr>
            </w:pPr>
          </w:p>
        </w:tc>
        <w:tc>
          <w:tcPr>
            <w:tcW w:w="5" w:type="pct"/>
            <w:vAlign w:val="center"/>
            <w:hideMark/>
          </w:tcPr>
          <w:p w14:paraId="5E806C32" w14:textId="77777777" w:rsidR="00000000" w:rsidRDefault="00EE5306">
            <w:pPr>
              <w:spacing w:after="100"/>
              <w:rPr>
                <w:rFonts w:eastAsia="Times New Roman"/>
                <w:sz w:val="20"/>
                <w:szCs w:val="20"/>
              </w:rPr>
            </w:pPr>
          </w:p>
        </w:tc>
        <w:tc>
          <w:tcPr>
            <w:tcW w:w="50" w:type="pct"/>
            <w:vAlign w:val="center"/>
            <w:hideMark/>
          </w:tcPr>
          <w:p w14:paraId="7FC39905" w14:textId="77777777" w:rsidR="00000000" w:rsidRDefault="00EE5306">
            <w:pPr>
              <w:spacing w:after="100"/>
              <w:rPr>
                <w:rFonts w:eastAsia="Times New Roman"/>
                <w:sz w:val="20"/>
                <w:szCs w:val="20"/>
              </w:rPr>
            </w:pPr>
          </w:p>
        </w:tc>
        <w:tc>
          <w:tcPr>
            <w:tcW w:w="246" w:type="pct"/>
            <w:vAlign w:val="center"/>
            <w:hideMark/>
          </w:tcPr>
          <w:p w14:paraId="0DD25360" w14:textId="77777777" w:rsidR="00000000" w:rsidRDefault="00EE5306">
            <w:pPr>
              <w:spacing w:after="100"/>
              <w:rPr>
                <w:rFonts w:eastAsia="Times New Roman"/>
                <w:sz w:val="20"/>
                <w:szCs w:val="20"/>
              </w:rPr>
            </w:pPr>
          </w:p>
        </w:tc>
        <w:tc>
          <w:tcPr>
            <w:tcW w:w="5" w:type="pct"/>
            <w:vAlign w:val="center"/>
            <w:hideMark/>
          </w:tcPr>
          <w:p w14:paraId="58D53568" w14:textId="77777777" w:rsidR="00000000" w:rsidRDefault="00EE5306">
            <w:pPr>
              <w:spacing w:after="100"/>
              <w:rPr>
                <w:rFonts w:eastAsia="Times New Roman"/>
                <w:sz w:val="20"/>
                <w:szCs w:val="20"/>
              </w:rPr>
            </w:pPr>
          </w:p>
        </w:tc>
        <w:tc>
          <w:tcPr>
            <w:tcW w:w="5" w:type="pct"/>
            <w:vAlign w:val="center"/>
            <w:hideMark/>
          </w:tcPr>
          <w:p w14:paraId="066EC514" w14:textId="77777777" w:rsidR="00000000" w:rsidRDefault="00EE5306">
            <w:pPr>
              <w:spacing w:after="100"/>
              <w:rPr>
                <w:rFonts w:eastAsia="Times New Roman"/>
                <w:sz w:val="20"/>
                <w:szCs w:val="20"/>
              </w:rPr>
            </w:pPr>
          </w:p>
        </w:tc>
        <w:tc>
          <w:tcPr>
            <w:tcW w:w="26" w:type="pct"/>
            <w:vAlign w:val="center"/>
            <w:hideMark/>
          </w:tcPr>
          <w:p w14:paraId="628B5220" w14:textId="77777777" w:rsidR="00000000" w:rsidRDefault="00EE5306">
            <w:pPr>
              <w:spacing w:after="100"/>
              <w:rPr>
                <w:rFonts w:eastAsia="Times New Roman"/>
                <w:sz w:val="20"/>
                <w:szCs w:val="20"/>
              </w:rPr>
            </w:pPr>
          </w:p>
        </w:tc>
        <w:tc>
          <w:tcPr>
            <w:tcW w:w="5" w:type="pct"/>
            <w:vAlign w:val="center"/>
            <w:hideMark/>
          </w:tcPr>
          <w:p w14:paraId="15DA88DE" w14:textId="77777777" w:rsidR="00000000" w:rsidRDefault="00EE5306">
            <w:pPr>
              <w:spacing w:after="100"/>
              <w:rPr>
                <w:rFonts w:eastAsia="Times New Roman"/>
                <w:sz w:val="20"/>
                <w:szCs w:val="20"/>
              </w:rPr>
            </w:pPr>
          </w:p>
        </w:tc>
        <w:tc>
          <w:tcPr>
            <w:tcW w:w="50" w:type="pct"/>
            <w:vAlign w:val="center"/>
            <w:hideMark/>
          </w:tcPr>
          <w:p w14:paraId="7BC16E0F" w14:textId="77777777" w:rsidR="00000000" w:rsidRDefault="00EE5306">
            <w:pPr>
              <w:spacing w:after="100"/>
              <w:rPr>
                <w:rFonts w:eastAsia="Times New Roman"/>
                <w:sz w:val="20"/>
                <w:szCs w:val="20"/>
              </w:rPr>
            </w:pPr>
          </w:p>
        </w:tc>
        <w:tc>
          <w:tcPr>
            <w:tcW w:w="327" w:type="pct"/>
            <w:vAlign w:val="center"/>
            <w:hideMark/>
          </w:tcPr>
          <w:p w14:paraId="46A8253E" w14:textId="77777777" w:rsidR="00000000" w:rsidRDefault="00EE5306">
            <w:pPr>
              <w:spacing w:after="100"/>
              <w:rPr>
                <w:rFonts w:eastAsia="Times New Roman"/>
                <w:sz w:val="20"/>
                <w:szCs w:val="20"/>
              </w:rPr>
            </w:pPr>
          </w:p>
        </w:tc>
        <w:tc>
          <w:tcPr>
            <w:tcW w:w="5" w:type="pct"/>
            <w:vAlign w:val="center"/>
            <w:hideMark/>
          </w:tcPr>
          <w:p w14:paraId="3BA995AA" w14:textId="77777777" w:rsidR="00000000" w:rsidRDefault="00EE5306">
            <w:pPr>
              <w:spacing w:after="100"/>
              <w:rPr>
                <w:rFonts w:eastAsia="Times New Roman"/>
                <w:sz w:val="20"/>
                <w:szCs w:val="20"/>
              </w:rPr>
            </w:pPr>
          </w:p>
        </w:tc>
        <w:tc>
          <w:tcPr>
            <w:tcW w:w="5" w:type="pct"/>
            <w:vAlign w:val="center"/>
            <w:hideMark/>
          </w:tcPr>
          <w:p w14:paraId="73DF61F0" w14:textId="77777777" w:rsidR="00000000" w:rsidRDefault="00EE5306">
            <w:pPr>
              <w:spacing w:after="100"/>
              <w:rPr>
                <w:rFonts w:eastAsia="Times New Roman"/>
                <w:sz w:val="20"/>
                <w:szCs w:val="20"/>
              </w:rPr>
            </w:pPr>
          </w:p>
        </w:tc>
        <w:tc>
          <w:tcPr>
            <w:tcW w:w="26" w:type="pct"/>
            <w:vAlign w:val="center"/>
            <w:hideMark/>
          </w:tcPr>
          <w:p w14:paraId="5BBD2374" w14:textId="77777777" w:rsidR="00000000" w:rsidRDefault="00EE5306">
            <w:pPr>
              <w:spacing w:after="100"/>
              <w:rPr>
                <w:rFonts w:eastAsia="Times New Roman"/>
                <w:sz w:val="20"/>
                <w:szCs w:val="20"/>
              </w:rPr>
            </w:pPr>
          </w:p>
        </w:tc>
        <w:tc>
          <w:tcPr>
            <w:tcW w:w="5" w:type="pct"/>
            <w:vAlign w:val="center"/>
            <w:hideMark/>
          </w:tcPr>
          <w:p w14:paraId="02060F4F" w14:textId="77777777" w:rsidR="00000000" w:rsidRDefault="00EE5306">
            <w:pPr>
              <w:spacing w:after="100"/>
              <w:rPr>
                <w:rFonts w:eastAsia="Times New Roman"/>
                <w:sz w:val="20"/>
                <w:szCs w:val="20"/>
              </w:rPr>
            </w:pPr>
          </w:p>
        </w:tc>
        <w:tc>
          <w:tcPr>
            <w:tcW w:w="50" w:type="pct"/>
            <w:vAlign w:val="center"/>
            <w:hideMark/>
          </w:tcPr>
          <w:p w14:paraId="3D85E7F9" w14:textId="77777777" w:rsidR="00000000" w:rsidRDefault="00EE5306">
            <w:pPr>
              <w:spacing w:after="100"/>
              <w:rPr>
                <w:rFonts w:eastAsia="Times New Roman"/>
                <w:sz w:val="20"/>
                <w:szCs w:val="20"/>
              </w:rPr>
            </w:pPr>
          </w:p>
        </w:tc>
        <w:tc>
          <w:tcPr>
            <w:tcW w:w="261" w:type="pct"/>
            <w:vAlign w:val="center"/>
            <w:hideMark/>
          </w:tcPr>
          <w:p w14:paraId="5520FD9F" w14:textId="77777777" w:rsidR="00000000" w:rsidRDefault="00EE5306">
            <w:pPr>
              <w:spacing w:after="100"/>
              <w:rPr>
                <w:rFonts w:eastAsia="Times New Roman"/>
                <w:sz w:val="20"/>
                <w:szCs w:val="20"/>
              </w:rPr>
            </w:pPr>
          </w:p>
        </w:tc>
        <w:tc>
          <w:tcPr>
            <w:tcW w:w="5" w:type="pct"/>
            <w:vAlign w:val="center"/>
            <w:hideMark/>
          </w:tcPr>
          <w:p w14:paraId="6DAE9626" w14:textId="77777777" w:rsidR="00000000" w:rsidRDefault="00EE5306">
            <w:pPr>
              <w:spacing w:after="100"/>
              <w:rPr>
                <w:rFonts w:eastAsia="Times New Roman"/>
                <w:sz w:val="20"/>
                <w:szCs w:val="20"/>
              </w:rPr>
            </w:pPr>
          </w:p>
        </w:tc>
        <w:tc>
          <w:tcPr>
            <w:tcW w:w="5" w:type="pct"/>
            <w:vAlign w:val="center"/>
            <w:hideMark/>
          </w:tcPr>
          <w:p w14:paraId="5DC32464" w14:textId="77777777" w:rsidR="00000000" w:rsidRDefault="00EE5306">
            <w:pPr>
              <w:spacing w:after="100"/>
              <w:rPr>
                <w:rFonts w:eastAsia="Times New Roman"/>
                <w:sz w:val="20"/>
                <w:szCs w:val="20"/>
              </w:rPr>
            </w:pPr>
          </w:p>
        </w:tc>
        <w:tc>
          <w:tcPr>
            <w:tcW w:w="26" w:type="pct"/>
            <w:vAlign w:val="center"/>
            <w:hideMark/>
          </w:tcPr>
          <w:p w14:paraId="22580272" w14:textId="77777777" w:rsidR="00000000" w:rsidRDefault="00EE5306">
            <w:pPr>
              <w:spacing w:after="100"/>
              <w:rPr>
                <w:rFonts w:eastAsia="Times New Roman"/>
                <w:sz w:val="20"/>
                <w:szCs w:val="20"/>
              </w:rPr>
            </w:pPr>
          </w:p>
        </w:tc>
        <w:tc>
          <w:tcPr>
            <w:tcW w:w="5" w:type="pct"/>
            <w:vAlign w:val="center"/>
            <w:hideMark/>
          </w:tcPr>
          <w:p w14:paraId="25629B65" w14:textId="77777777" w:rsidR="00000000" w:rsidRDefault="00EE5306">
            <w:pPr>
              <w:spacing w:after="100"/>
              <w:rPr>
                <w:rFonts w:eastAsia="Times New Roman"/>
                <w:sz w:val="20"/>
                <w:szCs w:val="20"/>
              </w:rPr>
            </w:pPr>
          </w:p>
        </w:tc>
        <w:tc>
          <w:tcPr>
            <w:tcW w:w="50" w:type="pct"/>
            <w:vAlign w:val="center"/>
            <w:hideMark/>
          </w:tcPr>
          <w:p w14:paraId="52F02C36" w14:textId="77777777" w:rsidR="00000000" w:rsidRDefault="00EE5306">
            <w:pPr>
              <w:spacing w:after="100"/>
              <w:rPr>
                <w:rFonts w:eastAsia="Times New Roman"/>
                <w:sz w:val="20"/>
                <w:szCs w:val="20"/>
              </w:rPr>
            </w:pPr>
          </w:p>
        </w:tc>
        <w:tc>
          <w:tcPr>
            <w:tcW w:w="327" w:type="pct"/>
            <w:vAlign w:val="center"/>
            <w:hideMark/>
          </w:tcPr>
          <w:p w14:paraId="62DCE822" w14:textId="77777777" w:rsidR="00000000" w:rsidRDefault="00EE5306">
            <w:pPr>
              <w:spacing w:after="100"/>
              <w:rPr>
                <w:rFonts w:eastAsia="Times New Roman"/>
                <w:sz w:val="20"/>
                <w:szCs w:val="20"/>
              </w:rPr>
            </w:pPr>
          </w:p>
        </w:tc>
        <w:tc>
          <w:tcPr>
            <w:tcW w:w="5" w:type="pct"/>
            <w:vAlign w:val="center"/>
            <w:hideMark/>
          </w:tcPr>
          <w:p w14:paraId="4FC25C5B" w14:textId="77777777" w:rsidR="00000000" w:rsidRDefault="00EE5306">
            <w:pPr>
              <w:spacing w:after="100"/>
              <w:rPr>
                <w:rFonts w:eastAsia="Times New Roman"/>
                <w:sz w:val="20"/>
                <w:szCs w:val="20"/>
              </w:rPr>
            </w:pPr>
          </w:p>
        </w:tc>
      </w:tr>
      <w:tr w:rsidR="00000000" w14:paraId="66063D6D" w14:textId="77777777">
        <w:trPr>
          <w:divId w:val="1605722058"/>
          <w:jc w:val="center"/>
        </w:trPr>
        <w:tc>
          <w:tcPr>
            <w:tcW w:w="0" w:type="auto"/>
            <w:gridSpan w:val="6"/>
            <w:vAlign w:val="center"/>
            <w:hideMark/>
          </w:tcPr>
          <w:p w14:paraId="2746087E" w14:textId="77777777" w:rsidR="00000000" w:rsidRDefault="00EE5306">
            <w:pPr>
              <w:spacing w:after="100"/>
              <w:rPr>
                <w:rFonts w:eastAsia="Times New Roman"/>
                <w:sz w:val="20"/>
                <w:szCs w:val="20"/>
              </w:rPr>
            </w:pPr>
          </w:p>
        </w:tc>
        <w:tc>
          <w:tcPr>
            <w:tcW w:w="0" w:type="auto"/>
            <w:vAlign w:val="center"/>
            <w:hideMark/>
          </w:tcPr>
          <w:p w14:paraId="44C08318" w14:textId="77777777" w:rsidR="00000000" w:rsidRDefault="00EE5306">
            <w:pPr>
              <w:spacing w:after="100"/>
              <w:rPr>
                <w:rFonts w:eastAsia="Times New Roman"/>
                <w:sz w:val="20"/>
                <w:szCs w:val="20"/>
              </w:rPr>
            </w:pPr>
          </w:p>
        </w:tc>
        <w:tc>
          <w:tcPr>
            <w:tcW w:w="0" w:type="auto"/>
            <w:vAlign w:val="center"/>
            <w:hideMark/>
          </w:tcPr>
          <w:p w14:paraId="287207D6" w14:textId="77777777" w:rsidR="00000000" w:rsidRDefault="00EE5306">
            <w:pPr>
              <w:spacing w:after="100"/>
              <w:rPr>
                <w:rFonts w:eastAsia="Times New Roman"/>
                <w:sz w:val="20"/>
                <w:szCs w:val="20"/>
              </w:rPr>
            </w:pPr>
          </w:p>
        </w:tc>
        <w:tc>
          <w:tcPr>
            <w:tcW w:w="0" w:type="auto"/>
            <w:vAlign w:val="center"/>
            <w:hideMark/>
          </w:tcPr>
          <w:p w14:paraId="39A36799" w14:textId="77777777" w:rsidR="00000000" w:rsidRDefault="00EE5306">
            <w:pPr>
              <w:spacing w:after="100"/>
              <w:rPr>
                <w:rFonts w:eastAsia="Times New Roman"/>
                <w:sz w:val="20"/>
                <w:szCs w:val="20"/>
              </w:rPr>
            </w:pPr>
          </w:p>
        </w:tc>
        <w:tc>
          <w:tcPr>
            <w:tcW w:w="0" w:type="auto"/>
            <w:vAlign w:val="center"/>
            <w:hideMark/>
          </w:tcPr>
          <w:p w14:paraId="4CCA1DAA" w14:textId="77777777" w:rsidR="00000000" w:rsidRDefault="00EE5306">
            <w:pPr>
              <w:spacing w:after="100"/>
              <w:rPr>
                <w:rFonts w:eastAsia="Times New Roman"/>
                <w:sz w:val="20"/>
                <w:szCs w:val="20"/>
              </w:rPr>
            </w:pPr>
          </w:p>
        </w:tc>
        <w:tc>
          <w:tcPr>
            <w:tcW w:w="0" w:type="auto"/>
            <w:vAlign w:val="center"/>
            <w:hideMark/>
          </w:tcPr>
          <w:p w14:paraId="00E0EEBC" w14:textId="77777777" w:rsidR="00000000" w:rsidRDefault="00EE5306">
            <w:pPr>
              <w:spacing w:after="100"/>
              <w:rPr>
                <w:rFonts w:eastAsia="Times New Roman"/>
                <w:sz w:val="20"/>
                <w:szCs w:val="20"/>
              </w:rPr>
            </w:pPr>
          </w:p>
        </w:tc>
        <w:tc>
          <w:tcPr>
            <w:tcW w:w="0" w:type="auto"/>
            <w:vAlign w:val="center"/>
            <w:hideMark/>
          </w:tcPr>
          <w:p w14:paraId="50334BF5" w14:textId="77777777" w:rsidR="00000000" w:rsidRDefault="00EE5306">
            <w:pPr>
              <w:spacing w:after="100"/>
              <w:rPr>
                <w:rFonts w:eastAsia="Times New Roman"/>
                <w:sz w:val="20"/>
                <w:szCs w:val="20"/>
              </w:rPr>
            </w:pPr>
          </w:p>
        </w:tc>
        <w:tc>
          <w:tcPr>
            <w:tcW w:w="0" w:type="auto"/>
            <w:vAlign w:val="center"/>
            <w:hideMark/>
          </w:tcPr>
          <w:p w14:paraId="5AF5CF8B" w14:textId="77777777" w:rsidR="00000000" w:rsidRDefault="00EE5306">
            <w:pPr>
              <w:spacing w:after="100"/>
              <w:rPr>
                <w:rFonts w:eastAsia="Times New Roman"/>
                <w:sz w:val="20"/>
                <w:szCs w:val="20"/>
              </w:rPr>
            </w:pPr>
          </w:p>
        </w:tc>
        <w:tc>
          <w:tcPr>
            <w:tcW w:w="0" w:type="auto"/>
            <w:vAlign w:val="center"/>
            <w:hideMark/>
          </w:tcPr>
          <w:p w14:paraId="2327EF20" w14:textId="77777777" w:rsidR="00000000" w:rsidRDefault="00EE5306">
            <w:pPr>
              <w:spacing w:after="100"/>
              <w:rPr>
                <w:rFonts w:eastAsia="Times New Roman"/>
                <w:sz w:val="20"/>
                <w:szCs w:val="20"/>
              </w:rPr>
            </w:pPr>
          </w:p>
        </w:tc>
        <w:tc>
          <w:tcPr>
            <w:tcW w:w="0" w:type="auto"/>
            <w:vAlign w:val="center"/>
            <w:hideMark/>
          </w:tcPr>
          <w:p w14:paraId="4E0D5A1E" w14:textId="77777777" w:rsidR="00000000" w:rsidRDefault="00EE5306">
            <w:pPr>
              <w:spacing w:after="100"/>
              <w:rPr>
                <w:rFonts w:eastAsia="Times New Roman"/>
                <w:sz w:val="20"/>
                <w:szCs w:val="20"/>
              </w:rPr>
            </w:pPr>
          </w:p>
        </w:tc>
        <w:tc>
          <w:tcPr>
            <w:tcW w:w="0" w:type="auto"/>
            <w:vAlign w:val="center"/>
            <w:hideMark/>
          </w:tcPr>
          <w:p w14:paraId="71471347" w14:textId="77777777" w:rsidR="00000000" w:rsidRDefault="00EE5306">
            <w:pPr>
              <w:spacing w:after="100"/>
              <w:rPr>
                <w:rFonts w:eastAsia="Times New Roman"/>
                <w:sz w:val="20"/>
                <w:szCs w:val="20"/>
              </w:rPr>
            </w:pPr>
          </w:p>
        </w:tc>
        <w:tc>
          <w:tcPr>
            <w:tcW w:w="0" w:type="auto"/>
            <w:vAlign w:val="center"/>
            <w:hideMark/>
          </w:tcPr>
          <w:p w14:paraId="4EBB7797" w14:textId="77777777" w:rsidR="00000000" w:rsidRDefault="00EE5306">
            <w:pPr>
              <w:spacing w:after="100"/>
              <w:rPr>
                <w:rFonts w:eastAsia="Times New Roman"/>
                <w:sz w:val="20"/>
                <w:szCs w:val="20"/>
              </w:rPr>
            </w:pPr>
          </w:p>
        </w:tc>
        <w:tc>
          <w:tcPr>
            <w:tcW w:w="0" w:type="auto"/>
            <w:vAlign w:val="center"/>
            <w:hideMark/>
          </w:tcPr>
          <w:p w14:paraId="08E7ABCF" w14:textId="77777777" w:rsidR="00000000" w:rsidRDefault="00EE5306">
            <w:pPr>
              <w:spacing w:after="100"/>
              <w:rPr>
                <w:rFonts w:eastAsia="Times New Roman"/>
                <w:sz w:val="20"/>
                <w:szCs w:val="20"/>
              </w:rPr>
            </w:pPr>
          </w:p>
        </w:tc>
        <w:tc>
          <w:tcPr>
            <w:tcW w:w="0" w:type="auto"/>
            <w:vAlign w:val="center"/>
            <w:hideMark/>
          </w:tcPr>
          <w:p w14:paraId="3AB6D068" w14:textId="77777777" w:rsidR="00000000" w:rsidRDefault="00EE5306">
            <w:pPr>
              <w:spacing w:after="100"/>
              <w:rPr>
                <w:rFonts w:eastAsia="Times New Roman"/>
                <w:sz w:val="20"/>
                <w:szCs w:val="20"/>
              </w:rPr>
            </w:pPr>
          </w:p>
        </w:tc>
        <w:tc>
          <w:tcPr>
            <w:tcW w:w="0" w:type="auto"/>
            <w:vAlign w:val="center"/>
            <w:hideMark/>
          </w:tcPr>
          <w:p w14:paraId="12660611" w14:textId="77777777" w:rsidR="00000000" w:rsidRDefault="00EE5306">
            <w:pPr>
              <w:spacing w:after="100"/>
              <w:rPr>
                <w:rFonts w:eastAsia="Times New Roman"/>
                <w:sz w:val="20"/>
                <w:szCs w:val="20"/>
              </w:rPr>
            </w:pPr>
          </w:p>
        </w:tc>
        <w:tc>
          <w:tcPr>
            <w:tcW w:w="0" w:type="auto"/>
            <w:vAlign w:val="center"/>
            <w:hideMark/>
          </w:tcPr>
          <w:p w14:paraId="6F037D4F" w14:textId="77777777" w:rsidR="00000000" w:rsidRDefault="00EE5306">
            <w:pPr>
              <w:spacing w:after="100"/>
              <w:rPr>
                <w:rFonts w:eastAsia="Times New Roman"/>
                <w:sz w:val="20"/>
                <w:szCs w:val="20"/>
              </w:rPr>
            </w:pPr>
          </w:p>
        </w:tc>
        <w:tc>
          <w:tcPr>
            <w:tcW w:w="0" w:type="auto"/>
            <w:vAlign w:val="center"/>
            <w:hideMark/>
          </w:tcPr>
          <w:p w14:paraId="73EB364F" w14:textId="77777777" w:rsidR="00000000" w:rsidRDefault="00EE5306">
            <w:pPr>
              <w:spacing w:after="100"/>
              <w:rPr>
                <w:rFonts w:eastAsia="Times New Roman"/>
                <w:sz w:val="20"/>
                <w:szCs w:val="20"/>
              </w:rPr>
            </w:pPr>
          </w:p>
        </w:tc>
        <w:tc>
          <w:tcPr>
            <w:tcW w:w="0" w:type="auto"/>
            <w:vAlign w:val="center"/>
            <w:hideMark/>
          </w:tcPr>
          <w:p w14:paraId="218F6338" w14:textId="77777777" w:rsidR="00000000" w:rsidRDefault="00EE5306">
            <w:pPr>
              <w:spacing w:after="100"/>
              <w:rPr>
                <w:rFonts w:eastAsia="Times New Roman"/>
                <w:sz w:val="20"/>
                <w:szCs w:val="20"/>
              </w:rPr>
            </w:pPr>
          </w:p>
        </w:tc>
        <w:tc>
          <w:tcPr>
            <w:tcW w:w="0" w:type="auto"/>
            <w:vAlign w:val="center"/>
            <w:hideMark/>
          </w:tcPr>
          <w:p w14:paraId="14DE3230" w14:textId="77777777" w:rsidR="00000000" w:rsidRDefault="00EE5306">
            <w:pPr>
              <w:spacing w:after="100"/>
              <w:rPr>
                <w:rFonts w:eastAsia="Times New Roman"/>
                <w:sz w:val="20"/>
                <w:szCs w:val="20"/>
              </w:rPr>
            </w:pPr>
          </w:p>
        </w:tc>
        <w:tc>
          <w:tcPr>
            <w:tcW w:w="0" w:type="auto"/>
            <w:vAlign w:val="center"/>
            <w:hideMark/>
          </w:tcPr>
          <w:p w14:paraId="2B3822EC" w14:textId="77777777" w:rsidR="00000000" w:rsidRDefault="00EE5306">
            <w:pPr>
              <w:spacing w:after="100"/>
              <w:rPr>
                <w:rFonts w:eastAsia="Times New Roman"/>
                <w:sz w:val="20"/>
                <w:szCs w:val="20"/>
              </w:rPr>
            </w:pPr>
          </w:p>
        </w:tc>
        <w:tc>
          <w:tcPr>
            <w:tcW w:w="0" w:type="auto"/>
            <w:vAlign w:val="center"/>
            <w:hideMark/>
          </w:tcPr>
          <w:p w14:paraId="23A07627" w14:textId="77777777" w:rsidR="00000000" w:rsidRDefault="00EE5306">
            <w:pPr>
              <w:spacing w:after="100"/>
              <w:rPr>
                <w:rFonts w:eastAsia="Times New Roman"/>
                <w:sz w:val="20"/>
                <w:szCs w:val="20"/>
              </w:rPr>
            </w:pPr>
          </w:p>
        </w:tc>
        <w:tc>
          <w:tcPr>
            <w:tcW w:w="0" w:type="auto"/>
            <w:vAlign w:val="center"/>
            <w:hideMark/>
          </w:tcPr>
          <w:p w14:paraId="5DE17568" w14:textId="77777777" w:rsidR="00000000" w:rsidRDefault="00EE5306">
            <w:pPr>
              <w:spacing w:after="100"/>
              <w:rPr>
                <w:rFonts w:eastAsia="Times New Roman"/>
                <w:sz w:val="20"/>
                <w:szCs w:val="20"/>
              </w:rPr>
            </w:pPr>
          </w:p>
        </w:tc>
        <w:tc>
          <w:tcPr>
            <w:tcW w:w="0" w:type="auto"/>
            <w:vAlign w:val="center"/>
            <w:hideMark/>
          </w:tcPr>
          <w:p w14:paraId="2D61FC4F" w14:textId="77777777" w:rsidR="00000000" w:rsidRDefault="00EE5306">
            <w:pPr>
              <w:spacing w:after="100"/>
              <w:rPr>
                <w:rFonts w:eastAsia="Times New Roman"/>
                <w:sz w:val="20"/>
                <w:szCs w:val="20"/>
              </w:rPr>
            </w:pPr>
          </w:p>
        </w:tc>
        <w:tc>
          <w:tcPr>
            <w:tcW w:w="0" w:type="auto"/>
            <w:vAlign w:val="center"/>
            <w:hideMark/>
          </w:tcPr>
          <w:p w14:paraId="23194143" w14:textId="77777777" w:rsidR="00000000" w:rsidRDefault="00EE5306">
            <w:pPr>
              <w:spacing w:after="100"/>
              <w:rPr>
                <w:rFonts w:eastAsia="Times New Roman"/>
                <w:sz w:val="20"/>
                <w:szCs w:val="20"/>
              </w:rPr>
            </w:pPr>
          </w:p>
        </w:tc>
        <w:tc>
          <w:tcPr>
            <w:tcW w:w="0" w:type="auto"/>
            <w:vAlign w:val="center"/>
            <w:hideMark/>
          </w:tcPr>
          <w:p w14:paraId="1AE963A9" w14:textId="77777777" w:rsidR="00000000" w:rsidRDefault="00EE5306">
            <w:pPr>
              <w:spacing w:after="100"/>
              <w:rPr>
                <w:rFonts w:eastAsia="Times New Roman"/>
                <w:sz w:val="20"/>
                <w:szCs w:val="20"/>
              </w:rPr>
            </w:pPr>
          </w:p>
        </w:tc>
        <w:tc>
          <w:tcPr>
            <w:tcW w:w="0" w:type="auto"/>
            <w:vAlign w:val="center"/>
            <w:hideMark/>
          </w:tcPr>
          <w:p w14:paraId="06A10657" w14:textId="77777777" w:rsidR="00000000" w:rsidRDefault="00EE5306">
            <w:pPr>
              <w:spacing w:after="100"/>
              <w:rPr>
                <w:rFonts w:eastAsia="Times New Roman"/>
                <w:sz w:val="20"/>
                <w:szCs w:val="20"/>
              </w:rPr>
            </w:pPr>
          </w:p>
        </w:tc>
        <w:tc>
          <w:tcPr>
            <w:tcW w:w="0" w:type="auto"/>
            <w:vAlign w:val="center"/>
            <w:hideMark/>
          </w:tcPr>
          <w:p w14:paraId="6A7CF711" w14:textId="77777777" w:rsidR="00000000" w:rsidRDefault="00EE5306">
            <w:pPr>
              <w:spacing w:after="100"/>
              <w:rPr>
                <w:rFonts w:eastAsia="Times New Roman"/>
                <w:sz w:val="20"/>
                <w:szCs w:val="20"/>
              </w:rPr>
            </w:pPr>
          </w:p>
        </w:tc>
        <w:tc>
          <w:tcPr>
            <w:tcW w:w="0" w:type="auto"/>
            <w:vAlign w:val="center"/>
            <w:hideMark/>
          </w:tcPr>
          <w:p w14:paraId="571F419C" w14:textId="77777777" w:rsidR="00000000" w:rsidRDefault="00EE5306">
            <w:pPr>
              <w:spacing w:after="100"/>
              <w:rPr>
                <w:rFonts w:eastAsia="Times New Roman"/>
                <w:sz w:val="20"/>
                <w:szCs w:val="20"/>
              </w:rPr>
            </w:pPr>
          </w:p>
        </w:tc>
        <w:tc>
          <w:tcPr>
            <w:tcW w:w="0" w:type="auto"/>
            <w:vAlign w:val="center"/>
            <w:hideMark/>
          </w:tcPr>
          <w:p w14:paraId="6524CFDE" w14:textId="77777777" w:rsidR="00000000" w:rsidRDefault="00EE5306">
            <w:pPr>
              <w:spacing w:after="100"/>
              <w:rPr>
                <w:rFonts w:eastAsia="Times New Roman"/>
                <w:sz w:val="20"/>
                <w:szCs w:val="20"/>
              </w:rPr>
            </w:pPr>
          </w:p>
        </w:tc>
        <w:tc>
          <w:tcPr>
            <w:tcW w:w="0" w:type="auto"/>
            <w:vAlign w:val="center"/>
            <w:hideMark/>
          </w:tcPr>
          <w:p w14:paraId="50475B74" w14:textId="77777777" w:rsidR="00000000" w:rsidRDefault="00EE5306">
            <w:pPr>
              <w:spacing w:after="100"/>
              <w:rPr>
                <w:rFonts w:eastAsia="Times New Roman"/>
                <w:sz w:val="20"/>
                <w:szCs w:val="20"/>
              </w:rPr>
            </w:pPr>
          </w:p>
        </w:tc>
        <w:tc>
          <w:tcPr>
            <w:tcW w:w="0" w:type="auto"/>
            <w:vAlign w:val="center"/>
            <w:hideMark/>
          </w:tcPr>
          <w:p w14:paraId="5C8C48E1" w14:textId="77777777" w:rsidR="00000000" w:rsidRDefault="00EE5306">
            <w:pPr>
              <w:spacing w:after="100"/>
              <w:rPr>
                <w:rFonts w:eastAsia="Times New Roman"/>
                <w:sz w:val="20"/>
                <w:szCs w:val="20"/>
              </w:rPr>
            </w:pPr>
          </w:p>
        </w:tc>
        <w:tc>
          <w:tcPr>
            <w:tcW w:w="0" w:type="auto"/>
            <w:vAlign w:val="center"/>
            <w:hideMark/>
          </w:tcPr>
          <w:p w14:paraId="0CD4D47B" w14:textId="77777777" w:rsidR="00000000" w:rsidRDefault="00EE5306">
            <w:pPr>
              <w:spacing w:after="100"/>
              <w:rPr>
                <w:rFonts w:eastAsia="Times New Roman"/>
                <w:sz w:val="20"/>
                <w:szCs w:val="20"/>
              </w:rPr>
            </w:pPr>
          </w:p>
        </w:tc>
        <w:tc>
          <w:tcPr>
            <w:tcW w:w="0" w:type="auto"/>
            <w:vAlign w:val="center"/>
            <w:hideMark/>
          </w:tcPr>
          <w:p w14:paraId="5BE82602" w14:textId="77777777" w:rsidR="00000000" w:rsidRDefault="00EE5306">
            <w:pPr>
              <w:spacing w:after="100"/>
              <w:rPr>
                <w:rFonts w:eastAsia="Times New Roman"/>
                <w:sz w:val="20"/>
                <w:szCs w:val="20"/>
              </w:rPr>
            </w:pPr>
          </w:p>
        </w:tc>
        <w:tc>
          <w:tcPr>
            <w:tcW w:w="0" w:type="auto"/>
            <w:vAlign w:val="center"/>
            <w:hideMark/>
          </w:tcPr>
          <w:p w14:paraId="740704D2" w14:textId="77777777" w:rsidR="00000000" w:rsidRDefault="00EE5306">
            <w:pPr>
              <w:spacing w:after="100"/>
              <w:rPr>
                <w:rFonts w:eastAsia="Times New Roman"/>
                <w:sz w:val="20"/>
                <w:szCs w:val="20"/>
              </w:rPr>
            </w:pPr>
          </w:p>
        </w:tc>
        <w:tc>
          <w:tcPr>
            <w:tcW w:w="0" w:type="auto"/>
            <w:vAlign w:val="center"/>
            <w:hideMark/>
          </w:tcPr>
          <w:p w14:paraId="4C50F449" w14:textId="77777777" w:rsidR="00000000" w:rsidRDefault="00EE5306">
            <w:pPr>
              <w:spacing w:after="100"/>
              <w:rPr>
                <w:rFonts w:eastAsia="Times New Roman"/>
                <w:sz w:val="20"/>
                <w:szCs w:val="20"/>
              </w:rPr>
            </w:pPr>
          </w:p>
        </w:tc>
        <w:tc>
          <w:tcPr>
            <w:tcW w:w="0" w:type="auto"/>
            <w:vAlign w:val="center"/>
            <w:hideMark/>
          </w:tcPr>
          <w:p w14:paraId="58B86212" w14:textId="77777777" w:rsidR="00000000" w:rsidRDefault="00EE5306">
            <w:pPr>
              <w:spacing w:after="100"/>
              <w:rPr>
                <w:rFonts w:eastAsia="Times New Roman"/>
                <w:sz w:val="20"/>
                <w:szCs w:val="20"/>
              </w:rPr>
            </w:pPr>
          </w:p>
        </w:tc>
        <w:tc>
          <w:tcPr>
            <w:tcW w:w="0" w:type="auto"/>
            <w:vAlign w:val="center"/>
            <w:hideMark/>
          </w:tcPr>
          <w:p w14:paraId="3497264E" w14:textId="77777777" w:rsidR="00000000" w:rsidRDefault="00EE5306">
            <w:pPr>
              <w:spacing w:after="100"/>
              <w:rPr>
                <w:rFonts w:eastAsia="Times New Roman"/>
                <w:sz w:val="20"/>
                <w:szCs w:val="20"/>
              </w:rPr>
            </w:pPr>
          </w:p>
        </w:tc>
        <w:tc>
          <w:tcPr>
            <w:tcW w:w="0" w:type="auto"/>
            <w:vAlign w:val="center"/>
            <w:hideMark/>
          </w:tcPr>
          <w:p w14:paraId="25A5490B" w14:textId="77777777" w:rsidR="00000000" w:rsidRDefault="00EE5306">
            <w:pPr>
              <w:spacing w:after="100"/>
              <w:rPr>
                <w:rFonts w:eastAsia="Times New Roman"/>
                <w:sz w:val="20"/>
                <w:szCs w:val="20"/>
              </w:rPr>
            </w:pPr>
          </w:p>
        </w:tc>
        <w:tc>
          <w:tcPr>
            <w:tcW w:w="0" w:type="auto"/>
            <w:vAlign w:val="center"/>
            <w:hideMark/>
          </w:tcPr>
          <w:p w14:paraId="50EFE225" w14:textId="77777777" w:rsidR="00000000" w:rsidRDefault="00EE5306">
            <w:pPr>
              <w:spacing w:after="100"/>
              <w:rPr>
                <w:rFonts w:eastAsia="Times New Roman"/>
                <w:sz w:val="20"/>
                <w:szCs w:val="20"/>
              </w:rPr>
            </w:pPr>
          </w:p>
        </w:tc>
        <w:tc>
          <w:tcPr>
            <w:tcW w:w="0" w:type="auto"/>
            <w:vAlign w:val="center"/>
            <w:hideMark/>
          </w:tcPr>
          <w:p w14:paraId="1DC3734B" w14:textId="77777777" w:rsidR="00000000" w:rsidRDefault="00EE5306">
            <w:pPr>
              <w:spacing w:after="100"/>
              <w:rPr>
                <w:rFonts w:eastAsia="Times New Roman"/>
                <w:sz w:val="20"/>
                <w:szCs w:val="20"/>
              </w:rPr>
            </w:pPr>
          </w:p>
        </w:tc>
        <w:tc>
          <w:tcPr>
            <w:tcW w:w="0" w:type="auto"/>
            <w:vAlign w:val="center"/>
            <w:hideMark/>
          </w:tcPr>
          <w:p w14:paraId="6E2AD385" w14:textId="77777777" w:rsidR="00000000" w:rsidRDefault="00EE5306">
            <w:pPr>
              <w:spacing w:after="100"/>
              <w:rPr>
                <w:rFonts w:eastAsia="Times New Roman"/>
                <w:sz w:val="20"/>
                <w:szCs w:val="20"/>
              </w:rPr>
            </w:pPr>
          </w:p>
        </w:tc>
        <w:tc>
          <w:tcPr>
            <w:tcW w:w="0" w:type="auto"/>
            <w:vAlign w:val="center"/>
            <w:hideMark/>
          </w:tcPr>
          <w:p w14:paraId="7C0175E5" w14:textId="77777777" w:rsidR="00000000" w:rsidRDefault="00EE5306">
            <w:pPr>
              <w:spacing w:after="100"/>
              <w:rPr>
                <w:rFonts w:eastAsia="Times New Roman"/>
                <w:sz w:val="20"/>
                <w:szCs w:val="20"/>
              </w:rPr>
            </w:pPr>
          </w:p>
        </w:tc>
        <w:tc>
          <w:tcPr>
            <w:tcW w:w="0" w:type="auto"/>
            <w:vAlign w:val="center"/>
            <w:hideMark/>
          </w:tcPr>
          <w:p w14:paraId="5F14D7A3" w14:textId="77777777" w:rsidR="00000000" w:rsidRDefault="00EE5306">
            <w:pPr>
              <w:spacing w:after="100"/>
              <w:rPr>
                <w:rFonts w:eastAsia="Times New Roman"/>
                <w:sz w:val="20"/>
                <w:szCs w:val="20"/>
              </w:rPr>
            </w:pPr>
          </w:p>
        </w:tc>
        <w:tc>
          <w:tcPr>
            <w:tcW w:w="0" w:type="auto"/>
            <w:vAlign w:val="center"/>
            <w:hideMark/>
          </w:tcPr>
          <w:p w14:paraId="3DA17563" w14:textId="77777777" w:rsidR="00000000" w:rsidRDefault="00EE5306">
            <w:pPr>
              <w:spacing w:after="100"/>
              <w:rPr>
                <w:rFonts w:eastAsia="Times New Roman"/>
                <w:sz w:val="20"/>
                <w:szCs w:val="20"/>
              </w:rPr>
            </w:pPr>
          </w:p>
        </w:tc>
        <w:tc>
          <w:tcPr>
            <w:tcW w:w="0" w:type="auto"/>
            <w:vAlign w:val="center"/>
            <w:hideMark/>
          </w:tcPr>
          <w:p w14:paraId="76212364" w14:textId="77777777" w:rsidR="00000000" w:rsidRDefault="00EE5306">
            <w:pPr>
              <w:spacing w:after="100"/>
              <w:rPr>
                <w:rFonts w:eastAsia="Times New Roman"/>
                <w:sz w:val="20"/>
                <w:szCs w:val="20"/>
              </w:rPr>
            </w:pPr>
          </w:p>
        </w:tc>
        <w:tc>
          <w:tcPr>
            <w:tcW w:w="0" w:type="auto"/>
            <w:vAlign w:val="center"/>
            <w:hideMark/>
          </w:tcPr>
          <w:p w14:paraId="705797A8" w14:textId="77777777" w:rsidR="00000000" w:rsidRDefault="00EE5306">
            <w:pPr>
              <w:spacing w:after="100"/>
              <w:rPr>
                <w:rFonts w:eastAsia="Times New Roman"/>
                <w:sz w:val="20"/>
                <w:szCs w:val="20"/>
              </w:rPr>
            </w:pPr>
          </w:p>
        </w:tc>
        <w:tc>
          <w:tcPr>
            <w:tcW w:w="0" w:type="auto"/>
            <w:vAlign w:val="center"/>
            <w:hideMark/>
          </w:tcPr>
          <w:p w14:paraId="6B61EA43" w14:textId="77777777" w:rsidR="00000000" w:rsidRDefault="00EE5306">
            <w:pPr>
              <w:spacing w:after="100"/>
              <w:rPr>
                <w:rFonts w:eastAsia="Times New Roman"/>
                <w:sz w:val="20"/>
                <w:szCs w:val="20"/>
              </w:rPr>
            </w:pPr>
          </w:p>
        </w:tc>
        <w:tc>
          <w:tcPr>
            <w:tcW w:w="0" w:type="auto"/>
            <w:vAlign w:val="center"/>
            <w:hideMark/>
          </w:tcPr>
          <w:p w14:paraId="2664EB47" w14:textId="77777777" w:rsidR="00000000" w:rsidRDefault="00EE5306">
            <w:pPr>
              <w:spacing w:after="100"/>
              <w:rPr>
                <w:rFonts w:eastAsia="Times New Roman"/>
                <w:sz w:val="20"/>
                <w:szCs w:val="20"/>
              </w:rPr>
            </w:pPr>
          </w:p>
        </w:tc>
        <w:tc>
          <w:tcPr>
            <w:tcW w:w="0" w:type="auto"/>
            <w:vAlign w:val="center"/>
            <w:hideMark/>
          </w:tcPr>
          <w:p w14:paraId="08A2BBAB" w14:textId="77777777" w:rsidR="00000000" w:rsidRDefault="00EE5306">
            <w:pPr>
              <w:spacing w:after="100"/>
              <w:rPr>
                <w:rFonts w:eastAsia="Times New Roman"/>
                <w:sz w:val="20"/>
                <w:szCs w:val="20"/>
              </w:rPr>
            </w:pPr>
          </w:p>
        </w:tc>
      </w:tr>
      <w:tr w:rsidR="00000000" w14:paraId="2CF12221" w14:textId="77777777">
        <w:trPr>
          <w:divId w:val="1605722058"/>
          <w:jc w:val="center"/>
        </w:trPr>
        <w:tc>
          <w:tcPr>
            <w:tcW w:w="0" w:type="auto"/>
            <w:gridSpan w:val="6"/>
            <w:vAlign w:val="center"/>
            <w:hideMark/>
          </w:tcPr>
          <w:p w14:paraId="186F622E" w14:textId="77777777" w:rsidR="00000000" w:rsidRDefault="00EE5306">
            <w:pPr>
              <w:spacing w:after="100"/>
              <w:rPr>
                <w:rFonts w:eastAsia="Times New Roman"/>
                <w:sz w:val="20"/>
                <w:szCs w:val="20"/>
              </w:rPr>
            </w:pPr>
          </w:p>
        </w:tc>
        <w:tc>
          <w:tcPr>
            <w:tcW w:w="0" w:type="auto"/>
            <w:vAlign w:val="center"/>
            <w:hideMark/>
          </w:tcPr>
          <w:p w14:paraId="0416418D" w14:textId="77777777" w:rsidR="00000000" w:rsidRDefault="00EE5306">
            <w:pPr>
              <w:spacing w:after="100"/>
              <w:rPr>
                <w:rFonts w:eastAsia="Times New Roman"/>
                <w:sz w:val="20"/>
                <w:szCs w:val="20"/>
              </w:rPr>
            </w:pPr>
          </w:p>
        </w:tc>
        <w:tc>
          <w:tcPr>
            <w:tcW w:w="0" w:type="auto"/>
            <w:vAlign w:val="center"/>
            <w:hideMark/>
          </w:tcPr>
          <w:p w14:paraId="64DD7298" w14:textId="77777777" w:rsidR="00000000" w:rsidRDefault="00EE5306">
            <w:pPr>
              <w:spacing w:after="100"/>
              <w:rPr>
                <w:rFonts w:eastAsia="Times New Roman"/>
                <w:sz w:val="20"/>
                <w:szCs w:val="20"/>
              </w:rPr>
            </w:pPr>
          </w:p>
        </w:tc>
        <w:tc>
          <w:tcPr>
            <w:tcW w:w="0" w:type="auto"/>
            <w:vAlign w:val="center"/>
            <w:hideMark/>
          </w:tcPr>
          <w:p w14:paraId="1E823026" w14:textId="77777777" w:rsidR="00000000" w:rsidRDefault="00EE5306">
            <w:pPr>
              <w:spacing w:after="100"/>
              <w:rPr>
                <w:rFonts w:eastAsia="Times New Roman"/>
                <w:sz w:val="20"/>
                <w:szCs w:val="20"/>
              </w:rPr>
            </w:pPr>
          </w:p>
        </w:tc>
        <w:tc>
          <w:tcPr>
            <w:tcW w:w="0" w:type="auto"/>
            <w:vAlign w:val="center"/>
            <w:hideMark/>
          </w:tcPr>
          <w:p w14:paraId="037DF01C" w14:textId="77777777" w:rsidR="00000000" w:rsidRDefault="00EE5306">
            <w:pPr>
              <w:spacing w:after="100"/>
              <w:rPr>
                <w:rFonts w:eastAsia="Times New Roman"/>
                <w:sz w:val="20"/>
                <w:szCs w:val="20"/>
              </w:rPr>
            </w:pPr>
          </w:p>
        </w:tc>
        <w:tc>
          <w:tcPr>
            <w:tcW w:w="0" w:type="auto"/>
            <w:vAlign w:val="center"/>
            <w:hideMark/>
          </w:tcPr>
          <w:p w14:paraId="11710E88" w14:textId="77777777" w:rsidR="00000000" w:rsidRDefault="00EE5306">
            <w:pPr>
              <w:spacing w:after="100"/>
              <w:rPr>
                <w:rFonts w:eastAsia="Times New Roman"/>
                <w:sz w:val="20"/>
                <w:szCs w:val="20"/>
              </w:rPr>
            </w:pPr>
          </w:p>
        </w:tc>
        <w:tc>
          <w:tcPr>
            <w:tcW w:w="0" w:type="auto"/>
            <w:vAlign w:val="center"/>
            <w:hideMark/>
          </w:tcPr>
          <w:p w14:paraId="39473F43" w14:textId="77777777" w:rsidR="00000000" w:rsidRDefault="00EE5306">
            <w:pPr>
              <w:spacing w:after="100"/>
              <w:rPr>
                <w:rFonts w:eastAsia="Times New Roman"/>
                <w:sz w:val="20"/>
                <w:szCs w:val="20"/>
              </w:rPr>
            </w:pPr>
          </w:p>
        </w:tc>
        <w:tc>
          <w:tcPr>
            <w:tcW w:w="0" w:type="auto"/>
            <w:vAlign w:val="center"/>
            <w:hideMark/>
          </w:tcPr>
          <w:p w14:paraId="7D52CE98" w14:textId="77777777" w:rsidR="00000000" w:rsidRDefault="00EE5306">
            <w:pPr>
              <w:spacing w:after="100"/>
              <w:rPr>
                <w:rFonts w:eastAsia="Times New Roman"/>
                <w:sz w:val="20"/>
                <w:szCs w:val="20"/>
              </w:rPr>
            </w:pPr>
          </w:p>
        </w:tc>
        <w:tc>
          <w:tcPr>
            <w:tcW w:w="0" w:type="auto"/>
            <w:vAlign w:val="center"/>
            <w:hideMark/>
          </w:tcPr>
          <w:p w14:paraId="6CCC9494" w14:textId="77777777" w:rsidR="00000000" w:rsidRDefault="00EE5306">
            <w:pPr>
              <w:spacing w:after="100"/>
              <w:rPr>
                <w:rFonts w:eastAsia="Times New Roman"/>
                <w:sz w:val="20"/>
                <w:szCs w:val="20"/>
              </w:rPr>
            </w:pPr>
          </w:p>
        </w:tc>
        <w:tc>
          <w:tcPr>
            <w:tcW w:w="0" w:type="auto"/>
            <w:vAlign w:val="center"/>
            <w:hideMark/>
          </w:tcPr>
          <w:p w14:paraId="7F6CD93D" w14:textId="77777777" w:rsidR="00000000" w:rsidRDefault="00EE5306">
            <w:pPr>
              <w:spacing w:after="100"/>
              <w:rPr>
                <w:rFonts w:eastAsia="Times New Roman"/>
                <w:sz w:val="20"/>
                <w:szCs w:val="20"/>
              </w:rPr>
            </w:pPr>
          </w:p>
        </w:tc>
        <w:tc>
          <w:tcPr>
            <w:tcW w:w="0" w:type="auto"/>
            <w:vAlign w:val="center"/>
            <w:hideMark/>
          </w:tcPr>
          <w:p w14:paraId="0DD6F385" w14:textId="77777777" w:rsidR="00000000" w:rsidRDefault="00EE5306">
            <w:pPr>
              <w:spacing w:after="100"/>
              <w:rPr>
                <w:rFonts w:eastAsia="Times New Roman"/>
                <w:sz w:val="20"/>
                <w:szCs w:val="20"/>
              </w:rPr>
            </w:pPr>
          </w:p>
        </w:tc>
        <w:tc>
          <w:tcPr>
            <w:tcW w:w="0" w:type="auto"/>
            <w:vAlign w:val="center"/>
            <w:hideMark/>
          </w:tcPr>
          <w:p w14:paraId="0A49009F" w14:textId="77777777" w:rsidR="00000000" w:rsidRDefault="00EE5306">
            <w:pPr>
              <w:spacing w:after="100"/>
              <w:rPr>
                <w:rFonts w:eastAsia="Times New Roman"/>
                <w:sz w:val="20"/>
                <w:szCs w:val="20"/>
              </w:rPr>
            </w:pPr>
          </w:p>
        </w:tc>
        <w:tc>
          <w:tcPr>
            <w:tcW w:w="0" w:type="auto"/>
            <w:vAlign w:val="center"/>
            <w:hideMark/>
          </w:tcPr>
          <w:p w14:paraId="2DA99C4B" w14:textId="77777777" w:rsidR="00000000" w:rsidRDefault="00EE5306">
            <w:pPr>
              <w:spacing w:after="100"/>
              <w:rPr>
                <w:rFonts w:eastAsia="Times New Roman"/>
                <w:sz w:val="20"/>
                <w:szCs w:val="20"/>
              </w:rPr>
            </w:pPr>
          </w:p>
        </w:tc>
        <w:tc>
          <w:tcPr>
            <w:tcW w:w="0" w:type="auto"/>
            <w:vAlign w:val="center"/>
            <w:hideMark/>
          </w:tcPr>
          <w:p w14:paraId="5EDDBC7D" w14:textId="77777777" w:rsidR="00000000" w:rsidRDefault="00EE5306">
            <w:pPr>
              <w:spacing w:after="100"/>
              <w:rPr>
                <w:rFonts w:eastAsia="Times New Roman"/>
                <w:sz w:val="20"/>
                <w:szCs w:val="20"/>
              </w:rPr>
            </w:pPr>
          </w:p>
        </w:tc>
        <w:tc>
          <w:tcPr>
            <w:tcW w:w="0" w:type="auto"/>
            <w:vAlign w:val="center"/>
            <w:hideMark/>
          </w:tcPr>
          <w:p w14:paraId="7B95000B" w14:textId="77777777" w:rsidR="00000000" w:rsidRDefault="00EE5306">
            <w:pPr>
              <w:spacing w:after="100"/>
              <w:rPr>
                <w:rFonts w:eastAsia="Times New Roman"/>
                <w:sz w:val="20"/>
                <w:szCs w:val="20"/>
              </w:rPr>
            </w:pPr>
          </w:p>
        </w:tc>
        <w:tc>
          <w:tcPr>
            <w:tcW w:w="0" w:type="auto"/>
            <w:vAlign w:val="center"/>
            <w:hideMark/>
          </w:tcPr>
          <w:p w14:paraId="1E2F90C5" w14:textId="77777777" w:rsidR="00000000" w:rsidRDefault="00EE5306">
            <w:pPr>
              <w:spacing w:after="100"/>
              <w:rPr>
                <w:rFonts w:eastAsia="Times New Roman"/>
                <w:sz w:val="20"/>
                <w:szCs w:val="20"/>
              </w:rPr>
            </w:pPr>
          </w:p>
        </w:tc>
        <w:tc>
          <w:tcPr>
            <w:tcW w:w="0" w:type="auto"/>
            <w:vAlign w:val="center"/>
            <w:hideMark/>
          </w:tcPr>
          <w:p w14:paraId="21D1A943" w14:textId="77777777" w:rsidR="00000000" w:rsidRDefault="00EE5306">
            <w:pPr>
              <w:spacing w:after="100"/>
              <w:rPr>
                <w:rFonts w:eastAsia="Times New Roman"/>
                <w:sz w:val="20"/>
                <w:szCs w:val="20"/>
              </w:rPr>
            </w:pPr>
          </w:p>
        </w:tc>
        <w:tc>
          <w:tcPr>
            <w:tcW w:w="0" w:type="auto"/>
            <w:vAlign w:val="center"/>
            <w:hideMark/>
          </w:tcPr>
          <w:p w14:paraId="03574510" w14:textId="77777777" w:rsidR="00000000" w:rsidRDefault="00EE5306">
            <w:pPr>
              <w:spacing w:after="100"/>
              <w:rPr>
                <w:rFonts w:eastAsia="Times New Roman"/>
                <w:sz w:val="20"/>
                <w:szCs w:val="20"/>
              </w:rPr>
            </w:pPr>
          </w:p>
        </w:tc>
        <w:tc>
          <w:tcPr>
            <w:tcW w:w="0" w:type="auto"/>
            <w:vAlign w:val="center"/>
            <w:hideMark/>
          </w:tcPr>
          <w:p w14:paraId="4601227F" w14:textId="77777777" w:rsidR="00000000" w:rsidRDefault="00EE5306">
            <w:pPr>
              <w:spacing w:after="100"/>
              <w:rPr>
                <w:rFonts w:eastAsia="Times New Roman"/>
                <w:sz w:val="20"/>
                <w:szCs w:val="20"/>
              </w:rPr>
            </w:pPr>
          </w:p>
        </w:tc>
        <w:tc>
          <w:tcPr>
            <w:tcW w:w="0" w:type="auto"/>
            <w:vAlign w:val="center"/>
            <w:hideMark/>
          </w:tcPr>
          <w:p w14:paraId="34953801" w14:textId="77777777" w:rsidR="00000000" w:rsidRDefault="00EE5306">
            <w:pPr>
              <w:spacing w:after="100"/>
              <w:rPr>
                <w:rFonts w:eastAsia="Times New Roman"/>
                <w:sz w:val="20"/>
                <w:szCs w:val="20"/>
              </w:rPr>
            </w:pPr>
          </w:p>
        </w:tc>
        <w:tc>
          <w:tcPr>
            <w:tcW w:w="0" w:type="auto"/>
            <w:vAlign w:val="center"/>
            <w:hideMark/>
          </w:tcPr>
          <w:p w14:paraId="5B925E58" w14:textId="77777777" w:rsidR="00000000" w:rsidRDefault="00EE5306">
            <w:pPr>
              <w:spacing w:after="100"/>
              <w:rPr>
                <w:rFonts w:eastAsia="Times New Roman"/>
                <w:sz w:val="20"/>
                <w:szCs w:val="20"/>
              </w:rPr>
            </w:pPr>
          </w:p>
        </w:tc>
        <w:tc>
          <w:tcPr>
            <w:tcW w:w="0" w:type="auto"/>
            <w:vAlign w:val="center"/>
            <w:hideMark/>
          </w:tcPr>
          <w:p w14:paraId="193A49F6" w14:textId="77777777" w:rsidR="00000000" w:rsidRDefault="00EE5306">
            <w:pPr>
              <w:spacing w:after="100"/>
              <w:rPr>
                <w:rFonts w:eastAsia="Times New Roman"/>
                <w:sz w:val="20"/>
                <w:szCs w:val="20"/>
              </w:rPr>
            </w:pPr>
          </w:p>
        </w:tc>
        <w:tc>
          <w:tcPr>
            <w:tcW w:w="0" w:type="auto"/>
            <w:vAlign w:val="center"/>
            <w:hideMark/>
          </w:tcPr>
          <w:p w14:paraId="6C341CBC" w14:textId="77777777" w:rsidR="00000000" w:rsidRDefault="00EE5306">
            <w:pPr>
              <w:spacing w:after="100"/>
              <w:rPr>
                <w:rFonts w:eastAsia="Times New Roman"/>
                <w:sz w:val="20"/>
                <w:szCs w:val="20"/>
              </w:rPr>
            </w:pPr>
          </w:p>
        </w:tc>
        <w:tc>
          <w:tcPr>
            <w:tcW w:w="0" w:type="auto"/>
            <w:vAlign w:val="center"/>
            <w:hideMark/>
          </w:tcPr>
          <w:p w14:paraId="263F453F" w14:textId="77777777" w:rsidR="00000000" w:rsidRDefault="00EE5306">
            <w:pPr>
              <w:spacing w:after="100"/>
              <w:rPr>
                <w:rFonts w:eastAsia="Times New Roman"/>
                <w:sz w:val="20"/>
                <w:szCs w:val="20"/>
              </w:rPr>
            </w:pPr>
          </w:p>
        </w:tc>
        <w:tc>
          <w:tcPr>
            <w:tcW w:w="0" w:type="auto"/>
            <w:vAlign w:val="center"/>
            <w:hideMark/>
          </w:tcPr>
          <w:p w14:paraId="6450398E" w14:textId="77777777" w:rsidR="00000000" w:rsidRDefault="00EE5306">
            <w:pPr>
              <w:spacing w:after="100"/>
              <w:rPr>
                <w:rFonts w:eastAsia="Times New Roman"/>
                <w:sz w:val="20"/>
                <w:szCs w:val="20"/>
              </w:rPr>
            </w:pPr>
          </w:p>
        </w:tc>
        <w:tc>
          <w:tcPr>
            <w:tcW w:w="0" w:type="auto"/>
            <w:vAlign w:val="center"/>
            <w:hideMark/>
          </w:tcPr>
          <w:p w14:paraId="74BCFB36" w14:textId="77777777" w:rsidR="00000000" w:rsidRDefault="00EE5306">
            <w:pPr>
              <w:spacing w:after="100"/>
              <w:rPr>
                <w:rFonts w:eastAsia="Times New Roman"/>
                <w:sz w:val="20"/>
                <w:szCs w:val="20"/>
              </w:rPr>
            </w:pPr>
          </w:p>
        </w:tc>
        <w:tc>
          <w:tcPr>
            <w:tcW w:w="0" w:type="auto"/>
            <w:vAlign w:val="center"/>
            <w:hideMark/>
          </w:tcPr>
          <w:p w14:paraId="10FE45C6" w14:textId="77777777" w:rsidR="00000000" w:rsidRDefault="00EE5306">
            <w:pPr>
              <w:spacing w:after="100"/>
              <w:rPr>
                <w:rFonts w:eastAsia="Times New Roman"/>
                <w:sz w:val="20"/>
                <w:szCs w:val="20"/>
              </w:rPr>
            </w:pPr>
          </w:p>
        </w:tc>
        <w:tc>
          <w:tcPr>
            <w:tcW w:w="0" w:type="auto"/>
            <w:vAlign w:val="center"/>
            <w:hideMark/>
          </w:tcPr>
          <w:p w14:paraId="05C779DA" w14:textId="77777777" w:rsidR="00000000" w:rsidRDefault="00EE5306">
            <w:pPr>
              <w:spacing w:after="100"/>
              <w:rPr>
                <w:rFonts w:eastAsia="Times New Roman"/>
                <w:sz w:val="20"/>
                <w:szCs w:val="20"/>
              </w:rPr>
            </w:pPr>
          </w:p>
        </w:tc>
        <w:tc>
          <w:tcPr>
            <w:tcW w:w="0" w:type="auto"/>
            <w:vAlign w:val="center"/>
            <w:hideMark/>
          </w:tcPr>
          <w:p w14:paraId="509A4728" w14:textId="77777777" w:rsidR="00000000" w:rsidRDefault="00EE5306">
            <w:pPr>
              <w:spacing w:after="100"/>
              <w:rPr>
                <w:rFonts w:eastAsia="Times New Roman"/>
                <w:sz w:val="20"/>
                <w:szCs w:val="20"/>
              </w:rPr>
            </w:pPr>
          </w:p>
        </w:tc>
        <w:tc>
          <w:tcPr>
            <w:tcW w:w="0" w:type="auto"/>
            <w:vAlign w:val="center"/>
            <w:hideMark/>
          </w:tcPr>
          <w:p w14:paraId="49A8B4C1" w14:textId="77777777" w:rsidR="00000000" w:rsidRDefault="00EE5306">
            <w:pPr>
              <w:spacing w:after="100"/>
              <w:rPr>
                <w:rFonts w:eastAsia="Times New Roman"/>
                <w:sz w:val="20"/>
                <w:szCs w:val="20"/>
              </w:rPr>
            </w:pPr>
          </w:p>
        </w:tc>
        <w:tc>
          <w:tcPr>
            <w:tcW w:w="0" w:type="auto"/>
            <w:vAlign w:val="center"/>
            <w:hideMark/>
          </w:tcPr>
          <w:p w14:paraId="682B272E" w14:textId="77777777" w:rsidR="00000000" w:rsidRDefault="00EE5306">
            <w:pPr>
              <w:spacing w:after="100"/>
              <w:rPr>
                <w:rFonts w:eastAsia="Times New Roman"/>
                <w:sz w:val="20"/>
                <w:szCs w:val="20"/>
              </w:rPr>
            </w:pPr>
          </w:p>
        </w:tc>
        <w:tc>
          <w:tcPr>
            <w:tcW w:w="0" w:type="auto"/>
            <w:vAlign w:val="center"/>
            <w:hideMark/>
          </w:tcPr>
          <w:p w14:paraId="5A8AEC19" w14:textId="77777777" w:rsidR="00000000" w:rsidRDefault="00EE5306">
            <w:pPr>
              <w:spacing w:after="100"/>
              <w:rPr>
                <w:rFonts w:eastAsia="Times New Roman"/>
                <w:sz w:val="20"/>
                <w:szCs w:val="20"/>
              </w:rPr>
            </w:pPr>
          </w:p>
        </w:tc>
        <w:tc>
          <w:tcPr>
            <w:tcW w:w="0" w:type="auto"/>
            <w:vAlign w:val="center"/>
            <w:hideMark/>
          </w:tcPr>
          <w:p w14:paraId="1E905380" w14:textId="77777777" w:rsidR="00000000" w:rsidRDefault="00EE5306">
            <w:pPr>
              <w:spacing w:after="100"/>
              <w:rPr>
                <w:rFonts w:eastAsia="Times New Roman"/>
                <w:sz w:val="20"/>
                <w:szCs w:val="20"/>
              </w:rPr>
            </w:pPr>
          </w:p>
        </w:tc>
        <w:tc>
          <w:tcPr>
            <w:tcW w:w="0" w:type="auto"/>
            <w:vAlign w:val="center"/>
            <w:hideMark/>
          </w:tcPr>
          <w:p w14:paraId="21E015DE" w14:textId="77777777" w:rsidR="00000000" w:rsidRDefault="00EE5306">
            <w:pPr>
              <w:spacing w:after="100"/>
              <w:rPr>
                <w:rFonts w:eastAsia="Times New Roman"/>
                <w:sz w:val="20"/>
                <w:szCs w:val="20"/>
              </w:rPr>
            </w:pPr>
          </w:p>
        </w:tc>
        <w:tc>
          <w:tcPr>
            <w:tcW w:w="0" w:type="auto"/>
            <w:vAlign w:val="center"/>
            <w:hideMark/>
          </w:tcPr>
          <w:p w14:paraId="2CB39A40" w14:textId="77777777" w:rsidR="00000000" w:rsidRDefault="00EE5306">
            <w:pPr>
              <w:spacing w:after="100"/>
              <w:rPr>
                <w:rFonts w:eastAsia="Times New Roman"/>
                <w:sz w:val="20"/>
                <w:szCs w:val="20"/>
              </w:rPr>
            </w:pPr>
          </w:p>
        </w:tc>
        <w:tc>
          <w:tcPr>
            <w:tcW w:w="0" w:type="auto"/>
            <w:vAlign w:val="center"/>
            <w:hideMark/>
          </w:tcPr>
          <w:p w14:paraId="0131505C" w14:textId="77777777" w:rsidR="00000000" w:rsidRDefault="00EE5306">
            <w:pPr>
              <w:spacing w:after="100"/>
              <w:rPr>
                <w:rFonts w:eastAsia="Times New Roman"/>
                <w:sz w:val="20"/>
                <w:szCs w:val="20"/>
              </w:rPr>
            </w:pPr>
          </w:p>
        </w:tc>
        <w:tc>
          <w:tcPr>
            <w:tcW w:w="0" w:type="auto"/>
            <w:vAlign w:val="center"/>
            <w:hideMark/>
          </w:tcPr>
          <w:p w14:paraId="5BE49B5B" w14:textId="77777777" w:rsidR="00000000" w:rsidRDefault="00EE5306">
            <w:pPr>
              <w:spacing w:after="100"/>
              <w:rPr>
                <w:rFonts w:eastAsia="Times New Roman"/>
                <w:sz w:val="20"/>
                <w:szCs w:val="20"/>
              </w:rPr>
            </w:pPr>
          </w:p>
        </w:tc>
        <w:tc>
          <w:tcPr>
            <w:tcW w:w="0" w:type="auto"/>
            <w:vAlign w:val="center"/>
            <w:hideMark/>
          </w:tcPr>
          <w:p w14:paraId="6C28EC44" w14:textId="77777777" w:rsidR="00000000" w:rsidRDefault="00EE5306">
            <w:pPr>
              <w:spacing w:after="100"/>
              <w:rPr>
                <w:rFonts w:eastAsia="Times New Roman"/>
                <w:sz w:val="20"/>
                <w:szCs w:val="20"/>
              </w:rPr>
            </w:pPr>
          </w:p>
        </w:tc>
        <w:tc>
          <w:tcPr>
            <w:tcW w:w="0" w:type="auto"/>
            <w:vAlign w:val="center"/>
            <w:hideMark/>
          </w:tcPr>
          <w:p w14:paraId="78FCDBD2" w14:textId="77777777" w:rsidR="00000000" w:rsidRDefault="00EE5306">
            <w:pPr>
              <w:spacing w:after="100"/>
              <w:rPr>
                <w:rFonts w:eastAsia="Times New Roman"/>
                <w:sz w:val="20"/>
                <w:szCs w:val="20"/>
              </w:rPr>
            </w:pPr>
          </w:p>
        </w:tc>
        <w:tc>
          <w:tcPr>
            <w:tcW w:w="0" w:type="auto"/>
            <w:vAlign w:val="center"/>
            <w:hideMark/>
          </w:tcPr>
          <w:p w14:paraId="1789EF84" w14:textId="77777777" w:rsidR="00000000" w:rsidRDefault="00EE5306">
            <w:pPr>
              <w:spacing w:after="100"/>
              <w:rPr>
                <w:rFonts w:eastAsia="Times New Roman"/>
                <w:sz w:val="20"/>
                <w:szCs w:val="20"/>
              </w:rPr>
            </w:pPr>
          </w:p>
        </w:tc>
        <w:tc>
          <w:tcPr>
            <w:tcW w:w="0" w:type="auto"/>
            <w:vAlign w:val="center"/>
            <w:hideMark/>
          </w:tcPr>
          <w:p w14:paraId="21B667E8" w14:textId="77777777" w:rsidR="00000000" w:rsidRDefault="00EE5306">
            <w:pPr>
              <w:spacing w:after="100"/>
              <w:rPr>
                <w:rFonts w:eastAsia="Times New Roman"/>
                <w:sz w:val="20"/>
                <w:szCs w:val="20"/>
              </w:rPr>
            </w:pPr>
          </w:p>
        </w:tc>
        <w:tc>
          <w:tcPr>
            <w:tcW w:w="0" w:type="auto"/>
            <w:vAlign w:val="center"/>
            <w:hideMark/>
          </w:tcPr>
          <w:p w14:paraId="6DBCF7A9" w14:textId="77777777" w:rsidR="00000000" w:rsidRDefault="00EE5306">
            <w:pPr>
              <w:spacing w:after="100"/>
              <w:rPr>
                <w:rFonts w:eastAsia="Times New Roman"/>
                <w:sz w:val="20"/>
                <w:szCs w:val="20"/>
              </w:rPr>
            </w:pPr>
          </w:p>
        </w:tc>
        <w:tc>
          <w:tcPr>
            <w:tcW w:w="0" w:type="auto"/>
            <w:vAlign w:val="center"/>
            <w:hideMark/>
          </w:tcPr>
          <w:p w14:paraId="0575FA12" w14:textId="77777777" w:rsidR="00000000" w:rsidRDefault="00EE5306">
            <w:pPr>
              <w:spacing w:after="100"/>
              <w:rPr>
                <w:rFonts w:eastAsia="Times New Roman"/>
                <w:sz w:val="20"/>
                <w:szCs w:val="20"/>
              </w:rPr>
            </w:pPr>
          </w:p>
        </w:tc>
        <w:tc>
          <w:tcPr>
            <w:tcW w:w="0" w:type="auto"/>
            <w:vAlign w:val="center"/>
            <w:hideMark/>
          </w:tcPr>
          <w:p w14:paraId="1A0738C4" w14:textId="77777777" w:rsidR="00000000" w:rsidRDefault="00EE5306">
            <w:pPr>
              <w:spacing w:after="100"/>
              <w:rPr>
                <w:rFonts w:eastAsia="Times New Roman"/>
                <w:sz w:val="20"/>
                <w:szCs w:val="20"/>
              </w:rPr>
            </w:pPr>
          </w:p>
        </w:tc>
        <w:tc>
          <w:tcPr>
            <w:tcW w:w="0" w:type="auto"/>
            <w:vAlign w:val="center"/>
            <w:hideMark/>
          </w:tcPr>
          <w:p w14:paraId="221981D5" w14:textId="77777777" w:rsidR="00000000" w:rsidRDefault="00EE5306">
            <w:pPr>
              <w:spacing w:after="100"/>
              <w:rPr>
                <w:rFonts w:eastAsia="Times New Roman"/>
                <w:sz w:val="20"/>
                <w:szCs w:val="20"/>
              </w:rPr>
            </w:pPr>
          </w:p>
        </w:tc>
        <w:tc>
          <w:tcPr>
            <w:tcW w:w="0" w:type="auto"/>
            <w:vAlign w:val="center"/>
            <w:hideMark/>
          </w:tcPr>
          <w:p w14:paraId="47969EEC" w14:textId="77777777" w:rsidR="00000000" w:rsidRDefault="00EE5306">
            <w:pPr>
              <w:spacing w:after="100"/>
              <w:rPr>
                <w:rFonts w:eastAsia="Times New Roman"/>
                <w:sz w:val="20"/>
                <w:szCs w:val="20"/>
              </w:rPr>
            </w:pPr>
          </w:p>
        </w:tc>
        <w:tc>
          <w:tcPr>
            <w:tcW w:w="0" w:type="auto"/>
            <w:vAlign w:val="center"/>
            <w:hideMark/>
          </w:tcPr>
          <w:p w14:paraId="785B95B4" w14:textId="77777777" w:rsidR="00000000" w:rsidRDefault="00EE5306">
            <w:pPr>
              <w:spacing w:after="100"/>
              <w:rPr>
                <w:rFonts w:eastAsia="Times New Roman"/>
                <w:sz w:val="20"/>
                <w:szCs w:val="20"/>
              </w:rPr>
            </w:pPr>
          </w:p>
        </w:tc>
        <w:tc>
          <w:tcPr>
            <w:tcW w:w="0" w:type="auto"/>
            <w:vAlign w:val="center"/>
            <w:hideMark/>
          </w:tcPr>
          <w:p w14:paraId="6C8B0FA7" w14:textId="77777777" w:rsidR="00000000" w:rsidRDefault="00EE5306">
            <w:pPr>
              <w:spacing w:after="100"/>
              <w:rPr>
                <w:rFonts w:eastAsia="Times New Roman"/>
                <w:sz w:val="20"/>
                <w:szCs w:val="20"/>
              </w:rPr>
            </w:pPr>
          </w:p>
        </w:tc>
        <w:tc>
          <w:tcPr>
            <w:tcW w:w="0" w:type="auto"/>
            <w:vAlign w:val="center"/>
            <w:hideMark/>
          </w:tcPr>
          <w:p w14:paraId="2DE45DD9" w14:textId="77777777" w:rsidR="00000000" w:rsidRDefault="00EE5306">
            <w:pPr>
              <w:spacing w:after="100"/>
              <w:rPr>
                <w:rFonts w:eastAsia="Times New Roman"/>
                <w:sz w:val="20"/>
                <w:szCs w:val="20"/>
              </w:rPr>
            </w:pPr>
          </w:p>
        </w:tc>
      </w:tr>
      <w:tr w:rsidR="00000000" w14:paraId="79C80178" w14:textId="77777777">
        <w:trPr>
          <w:divId w:val="1605722058"/>
          <w:jc w:val="center"/>
        </w:trPr>
        <w:tc>
          <w:tcPr>
            <w:tcW w:w="0" w:type="auto"/>
            <w:gridSpan w:val="6"/>
            <w:vAlign w:val="center"/>
            <w:hideMark/>
          </w:tcPr>
          <w:p w14:paraId="39B70CBA" w14:textId="77777777" w:rsidR="00000000" w:rsidRDefault="00EE5306">
            <w:pPr>
              <w:spacing w:after="100"/>
              <w:rPr>
                <w:rFonts w:eastAsia="Times New Roman"/>
                <w:sz w:val="20"/>
                <w:szCs w:val="20"/>
              </w:rPr>
            </w:pPr>
          </w:p>
        </w:tc>
        <w:tc>
          <w:tcPr>
            <w:tcW w:w="0" w:type="auto"/>
            <w:gridSpan w:val="3"/>
            <w:vAlign w:val="center"/>
            <w:hideMark/>
          </w:tcPr>
          <w:p w14:paraId="3E701303" w14:textId="77777777" w:rsidR="00000000" w:rsidRDefault="00EE5306">
            <w:pPr>
              <w:spacing w:after="100"/>
              <w:rPr>
                <w:rFonts w:eastAsia="Times New Roman"/>
                <w:sz w:val="20"/>
                <w:szCs w:val="20"/>
              </w:rPr>
            </w:pPr>
          </w:p>
        </w:tc>
        <w:tc>
          <w:tcPr>
            <w:tcW w:w="0" w:type="auto"/>
            <w:gridSpan w:val="3"/>
            <w:vAlign w:val="center"/>
            <w:hideMark/>
          </w:tcPr>
          <w:p w14:paraId="6C9632F4" w14:textId="77777777" w:rsidR="00000000" w:rsidRDefault="00EE5306">
            <w:pPr>
              <w:spacing w:after="100"/>
              <w:rPr>
                <w:rFonts w:eastAsia="Times New Roman"/>
                <w:sz w:val="20"/>
                <w:szCs w:val="20"/>
              </w:rPr>
            </w:pPr>
          </w:p>
        </w:tc>
        <w:tc>
          <w:tcPr>
            <w:tcW w:w="0" w:type="auto"/>
            <w:gridSpan w:val="3"/>
            <w:vAlign w:val="center"/>
            <w:hideMark/>
          </w:tcPr>
          <w:p w14:paraId="592DA4D0" w14:textId="77777777" w:rsidR="00000000" w:rsidRDefault="00EE5306">
            <w:pPr>
              <w:spacing w:after="100"/>
              <w:rPr>
                <w:rFonts w:eastAsia="Times New Roman"/>
                <w:sz w:val="20"/>
                <w:szCs w:val="20"/>
              </w:rPr>
            </w:pPr>
          </w:p>
        </w:tc>
        <w:tc>
          <w:tcPr>
            <w:tcW w:w="0" w:type="auto"/>
            <w:gridSpan w:val="3"/>
            <w:vAlign w:val="center"/>
            <w:hideMark/>
          </w:tcPr>
          <w:p w14:paraId="4718A83D" w14:textId="77777777" w:rsidR="00000000" w:rsidRDefault="00EE5306">
            <w:pPr>
              <w:spacing w:after="100"/>
              <w:rPr>
                <w:rFonts w:eastAsia="Times New Roman"/>
                <w:sz w:val="20"/>
                <w:szCs w:val="20"/>
              </w:rPr>
            </w:pPr>
          </w:p>
        </w:tc>
        <w:tc>
          <w:tcPr>
            <w:tcW w:w="0" w:type="auto"/>
            <w:gridSpan w:val="3"/>
            <w:vAlign w:val="center"/>
            <w:hideMark/>
          </w:tcPr>
          <w:p w14:paraId="17FAFC7C" w14:textId="77777777" w:rsidR="00000000" w:rsidRDefault="00EE5306">
            <w:pPr>
              <w:spacing w:after="100"/>
              <w:rPr>
                <w:rFonts w:eastAsia="Times New Roman"/>
                <w:sz w:val="20"/>
                <w:szCs w:val="20"/>
              </w:rPr>
            </w:pPr>
          </w:p>
        </w:tc>
        <w:tc>
          <w:tcPr>
            <w:tcW w:w="0" w:type="auto"/>
            <w:gridSpan w:val="3"/>
            <w:vAlign w:val="center"/>
            <w:hideMark/>
          </w:tcPr>
          <w:p w14:paraId="12B4F019" w14:textId="77777777" w:rsidR="00000000" w:rsidRDefault="00EE5306">
            <w:pPr>
              <w:spacing w:after="100"/>
              <w:rPr>
                <w:rFonts w:eastAsia="Times New Roman"/>
                <w:sz w:val="20"/>
                <w:szCs w:val="20"/>
              </w:rPr>
            </w:pPr>
          </w:p>
        </w:tc>
        <w:tc>
          <w:tcPr>
            <w:tcW w:w="0" w:type="auto"/>
            <w:gridSpan w:val="3"/>
            <w:vAlign w:val="center"/>
            <w:hideMark/>
          </w:tcPr>
          <w:p w14:paraId="426BBAC3" w14:textId="77777777" w:rsidR="00000000" w:rsidRDefault="00EE5306">
            <w:pPr>
              <w:spacing w:after="100"/>
              <w:rPr>
                <w:rFonts w:eastAsia="Times New Roman"/>
                <w:sz w:val="20"/>
                <w:szCs w:val="20"/>
              </w:rPr>
            </w:pPr>
          </w:p>
        </w:tc>
        <w:tc>
          <w:tcPr>
            <w:tcW w:w="0" w:type="auto"/>
            <w:gridSpan w:val="3"/>
            <w:vAlign w:val="center"/>
            <w:hideMark/>
          </w:tcPr>
          <w:p w14:paraId="39E88FD9" w14:textId="77777777" w:rsidR="00000000" w:rsidRDefault="00EE5306">
            <w:pPr>
              <w:spacing w:after="100"/>
              <w:rPr>
                <w:rFonts w:eastAsia="Times New Roman"/>
                <w:sz w:val="20"/>
                <w:szCs w:val="20"/>
              </w:rPr>
            </w:pPr>
          </w:p>
        </w:tc>
        <w:tc>
          <w:tcPr>
            <w:tcW w:w="0" w:type="auto"/>
            <w:gridSpan w:val="3"/>
            <w:vAlign w:val="center"/>
            <w:hideMark/>
          </w:tcPr>
          <w:p w14:paraId="29E35CD6" w14:textId="77777777" w:rsidR="00000000" w:rsidRDefault="00EE5306">
            <w:pPr>
              <w:spacing w:after="100"/>
              <w:rPr>
                <w:rFonts w:eastAsia="Times New Roman"/>
                <w:sz w:val="20"/>
                <w:szCs w:val="20"/>
              </w:rPr>
            </w:pPr>
          </w:p>
        </w:tc>
        <w:tc>
          <w:tcPr>
            <w:tcW w:w="0" w:type="auto"/>
            <w:gridSpan w:val="3"/>
            <w:vAlign w:val="center"/>
            <w:hideMark/>
          </w:tcPr>
          <w:p w14:paraId="126D51E4" w14:textId="77777777" w:rsidR="00000000" w:rsidRDefault="00EE5306">
            <w:pPr>
              <w:spacing w:after="100"/>
              <w:rPr>
                <w:rFonts w:eastAsia="Times New Roman"/>
                <w:sz w:val="20"/>
                <w:szCs w:val="20"/>
              </w:rPr>
            </w:pPr>
          </w:p>
        </w:tc>
        <w:tc>
          <w:tcPr>
            <w:tcW w:w="0" w:type="auto"/>
            <w:gridSpan w:val="3"/>
            <w:vAlign w:val="center"/>
            <w:hideMark/>
          </w:tcPr>
          <w:p w14:paraId="06EB4AA2" w14:textId="77777777" w:rsidR="00000000" w:rsidRDefault="00EE5306">
            <w:pPr>
              <w:spacing w:after="100"/>
              <w:rPr>
                <w:rFonts w:eastAsia="Times New Roman"/>
                <w:sz w:val="20"/>
                <w:szCs w:val="20"/>
              </w:rPr>
            </w:pPr>
          </w:p>
        </w:tc>
        <w:tc>
          <w:tcPr>
            <w:tcW w:w="0" w:type="auto"/>
            <w:gridSpan w:val="3"/>
            <w:vAlign w:val="center"/>
            <w:hideMark/>
          </w:tcPr>
          <w:p w14:paraId="0B9AE22D" w14:textId="77777777" w:rsidR="00000000" w:rsidRDefault="00EE5306">
            <w:pPr>
              <w:spacing w:after="100"/>
              <w:rPr>
                <w:rFonts w:eastAsia="Times New Roman"/>
                <w:sz w:val="20"/>
                <w:szCs w:val="20"/>
              </w:rPr>
            </w:pPr>
          </w:p>
        </w:tc>
        <w:tc>
          <w:tcPr>
            <w:tcW w:w="0" w:type="auto"/>
            <w:gridSpan w:val="3"/>
            <w:vAlign w:val="center"/>
            <w:hideMark/>
          </w:tcPr>
          <w:p w14:paraId="4FE38A19" w14:textId="77777777" w:rsidR="00000000" w:rsidRDefault="00EE5306">
            <w:pPr>
              <w:spacing w:after="100"/>
              <w:rPr>
                <w:rFonts w:eastAsia="Times New Roman"/>
                <w:sz w:val="20"/>
                <w:szCs w:val="20"/>
              </w:rPr>
            </w:pPr>
          </w:p>
        </w:tc>
        <w:tc>
          <w:tcPr>
            <w:tcW w:w="0" w:type="auto"/>
            <w:gridSpan w:val="3"/>
            <w:vAlign w:val="center"/>
            <w:hideMark/>
          </w:tcPr>
          <w:p w14:paraId="6735D24C" w14:textId="77777777" w:rsidR="00000000" w:rsidRDefault="00EE5306">
            <w:pPr>
              <w:spacing w:after="100"/>
              <w:rPr>
                <w:rFonts w:eastAsia="Times New Roman"/>
                <w:sz w:val="20"/>
                <w:szCs w:val="20"/>
              </w:rPr>
            </w:pPr>
          </w:p>
        </w:tc>
        <w:tc>
          <w:tcPr>
            <w:tcW w:w="0" w:type="auto"/>
            <w:gridSpan w:val="3"/>
            <w:vAlign w:val="center"/>
            <w:hideMark/>
          </w:tcPr>
          <w:p w14:paraId="16D1990F" w14:textId="77777777" w:rsidR="00000000" w:rsidRDefault="00EE5306">
            <w:pPr>
              <w:spacing w:after="100"/>
              <w:rPr>
                <w:rFonts w:eastAsia="Times New Roman"/>
                <w:sz w:val="20"/>
                <w:szCs w:val="20"/>
              </w:rPr>
            </w:pPr>
          </w:p>
        </w:tc>
        <w:tc>
          <w:tcPr>
            <w:tcW w:w="0" w:type="auto"/>
            <w:gridSpan w:val="3"/>
            <w:vAlign w:val="center"/>
            <w:hideMark/>
          </w:tcPr>
          <w:p w14:paraId="01E99A10" w14:textId="77777777" w:rsidR="00000000" w:rsidRDefault="00EE5306">
            <w:pPr>
              <w:spacing w:after="100"/>
              <w:rPr>
                <w:rFonts w:eastAsia="Times New Roman"/>
                <w:sz w:val="20"/>
                <w:szCs w:val="20"/>
              </w:rPr>
            </w:pPr>
          </w:p>
        </w:tc>
      </w:tr>
      <w:tr w:rsidR="00000000" w14:paraId="0D54ABAB" w14:textId="77777777">
        <w:trPr>
          <w:divId w:val="1605722058"/>
          <w:jc w:val="center"/>
        </w:trPr>
        <w:tc>
          <w:tcPr>
            <w:tcW w:w="0" w:type="auto"/>
            <w:gridSpan w:val="6"/>
            <w:tcMar>
              <w:top w:w="0" w:type="dxa"/>
              <w:left w:w="20" w:type="dxa"/>
              <w:bottom w:w="0" w:type="dxa"/>
              <w:right w:w="20" w:type="dxa"/>
            </w:tcMar>
            <w:vAlign w:val="center"/>
            <w:hideMark/>
          </w:tcPr>
          <w:p w14:paraId="08ED5881"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68F34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4AB1C8"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931335"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54B20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3E348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B71AFD3" w14:textId="77777777" w:rsidR="00000000" w:rsidRDefault="00EE5306">
            <w:pPr>
              <w:spacing w:after="100"/>
              <w:jc w:val="center"/>
              <w:rPr>
                <w:rFonts w:eastAsia="Times New Roman"/>
              </w:rPr>
            </w:pPr>
            <w:r>
              <w:rPr>
                <w:rFonts w:eastAsia="Times New Roman"/>
                <w:b/>
                <w:bCs/>
                <w:color w:val="000000"/>
                <w:sz w:val="15"/>
                <w:szCs w:val="15"/>
              </w:rPr>
              <w:t>Additional</w:t>
            </w:r>
          </w:p>
        </w:tc>
        <w:tc>
          <w:tcPr>
            <w:tcW w:w="0" w:type="auto"/>
            <w:gridSpan w:val="3"/>
            <w:tcMar>
              <w:top w:w="0" w:type="dxa"/>
              <w:left w:w="20" w:type="dxa"/>
              <w:bottom w:w="0" w:type="dxa"/>
              <w:right w:w="20" w:type="dxa"/>
            </w:tcMar>
            <w:vAlign w:val="center"/>
            <w:hideMark/>
          </w:tcPr>
          <w:p w14:paraId="537325DE"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3808500"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7B122F"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0759654" w14:textId="77777777" w:rsidR="00000000" w:rsidRDefault="00EE5306">
            <w:pPr>
              <w:spacing w:after="100"/>
              <w:jc w:val="center"/>
              <w:rPr>
                <w:rFonts w:eastAsia="Times New Roman"/>
              </w:rPr>
            </w:pPr>
            <w:r>
              <w:rPr>
                <w:rFonts w:eastAsia="Times New Roman"/>
                <w:b/>
                <w:bCs/>
                <w:color w:val="000000"/>
                <w:sz w:val="15"/>
                <w:szCs w:val="15"/>
              </w:rPr>
              <w:t xml:space="preserve">Treasury Stock </w:t>
            </w:r>
          </w:p>
        </w:tc>
        <w:tc>
          <w:tcPr>
            <w:tcW w:w="0" w:type="auto"/>
            <w:gridSpan w:val="3"/>
            <w:tcMar>
              <w:top w:w="0" w:type="dxa"/>
              <w:left w:w="20" w:type="dxa"/>
              <w:bottom w:w="0" w:type="dxa"/>
              <w:right w:w="20" w:type="dxa"/>
            </w:tcMar>
            <w:vAlign w:val="center"/>
            <w:hideMark/>
          </w:tcPr>
          <w:p w14:paraId="2A14D4BB"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C31D6F5"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106AB8"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DAD61B" w14:textId="77777777" w:rsidR="00000000" w:rsidRDefault="00EE5306">
            <w:pPr>
              <w:spacing w:after="100"/>
              <w:rPr>
                <w:rFonts w:eastAsia="Times New Roman"/>
                <w:sz w:val="20"/>
                <w:szCs w:val="20"/>
              </w:rPr>
            </w:pPr>
          </w:p>
        </w:tc>
      </w:tr>
      <w:tr w:rsidR="00000000" w14:paraId="7C02984F" w14:textId="77777777">
        <w:trPr>
          <w:divId w:val="1605722058"/>
          <w:jc w:val="center"/>
        </w:trPr>
        <w:tc>
          <w:tcPr>
            <w:tcW w:w="0" w:type="auto"/>
            <w:gridSpan w:val="6"/>
            <w:tcMar>
              <w:top w:w="0" w:type="dxa"/>
              <w:left w:w="20" w:type="dxa"/>
              <w:bottom w:w="0" w:type="dxa"/>
              <w:right w:w="20" w:type="dxa"/>
            </w:tcMar>
            <w:vAlign w:val="center"/>
            <w:hideMark/>
          </w:tcPr>
          <w:p w14:paraId="044A7B25"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62DA83"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365A38A" w14:textId="77777777" w:rsidR="00000000" w:rsidRDefault="00EE5306">
            <w:pPr>
              <w:spacing w:after="100"/>
              <w:jc w:val="center"/>
              <w:rPr>
                <w:rFonts w:eastAsia="Times New Roman"/>
              </w:rPr>
            </w:pPr>
            <w:r>
              <w:rPr>
                <w:rFonts w:eastAsia="Times New Roman"/>
                <w:b/>
                <w:bCs/>
                <w:color w:val="000000"/>
                <w:sz w:val="15"/>
                <w:szCs w:val="15"/>
              </w:rPr>
              <w:t>Common Stoc</w:t>
            </w:r>
            <w:r>
              <w:rPr>
                <w:rFonts w:eastAsia="Times New Roman"/>
                <w:b/>
                <w:bCs/>
                <w:color w:val="000000"/>
                <w:sz w:val="15"/>
                <w:szCs w:val="15"/>
              </w:rPr>
              <w:t>k</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2D3FB7B5"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7754AD" w14:textId="77777777" w:rsidR="00000000" w:rsidRDefault="00EE5306">
            <w:pPr>
              <w:spacing w:after="100"/>
              <w:jc w:val="center"/>
              <w:rPr>
                <w:rFonts w:eastAsia="Times New Roman"/>
              </w:rPr>
            </w:pPr>
            <w:r>
              <w:rPr>
                <w:rFonts w:eastAsia="Times New Roman"/>
                <w:b/>
                <w:bCs/>
                <w:color w:val="000000"/>
                <w:sz w:val="15"/>
                <w:szCs w:val="15"/>
              </w:rPr>
              <w:t>Paid-in</w:t>
            </w:r>
          </w:p>
        </w:tc>
        <w:tc>
          <w:tcPr>
            <w:tcW w:w="0" w:type="auto"/>
            <w:gridSpan w:val="3"/>
            <w:tcMar>
              <w:top w:w="0" w:type="dxa"/>
              <w:left w:w="20" w:type="dxa"/>
              <w:bottom w:w="0" w:type="dxa"/>
              <w:right w:w="20" w:type="dxa"/>
            </w:tcMar>
            <w:vAlign w:val="center"/>
            <w:hideMark/>
          </w:tcPr>
          <w:p w14:paraId="7CF833FB"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EF1ACC" w14:textId="77777777" w:rsidR="00000000" w:rsidRDefault="00EE5306">
            <w:pPr>
              <w:spacing w:after="100"/>
              <w:jc w:val="center"/>
              <w:rPr>
                <w:rFonts w:eastAsia="Times New Roman"/>
              </w:rPr>
            </w:pPr>
            <w:r>
              <w:rPr>
                <w:rFonts w:eastAsia="Times New Roman"/>
                <w:b/>
                <w:bCs/>
                <w:color w:val="000000"/>
                <w:sz w:val="15"/>
                <w:szCs w:val="15"/>
              </w:rPr>
              <w:t>Retained</w:t>
            </w:r>
          </w:p>
        </w:tc>
        <w:tc>
          <w:tcPr>
            <w:tcW w:w="0" w:type="auto"/>
            <w:gridSpan w:val="3"/>
            <w:tcMar>
              <w:top w:w="0" w:type="dxa"/>
              <w:left w:w="20" w:type="dxa"/>
              <w:bottom w:w="0" w:type="dxa"/>
              <w:right w:w="20" w:type="dxa"/>
            </w:tcMar>
            <w:vAlign w:val="center"/>
            <w:hideMark/>
          </w:tcPr>
          <w:p w14:paraId="67E3D7CD" w14:textId="77777777" w:rsidR="00000000" w:rsidRDefault="00EE530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ADACF8E" w14:textId="77777777" w:rsidR="00000000" w:rsidRDefault="00EE5306">
            <w:pPr>
              <w:spacing w:after="100"/>
              <w:jc w:val="center"/>
              <w:rPr>
                <w:rFonts w:eastAsia="Times New Roman"/>
              </w:rPr>
            </w:pPr>
            <w:r>
              <w:rPr>
                <w:rFonts w:eastAsia="Times New Roman"/>
                <w:b/>
                <w:bCs/>
                <w:color w:val="000000"/>
                <w:sz w:val="15"/>
                <w:szCs w:val="15"/>
              </w:rPr>
              <w:t>at Cost</w:t>
            </w:r>
          </w:p>
        </w:tc>
        <w:tc>
          <w:tcPr>
            <w:tcW w:w="0" w:type="auto"/>
            <w:gridSpan w:val="3"/>
            <w:tcMar>
              <w:top w:w="0" w:type="dxa"/>
              <w:left w:w="20" w:type="dxa"/>
              <w:bottom w:w="0" w:type="dxa"/>
              <w:right w:w="20" w:type="dxa"/>
            </w:tcMar>
            <w:vAlign w:val="center"/>
            <w:hideMark/>
          </w:tcPr>
          <w:p w14:paraId="27594CA2"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7DDB8B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044AD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FB774A4" w14:textId="77777777" w:rsidR="00000000" w:rsidRDefault="00EE5306">
            <w:pPr>
              <w:spacing w:after="100"/>
              <w:jc w:val="center"/>
              <w:rPr>
                <w:rFonts w:eastAsia="Times New Roman"/>
              </w:rPr>
            </w:pPr>
            <w:r>
              <w:rPr>
                <w:rFonts w:eastAsia="Times New Roman"/>
                <w:b/>
                <w:bCs/>
                <w:color w:val="000000"/>
                <w:sz w:val="15"/>
                <w:szCs w:val="15"/>
              </w:rPr>
              <w:t>Total</w:t>
            </w:r>
          </w:p>
        </w:tc>
      </w:tr>
      <w:tr w:rsidR="00000000" w14:paraId="771635A3" w14:textId="77777777">
        <w:trPr>
          <w:divId w:val="1605722058"/>
          <w:jc w:val="center"/>
        </w:trPr>
        <w:tc>
          <w:tcPr>
            <w:tcW w:w="0" w:type="auto"/>
            <w:gridSpan w:val="6"/>
            <w:tcMar>
              <w:top w:w="0" w:type="dxa"/>
              <w:left w:w="20" w:type="dxa"/>
              <w:bottom w:w="0" w:type="dxa"/>
              <w:right w:w="20" w:type="dxa"/>
            </w:tcMar>
            <w:vAlign w:val="center"/>
            <w:hideMark/>
          </w:tcPr>
          <w:p w14:paraId="0A9A0983"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26B8EFA"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358E2FE" w14:textId="77777777" w:rsidR="00000000" w:rsidRDefault="00EE5306">
            <w:pPr>
              <w:spacing w:after="100"/>
              <w:jc w:val="center"/>
              <w:rPr>
                <w:rFonts w:eastAsia="Times New Roman"/>
              </w:rPr>
            </w:pPr>
            <w:r>
              <w:rPr>
                <w:rFonts w:eastAsia="Times New Roman"/>
                <w:b/>
                <w:bCs/>
                <w:color w:val="000000"/>
                <w:sz w:val="15"/>
                <w:szCs w:val="15"/>
              </w:rPr>
              <w:t>Shares</w:t>
            </w:r>
          </w:p>
        </w:tc>
        <w:tc>
          <w:tcPr>
            <w:tcW w:w="0" w:type="auto"/>
            <w:gridSpan w:val="3"/>
            <w:tcBorders>
              <w:top w:val="single" w:sz="8" w:space="0" w:color="000000"/>
            </w:tcBorders>
            <w:tcMar>
              <w:top w:w="0" w:type="dxa"/>
              <w:left w:w="20" w:type="dxa"/>
              <w:bottom w:w="0" w:type="dxa"/>
              <w:right w:w="20" w:type="dxa"/>
            </w:tcMar>
            <w:vAlign w:val="center"/>
            <w:hideMark/>
          </w:tcPr>
          <w:p w14:paraId="0408D968"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8927EC" w14:textId="77777777" w:rsidR="00000000" w:rsidRDefault="00EE5306">
            <w:pPr>
              <w:spacing w:after="100"/>
              <w:jc w:val="center"/>
              <w:rPr>
                <w:rFonts w:eastAsia="Times New Roman"/>
              </w:rPr>
            </w:pPr>
            <w:r>
              <w:rPr>
                <w:rFonts w:eastAsia="Times New Roman"/>
                <w:b/>
                <w:bCs/>
                <w:color w:val="000000"/>
                <w:sz w:val="15"/>
                <w:szCs w:val="15"/>
              </w:rPr>
              <w:t>Amount</w:t>
            </w:r>
          </w:p>
        </w:tc>
        <w:tc>
          <w:tcPr>
            <w:tcW w:w="0" w:type="auto"/>
            <w:gridSpan w:val="3"/>
            <w:tcMar>
              <w:top w:w="0" w:type="dxa"/>
              <w:left w:w="20" w:type="dxa"/>
              <w:bottom w:w="0" w:type="dxa"/>
              <w:right w:w="20" w:type="dxa"/>
            </w:tcMar>
            <w:vAlign w:val="center"/>
            <w:hideMark/>
          </w:tcPr>
          <w:p w14:paraId="42CD6AF7"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D8D6497" w14:textId="77777777" w:rsidR="00000000" w:rsidRDefault="00EE5306">
            <w:pPr>
              <w:spacing w:after="100"/>
              <w:jc w:val="center"/>
              <w:rPr>
                <w:rFonts w:eastAsia="Times New Roman"/>
              </w:rPr>
            </w:pPr>
            <w:r>
              <w:rPr>
                <w:rFonts w:eastAsia="Times New Roman"/>
                <w:b/>
                <w:bCs/>
                <w:color w:val="000000"/>
                <w:sz w:val="15"/>
                <w:szCs w:val="15"/>
              </w:rPr>
              <w:t>Capital</w:t>
            </w:r>
          </w:p>
        </w:tc>
        <w:tc>
          <w:tcPr>
            <w:tcW w:w="0" w:type="auto"/>
            <w:gridSpan w:val="3"/>
            <w:tcMar>
              <w:top w:w="0" w:type="dxa"/>
              <w:left w:w="20" w:type="dxa"/>
              <w:bottom w:w="0" w:type="dxa"/>
              <w:right w:w="20" w:type="dxa"/>
            </w:tcMar>
            <w:vAlign w:val="center"/>
            <w:hideMark/>
          </w:tcPr>
          <w:p w14:paraId="1458CD0D"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DBF172F" w14:textId="77777777" w:rsidR="00000000" w:rsidRDefault="00EE5306">
            <w:pPr>
              <w:spacing w:after="100"/>
              <w:jc w:val="center"/>
              <w:rPr>
                <w:rFonts w:eastAsia="Times New Roman"/>
              </w:rPr>
            </w:pPr>
            <w:r>
              <w:rPr>
                <w:rFonts w:eastAsia="Times New Roman"/>
                <w:b/>
                <w:bCs/>
                <w:color w:val="000000"/>
                <w:sz w:val="15"/>
                <w:szCs w:val="15"/>
              </w:rPr>
              <w:t>Earnings</w:t>
            </w:r>
          </w:p>
        </w:tc>
        <w:tc>
          <w:tcPr>
            <w:tcW w:w="0" w:type="auto"/>
            <w:gridSpan w:val="3"/>
            <w:tcMar>
              <w:top w:w="0" w:type="dxa"/>
              <w:left w:w="20" w:type="dxa"/>
              <w:bottom w:w="0" w:type="dxa"/>
              <w:right w:w="20" w:type="dxa"/>
            </w:tcMar>
            <w:vAlign w:val="center"/>
            <w:hideMark/>
          </w:tcPr>
          <w:p w14:paraId="16E9270A"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98B709F" w14:textId="77777777" w:rsidR="00000000" w:rsidRDefault="00EE5306">
            <w:pPr>
              <w:spacing w:after="100"/>
              <w:jc w:val="center"/>
              <w:rPr>
                <w:rFonts w:eastAsia="Times New Roman"/>
              </w:rPr>
            </w:pPr>
            <w:r>
              <w:rPr>
                <w:rFonts w:eastAsia="Times New Roman"/>
                <w:b/>
                <w:bCs/>
                <w:color w:val="000000"/>
                <w:sz w:val="15"/>
                <w:szCs w:val="15"/>
              </w:rPr>
              <w:t>Shares</w:t>
            </w:r>
          </w:p>
        </w:tc>
        <w:tc>
          <w:tcPr>
            <w:tcW w:w="0" w:type="auto"/>
            <w:gridSpan w:val="3"/>
            <w:tcBorders>
              <w:top w:val="single" w:sz="8" w:space="0" w:color="000000"/>
            </w:tcBorders>
            <w:tcMar>
              <w:top w:w="0" w:type="dxa"/>
              <w:left w:w="20" w:type="dxa"/>
              <w:bottom w:w="0" w:type="dxa"/>
              <w:right w:w="20" w:type="dxa"/>
            </w:tcMar>
            <w:vAlign w:val="center"/>
            <w:hideMark/>
          </w:tcPr>
          <w:p w14:paraId="456C29E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9047DA" w14:textId="77777777" w:rsidR="00000000" w:rsidRDefault="00EE5306">
            <w:pPr>
              <w:spacing w:after="100"/>
              <w:jc w:val="center"/>
              <w:rPr>
                <w:rFonts w:eastAsia="Times New Roman"/>
              </w:rPr>
            </w:pPr>
            <w:r>
              <w:rPr>
                <w:rFonts w:eastAsia="Times New Roman"/>
                <w:b/>
                <w:bCs/>
                <w:color w:val="000000"/>
                <w:sz w:val="15"/>
                <w:szCs w:val="15"/>
              </w:rPr>
              <w:t>Amount</w:t>
            </w:r>
          </w:p>
        </w:tc>
        <w:tc>
          <w:tcPr>
            <w:tcW w:w="0" w:type="auto"/>
            <w:gridSpan w:val="3"/>
            <w:tcMar>
              <w:top w:w="0" w:type="dxa"/>
              <w:left w:w="20" w:type="dxa"/>
              <w:bottom w:w="0" w:type="dxa"/>
              <w:right w:w="20" w:type="dxa"/>
            </w:tcMar>
            <w:vAlign w:val="center"/>
            <w:hideMark/>
          </w:tcPr>
          <w:p w14:paraId="7721543A"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4A933B3" w14:textId="77777777" w:rsidR="00000000" w:rsidRDefault="00EE5306">
            <w:pPr>
              <w:spacing w:after="100"/>
              <w:jc w:val="center"/>
              <w:rPr>
                <w:rFonts w:eastAsia="Times New Roman"/>
              </w:rPr>
            </w:pPr>
            <w:r>
              <w:rPr>
                <w:rFonts w:eastAsia="Times New Roman"/>
                <w:b/>
                <w:bCs/>
                <w:color w:val="000000"/>
                <w:sz w:val="15"/>
                <w:szCs w:val="15"/>
              </w:rPr>
              <w:t>AOC</w:t>
            </w:r>
            <w:r>
              <w:rPr>
                <w:rFonts w:eastAsia="Times New Roman"/>
                <w:b/>
                <w:bCs/>
                <w:color w:val="000000"/>
                <w:sz w:val="15"/>
                <w:szCs w:val="15"/>
              </w:rPr>
              <w:t>I</w:t>
            </w:r>
            <w:r>
              <w:rPr>
                <w:rFonts w:eastAsia="Times New Roman"/>
                <w:b/>
                <w:bCs/>
                <w:color w:val="000000"/>
                <w:sz w:val="10"/>
                <w:szCs w:val="10"/>
              </w:rPr>
              <w:t>(b</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7A3132F7"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C7D1EDF" w14:textId="77777777" w:rsidR="00000000" w:rsidRDefault="00EE5306">
            <w:pPr>
              <w:spacing w:after="100"/>
              <w:jc w:val="center"/>
              <w:rPr>
                <w:rFonts w:eastAsia="Times New Roman"/>
              </w:rPr>
            </w:pPr>
            <w:r>
              <w:rPr>
                <w:rFonts w:eastAsia="Times New Roman"/>
                <w:b/>
                <w:bCs/>
                <w:color w:val="000000"/>
                <w:sz w:val="15"/>
                <w:szCs w:val="15"/>
              </w:rPr>
              <w:t>Equity</w:t>
            </w:r>
          </w:p>
        </w:tc>
      </w:tr>
      <w:tr w:rsidR="00000000" w14:paraId="13F0F9BE" w14:textId="77777777">
        <w:trPr>
          <w:divId w:val="1605722058"/>
          <w:jc w:val="center"/>
        </w:trPr>
        <w:tc>
          <w:tcPr>
            <w:tcW w:w="0" w:type="auto"/>
            <w:gridSpan w:val="6"/>
            <w:tcMar>
              <w:top w:w="0" w:type="dxa"/>
              <w:left w:w="20" w:type="dxa"/>
              <w:bottom w:w="0" w:type="dxa"/>
              <w:right w:w="20" w:type="dxa"/>
            </w:tcMar>
            <w:vAlign w:val="center"/>
            <w:hideMark/>
          </w:tcPr>
          <w:p w14:paraId="2A14AC3F"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620B471" w14:textId="77777777" w:rsidR="00000000" w:rsidRDefault="00EE5306">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14:paraId="5FB73ECC" w14:textId="77777777" w:rsidR="00000000" w:rsidRDefault="00EE5306">
            <w:pPr>
              <w:spacing w:after="100"/>
              <w:jc w:val="center"/>
              <w:rPr>
                <w:rFonts w:eastAsia="Times New Roman"/>
              </w:rPr>
            </w:pPr>
            <w:r>
              <w:rPr>
                <w:rFonts w:eastAsia="Times New Roman"/>
                <w:b/>
                <w:bCs/>
                <w:color w:val="000000"/>
                <w:sz w:val="15"/>
                <w:szCs w:val="15"/>
              </w:rPr>
              <w:t>(millions)</w:t>
            </w:r>
          </w:p>
        </w:tc>
      </w:tr>
      <w:tr w:rsidR="00EE5306" w14:paraId="0C414E38" w14:textId="77777777">
        <w:trPr>
          <w:divId w:val="1605722058"/>
          <w:jc w:val="center"/>
        </w:trPr>
        <w:tc>
          <w:tcPr>
            <w:tcW w:w="0" w:type="auto"/>
            <w:gridSpan w:val="6"/>
            <w:shd w:val="clear" w:color="auto" w:fill="CCEEFF"/>
            <w:tcMar>
              <w:top w:w="30" w:type="dxa"/>
              <w:left w:w="20" w:type="dxa"/>
              <w:bottom w:w="30" w:type="dxa"/>
              <w:right w:w="20" w:type="dxa"/>
            </w:tcMar>
            <w:vAlign w:val="bottom"/>
            <w:hideMark/>
          </w:tcPr>
          <w:p w14:paraId="1EA9BB80" w14:textId="77777777" w:rsidR="00000000" w:rsidRDefault="00EE5306">
            <w:pPr>
              <w:spacing w:after="100"/>
              <w:divId w:val="544634753"/>
              <w:rPr>
                <w:rFonts w:eastAsia="Times New Roman"/>
              </w:rPr>
            </w:pPr>
            <w:r>
              <w:rPr>
                <w:rFonts w:eastAsia="Times New Roman"/>
                <w:b/>
                <w:bCs/>
                <w:color w:val="000000"/>
                <w:sz w:val="18"/>
                <w:szCs w:val="18"/>
              </w:rPr>
              <w:t>Balance at March 31, 2018</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14:paraId="708AF04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316270" w14:textId="77777777" w:rsidR="00000000" w:rsidRDefault="00EE5306">
            <w:pPr>
              <w:spacing w:after="100"/>
              <w:jc w:val="right"/>
              <w:rPr>
                <w:rFonts w:eastAsia="Times New Roman"/>
              </w:rPr>
            </w:pPr>
            <w:r>
              <w:rPr>
                <w:rFonts w:eastAsia="Times New Roman"/>
                <w:color w:val="000000"/>
                <w:sz w:val="16"/>
                <w:szCs w:val="16"/>
              </w:rPr>
              <w:t>127.9 </w:t>
            </w:r>
          </w:p>
        </w:tc>
        <w:tc>
          <w:tcPr>
            <w:tcW w:w="0" w:type="auto"/>
            <w:shd w:val="clear" w:color="auto" w:fill="CCEEFF"/>
            <w:tcMar>
              <w:top w:w="30" w:type="dxa"/>
              <w:left w:w="0" w:type="dxa"/>
              <w:bottom w:w="30" w:type="dxa"/>
              <w:right w:w="20" w:type="dxa"/>
            </w:tcMar>
            <w:vAlign w:val="bottom"/>
            <w:hideMark/>
          </w:tcPr>
          <w:p w14:paraId="0A9A197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F953D"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9D290A"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A3C4358" w14:textId="77777777" w:rsidR="00000000" w:rsidRDefault="00EE5306">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14:paraId="34F0513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8D1C6"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445926"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B1CAD77" w14:textId="77777777" w:rsidR="00000000" w:rsidRDefault="00EE5306">
            <w:pPr>
              <w:spacing w:after="100"/>
              <w:jc w:val="right"/>
              <w:rPr>
                <w:rFonts w:eastAsia="Times New Roman"/>
              </w:rPr>
            </w:pPr>
            <w:r>
              <w:rPr>
                <w:rFonts w:eastAsia="Times New Roman"/>
                <w:color w:val="000000"/>
                <w:sz w:val="16"/>
                <w:szCs w:val="16"/>
              </w:rPr>
              <w:t>2,383.4 </w:t>
            </w:r>
          </w:p>
        </w:tc>
        <w:tc>
          <w:tcPr>
            <w:tcW w:w="0" w:type="auto"/>
            <w:shd w:val="clear" w:color="auto" w:fill="CCEEFF"/>
            <w:tcMar>
              <w:top w:w="30" w:type="dxa"/>
              <w:left w:w="0" w:type="dxa"/>
              <w:bottom w:w="30" w:type="dxa"/>
              <w:right w:w="20" w:type="dxa"/>
            </w:tcMar>
            <w:vAlign w:val="bottom"/>
            <w:hideMark/>
          </w:tcPr>
          <w:p w14:paraId="1637BAF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B5889"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506753"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8988FD4" w14:textId="77777777" w:rsidR="00000000" w:rsidRDefault="00EE5306">
            <w:pPr>
              <w:spacing w:after="100"/>
              <w:jc w:val="right"/>
              <w:rPr>
                <w:rFonts w:eastAsia="Times New Roman"/>
              </w:rPr>
            </w:pPr>
            <w:r>
              <w:rPr>
                <w:rFonts w:eastAsia="Times New Roman"/>
                <w:color w:val="000000"/>
                <w:sz w:val="16"/>
                <w:szCs w:val="16"/>
              </w:rPr>
              <w:t>5,752.2 </w:t>
            </w:r>
          </w:p>
        </w:tc>
        <w:tc>
          <w:tcPr>
            <w:tcW w:w="0" w:type="auto"/>
            <w:shd w:val="clear" w:color="auto" w:fill="CCEEFF"/>
            <w:tcMar>
              <w:top w:w="30" w:type="dxa"/>
              <w:left w:w="0" w:type="dxa"/>
              <w:bottom w:w="30" w:type="dxa"/>
              <w:right w:w="20" w:type="dxa"/>
            </w:tcMar>
            <w:vAlign w:val="bottom"/>
            <w:hideMark/>
          </w:tcPr>
          <w:p w14:paraId="1FD2861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F048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0DCFFD" w14:textId="77777777" w:rsidR="00000000" w:rsidRDefault="00EE5306">
            <w:pPr>
              <w:spacing w:after="100"/>
              <w:jc w:val="right"/>
              <w:rPr>
                <w:rFonts w:eastAsia="Times New Roman"/>
              </w:rPr>
            </w:pPr>
            <w:r>
              <w:rPr>
                <w:rFonts w:eastAsia="Times New Roman"/>
                <w:color w:val="000000"/>
                <w:sz w:val="16"/>
                <w:szCs w:val="16"/>
              </w:rPr>
              <w:t>46.6 </w:t>
            </w:r>
          </w:p>
        </w:tc>
        <w:tc>
          <w:tcPr>
            <w:tcW w:w="0" w:type="auto"/>
            <w:shd w:val="clear" w:color="auto" w:fill="CCEEFF"/>
            <w:tcMar>
              <w:top w:w="30" w:type="dxa"/>
              <w:left w:w="0" w:type="dxa"/>
              <w:bottom w:w="30" w:type="dxa"/>
              <w:right w:w="20" w:type="dxa"/>
            </w:tcMar>
            <w:vAlign w:val="bottom"/>
            <w:hideMark/>
          </w:tcPr>
          <w:p w14:paraId="6CF0FD0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86A8E"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8CC897"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CF81E33" w14:textId="77777777" w:rsidR="00000000" w:rsidRDefault="00EE5306">
            <w:pPr>
              <w:spacing w:after="100"/>
              <w:jc w:val="right"/>
              <w:rPr>
                <w:rFonts w:eastAsia="Times New Roman"/>
              </w:rPr>
            </w:pPr>
            <w:r>
              <w:rPr>
                <w:rFonts w:eastAsia="Times New Roman"/>
                <w:color w:val="000000"/>
                <w:sz w:val="16"/>
                <w:szCs w:val="16"/>
              </w:rPr>
              <w:t>(4,581.0)</w:t>
            </w:r>
          </w:p>
        </w:tc>
        <w:tc>
          <w:tcPr>
            <w:tcW w:w="0" w:type="auto"/>
            <w:shd w:val="clear" w:color="auto" w:fill="CCEEFF"/>
            <w:tcMar>
              <w:top w:w="30" w:type="dxa"/>
              <w:left w:w="0" w:type="dxa"/>
              <w:bottom w:w="30" w:type="dxa"/>
              <w:right w:w="20" w:type="dxa"/>
            </w:tcMar>
            <w:vAlign w:val="bottom"/>
            <w:hideMark/>
          </w:tcPr>
          <w:p w14:paraId="45AB601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26331"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F42CE9"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E6BC5E0" w14:textId="77777777" w:rsidR="00000000" w:rsidRDefault="00EE5306">
            <w:pPr>
              <w:spacing w:after="100"/>
              <w:jc w:val="right"/>
              <w:rPr>
                <w:rFonts w:eastAsia="Times New Roman"/>
              </w:rPr>
            </w:pPr>
            <w:r>
              <w:rPr>
                <w:rFonts w:eastAsia="Times New Roman"/>
                <w:color w:val="000000"/>
                <w:sz w:val="16"/>
                <w:szCs w:val="16"/>
              </w:rPr>
              <w:t>(</w:t>
            </w:r>
            <w:r>
              <w:rPr>
                <w:rFonts w:eastAsia="Times New Roman"/>
                <w:color w:val="000000"/>
                <w:sz w:val="16"/>
                <w:szCs w:val="16"/>
              </w:rPr>
              <w:t>98.5)</w:t>
            </w:r>
          </w:p>
        </w:tc>
        <w:tc>
          <w:tcPr>
            <w:tcW w:w="0" w:type="auto"/>
            <w:shd w:val="clear" w:color="auto" w:fill="CCEEFF"/>
            <w:tcMar>
              <w:top w:w="30" w:type="dxa"/>
              <w:left w:w="0" w:type="dxa"/>
              <w:bottom w:w="30" w:type="dxa"/>
              <w:right w:w="20" w:type="dxa"/>
            </w:tcMar>
            <w:vAlign w:val="bottom"/>
            <w:hideMark/>
          </w:tcPr>
          <w:p w14:paraId="07931D6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C0283"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592C5C"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807BE48" w14:textId="77777777" w:rsidR="00000000" w:rsidRDefault="00EE5306">
            <w:pPr>
              <w:spacing w:after="100"/>
              <w:jc w:val="right"/>
              <w:rPr>
                <w:rFonts w:eastAsia="Times New Roman"/>
              </w:rPr>
            </w:pPr>
            <w:r>
              <w:rPr>
                <w:rFonts w:eastAsia="Times New Roman"/>
                <w:color w:val="000000"/>
                <w:sz w:val="16"/>
                <w:szCs w:val="16"/>
              </w:rPr>
              <w:t>3,457.4 </w:t>
            </w:r>
          </w:p>
        </w:tc>
        <w:tc>
          <w:tcPr>
            <w:tcW w:w="0" w:type="auto"/>
            <w:shd w:val="clear" w:color="auto" w:fill="CCEEFF"/>
            <w:tcMar>
              <w:top w:w="30" w:type="dxa"/>
              <w:left w:w="0" w:type="dxa"/>
              <w:bottom w:w="30" w:type="dxa"/>
              <w:right w:w="20" w:type="dxa"/>
            </w:tcMar>
            <w:vAlign w:val="bottom"/>
            <w:hideMark/>
          </w:tcPr>
          <w:p w14:paraId="3C1BA979" w14:textId="77777777" w:rsidR="00000000" w:rsidRDefault="00EE5306">
            <w:pPr>
              <w:spacing w:after="100"/>
              <w:jc w:val="right"/>
              <w:rPr>
                <w:rFonts w:eastAsia="Times New Roman"/>
              </w:rPr>
            </w:pPr>
          </w:p>
        </w:tc>
      </w:tr>
      <w:tr w:rsidR="00000000" w14:paraId="1B328CAB" w14:textId="77777777">
        <w:trPr>
          <w:divId w:val="1605722058"/>
          <w:jc w:val="center"/>
        </w:trPr>
        <w:tc>
          <w:tcPr>
            <w:tcW w:w="0" w:type="auto"/>
            <w:gridSpan w:val="6"/>
            <w:shd w:val="clear" w:color="auto" w:fill="FFFFFF"/>
            <w:tcMar>
              <w:top w:w="30" w:type="dxa"/>
              <w:left w:w="20" w:type="dxa"/>
              <w:bottom w:w="30" w:type="dxa"/>
              <w:right w:w="20" w:type="dxa"/>
            </w:tcMar>
            <w:vAlign w:val="bottom"/>
            <w:hideMark/>
          </w:tcPr>
          <w:p w14:paraId="406263DB" w14:textId="77777777" w:rsidR="00000000" w:rsidRDefault="00EE5306">
            <w:pPr>
              <w:spacing w:after="100"/>
              <w:rPr>
                <w:rFonts w:eastAsia="Times New Roman"/>
              </w:rPr>
            </w:pPr>
            <w:r>
              <w:rPr>
                <w:rFonts w:eastAsia="Times New Roman"/>
                <w:color w:val="000000"/>
                <w:sz w:val="18"/>
                <w:szCs w:val="18"/>
              </w:rPr>
              <w:t>Comprehensive income:</w:t>
            </w:r>
          </w:p>
        </w:tc>
        <w:tc>
          <w:tcPr>
            <w:tcW w:w="0" w:type="auto"/>
            <w:gridSpan w:val="3"/>
            <w:shd w:val="clear" w:color="auto" w:fill="FFFFFF"/>
            <w:tcMar>
              <w:top w:w="0" w:type="dxa"/>
              <w:left w:w="20" w:type="dxa"/>
              <w:bottom w:w="0" w:type="dxa"/>
              <w:right w:w="20" w:type="dxa"/>
            </w:tcMar>
            <w:vAlign w:val="center"/>
            <w:hideMark/>
          </w:tcPr>
          <w:p w14:paraId="199D942A"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9CD4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55C5B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8F911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BD15D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FC8D3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C226D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59A26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B768F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436E3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E8896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EB0DB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79867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282F1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A25C9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C7FC9B" w14:textId="77777777" w:rsidR="00000000" w:rsidRDefault="00EE5306">
            <w:pPr>
              <w:spacing w:after="100"/>
              <w:rPr>
                <w:rFonts w:eastAsia="Times New Roman"/>
                <w:sz w:val="20"/>
                <w:szCs w:val="20"/>
              </w:rPr>
            </w:pPr>
          </w:p>
        </w:tc>
      </w:tr>
      <w:tr w:rsidR="00000000" w14:paraId="686477A2" w14:textId="77777777">
        <w:trPr>
          <w:divId w:val="1605722058"/>
          <w:jc w:val="center"/>
        </w:trPr>
        <w:tc>
          <w:tcPr>
            <w:tcW w:w="0" w:type="auto"/>
            <w:gridSpan w:val="6"/>
            <w:shd w:val="clear" w:color="auto" w:fill="CCEEFF"/>
            <w:tcMar>
              <w:top w:w="30" w:type="dxa"/>
              <w:left w:w="155" w:type="dxa"/>
              <w:bottom w:w="30" w:type="dxa"/>
              <w:right w:w="20" w:type="dxa"/>
            </w:tcMar>
            <w:vAlign w:val="bottom"/>
            <w:hideMark/>
          </w:tcPr>
          <w:p w14:paraId="7D4B4519" w14:textId="77777777" w:rsidR="00000000" w:rsidRDefault="00EE5306">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4BA6CD23"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897B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807BA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14966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DAB3F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3841E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446BDF"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B0BA7" w14:textId="77777777" w:rsidR="00000000" w:rsidRDefault="00EE5306">
            <w:pPr>
              <w:spacing w:after="100"/>
              <w:jc w:val="right"/>
              <w:rPr>
                <w:rFonts w:eastAsia="Times New Roman"/>
              </w:rPr>
            </w:pPr>
            <w:r>
              <w:rPr>
                <w:rFonts w:eastAsia="Times New Roman"/>
                <w:color w:val="000000"/>
                <w:sz w:val="16"/>
                <w:szCs w:val="16"/>
              </w:rPr>
              <w:t>430.9 </w:t>
            </w:r>
          </w:p>
        </w:tc>
        <w:tc>
          <w:tcPr>
            <w:tcW w:w="0" w:type="auto"/>
            <w:shd w:val="clear" w:color="auto" w:fill="CCEEFF"/>
            <w:tcMar>
              <w:top w:w="30" w:type="dxa"/>
              <w:left w:w="0" w:type="dxa"/>
              <w:bottom w:w="30" w:type="dxa"/>
              <w:right w:w="20" w:type="dxa"/>
            </w:tcMar>
            <w:vAlign w:val="bottom"/>
            <w:hideMark/>
          </w:tcPr>
          <w:p w14:paraId="3C2ABDA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A0A5A"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2C0D5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098D7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85D30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FE36B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8615F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06B9B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F98C4" w14:textId="77777777" w:rsidR="00000000" w:rsidRDefault="00EE5306">
            <w:pPr>
              <w:spacing w:after="100"/>
              <w:rPr>
                <w:rFonts w:eastAsia="Times New Roman"/>
                <w:sz w:val="20"/>
                <w:szCs w:val="20"/>
              </w:rPr>
            </w:pPr>
          </w:p>
        </w:tc>
      </w:tr>
      <w:tr w:rsidR="00000000" w14:paraId="7BC911C8" w14:textId="77777777">
        <w:trPr>
          <w:divId w:val="1605722058"/>
          <w:jc w:val="center"/>
        </w:trPr>
        <w:tc>
          <w:tcPr>
            <w:tcW w:w="0" w:type="auto"/>
            <w:gridSpan w:val="6"/>
            <w:shd w:val="clear" w:color="auto" w:fill="FFFFFF"/>
            <w:tcMar>
              <w:top w:w="30" w:type="dxa"/>
              <w:left w:w="155" w:type="dxa"/>
              <w:bottom w:w="30" w:type="dxa"/>
              <w:right w:w="20" w:type="dxa"/>
            </w:tcMar>
            <w:vAlign w:val="bottom"/>
            <w:hideMark/>
          </w:tcPr>
          <w:p w14:paraId="714E7949" w14:textId="77777777" w:rsidR="00000000" w:rsidRDefault="00EE5306">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6A8FD3E3"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09AB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FCEE0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4419D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A0601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9420E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BF657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A4190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615ED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7F24A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AE2BB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D0719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A25A6F"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745773" w14:textId="77777777" w:rsidR="00000000" w:rsidRDefault="00EE5306">
            <w:pPr>
              <w:spacing w:after="100"/>
              <w:jc w:val="right"/>
              <w:rPr>
                <w:rFonts w:eastAsia="Times New Roman"/>
              </w:rPr>
            </w:pPr>
            <w:r>
              <w:rPr>
                <w:rFonts w:eastAsia="Times New Roman"/>
                <w:color w:val="000000"/>
                <w:sz w:val="16"/>
                <w:szCs w:val="16"/>
              </w:rPr>
              <w:t>(4.9)</w:t>
            </w:r>
          </w:p>
        </w:tc>
        <w:tc>
          <w:tcPr>
            <w:tcW w:w="0" w:type="auto"/>
            <w:shd w:val="clear" w:color="auto" w:fill="FFFFFF"/>
            <w:tcMar>
              <w:top w:w="30" w:type="dxa"/>
              <w:left w:w="0" w:type="dxa"/>
              <w:bottom w:w="30" w:type="dxa"/>
              <w:right w:w="20" w:type="dxa"/>
            </w:tcMar>
            <w:vAlign w:val="bottom"/>
            <w:hideMark/>
          </w:tcPr>
          <w:p w14:paraId="5F4BABD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B7758"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EE65ED" w14:textId="77777777" w:rsidR="00000000" w:rsidRDefault="00EE5306">
            <w:pPr>
              <w:spacing w:after="100"/>
              <w:rPr>
                <w:rFonts w:eastAsia="Times New Roman"/>
                <w:sz w:val="20"/>
                <w:szCs w:val="20"/>
              </w:rPr>
            </w:pPr>
          </w:p>
        </w:tc>
      </w:tr>
      <w:tr w:rsidR="00000000" w14:paraId="59A45A75" w14:textId="77777777">
        <w:trPr>
          <w:divId w:val="1605722058"/>
          <w:jc w:val="center"/>
        </w:trPr>
        <w:tc>
          <w:tcPr>
            <w:tcW w:w="0" w:type="auto"/>
            <w:gridSpan w:val="6"/>
            <w:shd w:val="clear" w:color="auto" w:fill="CCEEFF"/>
            <w:tcMar>
              <w:top w:w="30" w:type="dxa"/>
              <w:left w:w="245" w:type="dxa"/>
              <w:bottom w:w="30" w:type="dxa"/>
              <w:right w:w="20" w:type="dxa"/>
            </w:tcMar>
            <w:vAlign w:val="bottom"/>
            <w:hideMark/>
          </w:tcPr>
          <w:p w14:paraId="6BBC19F1" w14:textId="77777777" w:rsidR="00000000" w:rsidRDefault="00EE5306">
            <w:pPr>
              <w:spacing w:after="100"/>
              <w:rPr>
                <w:rFonts w:eastAsia="Times New Roman"/>
              </w:rPr>
            </w:pPr>
            <w:r>
              <w:rPr>
                <w:rFonts w:eastAsia="Times New Roman"/>
                <w:color w:val="000000"/>
                <w:sz w:val="18"/>
                <w:szCs w:val="18"/>
              </w:rPr>
              <w:t>Total comprehensive income</w:t>
            </w:r>
          </w:p>
        </w:tc>
        <w:tc>
          <w:tcPr>
            <w:tcW w:w="0" w:type="auto"/>
            <w:gridSpan w:val="3"/>
            <w:shd w:val="clear" w:color="auto" w:fill="CCEEFF"/>
            <w:tcMar>
              <w:top w:w="0" w:type="dxa"/>
              <w:left w:w="20" w:type="dxa"/>
              <w:bottom w:w="0" w:type="dxa"/>
              <w:right w:w="20" w:type="dxa"/>
            </w:tcMar>
            <w:vAlign w:val="center"/>
            <w:hideMark/>
          </w:tcPr>
          <w:p w14:paraId="2A3C2F28"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9EE1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5EE88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0B618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A953C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FEF98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B8089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2E3A1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771E6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D743E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546B2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A0860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42648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1677E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317C2"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B35FD1" w14:textId="77777777" w:rsidR="00000000" w:rsidRDefault="00EE5306">
            <w:pPr>
              <w:spacing w:after="100"/>
              <w:jc w:val="right"/>
              <w:rPr>
                <w:rFonts w:eastAsia="Times New Roman"/>
              </w:rPr>
            </w:pPr>
            <w:r>
              <w:rPr>
                <w:rFonts w:eastAsia="Times New Roman"/>
                <w:color w:val="000000"/>
                <w:sz w:val="16"/>
                <w:szCs w:val="16"/>
              </w:rPr>
              <w:t>426.0 </w:t>
            </w:r>
          </w:p>
        </w:tc>
        <w:tc>
          <w:tcPr>
            <w:tcW w:w="0" w:type="auto"/>
            <w:shd w:val="clear" w:color="auto" w:fill="CCEEFF"/>
            <w:tcMar>
              <w:top w:w="30" w:type="dxa"/>
              <w:left w:w="0" w:type="dxa"/>
              <w:bottom w:w="30" w:type="dxa"/>
              <w:right w:w="20" w:type="dxa"/>
            </w:tcMar>
            <w:vAlign w:val="bottom"/>
            <w:hideMark/>
          </w:tcPr>
          <w:p w14:paraId="756FB5F4" w14:textId="77777777" w:rsidR="00000000" w:rsidRDefault="00EE5306">
            <w:pPr>
              <w:spacing w:after="100"/>
              <w:jc w:val="right"/>
              <w:rPr>
                <w:rFonts w:eastAsia="Times New Roman"/>
              </w:rPr>
            </w:pPr>
          </w:p>
        </w:tc>
      </w:tr>
      <w:tr w:rsidR="00000000" w14:paraId="169D4A2F" w14:textId="77777777">
        <w:trPr>
          <w:divId w:val="1605722058"/>
          <w:jc w:val="center"/>
        </w:trPr>
        <w:tc>
          <w:tcPr>
            <w:tcW w:w="0" w:type="auto"/>
            <w:gridSpan w:val="6"/>
            <w:shd w:val="clear" w:color="auto" w:fill="FFFFFF"/>
            <w:tcMar>
              <w:top w:w="30" w:type="dxa"/>
              <w:left w:w="20" w:type="dxa"/>
              <w:bottom w:w="30" w:type="dxa"/>
              <w:right w:w="20" w:type="dxa"/>
            </w:tcMar>
            <w:vAlign w:val="bottom"/>
            <w:hideMark/>
          </w:tcPr>
          <w:p w14:paraId="112F2E6C" w14:textId="77777777" w:rsidR="00000000" w:rsidRDefault="00EE5306">
            <w:pPr>
              <w:spacing w:after="100"/>
              <w:rPr>
                <w:rFonts w:eastAsia="Times New Roman"/>
              </w:rPr>
            </w:pPr>
            <w:r>
              <w:rPr>
                <w:rFonts w:eastAsia="Times New Roman"/>
                <w:color w:val="000000"/>
                <w:sz w:val="18"/>
                <w:szCs w:val="18"/>
              </w:rPr>
              <w:t>Dividends declared</w:t>
            </w:r>
          </w:p>
        </w:tc>
        <w:tc>
          <w:tcPr>
            <w:tcW w:w="0" w:type="auto"/>
            <w:gridSpan w:val="3"/>
            <w:shd w:val="clear" w:color="auto" w:fill="FFFFFF"/>
            <w:tcMar>
              <w:top w:w="0" w:type="dxa"/>
              <w:left w:w="20" w:type="dxa"/>
              <w:bottom w:w="0" w:type="dxa"/>
              <w:right w:w="20" w:type="dxa"/>
            </w:tcMar>
            <w:vAlign w:val="center"/>
            <w:hideMark/>
          </w:tcPr>
          <w:p w14:paraId="5A1498A2"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06FE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4267E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9816F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B55DE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E0BA9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6311F1"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41148" w14:textId="77777777" w:rsidR="00000000" w:rsidRDefault="00EE5306">
            <w:pPr>
              <w:spacing w:after="100"/>
              <w:jc w:val="right"/>
              <w:rPr>
                <w:rFonts w:eastAsia="Times New Roman"/>
              </w:rPr>
            </w:pPr>
            <w:r>
              <w:rPr>
                <w:rFonts w:eastAsia="Times New Roman"/>
                <w:color w:val="000000"/>
                <w:sz w:val="16"/>
                <w:szCs w:val="16"/>
              </w:rPr>
              <w:t>(198.9)</w:t>
            </w:r>
          </w:p>
        </w:tc>
        <w:tc>
          <w:tcPr>
            <w:tcW w:w="0" w:type="auto"/>
            <w:shd w:val="clear" w:color="auto" w:fill="FFFFFF"/>
            <w:tcMar>
              <w:top w:w="30" w:type="dxa"/>
              <w:left w:w="0" w:type="dxa"/>
              <w:bottom w:w="30" w:type="dxa"/>
              <w:right w:w="20" w:type="dxa"/>
            </w:tcMar>
            <w:vAlign w:val="bottom"/>
            <w:hideMark/>
          </w:tcPr>
          <w:p w14:paraId="6D07E2F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B7945"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882E0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5978F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83443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DD1A7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4E412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26EFF3"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D03B9B" w14:textId="77777777" w:rsidR="00000000" w:rsidRDefault="00EE5306">
            <w:pPr>
              <w:spacing w:after="100"/>
              <w:jc w:val="right"/>
              <w:rPr>
                <w:rFonts w:eastAsia="Times New Roman"/>
              </w:rPr>
            </w:pPr>
            <w:r>
              <w:rPr>
                <w:rFonts w:eastAsia="Times New Roman"/>
                <w:color w:val="000000"/>
                <w:sz w:val="16"/>
                <w:szCs w:val="16"/>
              </w:rPr>
              <w:t>(198.9)</w:t>
            </w:r>
          </w:p>
        </w:tc>
        <w:tc>
          <w:tcPr>
            <w:tcW w:w="0" w:type="auto"/>
            <w:shd w:val="clear" w:color="auto" w:fill="FFFFFF"/>
            <w:tcMar>
              <w:top w:w="30" w:type="dxa"/>
              <w:left w:w="0" w:type="dxa"/>
              <w:bottom w:w="30" w:type="dxa"/>
              <w:right w:w="20" w:type="dxa"/>
            </w:tcMar>
            <w:vAlign w:val="bottom"/>
            <w:hideMark/>
          </w:tcPr>
          <w:p w14:paraId="3A8B8C97" w14:textId="77777777" w:rsidR="00000000" w:rsidRDefault="00EE5306">
            <w:pPr>
              <w:spacing w:after="100"/>
              <w:jc w:val="right"/>
              <w:rPr>
                <w:rFonts w:eastAsia="Times New Roman"/>
              </w:rPr>
            </w:pPr>
          </w:p>
        </w:tc>
      </w:tr>
      <w:tr w:rsidR="00000000" w14:paraId="62F0DA0B" w14:textId="77777777">
        <w:trPr>
          <w:divId w:val="1605722058"/>
          <w:jc w:val="center"/>
        </w:trPr>
        <w:tc>
          <w:tcPr>
            <w:tcW w:w="0" w:type="auto"/>
            <w:gridSpan w:val="6"/>
            <w:shd w:val="clear" w:color="auto" w:fill="CCEEFF"/>
            <w:tcMar>
              <w:top w:w="30" w:type="dxa"/>
              <w:left w:w="20" w:type="dxa"/>
              <w:bottom w:w="30" w:type="dxa"/>
              <w:right w:w="20" w:type="dxa"/>
            </w:tcMar>
            <w:vAlign w:val="bottom"/>
            <w:hideMark/>
          </w:tcPr>
          <w:p w14:paraId="2B33B1EF" w14:textId="77777777" w:rsidR="00000000" w:rsidRDefault="00EE5306">
            <w:pPr>
              <w:spacing w:after="100"/>
              <w:rPr>
                <w:rFonts w:eastAsia="Times New Roman"/>
              </w:rPr>
            </w:pPr>
            <w:r>
              <w:rPr>
                <w:rFonts w:eastAsia="Times New Roman"/>
                <w:color w:val="000000"/>
                <w:sz w:val="18"/>
                <w:szCs w:val="18"/>
              </w:rPr>
              <w:t>Repurchases of common stock</w:t>
            </w:r>
          </w:p>
        </w:tc>
        <w:tc>
          <w:tcPr>
            <w:tcW w:w="0" w:type="auto"/>
            <w:gridSpan w:val="3"/>
            <w:shd w:val="clear" w:color="auto" w:fill="CCEEFF"/>
            <w:tcMar>
              <w:top w:w="0" w:type="dxa"/>
              <w:left w:w="20" w:type="dxa"/>
              <w:bottom w:w="0" w:type="dxa"/>
              <w:right w:w="20" w:type="dxa"/>
            </w:tcMar>
            <w:vAlign w:val="center"/>
            <w:hideMark/>
          </w:tcPr>
          <w:p w14:paraId="793DF4E3"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8AB3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FD357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F92A4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D82FB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ABBA0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0D698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95391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BC7FFA"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865205" w14:textId="77777777" w:rsidR="00000000" w:rsidRDefault="00EE5306">
            <w:pPr>
              <w:spacing w:after="100"/>
              <w:jc w:val="right"/>
              <w:rPr>
                <w:rFonts w:eastAsia="Times New Roman"/>
              </w:rPr>
            </w:pPr>
            <w:r>
              <w:rPr>
                <w:rFonts w:eastAsia="Times New Roman"/>
                <w:color w:val="000000"/>
                <w:sz w:val="16"/>
                <w:szCs w:val="16"/>
              </w:rPr>
              <w:t>4.1 </w:t>
            </w:r>
          </w:p>
        </w:tc>
        <w:tc>
          <w:tcPr>
            <w:tcW w:w="0" w:type="auto"/>
            <w:shd w:val="clear" w:color="auto" w:fill="CCEEFF"/>
            <w:tcMar>
              <w:top w:w="30" w:type="dxa"/>
              <w:left w:w="0" w:type="dxa"/>
              <w:bottom w:w="30" w:type="dxa"/>
              <w:right w:w="20" w:type="dxa"/>
            </w:tcMar>
            <w:vAlign w:val="bottom"/>
            <w:hideMark/>
          </w:tcPr>
          <w:p w14:paraId="6A05462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068A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9BDADB" w14:textId="77777777" w:rsidR="00000000" w:rsidRDefault="00EE5306">
            <w:pPr>
              <w:spacing w:after="100"/>
              <w:jc w:val="right"/>
              <w:rPr>
                <w:rFonts w:eastAsia="Times New Roman"/>
              </w:rPr>
            </w:pPr>
            <w:r>
              <w:rPr>
                <w:rFonts w:eastAsia="Times New Roman"/>
                <w:color w:val="000000"/>
                <w:sz w:val="16"/>
                <w:szCs w:val="16"/>
              </w:rPr>
              <w:t>(502.6)</w:t>
            </w:r>
          </w:p>
        </w:tc>
        <w:tc>
          <w:tcPr>
            <w:tcW w:w="0" w:type="auto"/>
            <w:shd w:val="clear" w:color="auto" w:fill="CCEEFF"/>
            <w:tcMar>
              <w:top w:w="30" w:type="dxa"/>
              <w:left w:w="0" w:type="dxa"/>
              <w:bottom w:w="30" w:type="dxa"/>
              <w:right w:w="20" w:type="dxa"/>
            </w:tcMar>
            <w:vAlign w:val="bottom"/>
            <w:hideMark/>
          </w:tcPr>
          <w:p w14:paraId="0E27FDF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7CB9F"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5B5E2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375A93"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9AAEF6" w14:textId="77777777" w:rsidR="00000000" w:rsidRDefault="00EE5306">
            <w:pPr>
              <w:spacing w:after="100"/>
              <w:jc w:val="right"/>
              <w:rPr>
                <w:rFonts w:eastAsia="Times New Roman"/>
              </w:rPr>
            </w:pPr>
            <w:r>
              <w:rPr>
                <w:rFonts w:eastAsia="Times New Roman"/>
                <w:color w:val="000000"/>
                <w:sz w:val="16"/>
                <w:szCs w:val="16"/>
              </w:rPr>
              <w:t>(</w:t>
            </w:r>
            <w:r>
              <w:rPr>
                <w:rFonts w:eastAsia="Times New Roman"/>
                <w:color w:val="000000"/>
                <w:sz w:val="16"/>
                <w:szCs w:val="16"/>
              </w:rPr>
              <w:t>502.6)</w:t>
            </w:r>
          </w:p>
        </w:tc>
        <w:tc>
          <w:tcPr>
            <w:tcW w:w="0" w:type="auto"/>
            <w:shd w:val="clear" w:color="auto" w:fill="CCEEFF"/>
            <w:tcMar>
              <w:top w:w="30" w:type="dxa"/>
              <w:left w:w="0" w:type="dxa"/>
              <w:bottom w:w="30" w:type="dxa"/>
              <w:right w:w="20" w:type="dxa"/>
            </w:tcMar>
            <w:vAlign w:val="bottom"/>
            <w:hideMark/>
          </w:tcPr>
          <w:p w14:paraId="3337136C" w14:textId="77777777" w:rsidR="00000000" w:rsidRDefault="00EE5306">
            <w:pPr>
              <w:spacing w:after="100"/>
              <w:jc w:val="right"/>
              <w:rPr>
                <w:rFonts w:eastAsia="Times New Roman"/>
              </w:rPr>
            </w:pPr>
          </w:p>
        </w:tc>
      </w:tr>
      <w:tr w:rsidR="00000000" w14:paraId="66E6F429" w14:textId="77777777">
        <w:trPr>
          <w:divId w:val="1605722058"/>
          <w:jc w:val="center"/>
        </w:trPr>
        <w:tc>
          <w:tcPr>
            <w:tcW w:w="0" w:type="auto"/>
            <w:gridSpan w:val="6"/>
            <w:shd w:val="clear" w:color="auto" w:fill="FFFFFF"/>
            <w:tcMar>
              <w:top w:w="30" w:type="dxa"/>
              <w:left w:w="20" w:type="dxa"/>
              <w:bottom w:w="30" w:type="dxa"/>
              <w:right w:w="20" w:type="dxa"/>
            </w:tcMar>
            <w:vAlign w:val="bottom"/>
            <w:hideMark/>
          </w:tcPr>
          <w:p w14:paraId="4CE9C098" w14:textId="77777777" w:rsidR="00000000" w:rsidRDefault="00EE5306">
            <w:pPr>
              <w:spacing w:after="100"/>
              <w:rPr>
                <w:rFonts w:eastAsia="Times New Roman"/>
              </w:rPr>
            </w:pPr>
            <w:r>
              <w:rPr>
                <w:rFonts w:eastAsia="Times New Roman"/>
                <w:color w:val="000000"/>
                <w:sz w:val="18"/>
                <w:szCs w:val="18"/>
              </w:rPr>
              <w:t>Stock-based compensation</w:t>
            </w:r>
          </w:p>
        </w:tc>
        <w:tc>
          <w:tcPr>
            <w:tcW w:w="0" w:type="auto"/>
            <w:gridSpan w:val="3"/>
            <w:shd w:val="clear" w:color="auto" w:fill="FFFFFF"/>
            <w:tcMar>
              <w:top w:w="0" w:type="dxa"/>
              <w:left w:w="20" w:type="dxa"/>
              <w:bottom w:w="0" w:type="dxa"/>
              <w:right w:w="20" w:type="dxa"/>
            </w:tcMar>
            <w:vAlign w:val="center"/>
            <w:hideMark/>
          </w:tcPr>
          <w:p w14:paraId="3E8E76F0"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75A85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C89CB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31542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771C90"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8F8E77" w14:textId="77777777" w:rsidR="00000000" w:rsidRDefault="00EE5306">
            <w:pPr>
              <w:spacing w:after="100"/>
              <w:jc w:val="right"/>
              <w:rPr>
                <w:rFonts w:eastAsia="Times New Roman"/>
              </w:rPr>
            </w:pPr>
            <w:r>
              <w:rPr>
                <w:rFonts w:eastAsia="Times New Roman"/>
                <w:color w:val="000000"/>
                <w:sz w:val="16"/>
                <w:szCs w:val="16"/>
              </w:rPr>
              <w:t>88.6 </w:t>
            </w:r>
          </w:p>
        </w:tc>
        <w:tc>
          <w:tcPr>
            <w:tcW w:w="0" w:type="auto"/>
            <w:shd w:val="clear" w:color="auto" w:fill="FFFFFF"/>
            <w:tcMar>
              <w:top w:w="30" w:type="dxa"/>
              <w:left w:w="0" w:type="dxa"/>
              <w:bottom w:w="30" w:type="dxa"/>
              <w:right w:w="20" w:type="dxa"/>
            </w:tcMar>
            <w:vAlign w:val="bottom"/>
            <w:hideMark/>
          </w:tcPr>
          <w:p w14:paraId="3E59300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3D98C"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0DD6B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F39BF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B389B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B6AE1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423B5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EB6A4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58C80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FEDB7C"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36F233" w14:textId="77777777" w:rsidR="00000000" w:rsidRDefault="00EE5306">
            <w:pPr>
              <w:spacing w:after="100"/>
              <w:jc w:val="right"/>
              <w:rPr>
                <w:rFonts w:eastAsia="Times New Roman"/>
              </w:rPr>
            </w:pPr>
            <w:r>
              <w:rPr>
                <w:rFonts w:eastAsia="Times New Roman"/>
                <w:color w:val="000000"/>
                <w:sz w:val="16"/>
                <w:szCs w:val="16"/>
              </w:rPr>
              <w:t>88.6 </w:t>
            </w:r>
          </w:p>
        </w:tc>
        <w:tc>
          <w:tcPr>
            <w:tcW w:w="0" w:type="auto"/>
            <w:shd w:val="clear" w:color="auto" w:fill="FFFFFF"/>
            <w:tcMar>
              <w:top w:w="30" w:type="dxa"/>
              <w:left w:w="0" w:type="dxa"/>
              <w:bottom w:w="30" w:type="dxa"/>
              <w:right w:w="20" w:type="dxa"/>
            </w:tcMar>
            <w:vAlign w:val="bottom"/>
            <w:hideMark/>
          </w:tcPr>
          <w:p w14:paraId="4AF65350" w14:textId="77777777" w:rsidR="00000000" w:rsidRDefault="00EE5306">
            <w:pPr>
              <w:spacing w:after="100"/>
              <w:jc w:val="right"/>
              <w:rPr>
                <w:rFonts w:eastAsia="Times New Roman"/>
              </w:rPr>
            </w:pPr>
          </w:p>
        </w:tc>
      </w:tr>
      <w:tr w:rsidR="00000000" w14:paraId="52A6C3D9" w14:textId="77777777">
        <w:trPr>
          <w:divId w:val="1605722058"/>
          <w:jc w:val="center"/>
        </w:trPr>
        <w:tc>
          <w:tcPr>
            <w:tcW w:w="0" w:type="auto"/>
            <w:gridSpan w:val="6"/>
            <w:shd w:val="clear" w:color="auto" w:fill="CCEEFF"/>
            <w:tcMar>
              <w:top w:w="30" w:type="dxa"/>
              <w:left w:w="20" w:type="dxa"/>
              <w:bottom w:w="30" w:type="dxa"/>
              <w:right w:w="20" w:type="dxa"/>
            </w:tcMar>
            <w:vAlign w:val="bottom"/>
            <w:hideMark/>
          </w:tcPr>
          <w:p w14:paraId="4531A967" w14:textId="77777777" w:rsidR="00000000" w:rsidRDefault="00EE5306">
            <w:pPr>
              <w:spacing w:after="100"/>
              <w:divId w:val="845294074"/>
              <w:rPr>
                <w:rFonts w:eastAsia="Times New Roman"/>
              </w:rPr>
            </w:pPr>
            <w:r>
              <w:rPr>
                <w:rFonts w:eastAsia="Times New Roman"/>
                <w:color w:val="000000"/>
                <w:sz w:val="18"/>
                <w:szCs w:val="18"/>
              </w:rPr>
              <w:t xml:space="preserve">Shares issued pursuant to stock-based </w:t>
            </w:r>
          </w:p>
          <w:p w14:paraId="1D3CAC76" w14:textId="77777777" w:rsidR="00000000" w:rsidRDefault="00EE5306">
            <w:pPr>
              <w:spacing w:after="100"/>
              <w:divId w:val="1583099170"/>
              <w:rPr>
                <w:rFonts w:eastAsia="Times New Roman"/>
              </w:rPr>
            </w:pPr>
            <w:r>
              <w:rPr>
                <w:rFonts w:eastAsia="Times New Roman"/>
                <w:color w:val="000000"/>
                <w:sz w:val="18"/>
                <w:szCs w:val="18"/>
              </w:rPr>
              <w:t>compensation plans</w:t>
            </w:r>
          </w:p>
        </w:tc>
        <w:tc>
          <w:tcPr>
            <w:tcW w:w="0" w:type="auto"/>
            <w:gridSpan w:val="3"/>
            <w:shd w:val="clear" w:color="auto" w:fill="CCEEFF"/>
            <w:tcMar>
              <w:top w:w="0" w:type="dxa"/>
              <w:left w:w="20" w:type="dxa"/>
              <w:bottom w:w="0" w:type="dxa"/>
              <w:right w:w="20" w:type="dxa"/>
            </w:tcMar>
            <w:vAlign w:val="center"/>
            <w:hideMark/>
          </w:tcPr>
          <w:p w14:paraId="3BB0EEC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C42B52" w14:textId="77777777" w:rsidR="00000000" w:rsidRDefault="00EE5306">
            <w:pPr>
              <w:spacing w:after="100"/>
              <w:jc w:val="right"/>
              <w:rPr>
                <w:rFonts w:eastAsia="Times New Roman"/>
              </w:rPr>
            </w:pPr>
            <w:r>
              <w:rPr>
                <w:rFonts w:eastAsia="Times New Roman"/>
                <w:color w:val="000000"/>
                <w:sz w:val="16"/>
                <w:szCs w:val="16"/>
              </w:rPr>
              <w:t>0.9 </w:t>
            </w:r>
          </w:p>
        </w:tc>
        <w:tc>
          <w:tcPr>
            <w:tcW w:w="0" w:type="auto"/>
            <w:shd w:val="clear" w:color="auto" w:fill="CCEEFF"/>
            <w:tcMar>
              <w:top w:w="30" w:type="dxa"/>
              <w:left w:w="0" w:type="dxa"/>
              <w:bottom w:w="30" w:type="dxa"/>
              <w:right w:w="20" w:type="dxa"/>
            </w:tcMar>
            <w:vAlign w:val="bottom"/>
            <w:hideMark/>
          </w:tcPr>
          <w:p w14:paraId="39BEAE0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6EFB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C77A59"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AADA8F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8A0A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7880C9" w14:textId="77777777" w:rsidR="00000000" w:rsidRDefault="00EE5306">
            <w:pPr>
              <w:spacing w:after="100"/>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bottom"/>
            <w:hideMark/>
          </w:tcPr>
          <w:p w14:paraId="7FF16F7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F11C2"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69295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642E7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589EF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D6777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B1E9F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6AA65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7C351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0E8DC0"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60CE06" w14:textId="77777777" w:rsidR="00000000" w:rsidRDefault="00EE5306">
            <w:pPr>
              <w:spacing w:after="100"/>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bottom"/>
            <w:hideMark/>
          </w:tcPr>
          <w:p w14:paraId="66CC9CC3" w14:textId="77777777" w:rsidR="00000000" w:rsidRDefault="00EE5306">
            <w:pPr>
              <w:spacing w:after="100"/>
              <w:jc w:val="right"/>
              <w:rPr>
                <w:rFonts w:eastAsia="Times New Roman"/>
              </w:rPr>
            </w:pPr>
          </w:p>
        </w:tc>
      </w:tr>
      <w:tr w:rsidR="00000000" w14:paraId="17A93A7F" w14:textId="77777777">
        <w:trPr>
          <w:divId w:val="1605722058"/>
          <w:jc w:val="center"/>
        </w:trPr>
        <w:tc>
          <w:tcPr>
            <w:tcW w:w="0" w:type="auto"/>
            <w:gridSpan w:val="6"/>
            <w:shd w:val="clear" w:color="auto" w:fill="FFFFFF"/>
            <w:tcMar>
              <w:top w:w="30" w:type="dxa"/>
              <w:left w:w="290" w:type="dxa"/>
              <w:bottom w:w="30" w:type="dxa"/>
              <w:right w:w="20" w:type="dxa"/>
            </w:tcMar>
            <w:vAlign w:val="bottom"/>
            <w:hideMark/>
          </w:tcPr>
          <w:p w14:paraId="62B441F5" w14:textId="77777777" w:rsidR="00000000" w:rsidRDefault="00EE5306">
            <w:pPr>
              <w:spacing w:after="100"/>
              <w:rPr>
                <w:rFonts w:eastAsia="Times New Roman"/>
              </w:rPr>
            </w:pPr>
            <w:r>
              <w:rPr>
                <w:rFonts w:eastAsia="Times New Roman"/>
                <w:color w:val="000000"/>
                <w:sz w:val="18"/>
                <w:szCs w:val="18"/>
              </w:rPr>
              <w:t>Cumulative adjustment from adoption of new accounting standards</w:t>
            </w:r>
          </w:p>
        </w:tc>
        <w:tc>
          <w:tcPr>
            <w:tcW w:w="0" w:type="auto"/>
            <w:gridSpan w:val="3"/>
            <w:shd w:val="clear" w:color="auto" w:fill="FFFFFF"/>
            <w:tcMar>
              <w:top w:w="0" w:type="dxa"/>
              <w:left w:w="20" w:type="dxa"/>
              <w:bottom w:w="0" w:type="dxa"/>
              <w:right w:w="20" w:type="dxa"/>
            </w:tcMar>
            <w:vAlign w:val="center"/>
            <w:hideMark/>
          </w:tcPr>
          <w:p w14:paraId="385343F3"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282F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48093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964CA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06D1F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B1FF3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99D9CB"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452CA5" w14:textId="77777777" w:rsidR="00000000" w:rsidRDefault="00EE5306">
            <w:pPr>
              <w:spacing w:after="100"/>
              <w:jc w:val="right"/>
              <w:rPr>
                <w:rFonts w:eastAsia="Times New Roman"/>
              </w:rPr>
            </w:pPr>
            <w:r>
              <w:rPr>
                <w:rFonts w:eastAsia="Times New Roman"/>
                <w:color w:val="000000"/>
                <w:sz w:val="16"/>
                <w:szCs w:val="16"/>
              </w:rPr>
              <w:t>(5.1)</w:t>
            </w:r>
          </w:p>
        </w:tc>
        <w:tc>
          <w:tcPr>
            <w:tcW w:w="0" w:type="auto"/>
            <w:shd w:val="clear" w:color="auto" w:fill="FFFFFF"/>
            <w:tcMar>
              <w:top w:w="30" w:type="dxa"/>
              <w:left w:w="0" w:type="dxa"/>
              <w:bottom w:w="30" w:type="dxa"/>
              <w:right w:w="20" w:type="dxa"/>
            </w:tcMar>
            <w:vAlign w:val="bottom"/>
            <w:hideMark/>
          </w:tcPr>
          <w:p w14:paraId="3ACE7EF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EADA4D"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C5716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9C1D1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14B65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A3661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91702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89620A"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82DE7F" w14:textId="77777777" w:rsidR="00000000" w:rsidRDefault="00EE5306">
            <w:pPr>
              <w:spacing w:after="100"/>
              <w:jc w:val="right"/>
              <w:rPr>
                <w:rFonts w:eastAsia="Times New Roman"/>
              </w:rPr>
            </w:pPr>
            <w:r>
              <w:rPr>
                <w:rFonts w:eastAsia="Times New Roman"/>
                <w:color w:val="000000"/>
                <w:sz w:val="16"/>
                <w:szCs w:val="16"/>
              </w:rPr>
              <w:t>(5.1)</w:t>
            </w:r>
          </w:p>
        </w:tc>
        <w:tc>
          <w:tcPr>
            <w:tcW w:w="0" w:type="auto"/>
            <w:shd w:val="clear" w:color="auto" w:fill="FFFFFF"/>
            <w:tcMar>
              <w:top w:w="30" w:type="dxa"/>
              <w:left w:w="0" w:type="dxa"/>
              <w:bottom w:w="30" w:type="dxa"/>
              <w:right w:w="20" w:type="dxa"/>
            </w:tcMar>
            <w:vAlign w:val="bottom"/>
            <w:hideMark/>
          </w:tcPr>
          <w:p w14:paraId="359E5ED7" w14:textId="77777777" w:rsidR="00000000" w:rsidRDefault="00EE5306">
            <w:pPr>
              <w:spacing w:after="100"/>
              <w:jc w:val="right"/>
              <w:rPr>
                <w:rFonts w:eastAsia="Times New Roman"/>
              </w:rPr>
            </w:pPr>
          </w:p>
        </w:tc>
      </w:tr>
      <w:tr w:rsidR="00EE5306" w14:paraId="1D41BEBD" w14:textId="77777777">
        <w:trPr>
          <w:divId w:val="1605722058"/>
          <w:jc w:val="center"/>
        </w:trPr>
        <w:tc>
          <w:tcPr>
            <w:tcW w:w="0" w:type="auto"/>
            <w:gridSpan w:val="6"/>
            <w:shd w:val="clear" w:color="auto" w:fill="CCEEFF"/>
            <w:tcMar>
              <w:top w:w="30" w:type="dxa"/>
              <w:left w:w="20" w:type="dxa"/>
              <w:bottom w:w="30" w:type="dxa"/>
              <w:right w:w="20" w:type="dxa"/>
            </w:tcMar>
            <w:vAlign w:val="bottom"/>
            <w:hideMark/>
          </w:tcPr>
          <w:p w14:paraId="5235CC30" w14:textId="77777777" w:rsidR="00000000" w:rsidRDefault="00EE5306">
            <w:pPr>
              <w:spacing w:after="100"/>
              <w:divId w:val="239676414"/>
              <w:rPr>
                <w:rFonts w:eastAsia="Times New Roman"/>
              </w:rPr>
            </w:pPr>
            <w:r>
              <w:rPr>
                <w:rFonts w:eastAsia="Times New Roman"/>
                <w:b/>
                <w:bCs/>
                <w:color w:val="000000"/>
                <w:sz w:val="18"/>
                <w:szCs w:val="18"/>
              </w:rPr>
              <w:t>Balance at March 30, 2019</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14:paraId="74E73429"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C90A38" w14:textId="77777777" w:rsidR="00000000" w:rsidRDefault="00EE5306">
            <w:pPr>
              <w:spacing w:after="100"/>
              <w:jc w:val="right"/>
              <w:rPr>
                <w:rFonts w:eastAsia="Times New Roman"/>
              </w:rPr>
            </w:pPr>
            <w:r>
              <w:rPr>
                <w:rFonts w:eastAsia="Times New Roman"/>
                <w:color w:val="000000"/>
                <w:sz w:val="16"/>
                <w:szCs w:val="16"/>
              </w:rPr>
              <w:t>128.8 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99F3F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11A9B"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D677EA"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C30A0D" w14:textId="77777777" w:rsidR="00000000" w:rsidRDefault="00EE5306">
            <w:pPr>
              <w:spacing w:after="100"/>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65577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A03D1"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D1459D"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6865F6" w14:textId="77777777" w:rsidR="00000000" w:rsidRDefault="00EE5306">
            <w:pPr>
              <w:spacing w:after="100"/>
              <w:jc w:val="right"/>
              <w:rPr>
                <w:rFonts w:eastAsia="Times New Roman"/>
              </w:rPr>
            </w:pPr>
            <w:r>
              <w:rPr>
                <w:rFonts w:eastAsia="Times New Roman"/>
                <w:color w:val="000000"/>
                <w:sz w:val="16"/>
                <w:szCs w:val="16"/>
              </w:rPr>
              <w:t>2,493.8 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1C649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C9122"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68A4BB"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84A2E6" w14:textId="77777777" w:rsidR="00000000" w:rsidRDefault="00EE5306">
            <w:pPr>
              <w:spacing w:after="100"/>
              <w:jc w:val="right"/>
              <w:rPr>
                <w:rFonts w:eastAsia="Times New Roman"/>
              </w:rPr>
            </w:pPr>
            <w:r>
              <w:rPr>
                <w:rFonts w:eastAsia="Times New Roman"/>
                <w:color w:val="000000"/>
                <w:sz w:val="16"/>
                <w:szCs w:val="16"/>
              </w:rPr>
              <w:t>5,979.1 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6A534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8CEA3"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EC1DE1" w14:textId="77777777" w:rsidR="00000000" w:rsidRDefault="00EE5306">
            <w:pPr>
              <w:spacing w:after="100"/>
              <w:jc w:val="right"/>
              <w:rPr>
                <w:rFonts w:eastAsia="Times New Roman"/>
              </w:rPr>
            </w:pPr>
            <w:r>
              <w:rPr>
                <w:rFonts w:eastAsia="Times New Roman"/>
                <w:color w:val="000000"/>
                <w:sz w:val="16"/>
                <w:szCs w:val="16"/>
              </w:rPr>
              <w:t>50.7 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43125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33FA9"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4E2F1A"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71EA31" w14:textId="77777777" w:rsidR="00000000" w:rsidRDefault="00EE5306">
            <w:pPr>
              <w:spacing w:after="100"/>
              <w:jc w:val="right"/>
              <w:rPr>
                <w:rFonts w:eastAsia="Times New Roman"/>
              </w:rPr>
            </w:pPr>
            <w:r>
              <w:rPr>
                <w:rFonts w:eastAsia="Times New Roman"/>
                <w:color w:val="000000"/>
                <w:sz w:val="16"/>
                <w:szCs w:val="16"/>
              </w:rPr>
              <w:t>(5,083.6)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3202F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78051"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F24FB6"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E8BA02" w14:textId="77777777" w:rsidR="00000000" w:rsidRDefault="00EE5306">
            <w:pPr>
              <w:spacing w:after="100"/>
              <w:jc w:val="right"/>
              <w:rPr>
                <w:rFonts w:eastAsia="Times New Roman"/>
              </w:rPr>
            </w:pPr>
            <w:r>
              <w:rPr>
                <w:rFonts w:eastAsia="Times New Roman"/>
                <w:color w:val="000000"/>
                <w:sz w:val="16"/>
                <w:szCs w:val="16"/>
              </w:rPr>
              <w:t>(103.4)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349DB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9452A5"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336EDD"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30F5D8" w14:textId="77777777" w:rsidR="00000000" w:rsidRDefault="00EE5306">
            <w:pPr>
              <w:spacing w:after="100"/>
              <w:jc w:val="right"/>
              <w:rPr>
                <w:rFonts w:eastAsia="Times New Roman"/>
              </w:rPr>
            </w:pPr>
            <w:r>
              <w:rPr>
                <w:rFonts w:eastAsia="Times New Roman"/>
                <w:color w:val="000000"/>
                <w:sz w:val="16"/>
                <w:szCs w:val="16"/>
              </w:rPr>
              <w:t>3,287.2 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5425FB" w14:textId="77777777" w:rsidR="00000000" w:rsidRDefault="00EE5306">
            <w:pPr>
              <w:spacing w:after="100"/>
              <w:jc w:val="right"/>
              <w:rPr>
                <w:rFonts w:eastAsia="Times New Roman"/>
              </w:rPr>
            </w:pPr>
          </w:p>
        </w:tc>
      </w:tr>
      <w:tr w:rsidR="00000000" w14:paraId="3BF68CB3" w14:textId="77777777">
        <w:trPr>
          <w:divId w:val="1605722058"/>
          <w:jc w:val="center"/>
        </w:trPr>
        <w:tc>
          <w:tcPr>
            <w:tcW w:w="0" w:type="auto"/>
            <w:gridSpan w:val="6"/>
            <w:shd w:val="clear" w:color="auto" w:fill="FFFFFF"/>
            <w:tcMar>
              <w:top w:w="30" w:type="dxa"/>
              <w:left w:w="20" w:type="dxa"/>
              <w:bottom w:w="30" w:type="dxa"/>
              <w:right w:w="20" w:type="dxa"/>
            </w:tcMar>
            <w:vAlign w:val="bottom"/>
            <w:hideMark/>
          </w:tcPr>
          <w:p w14:paraId="7E3F271B" w14:textId="77777777" w:rsidR="00000000" w:rsidRDefault="00EE5306">
            <w:pPr>
              <w:spacing w:after="100"/>
              <w:rPr>
                <w:rFonts w:eastAsia="Times New Roman"/>
              </w:rPr>
            </w:pPr>
            <w:r>
              <w:rPr>
                <w:rFonts w:eastAsia="Times New Roman"/>
                <w:color w:val="000000"/>
                <w:sz w:val="18"/>
                <w:szCs w:val="18"/>
              </w:rPr>
              <w:t>Comprehensive income:</w:t>
            </w:r>
          </w:p>
        </w:tc>
        <w:tc>
          <w:tcPr>
            <w:tcW w:w="0" w:type="auto"/>
            <w:gridSpan w:val="3"/>
            <w:shd w:val="clear" w:color="auto" w:fill="FFFFFF"/>
            <w:tcMar>
              <w:top w:w="0" w:type="dxa"/>
              <w:left w:w="20" w:type="dxa"/>
              <w:bottom w:w="0" w:type="dxa"/>
              <w:right w:w="20" w:type="dxa"/>
            </w:tcMar>
            <w:vAlign w:val="center"/>
            <w:hideMark/>
          </w:tcPr>
          <w:p w14:paraId="57CC3DD4"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CD42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13590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4AFCE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D49C2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768E0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32AB6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E695F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13EED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BE53E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A45A7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2F79D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63366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2AF7D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71E41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474389" w14:textId="77777777" w:rsidR="00000000" w:rsidRDefault="00EE5306">
            <w:pPr>
              <w:spacing w:after="100"/>
              <w:rPr>
                <w:rFonts w:eastAsia="Times New Roman"/>
                <w:sz w:val="20"/>
                <w:szCs w:val="20"/>
              </w:rPr>
            </w:pPr>
          </w:p>
        </w:tc>
      </w:tr>
      <w:tr w:rsidR="00000000" w14:paraId="2FF5A476" w14:textId="77777777">
        <w:trPr>
          <w:divId w:val="1605722058"/>
          <w:jc w:val="center"/>
        </w:trPr>
        <w:tc>
          <w:tcPr>
            <w:tcW w:w="0" w:type="auto"/>
            <w:gridSpan w:val="6"/>
            <w:shd w:val="clear" w:color="auto" w:fill="CCEEFF"/>
            <w:tcMar>
              <w:top w:w="30" w:type="dxa"/>
              <w:left w:w="155" w:type="dxa"/>
              <w:bottom w:w="30" w:type="dxa"/>
              <w:right w:w="20" w:type="dxa"/>
            </w:tcMar>
            <w:vAlign w:val="bottom"/>
            <w:hideMark/>
          </w:tcPr>
          <w:p w14:paraId="7C809620" w14:textId="77777777" w:rsidR="00000000" w:rsidRDefault="00EE5306">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6C0C476D"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D1FE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5DABC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93900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08AF0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30C8D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959347"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400D51" w14:textId="77777777" w:rsidR="00000000" w:rsidRDefault="00EE5306">
            <w:pPr>
              <w:spacing w:after="100"/>
              <w:jc w:val="right"/>
              <w:rPr>
                <w:rFonts w:eastAsia="Times New Roman"/>
              </w:rPr>
            </w:pPr>
            <w:r>
              <w:rPr>
                <w:rFonts w:eastAsia="Times New Roman"/>
                <w:color w:val="000000"/>
                <w:sz w:val="16"/>
                <w:szCs w:val="16"/>
              </w:rPr>
              <w:t>384.3 </w:t>
            </w:r>
          </w:p>
        </w:tc>
        <w:tc>
          <w:tcPr>
            <w:tcW w:w="0" w:type="auto"/>
            <w:shd w:val="clear" w:color="auto" w:fill="CCEEFF"/>
            <w:tcMar>
              <w:top w:w="30" w:type="dxa"/>
              <w:left w:w="0" w:type="dxa"/>
              <w:bottom w:w="30" w:type="dxa"/>
              <w:right w:w="20" w:type="dxa"/>
            </w:tcMar>
            <w:vAlign w:val="bottom"/>
            <w:hideMark/>
          </w:tcPr>
          <w:p w14:paraId="514BC67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90470"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FC34A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7C96B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AF2FE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CE15B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25363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9F047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7A8965" w14:textId="77777777" w:rsidR="00000000" w:rsidRDefault="00EE5306">
            <w:pPr>
              <w:spacing w:after="100"/>
              <w:rPr>
                <w:rFonts w:eastAsia="Times New Roman"/>
                <w:sz w:val="20"/>
                <w:szCs w:val="20"/>
              </w:rPr>
            </w:pPr>
          </w:p>
        </w:tc>
      </w:tr>
      <w:tr w:rsidR="00000000" w14:paraId="7DE7FF24" w14:textId="77777777">
        <w:trPr>
          <w:divId w:val="1605722058"/>
          <w:jc w:val="center"/>
        </w:trPr>
        <w:tc>
          <w:tcPr>
            <w:tcW w:w="0" w:type="auto"/>
            <w:gridSpan w:val="6"/>
            <w:shd w:val="clear" w:color="auto" w:fill="FFFFFF"/>
            <w:tcMar>
              <w:top w:w="30" w:type="dxa"/>
              <w:left w:w="155" w:type="dxa"/>
              <w:bottom w:w="30" w:type="dxa"/>
              <w:right w:w="20" w:type="dxa"/>
            </w:tcMar>
            <w:vAlign w:val="bottom"/>
            <w:hideMark/>
          </w:tcPr>
          <w:p w14:paraId="7DB30241" w14:textId="77777777" w:rsidR="00000000" w:rsidRDefault="00EE5306">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576A6B14"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AB4A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117B6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B9021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9282C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B0C6C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C6346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D44BB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69D3E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F3C4C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D1AB8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AF8AE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70A6CC"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BBA2A6" w14:textId="77777777" w:rsidR="00000000" w:rsidRDefault="00EE5306">
            <w:pPr>
              <w:spacing w:after="100"/>
              <w:jc w:val="right"/>
              <w:rPr>
                <w:rFonts w:eastAsia="Times New Roman"/>
              </w:rPr>
            </w:pPr>
            <w:r>
              <w:rPr>
                <w:rFonts w:eastAsia="Times New Roman"/>
                <w:color w:val="000000"/>
                <w:sz w:val="16"/>
                <w:szCs w:val="16"/>
              </w:rPr>
              <w:t>(14.8)</w:t>
            </w:r>
          </w:p>
        </w:tc>
        <w:tc>
          <w:tcPr>
            <w:tcW w:w="0" w:type="auto"/>
            <w:shd w:val="clear" w:color="auto" w:fill="FFFFFF"/>
            <w:tcMar>
              <w:top w:w="30" w:type="dxa"/>
              <w:left w:w="0" w:type="dxa"/>
              <w:bottom w:w="30" w:type="dxa"/>
              <w:right w:w="20" w:type="dxa"/>
            </w:tcMar>
            <w:vAlign w:val="bottom"/>
            <w:hideMark/>
          </w:tcPr>
          <w:p w14:paraId="7B5B792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44FAB"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B1466F" w14:textId="77777777" w:rsidR="00000000" w:rsidRDefault="00EE5306">
            <w:pPr>
              <w:spacing w:after="100"/>
              <w:rPr>
                <w:rFonts w:eastAsia="Times New Roman"/>
                <w:sz w:val="20"/>
                <w:szCs w:val="20"/>
              </w:rPr>
            </w:pPr>
          </w:p>
        </w:tc>
      </w:tr>
      <w:tr w:rsidR="00000000" w14:paraId="177DB073" w14:textId="77777777">
        <w:trPr>
          <w:divId w:val="1605722058"/>
          <w:jc w:val="center"/>
        </w:trPr>
        <w:tc>
          <w:tcPr>
            <w:tcW w:w="0" w:type="auto"/>
            <w:gridSpan w:val="6"/>
            <w:shd w:val="clear" w:color="auto" w:fill="CCEEFF"/>
            <w:tcMar>
              <w:top w:w="30" w:type="dxa"/>
              <w:left w:w="245" w:type="dxa"/>
              <w:bottom w:w="30" w:type="dxa"/>
              <w:right w:w="20" w:type="dxa"/>
            </w:tcMar>
            <w:vAlign w:val="bottom"/>
            <w:hideMark/>
          </w:tcPr>
          <w:p w14:paraId="4833FACB" w14:textId="77777777" w:rsidR="00000000" w:rsidRDefault="00EE5306">
            <w:pPr>
              <w:spacing w:after="100"/>
              <w:rPr>
                <w:rFonts w:eastAsia="Times New Roman"/>
              </w:rPr>
            </w:pPr>
            <w:r>
              <w:rPr>
                <w:rFonts w:eastAsia="Times New Roman"/>
                <w:color w:val="000000"/>
                <w:sz w:val="18"/>
                <w:szCs w:val="18"/>
              </w:rPr>
              <w:t>Total comprehensive income</w:t>
            </w:r>
          </w:p>
        </w:tc>
        <w:tc>
          <w:tcPr>
            <w:tcW w:w="0" w:type="auto"/>
            <w:gridSpan w:val="3"/>
            <w:shd w:val="clear" w:color="auto" w:fill="CCEEFF"/>
            <w:tcMar>
              <w:top w:w="0" w:type="dxa"/>
              <w:left w:w="20" w:type="dxa"/>
              <w:bottom w:w="0" w:type="dxa"/>
              <w:right w:w="20" w:type="dxa"/>
            </w:tcMar>
            <w:vAlign w:val="center"/>
            <w:hideMark/>
          </w:tcPr>
          <w:p w14:paraId="0D291B2F"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4A0F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9FAA6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58EB5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492BB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1FE84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1E8D9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2A8A4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06ECD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B9501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428DF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4C65F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F0818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A61F3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84E88"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B9912B" w14:textId="77777777" w:rsidR="00000000" w:rsidRDefault="00EE5306">
            <w:pPr>
              <w:spacing w:after="100"/>
              <w:jc w:val="right"/>
              <w:rPr>
                <w:rFonts w:eastAsia="Times New Roman"/>
              </w:rPr>
            </w:pPr>
            <w:r>
              <w:rPr>
                <w:rFonts w:eastAsia="Times New Roman"/>
                <w:color w:val="000000"/>
                <w:sz w:val="16"/>
                <w:szCs w:val="16"/>
              </w:rPr>
              <w:t>369.5 </w:t>
            </w:r>
          </w:p>
        </w:tc>
        <w:tc>
          <w:tcPr>
            <w:tcW w:w="0" w:type="auto"/>
            <w:shd w:val="clear" w:color="auto" w:fill="CCEEFF"/>
            <w:tcMar>
              <w:top w:w="30" w:type="dxa"/>
              <w:left w:w="0" w:type="dxa"/>
              <w:bottom w:w="30" w:type="dxa"/>
              <w:right w:w="20" w:type="dxa"/>
            </w:tcMar>
            <w:vAlign w:val="bottom"/>
            <w:hideMark/>
          </w:tcPr>
          <w:p w14:paraId="33030FB0" w14:textId="77777777" w:rsidR="00000000" w:rsidRDefault="00EE5306">
            <w:pPr>
              <w:spacing w:after="100"/>
              <w:jc w:val="right"/>
              <w:rPr>
                <w:rFonts w:eastAsia="Times New Roman"/>
              </w:rPr>
            </w:pPr>
          </w:p>
        </w:tc>
      </w:tr>
      <w:tr w:rsidR="00000000" w14:paraId="6A62E03D" w14:textId="77777777">
        <w:trPr>
          <w:divId w:val="1605722058"/>
          <w:jc w:val="center"/>
        </w:trPr>
        <w:tc>
          <w:tcPr>
            <w:tcW w:w="0" w:type="auto"/>
            <w:gridSpan w:val="6"/>
            <w:shd w:val="clear" w:color="auto" w:fill="FFFFFF"/>
            <w:tcMar>
              <w:top w:w="30" w:type="dxa"/>
              <w:left w:w="20" w:type="dxa"/>
              <w:bottom w:w="30" w:type="dxa"/>
              <w:right w:w="20" w:type="dxa"/>
            </w:tcMar>
            <w:vAlign w:val="bottom"/>
            <w:hideMark/>
          </w:tcPr>
          <w:p w14:paraId="4BE6F9A1" w14:textId="77777777" w:rsidR="00000000" w:rsidRDefault="00EE5306">
            <w:pPr>
              <w:spacing w:after="100"/>
              <w:rPr>
                <w:rFonts w:eastAsia="Times New Roman"/>
              </w:rPr>
            </w:pPr>
            <w:r>
              <w:rPr>
                <w:rFonts w:eastAsia="Times New Roman"/>
                <w:color w:val="000000"/>
                <w:sz w:val="18"/>
                <w:szCs w:val="18"/>
              </w:rPr>
              <w:t>Dividends declared</w:t>
            </w:r>
          </w:p>
        </w:tc>
        <w:tc>
          <w:tcPr>
            <w:tcW w:w="0" w:type="auto"/>
            <w:gridSpan w:val="3"/>
            <w:shd w:val="clear" w:color="auto" w:fill="FFFFFF"/>
            <w:tcMar>
              <w:top w:w="0" w:type="dxa"/>
              <w:left w:w="20" w:type="dxa"/>
              <w:bottom w:w="0" w:type="dxa"/>
              <w:right w:w="20" w:type="dxa"/>
            </w:tcMar>
            <w:vAlign w:val="center"/>
            <w:hideMark/>
          </w:tcPr>
          <w:p w14:paraId="770364C2"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D6D6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9BA75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6EBB8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1CC92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5D2C2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74290B"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57400C" w14:textId="77777777" w:rsidR="00000000" w:rsidRDefault="00EE5306">
            <w:pPr>
              <w:spacing w:after="100"/>
              <w:jc w:val="right"/>
              <w:rPr>
                <w:rFonts w:eastAsia="Times New Roman"/>
              </w:rPr>
            </w:pPr>
            <w:r>
              <w:rPr>
                <w:rFonts w:eastAsia="Times New Roman"/>
                <w:color w:val="000000"/>
                <w:sz w:val="16"/>
                <w:szCs w:val="16"/>
              </w:rPr>
              <w:t>(204.9)</w:t>
            </w:r>
          </w:p>
        </w:tc>
        <w:tc>
          <w:tcPr>
            <w:tcW w:w="0" w:type="auto"/>
            <w:shd w:val="clear" w:color="auto" w:fill="FFFFFF"/>
            <w:tcMar>
              <w:top w:w="30" w:type="dxa"/>
              <w:left w:w="0" w:type="dxa"/>
              <w:bottom w:w="30" w:type="dxa"/>
              <w:right w:w="20" w:type="dxa"/>
            </w:tcMar>
            <w:vAlign w:val="bottom"/>
            <w:hideMark/>
          </w:tcPr>
          <w:p w14:paraId="1D40D6E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19E95"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AD903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82A93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A3240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AB354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28D3D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54C005"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574786" w14:textId="77777777" w:rsidR="00000000" w:rsidRDefault="00EE5306">
            <w:pPr>
              <w:spacing w:after="100"/>
              <w:jc w:val="right"/>
              <w:rPr>
                <w:rFonts w:eastAsia="Times New Roman"/>
              </w:rPr>
            </w:pPr>
            <w:r>
              <w:rPr>
                <w:rFonts w:eastAsia="Times New Roman"/>
                <w:color w:val="000000"/>
                <w:sz w:val="16"/>
                <w:szCs w:val="16"/>
              </w:rPr>
              <w:t>(204.9)</w:t>
            </w:r>
          </w:p>
        </w:tc>
        <w:tc>
          <w:tcPr>
            <w:tcW w:w="0" w:type="auto"/>
            <w:shd w:val="clear" w:color="auto" w:fill="FFFFFF"/>
            <w:tcMar>
              <w:top w:w="30" w:type="dxa"/>
              <w:left w:w="0" w:type="dxa"/>
              <w:bottom w:w="30" w:type="dxa"/>
              <w:right w:w="20" w:type="dxa"/>
            </w:tcMar>
            <w:vAlign w:val="bottom"/>
            <w:hideMark/>
          </w:tcPr>
          <w:p w14:paraId="585FB300" w14:textId="77777777" w:rsidR="00000000" w:rsidRDefault="00EE5306">
            <w:pPr>
              <w:spacing w:after="100"/>
              <w:jc w:val="right"/>
              <w:rPr>
                <w:rFonts w:eastAsia="Times New Roman"/>
              </w:rPr>
            </w:pPr>
          </w:p>
        </w:tc>
      </w:tr>
      <w:tr w:rsidR="00000000" w14:paraId="1737DC28" w14:textId="77777777">
        <w:trPr>
          <w:divId w:val="1605722058"/>
          <w:jc w:val="center"/>
        </w:trPr>
        <w:tc>
          <w:tcPr>
            <w:tcW w:w="0" w:type="auto"/>
            <w:gridSpan w:val="6"/>
            <w:shd w:val="clear" w:color="auto" w:fill="CCEEFF"/>
            <w:tcMar>
              <w:top w:w="30" w:type="dxa"/>
              <w:left w:w="20" w:type="dxa"/>
              <w:bottom w:w="30" w:type="dxa"/>
              <w:right w:w="20" w:type="dxa"/>
            </w:tcMar>
            <w:vAlign w:val="bottom"/>
            <w:hideMark/>
          </w:tcPr>
          <w:p w14:paraId="6E416ACF" w14:textId="77777777" w:rsidR="00000000" w:rsidRDefault="00EE5306">
            <w:pPr>
              <w:spacing w:after="100"/>
              <w:rPr>
                <w:rFonts w:eastAsia="Times New Roman"/>
              </w:rPr>
            </w:pPr>
            <w:r>
              <w:rPr>
                <w:rFonts w:eastAsia="Times New Roman"/>
                <w:color w:val="000000"/>
                <w:sz w:val="18"/>
                <w:szCs w:val="18"/>
              </w:rPr>
              <w:t>Repurchases of common stock</w:t>
            </w:r>
          </w:p>
        </w:tc>
        <w:tc>
          <w:tcPr>
            <w:tcW w:w="0" w:type="auto"/>
            <w:gridSpan w:val="3"/>
            <w:shd w:val="clear" w:color="auto" w:fill="CCEEFF"/>
            <w:tcMar>
              <w:top w:w="0" w:type="dxa"/>
              <w:left w:w="20" w:type="dxa"/>
              <w:bottom w:w="0" w:type="dxa"/>
              <w:right w:w="20" w:type="dxa"/>
            </w:tcMar>
            <w:vAlign w:val="center"/>
            <w:hideMark/>
          </w:tcPr>
          <w:p w14:paraId="5EAB818E"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6164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E0842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3A52B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82FC3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12680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2DA82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99220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BA7CF9"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59128E" w14:textId="77777777" w:rsidR="00000000" w:rsidRDefault="00EE5306">
            <w:pPr>
              <w:spacing w:after="100"/>
              <w:jc w:val="right"/>
              <w:rPr>
                <w:rFonts w:eastAsia="Times New Roman"/>
              </w:rPr>
            </w:pPr>
            <w:r>
              <w:rPr>
                <w:rFonts w:eastAsia="Times New Roman"/>
                <w:color w:val="000000"/>
                <w:sz w:val="16"/>
                <w:szCs w:val="16"/>
              </w:rPr>
              <w:t>6.6 </w:t>
            </w:r>
          </w:p>
        </w:tc>
        <w:tc>
          <w:tcPr>
            <w:tcW w:w="0" w:type="auto"/>
            <w:shd w:val="clear" w:color="auto" w:fill="CCEEFF"/>
            <w:tcMar>
              <w:top w:w="30" w:type="dxa"/>
              <w:left w:w="0" w:type="dxa"/>
              <w:bottom w:w="30" w:type="dxa"/>
              <w:right w:w="20" w:type="dxa"/>
            </w:tcMar>
            <w:vAlign w:val="bottom"/>
            <w:hideMark/>
          </w:tcPr>
          <w:p w14:paraId="2929B0F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6FCB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C93A5D" w14:textId="77777777" w:rsidR="00000000" w:rsidRDefault="00EE5306">
            <w:pPr>
              <w:spacing w:after="100"/>
              <w:jc w:val="right"/>
              <w:rPr>
                <w:rFonts w:eastAsia="Times New Roman"/>
              </w:rPr>
            </w:pPr>
            <w:r>
              <w:rPr>
                <w:rFonts w:eastAsia="Times New Roman"/>
                <w:color w:val="000000"/>
                <w:sz w:val="16"/>
                <w:szCs w:val="16"/>
              </w:rPr>
              <w:t>(694.8)</w:t>
            </w:r>
          </w:p>
        </w:tc>
        <w:tc>
          <w:tcPr>
            <w:tcW w:w="0" w:type="auto"/>
            <w:shd w:val="clear" w:color="auto" w:fill="CCEEFF"/>
            <w:tcMar>
              <w:top w:w="30" w:type="dxa"/>
              <w:left w:w="0" w:type="dxa"/>
              <w:bottom w:w="30" w:type="dxa"/>
              <w:right w:w="20" w:type="dxa"/>
            </w:tcMar>
            <w:vAlign w:val="bottom"/>
            <w:hideMark/>
          </w:tcPr>
          <w:p w14:paraId="0CD0EBB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05EFE"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790BF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CDE153"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49DCA7" w14:textId="77777777" w:rsidR="00000000" w:rsidRDefault="00EE5306">
            <w:pPr>
              <w:spacing w:after="100"/>
              <w:jc w:val="right"/>
              <w:rPr>
                <w:rFonts w:eastAsia="Times New Roman"/>
              </w:rPr>
            </w:pPr>
            <w:r>
              <w:rPr>
                <w:rFonts w:eastAsia="Times New Roman"/>
                <w:color w:val="000000"/>
                <w:sz w:val="16"/>
                <w:szCs w:val="16"/>
              </w:rPr>
              <w:t>(</w:t>
            </w:r>
            <w:r>
              <w:rPr>
                <w:rFonts w:eastAsia="Times New Roman"/>
                <w:color w:val="000000"/>
                <w:sz w:val="16"/>
                <w:szCs w:val="16"/>
              </w:rPr>
              <w:t>694.8)</w:t>
            </w:r>
          </w:p>
        </w:tc>
        <w:tc>
          <w:tcPr>
            <w:tcW w:w="0" w:type="auto"/>
            <w:shd w:val="clear" w:color="auto" w:fill="CCEEFF"/>
            <w:tcMar>
              <w:top w:w="30" w:type="dxa"/>
              <w:left w:w="0" w:type="dxa"/>
              <w:bottom w:w="30" w:type="dxa"/>
              <w:right w:w="20" w:type="dxa"/>
            </w:tcMar>
            <w:vAlign w:val="bottom"/>
            <w:hideMark/>
          </w:tcPr>
          <w:p w14:paraId="50A2F904" w14:textId="77777777" w:rsidR="00000000" w:rsidRDefault="00EE5306">
            <w:pPr>
              <w:spacing w:after="100"/>
              <w:jc w:val="right"/>
              <w:rPr>
                <w:rFonts w:eastAsia="Times New Roman"/>
              </w:rPr>
            </w:pPr>
          </w:p>
        </w:tc>
      </w:tr>
      <w:tr w:rsidR="00000000" w14:paraId="0298870B" w14:textId="77777777">
        <w:trPr>
          <w:divId w:val="1605722058"/>
          <w:jc w:val="center"/>
        </w:trPr>
        <w:tc>
          <w:tcPr>
            <w:tcW w:w="0" w:type="auto"/>
            <w:gridSpan w:val="6"/>
            <w:shd w:val="clear" w:color="auto" w:fill="FFFFFF"/>
            <w:tcMar>
              <w:top w:w="30" w:type="dxa"/>
              <w:left w:w="20" w:type="dxa"/>
              <w:bottom w:w="30" w:type="dxa"/>
              <w:right w:w="20" w:type="dxa"/>
            </w:tcMar>
            <w:vAlign w:val="bottom"/>
            <w:hideMark/>
          </w:tcPr>
          <w:p w14:paraId="5505ABDE" w14:textId="77777777" w:rsidR="00000000" w:rsidRDefault="00EE5306">
            <w:pPr>
              <w:spacing w:after="100"/>
              <w:rPr>
                <w:rFonts w:eastAsia="Times New Roman"/>
              </w:rPr>
            </w:pPr>
            <w:r>
              <w:rPr>
                <w:rFonts w:eastAsia="Times New Roman"/>
                <w:color w:val="000000"/>
                <w:sz w:val="18"/>
                <w:szCs w:val="18"/>
              </w:rPr>
              <w:t>Stock-based compensation</w:t>
            </w:r>
          </w:p>
        </w:tc>
        <w:tc>
          <w:tcPr>
            <w:tcW w:w="0" w:type="auto"/>
            <w:gridSpan w:val="3"/>
            <w:shd w:val="clear" w:color="auto" w:fill="FFFFFF"/>
            <w:tcMar>
              <w:top w:w="0" w:type="dxa"/>
              <w:left w:w="20" w:type="dxa"/>
              <w:bottom w:w="0" w:type="dxa"/>
              <w:right w:w="20" w:type="dxa"/>
            </w:tcMar>
            <w:vAlign w:val="center"/>
            <w:hideMark/>
          </w:tcPr>
          <w:p w14:paraId="559F4C79"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59C3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86D72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F8BF9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DB0E8C"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C9F304" w14:textId="77777777" w:rsidR="00000000" w:rsidRDefault="00EE5306">
            <w:pPr>
              <w:spacing w:after="100"/>
              <w:jc w:val="right"/>
              <w:rPr>
                <w:rFonts w:eastAsia="Times New Roman"/>
              </w:rPr>
            </w:pPr>
            <w:r>
              <w:rPr>
                <w:rFonts w:eastAsia="Times New Roman"/>
                <w:color w:val="000000"/>
                <w:sz w:val="16"/>
                <w:szCs w:val="16"/>
              </w:rPr>
              <w:t>100.6 </w:t>
            </w:r>
          </w:p>
        </w:tc>
        <w:tc>
          <w:tcPr>
            <w:tcW w:w="0" w:type="auto"/>
            <w:shd w:val="clear" w:color="auto" w:fill="FFFFFF"/>
            <w:tcMar>
              <w:top w:w="30" w:type="dxa"/>
              <w:left w:w="0" w:type="dxa"/>
              <w:bottom w:w="30" w:type="dxa"/>
              <w:right w:w="20" w:type="dxa"/>
            </w:tcMar>
            <w:vAlign w:val="bottom"/>
            <w:hideMark/>
          </w:tcPr>
          <w:p w14:paraId="207CB87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EA405"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A7436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D0F24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EB41F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4DA49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AF761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513BC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6EED5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94680B"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683972" w14:textId="77777777" w:rsidR="00000000" w:rsidRDefault="00EE5306">
            <w:pPr>
              <w:spacing w:after="100"/>
              <w:jc w:val="right"/>
              <w:rPr>
                <w:rFonts w:eastAsia="Times New Roman"/>
              </w:rPr>
            </w:pPr>
            <w:r>
              <w:rPr>
                <w:rFonts w:eastAsia="Times New Roman"/>
                <w:color w:val="000000"/>
                <w:sz w:val="16"/>
                <w:szCs w:val="16"/>
              </w:rPr>
              <w:t>100.6 </w:t>
            </w:r>
          </w:p>
        </w:tc>
        <w:tc>
          <w:tcPr>
            <w:tcW w:w="0" w:type="auto"/>
            <w:shd w:val="clear" w:color="auto" w:fill="FFFFFF"/>
            <w:tcMar>
              <w:top w:w="30" w:type="dxa"/>
              <w:left w:w="0" w:type="dxa"/>
              <w:bottom w:w="30" w:type="dxa"/>
              <w:right w:w="20" w:type="dxa"/>
            </w:tcMar>
            <w:vAlign w:val="bottom"/>
            <w:hideMark/>
          </w:tcPr>
          <w:p w14:paraId="7570C73E" w14:textId="77777777" w:rsidR="00000000" w:rsidRDefault="00EE5306">
            <w:pPr>
              <w:spacing w:after="100"/>
              <w:jc w:val="right"/>
              <w:rPr>
                <w:rFonts w:eastAsia="Times New Roman"/>
              </w:rPr>
            </w:pPr>
          </w:p>
        </w:tc>
      </w:tr>
      <w:tr w:rsidR="00000000" w14:paraId="37BD3CD1" w14:textId="77777777">
        <w:trPr>
          <w:divId w:val="1605722058"/>
          <w:jc w:val="center"/>
        </w:trPr>
        <w:tc>
          <w:tcPr>
            <w:tcW w:w="0" w:type="auto"/>
            <w:gridSpan w:val="6"/>
            <w:shd w:val="clear" w:color="auto" w:fill="CCEEFF"/>
            <w:tcMar>
              <w:top w:w="30" w:type="dxa"/>
              <w:left w:w="20" w:type="dxa"/>
              <w:bottom w:w="30" w:type="dxa"/>
              <w:right w:w="20" w:type="dxa"/>
            </w:tcMar>
            <w:vAlign w:val="bottom"/>
            <w:hideMark/>
          </w:tcPr>
          <w:p w14:paraId="30816BAB" w14:textId="77777777" w:rsidR="00000000" w:rsidRDefault="00EE5306">
            <w:pPr>
              <w:spacing w:after="100"/>
              <w:divId w:val="1465197989"/>
              <w:rPr>
                <w:rFonts w:eastAsia="Times New Roman"/>
              </w:rPr>
            </w:pPr>
            <w:r>
              <w:rPr>
                <w:rFonts w:eastAsia="Times New Roman"/>
                <w:color w:val="000000"/>
                <w:sz w:val="18"/>
                <w:szCs w:val="18"/>
              </w:rPr>
              <w:t xml:space="preserve">Shares issued pursuant to stock-based </w:t>
            </w:r>
          </w:p>
          <w:p w14:paraId="700C3B37" w14:textId="77777777" w:rsidR="00000000" w:rsidRDefault="00EE5306">
            <w:pPr>
              <w:spacing w:after="100"/>
              <w:divId w:val="943727262"/>
              <w:rPr>
                <w:rFonts w:eastAsia="Times New Roman"/>
              </w:rPr>
            </w:pPr>
            <w:r>
              <w:rPr>
                <w:rFonts w:eastAsia="Times New Roman"/>
                <w:color w:val="000000"/>
                <w:sz w:val="18"/>
                <w:szCs w:val="18"/>
              </w:rPr>
              <w:t>compensation plans</w:t>
            </w:r>
          </w:p>
        </w:tc>
        <w:tc>
          <w:tcPr>
            <w:tcW w:w="0" w:type="auto"/>
            <w:gridSpan w:val="3"/>
            <w:shd w:val="clear" w:color="auto" w:fill="CCEEFF"/>
            <w:tcMar>
              <w:top w:w="0" w:type="dxa"/>
              <w:left w:w="20" w:type="dxa"/>
              <w:bottom w:w="0" w:type="dxa"/>
              <w:right w:w="20" w:type="dxa"/>
            </w:tcMar>
            <w:vAlign w:val="center"/>
            <w:hideMark/>
          </w:tcPr>
          <w:p w14:paraId="2048916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FE45BB" w14:textId="77777777" w:rsidR="00000000" w:rsidRDefault="00EE5306">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14:paraId="27C5C45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A1A4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F7D2C"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891D73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FAA88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2048CA"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595501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D581E"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9A5CB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E41FB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A188A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04019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BF2F3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84286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0DD65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E3F3C2"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0B4FDD"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03AAD3" w14:textId="77777777" w:rsidR="00000000" w:rsidRDefault="00EE5306">
            <w:pPr>
              <w:spacing w:after="100"/>
              <w:jc w:val="right"/>
              <w:rPr>
                <w:rFonts w:eastAsia="Times New Roman"/>
              </w:rPr>
            </w:pPr>
          </w:p>
        </w:tc>
      </w:tr>
      <w:tr w:rsidR="00000000" w14:paraId="15F29C8B" w14:textId="77777777">
        <w:trPr>
          <w:divId w:val="1605722058"/>
          <w:jc w:val="center"/>
        </w:trPr>
        <w:tc>
          <w:tcPr>
            <w:tcW w:w="0" w:type="auto"/>
            <w:gridSpan w:val="6"/>
            <w:shd w:val="clear" w:color="auto" w:fill="FFFFFF"/>
            <w:tcMar>
              <w:top w:w="30" w:type="dxa"/>
              <w:left w:w="290" w:type="dxa"/>
              <w:bottom w:w="30" w:type="dxa"/>
              <w:right w:w="20" w:type="dxa"/>
            </w:tcMar>
            <w:vAlign w:val="bottom"/>
            <w:hideMark/>
          </w:tcPr>
          <w:p w14:paraId="71D2E16F" w14:textId="77777777" w:rsidR="00000000" w:rsidRDefault="00EE5306">
            <w:pPr>
              <w:spacing w:after="100"/>
              <w:rPr>
                <w:rFonts w:eastAsia="Times New Roman"/>
              </w:rPr>
            </w:pPr>
            <w:r>
              <w:rPr>
                <w:rFonts w:eastAsia="Times New Roman"/>
                <w:color w:val="000000"/>
                <w:sz w:val="18"/>
                <w:szCs w:val="18"/>
              </w:rPr>
              <w:t>Cumulative adjustment from adoption of new accounting standards</w:t>
            </w:r>
          </w:p>
        </w:tc>
        <w:tc>
          <w:tcPr>
            <w:tcW w:w="0" w:type="auto"/>
            <w:gridSpan w:val="3"/>
            <w:shd w:val="clear" w:color="auto" w:fill="FFFFFF"/>
            <w:tcMar>
              <w:top w:w="0" w:type="dxa"/>
              <w:left w:w="20" w:type="dxa"/>
              <w:bottom w:w="0" w:type="dxa"/>
              <w:right w:w="20" w:type="dxa"/>
            </w:tcMar>
            <w:vAlign w:val="center"/>
            <w:hideMark/>
          </w:tcPr>
          <w:p w14:paraId="421F526A"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9865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93D60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85BDC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CD636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6BAC4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BDFB2A"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593107" w14:textId="77777777" w:rsidR="00000000" w:rsidRDefault="00EE5306">
            <w:pPr>
              <w:spacing w:after="100"/>
              <w:jc w:val="right"/>
              <w:rPr>
                <w:rFonts w:eastAsia="Times New Roman"/>
              </w:rPr>
            </w:pPr>
            <w:r>
              <w:rPr>
                <w:rFonts w:eastAsia="Times New Roman"/>
                <w:color w:val="000000"/>
                <w:sz w:val="16"/>
                <w:szCs w:val="16"/>
              </w:rPr>
              <w:t>(164.5)</w:t>
            </w:r>
          </w:p>
        </w:tc>
        <w:tc>
          <w:tcPr>
            <w:tcW w:w="0" w:type="auto"/>
            <w:shd w:val="clear" w:color="auto" w:fill="FFFFFF"/>
            <w:tcMar>
              <w:top w:w="30" w:type="dxa"/>
              <w:left w:w="0" w:type="dxa"/>
              <w:bottom w:w="30" w:type="dxa"/>
              <w:right w:w="20" w:type="dxa"/>
            </w:tcMar>
            <w:vAlign w:val="bottom"/>
            <w:hideMark/>
          </w:tcPr>
          <w:p w14:paraId="6DBAD14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B74D3"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BD890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3E011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BBE66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82051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09DB6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330A63"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223721" w14:textId="77777777" w:rsidR="00000000" w:rsidRDefault="00EE5306">
            <w:pPr>
              <w:spacing w:after="100"/>
              <w:jc w:val="right"/>
              <w:rPr>
                <w:rFonts w:eastAsia="Times New Roman"/>
              </w:rPr>
            </w:pPr>
            <w:r>
              <w:rPr>
                <w:rFonts w:eastAsia="Times New Roman"/>
                <w:color w:val="000000"/>
                <w:sz w:val="16"/>
                <w:szCs w:val="16"/>
              </w:rPr>
              <w:t>(164.5)</w:t>
            </w:r>
          </w:p>
        </w:tc>
        <w:tc>
          <w:tcPr>
            <w:tcW w:w="0" w:type="auto"/>
            <w:shd w:val="clear" w:color="auto" w:fill="FFFFFF"/>
            <w:tcMar>
              <w:top w:w="30" w:type="dxa"/>
              <w:left w:w="0" w:type="dxa"/>
              <w:bottom w:w="30" w:type="dxa"/>
              <w:right w:w="20" w:type="dxa"/>
            </w:tcMar>
            <w:vAlign w:val="bottom"/>
            <w:hideMark/>
          </w:tcPr>
          <w:p w14:paraId="1DA9CB8D" w14:textId="77777777" w:rsidR="00000000" w:rsidRDefault="00EE5306">
            <w:pPr>
              <w:spacing w:after="100"/>
              <w:jc w:val="right"/>
              <w:rPr>
                <w:rFonts w:eastAsia="Times New Roman"/>
              </w:rPr>
            </w:pPr>
          </w:p>
        </w:tc>
      </w:tr>
      <w:tr w:rsidR="00EE5306" w14:paraId="3A90476C" w14:textId="77777777">
        <w:trPr>
          <w:divId w:val="1605722058"/>
          <w:jc w:val="center"/>
        </w:trPr>
        <w:tc>
          <w:tcPr>
            <w:tcW w:w="0" w:type="auto"/>
            <w:gridSpan w:val="6"/>
            <w:shd w:val="clear" w:color="auto" w:fill="CCEEFF"/>
            <w:tcMar>
              <w:top w:w="30" w:type="dxa"/>
              <w:left w:w="20" w:type="dxa"/>
              <w:bottom w:w="30" w:type="dxa"/>
              <w:right w:w="20" w:type="dxa"/>
            </w:tcMar>
            <w:vAlign w:val="bottom"/>
            <w:hideMark/>
          </w:tcPr>
          <w:p w14:paraId="176C3C71" w14:textId="77777777" w:rsidR="00000000" w:rsidRDefault="00EE5306">
            <w:pPr>
              <w:spacing w:after="100"/>
              <w:divId w:val="703674532"/>
              <w:rPr>
                <w:rFonts w:eastAsia="Times New Roman"/>
              </w:rPr>
            </w:pPr>
            <w:r>
              <w:rPr>
                <w:rFonts w:eastAsia="Times New Roman"/>
                <w:b/>
                <w:bCs/>
                <w:color w:val="000000"/>
                <w:sz w:val="18"/>
                <w:szCs w:val="18"/>
              </w:rPr>
              <w:t>Balance at March 28, 2020</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14:paraId="2E577A84"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03EE05" w14:textId="77777777" w:rsidR="00000000" w:rsidRDefault="00EE5306">
            <w:pPr>
              <w:spacing w:after="100"/>
              <w:jc w:val="right"/>
              <w:rPr>
                <w:rFonts w:eastAsia="Times New Roman"/>
              </w:rPr>
            </w:pPr>
            <w:r>
              <w:rPr>
                <w:rFonts w:eastAsia="Times New Roman"/>
                <w:color w:val="000000"/>
                <w:sz w:val="16"/>
                <w:szCs w:val="16"/>
              </w:rPr>
              <w:t>129.8 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CF2E6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32FCC2"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1756D4"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6AA6E9" w14:textId="77777777" w:rsidR="00000000" w:rsidRDefault="00EE5306">
            <w:pPr>
              <w:spacing w:after="100"/>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1EC5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4D28B"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AE11E3"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F100D0" w14:textId="77777777" w:rsidR="00000000" w:rsidRDefault="00EE5306">
            <w:pPr>
              <w:spacing w:after="100"/>
              <w:jc w:val="right"/>
              <w:rPr>
                <w:rFonts w:eastAsia="Times New Roman"/>
              </w:rPr>
            </w:pPr>
            <w:r>
              <w:rPr>
                <w:rFonts w:eastAsia="Times New Roman"/>
                <w:color w:val="000000"/>
                <w:sz w:val="16"/>
                <w:szCs w:val="16"/>
              </w:rPr>
              <w:t>2,594.4 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B9131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F1A6B"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4587BC"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7523B7" w14:textId="77777777" w:rsidR="00000000" w:rsidRDefault="00EE5306">
            <w:pPr>
              <w:spacing w:after="100"/>
              <w:jc w:val="right"/>
              <w:rPr>
                <w:rFonts w:eastAsia="Times New Roman"/>
              </w:rPr>
            </w:pPr>
            <w:r>
              <w:rPr>
                <w:rFonts w:eastAsia="Times New Roman"/>
                <w:color w:val="000000"/>
                <w:sz w:val="16"/>
                <w:szCs w:val="16"/>
              </w:rPr>
              <w:t>5,994.0 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E81D5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B96D64"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A65B4F" w14:textId="77777777" w:rsidR="00000000" w:rsidRDefault="00EE5306">
            <w:pPr>
              <w:spacing w:after="100"/>
              <w:jc w:val="right"/>
              <w:rPr>
                <w:rFonts w:eastAsia="Times New Roman"/>
              </w:rPr>
            </w:pPr>
            <w:r>
              <w:rPr>
                <w:rFonts w:eastAsia="Times New Roman"/>
                <w:color w:val="000000"/>
                <w:sz w:val="16"/>
                <w:szCs w:val="16"/>
              </w:rPr>
              <w:t>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09D89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5F7B0"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BBD993"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96D6E9" w14:textId="77777777" w:rsidR="00000000" w:rsidRDefault="00EE5306">
            <w:pPr>
              <w:spacing w:after="100"/>
              <w:jc w:val="right"/>
              <w:rPr>
                <w:rFonts w:eastAsia="Times New Roman"/>
              </w:rPr>
            </w:pPr>
            <w:r>
              <w:rPr>
                <w:rFonts w:eastAsia="Times New Roman"/>
                <w:color w:val="000000"/>
                <w:sz w:val="16"/>
                <w:szCs w:val="16"/>
              </w:rPr>
              <w:t>(5,778.4)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BF81E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6A1C1"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D83D1C"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AD2666" w14:textId="77777777" w:rsidR="00000000" w:rsidRDefault="00EE5306">
            <w:pPr>
              <w:spacing w:after="100"/>
              <w:jc w:val="right"/>
              <w:rPr>
                <w:rFonts w:eastAsia="Times New Roman"/>
              </w:rPr>
            </w:pPr>
            <w:r>
              <w:rPr>
                <w:rFonts w:eastAsia="Times New Roman"/>
                <w:color w:val="000000"/>
                <w:sz w:val="16"/>
                <w:szCs w:val="16"/>
              </w:rPr>
              <w:t>(118.2)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A6FEF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0BA8C"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51851E"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6CBE32" w14:textId="77777777" w:rsidR="00000000" w:rsidRDefault="00EE5306">
            <w:pPr>
              <w:spacing w:after="100"/>
              <w:jc w:val="right"/>
              <w:rPr>
                <w:rFonts w:eastAsia="Times New Roman"/>
              </w:rPr>
            </w:pPr>
            <w:r>
              <w:rPr>
                <w:rFonts w:eastAsia="Times New Roman"/>
                <w:color w:val="000000"/>
                <w:sz w:val="16"/>
                <w:szCs w:val="16"/>
              </w:rPr>
              <w:t>2,693.1 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C94606" w14:textId="77777777" w:rsidR="00000000" w:rsidRDefault="00EE5306">
            <w:pPr>
              <w:spacing w:after="100"/>
              <w:jc w:val="right"/>
              <w:rPr>
                <w:rFonts w:eastAsia="Times New Roman"/>
              </w:rPr>
            </w:pPr>
          </w:p>
        </w:tc>
      </w:tr>
      <w:tr w:rsidR="00000000" w14:paraId="5E0A7594" w14:textId="77777777">
        <w:trPr>
          <w:divId w:val="1605722058"/>
          <w:jc w:val="center"/>
        </w:trPr>
        <w:tc>
          <w:tcPr>
            <w:tcW w:w="0" w:type="auto"/>
            <w:gridSpan w:val="6"/>
            <w:shd w:val="clear" w:color="auto" w:fill="FFFFFF"/>
            <w:tcMar>
              <w:top w:w="30" w:type="dxa"/>
              <w:left w:w="20" w:type="dxa"/>
              <w:bottom w:w="30" w:type="dxa"/>
              <w:right w:w="20" w:type="dxa"/>
            </w:tcMar>
            <w:vAlign w:val="bottom"/>
            <w:hideMark/>
          </w:tcPr>
          <w:p w14:paraId="4C10BBCC" w14:textId="77777777" w:rsidR="00000000" w:rsidRDefault="00EE5306">
            <w:pPr>
              <w:spacing w:after="100"/>
              <w:rPr>
                <w:rFonts w:eastAsia="Times New Roman"/>
              </w:rPr>
            </w:pPr>
            <w:r>
              <w:rPr>
                <w:rFonts w:eastAsia="Times New Roman"/>
                <w:color w:val="000000"/>
                <w:sz w:val="18"/>
                <w:szCs w:val="18"/>
              </w:rPr>
              <w:t>Comprehensive loss:</w:t>
            </w:r>
          </w:p>
        </w:tc>
        <w:tc>
          <w:tcPr>
            <w:tcW w:w="0" w:type="auto"/>
            <w:gridSpan w:val="3"/>
            <w:shd w:val="clear" w:color="auto" w:fill="FFFFFF"/>
            <w:tcMar>
              <w:top w:w="0" w:type="dxa"/>
              <w:left w:w="20" w:type="dxa"/>
              <w:bottom w:w="0" w:type="dxa"/>
              <w:right w:w="20" w:type="dxa"/>
            </w:tcMar>
            <w:vAlign w:val="center"/>
            <w:hideMark/>
          </w:tcPr>
          <w:p w14:paraId="3901587A"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C123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43B64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B483A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2B90F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65DC0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B5DEB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2DEFD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56F16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77141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4BA2B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AEC5F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EE3DA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C0C34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0F717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8024A3" w14:textId="77777777" w:rsidR="00000000" w:rsidRDefault="00EE5306">
            <w:pPr>
              <w:spacing w:after="100"/>
              <w:rPr>
                <w:rFonts w:eastAsia="Times New Roman"/>
                <w:sz w:val="20"/>
                <w:szCs w:val="20"/>
              </w:rPr>
            </w:pPr>
          </w:p>
        </w:tc>
      </w:tr>
      <w:tr w:rsidR="00000000" w14:paraId="0DAD4E07" w14:textId="77777777">
        <w:trPr>
          <w:divId w:val="1605722058"/>
          <w:jc w:val="center"/>
        </w:trPr>
        <w:tc>
          <w:tcPr>
            <w:tcW w:w="0" w:type="auto"/>
            <w:gridSpan w:val="6"/>
            <w:shd w:val="clear" w:color="auto" w:fill="CCEEFF"/>
            <w:tcMar>
              <w:top w:w="30" w:type="dxa"/>
              <w:left w:w="155" w:type="dxa"/>
              <w:bottom w:w="30" w:type="dxa"/>
              <w:right w:w="20" w:type="dxa"/>
            </w:tcMar>
            <w:vAlign w:val="bottom"/>
            <w:hideMark/>
          </w:tcPr>
          <w:p w14:paraId="524D8BFA" w14:textId="77777777" w:rsidR="00000000" w:rsidRDefault="00EE5306">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03FFCE2A"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4DAA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9517C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BD0DD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C9034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90165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B59CCF"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4D9A8D" w14:textId="77777777" w:rsidR="00000000" w:rsidRDefault="00EE5306">
            <w:pPr>
              <w:spacing w:after="100"/>
              <w:jc w:val="right"/>
              <w:rPr>
                <w:rFonts w:eastAsia="Times New Roman"/>
              </w:rPr>
            </w:pPr>
            <w:r>
              <w:rPr>
                <w:rFonts w:eastAsia="Times New Roman"/>
                <w:color w:val="000000"/>
                <w:sz w:val="16"/>
                <w:szCs w:val="16"/>
              </w:rPr>
              <w:t>(121.1)</w:t>
            </w:r>
          </w:p>
        </w:tc>
        <w:tc>
          <w:tcPr>
            <w:tcW w:w="0" w:type="auto"/>
            <w:shd w:val="clear" w:color="auto" w:fill="CCEEFF"/>
            <w:tcMar>
              <w:top w:w="30" w:type="dxa"/>
              <w:left w:w="0" w:type="dxa"/>
              <w:bottom w:w="30" w:type="dxa"/>
              <w:right w:w="20" w:type="dxa"/>
            </w:tcMar>
            <w:vAlign w:val="bottom"/>
            <w:hideMark/>
          </w:tcPr>
          <w:p w14:paraId="672ED58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2B919"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439CC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1FD3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BD1F0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5CDBF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6E521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50164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732DB4" w14:textId="77777777" w:rsidR="00000000" w:rsidRDefault="00EE5306">
            <w:pPr>
              <w:spacing w:after="100"/>
              <w:rPr>
                <w:rFonts w:eastAsia="Times New Roman"/>
                <w:sz w:val="20"/>
                <w:szCs w:val="20"/>
              </w:rPr>
            </w:pPr>
          </w:p>
        </w:tc>
      </w:tr>
      <w:tr w:rsidR="00000000" w14:paraId="7CC454A9" w14:textId="77777777">
        <w:trPr>
          <w:divId w:val="1605722058"/>
          <w:jc w:val="center"/>
        </w:trPr>
        <w:tc>
          <w:tcPr>
            <w:tcW w:w="0" w:type="auto"/>
            <w:gridSpan w:val="6"/>
            <w:shd w:val="clear" w:color="auto" w:fill="FFFFFF"/>
            <w:tcMar>
              <w:top w:w="30" w:type="dxa"/>
              <w:left w:w="155" w:type="dxa"/>
              <w:bottom w:w="30" w:type="dxa"/>
              <w:right w:w="20" w:type="dxa"/>
            </w:tcMar>
            <w:vAlign w:val="bottom"/>
            <w:hideMark/>
          </w:tcPr>
          <w:p w14:paraId="4C970AEE" w14:textId="77777777" w:rsidR="00000000" w:rsidRDefault="00EE5306">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598B22A1"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C4FF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5533B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ACC92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AE557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1227E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908E3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ABFB7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DBD6C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CA9CF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F50E1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2B72F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E5132A"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1D1205" w14:textId="77777777" w:rsidR="00000000" w:rsidRDefault="00EE5306">
            <w:pPr>
              <w:spacing w:after="100"/>
              <w:jc w:val="right"/>
              <w:rPr>
                <w:rFonts w:eastAsia="Times New Roman"/>
              </w:rPr>
            </w:pPr>
            <w:r>
              <w:rPr>
                <w:rFonts w:eastAsia="Times New Roman"/>
                <w:color w:val="000000"/>
                <w:sz w:val="16"/>
                <w:szCs w:val="16"/>
              </w:rPr>
              <w:t>(2.6)</w:t>
            </w:r>
          </w:p>
        </w:tc>
        <w:tc>
          <w:tcPr>
            <w:tcW w:w="0" w:type="auto"/>
            <w:shd w:val="clear" w:color="auto" w:fill="FFFFFF"/>
            <w:tcMar>
              <w:top w:w="30" w:type="dxa"/>
              <w:left w:w="0" w:type="dxa"/>
              <w:bottom w:w="30" w:type="dxa"/>
              <w:right w:w="20" w:type="dxa"/>
            </w:tcMar>
            <w:vAlign w:val="bottom"/>
            <w:hideMark/>
          </w:tcPr>
          <w:p w14:paraId="154902B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8EE9C"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E693E3" w14:textId="77777777" w:rsidR="00000000" w:rsidRDefault="00EE5306">
            <w:pPr>
              <w:spacing w:after="100"/>
              <w:rPr>
                <w:rFonts w:eastAsia="Times New Roman"/>
                <w:sz w:val="20"/>
                <w:szCs w:val="20"/>
              </w:rPr>
            </w:pPr>
          </w:p>
        </w:tc>
      </w:tr>
      <w:tr w:rsidR="00000000" w14:paraId="4C6C854E" w14:textId="77777777">
        <w:trPr>
          <w:divId w:val="1605722058"/>
          <w:jc w:val="center"/>
        </w:trPr>
        <w:tc>
          <w:tcPr>
            <w:tcW w:w="0" w:type="auto"/>
            <w:gridSpan w:val="6"/>
            <w:shd w:val="clear" w:color="auto" w:fill="CCEEFF"/>
            <w:tcMar>
              <w:top w:w="30" w:type="dxa"/>
              <w:left w:w="20" w:type="dxa"/>
              <w:bottom w:w="30" w:type="dxa"/>
              <w:right w:w="20" w:type="dxa"/>
            </w:tcMar>
            <w:vAlign w:val="bottom"/>
            <w:hideMark/>
          </w:tcPr>
          <w:p w14:paraId="12F0D880" w14:textId="77777777" w:rsidR="00000000" w:rsidRDefault="00EE5306">
            <w:pPr>
              <w:spacing w:after="100"/>
              <w:rPr>
                <w:rFonts w:eastAsia="Times New Roman"/>
              </w:rPr>
            </w:pPr>
            <w:r>
              <w:rPr>
                <w:rFonts w:eastAsia="Times New Roman"/>
                <w:color w:val="000000"/>
                <w:sz w:val="18"/>
                <w:szCs w:val="18"/>
              </w:rPr>
              <w:t>     </w:t>
            </w:r>
            <w:r>
              <w:rPr>
                <w:rFonts w:eastAsia="Times New Roman"/>
                <w:color w:val="000000"/>
                <w:sz w:val="18"/>
                <w:szCs w:val="18"/>
              </w:rPr>
              <w:t>Total comprehensive loss</w:t>
            </w:r>
          </w:p>
        </w:tc>
        <w:tc>
          <w:tcPr>
            <w:tcW w:w="0" w:type="auto"/>
            <w:gridSpan w:val="3"/>
            <w:shd w:val="clear" w:color="auto" w:fill="CCEEFF"/>
            <w:tcMar>
              <w:top w:w="0" w:type="dxa"/>
              <w:left w:w="20" w:type="dxa"/>
              <w:bottom w:w="0" w:type="dxa"/>
              <w:right w:w="20" w:type="dxa"/>
            </w:tcMar>
            <w:vAlign w:val="center"/>
            <w:hideMark/>
          </w:tcPr>
          <w:p w14:paraId="3CAE58C7"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09F9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4625E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294A3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11E3E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60AAF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8AEF3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06E62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B7EDE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2DEC3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CBD02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FD174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73A23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21F4A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B2EBF4"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12C836" w14:textId="77777777" w:rsidR="00000000" w:rsidRDefault="00EE5306">
            <w:pPr>
              <w:spacing w:after="100"/>
              <w:jc w:val="right"/>
              <w:rPr>
                <w:rFonts w:eastAsia="Times New Roman"/>
              </w:rPr>
            </w:pPr>
            <w:r>
              <w:rPr>
                <w:rFonts w:eastAsia="Times New Roman"/>
                <w:color w:val="000000"/>
                <w:sz w:val="16"/>
                <w:szCs w:val="16"/>
              </w:rPr>
              <w:t>(123.7)</w:t>
            </w:r>
          </w:p>
        </w:tc>
        <w:tc>
          <w:tcPr>
            <w:tcW w:w="0" w:type="auto"/>
            <w:shd w:val="clear" w:color="auto" w:fill="CCEEFF"/>
            <w:tcMar>
              <w:top w:w="30" w:type="dxa"/>
              <w:left w:w="0" w:type="dxa"/>
              <w:bottom w:w="30" w:type="dxa"/>
              <w:right w:w="20" w:type="dxa"/>
            </w:tcMar>
            <w:vAlign w:val="bottom"/>
            <w:hideMark/>
          </w:tcPr>
          <w:p w14:paraId="7597678D" w14:textId="77777777" w:rsidR="00000000" w:rsidRDefault="00EE5306">
            <w:pPr>
              <w:spacing w:after="100"/>
              <w:jc w:val="right"/>
              <w:rPr>
                <w:rFonts w:eastAsia="Times New Roman"/>
              </w:rPr>
            </w:pPr>
          </w:p>
        </w:tc>
      </w:tr>
      <w:tr w:rsidR="00000000" w14:paraId="5405A90C" w14:textId="77777777">
        <w:trPr>
          <w:divId w:val="1605722058"/>
          <w:jc w:val="center"/>
        </w:trPr>
        <w:tc>
          <w:tcPr>
            <w:tcW w:w="0" w:type="auto"/>
            <w:gridSpan w:val="6"/>
            <w:shd w:val="clear" w:color="auto" w:fill="FFFFFF"/>
            <w:tcMar>
              <w:top w:w="30" w:type="dxa"/>
              <w:left w:w="20" w:type="dxa"/>
              <w:bottom w:w="30" w:type="dxa"/>
              <w:right w:w="20" w:type="dxa"/>
            </w:tcMar>
            <w:vAlign w:val="bottom"/>
            <w:hideMark/>
          </w:tcPr>
          <w:p w14:paraId="7A42EF8D" w14:textId="77777777" w:rsidR="00000000" w:rsidRDefault="00EE5306">
            <w:pPr>
              <w:spacing w:after="100"/>
              <w:rPr>
                <w:rFonts w:eastAsia="Times New Roman"/>
              </w:rPr>
            </w:pPr>
            <w:r>
              <w:rPr>
                <w:rFonts w:eastAsia="Times New Roman"/>
                <w:color w:val="000000"/>
                <w:sz w:val="18"/>
                <w:szCs w:val="18"/>
              </w:rPr>
              <w:t>Dividends declared</w:t>
            </w:r>
          </w:p>
        </w:tc>
        <w:tc>
          <w:tcPr>
            <w:tcW w:w="0" w:type="auto"/>
            <w:gridSpan w:val="3"/>
            <w:shd w:val="clear" w:color="auto" w:fill="FFFFFF"/>
            <w:tcMar>
              <w:top w:w="0" w:type="dxa"/>
              <w:left w:w="20" w:type="dxa"/>
              <w:bottom w:w="0" w:type="dxa"/>
              <w:right w:w="20" w:type="dxa"/>
            </w:tcMar>
            <w:vAlign w:val="center"/>
            <w:hideMark/>
          </w:tcPr>
          <w:p w14:paraId="74ECFBD7"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865E9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E8A27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ACE17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520A8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6A28A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A70350"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36C9C9"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0E806E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E82F2"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D2576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6F04E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1BAB2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8272A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74547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D8579B"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A5A601"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9DE6642" w14:textId="77777777" w:rsidR="00000000" w:rsidRDefault="00EE5306">
            <w:pPr>
              <w:spacing w:after="100"/>
              <w:jc w:val="right"/>
              <w:rPr>
                <w:rFonts w:eastAsia="Times New Roman"/>
              </w:rPr>
            </w:pPr>
          </w:p>
        </w:tc>
      </w:tr>
      <w:tr w:rsidR="00000000" w14:paraId="4E2319E7" w14:textId="77777777">
        <w:trPr>
          <w:divId w:val="1605722058"/>
          <w:jc w:val="center"/>
        </w:trPr>
        <w:tc>
          <w:tcPr>
            <w:tcW w:w="0" w:type="auto"/>
            <w:gridSpan w:val="6"/>
            <w:shd w:val="clear" w:color="auto" w:fill="CCEEFF"/>
            <w:tcMar>
              <w:top w:w="30" w:type="dxa"/>
              <w:left w:w="20" w:type="dxa"/>
              <w:bottom w:w="30" w:type="dxa"/>
              <w:right w:w="20" w:type="dxa"/>
            </w:tcMar>
            <w:vAlign w:val="bottom"/>
            <w:hideMark/>
          </w:tcPr>
          <w:p w14:paraId="78331E9A" w14:textId="77777777" w:rsidR="00000000" w:rsidRDefault="00EE5306">
            <w:pPr>
              <w:spacing w:after="100"/>
              <w:rPr>
                <w:rFonts w:eastAsia="Times New Roman"/>
              </w:rPr>
            </w:pPr>
            <w:r>
              <w:rPr>
                <w:rFonts w:eastAsia="Times New Roman"/>
                <w:color w:val="000000"/>
                <w:sz w:val="18"/>
                <w:szCs w:val="18"/>
              </w:rPr>
              <w:t>Repurchases of common stock</w:t>
            </w:r>
          </w:p>
        </w:tc>
        <w:tc>
          <w:tcPr>
            <w:tcW w:w="0" w:type="auto"/>
            <w:gridSpan w:val="3"/>
            <w:shd w:val="clear" w:color="auto" w:fill="CCEEFF"/>
            <w:tcMar>
              <w:top w:w="0" w:type="dxa"/>
              <w:left w:w="20" w:type="dxa"/>
              <w:bottom w:w="0" w:type="dxa"/>
              <w:right w:w="20" w:type="dxa"/>
            </w:tcMar>
            <w:vAlign w:val="center"/>
            <w:hideMark/>
          </w:tcPr>
          <w:p w14:paraId="5C29F3B4"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7720A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2D4FF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6246C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42C83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06CF9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570BA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66F52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D80A85"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88E58" w14:textId="77777777" w:rsidR="00000000" w:rsidRDefault="00EE5306">
            <w:pPr>
              <w:spacing w:after="100"/>
              <w:jc w:val="right"/>
              <w:rPr>
                <w:rFonts w:eastAsia="Times New Roman"/>
              </w:rPr>
            </w:pPr>
            <w:r>
              <w:rPr>
                <w:rFonts w:eastAsia="Times New Roman"/>
                <w:color w:val="000000"/>
                <w:sz w:val="16"/>
                <w:szCs w:val="16"/>
              </w:rPr>
              <w:t>0.5 </w:t>
            </w:r>
          </w:p>
        </w:tc>
        <w:tc>
          <w:tcPr>
            <w:tcW w:w="0" w:type="auto"/>
            <w:shd w:val="clear" w:color="auto" w:fill="CCEEFF"/>
            <w:tcMar>
              <w:top w:w="30" w:type="dxa"/>
              <w:left w:w="0" w:type="dxa"/>
              <w:bottom w:w="30" w:type="dxa"/>
              <w:right w:w="20" w:type="dxa"/>
            </w:tcMar>
            <w:vAlign w:val="bottom"/>
            <w:hideMark/>
          </w:tcPr>
          <w:p w14:paraId="3219B3E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6F74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1993F8" w14:textId="77777777" w:rsidR="00000000" w:rsidRDefault="00EE5306">
            <w:pPr>
              <w:spacing w:after="100"/>
              <w:jc w:val="right"/>
              <w:rPr>
                <w:rFonts w:eastAsia="Times New Roman"/>
              </w:rPr>
            </w:pPr>
            <w:r>
              <w:rPr>
                <w:rFonts w:eastAsia="Times New Roman"/>
                <w:color w:val="000000"/>
                <w:sz w:val="16"/>
                <w:szCs w:val="16"/>
              </w:rPr>
              <w:t>(37.7)</w:t>
            </w:r>
          </w:p>
        </w:tc>
        <w:tc>
          <w:tcPr>
            <w:tcW w:w="0" w:type="auto"/>
            <w:shd w:val="clear" w:color="auto" w:fill="CCEEFF"/>
            <w:tcMar>
              <w:top w:w="30" w:type="dxa"/>
              <w:left w:w="0" w:type="dxa"/>
              <w:bottom w:w="30" w:type="dxa"/>
              <w:right w:w="20" w:type="dxa"/>
            </w:tcMar>
            <w:vAlign w:val="bottom"/>
            <w:hideMark/>
          </w:tcPr>
          <w:p w14:paraId="234E72E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9D6CA"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D1CDF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D63FC2"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58F1EE" w14:textId="77777777" w:rsidR="00000000" w:rsidRDefault="00EE5306">
            <w:pPr>
              <w:spacing w:after="100"/>
              <w:jc w:val="right"/>
              <w:rPr>
                <w:rFonts w:eastAsia="Times New Roman"/>
              </w:rPr>
            </w:pPr>
            <w:r>
              <w:rPr>
                <w:rFonts w:eastAsia="Times New Roman"/>
                <w:color w:val="000000"/>
                <w:sz w:val="16"/>
                <w:szCs w:val="16"/>
              </w:rPr>
              <w:t>(37.7)</w:t>
            </w:r>
          </w:p>
        </w:tc>
        <w:tc>
          <w:tcPr>
            <w:tcW w:w="0" w:type="auto"/>
            <w:shd w:val="clear" w:color="auto" w:fill="CCEEFF"/>
            <w:tcMar>
              <w:top w:w="30" w:type="dxa"/>
              <w:left w:w="0" w:type="dxa"/>
              <w:bottom w:w="30" w:type="dxa"/>
              <w:right w:w="20" w:type="dxa"/>
            </w:tcMar>
            <w:vAlign w:val="bottom"/>
            <w:hideMark/>
          </w:tcPr>
          <w:p w14:paraId="7B462C6C" w14:textId="77777777" w:rsidR="00000000" w:rsidRDefault="00EE5306">
            <w:pPr>
              <w:spacing w:after="100"/>
              <w:jc w:val="right"/>
              <w:rPr>
                <w:rFonts w:eastAsia="Times New Roman"/>
              </w:rPr>
            </w:pPr>
          </w:p>
        </w:tc>
      </w:tr>
      <w:tr w:rsidR="00000000" w14:paraId="43644B03" w14:textId="77777777">
        <w:trPr>
          <w:divId w:val="1605722058"/>
          <w:jc w:val="center"/>
        </w:trPr>
        <w:tc>
          <w:tcPr>
            <w:tcW w:w="0" w:type="auto"/>
            <w:gridSpan w:val="6"/>
            <w:shd w:val="clear" w:color="auto" w:fill="FFFFFF"/>
            <w:tcMar>
              <w:top w:w="30" w:type="dxa"/>
              <w:left w:w="20" w:type="dxa"/>
              <w:bottom w:w="30" w:type="dxa"/>
              <w:right w:w="20" w:type="dxa"/>
            </w:tcMar>
            <w:vAlign w:val="bottom"/>
            <w:hideMark/>
          </w:tcPr>
          <w:p w14:paraId="33A597B3" w14:textId="77777777" w:rsidR="00000000" w:rsidRDefault="00EE5306">
            <w:pPr>
              <w:spacing w:after="100"/>
              <w:rPr>
                <w:rFonts w:eastAsia="Times New Roman"/>
              </w:rPr>
            </w:pPr>
            <w:r>
              <w:rPr>
                <w:rFonts w:eastAsia="Times New Roman"/>
                <w:color w:val="000000"/>
                <w:sz w:val="18"/>
                <w:szCs w:val="18"/>
              </w:rPr>
              <w:t>Stock-based compensation</w:t>
            </w:r>
          </w:p>
        </w:tc>
        <w:tc>
          <w:tcPr>
            <w:tcW w:w="0" w:type="auto"/>
            <w:gridSpan w:val="3"/>
            <w:shd w:val="clear" w:color="auto" w:fill="FFFFFF"/>
            <w:tcMar>
              <w:top w:w="0" w:type="dxa"/>
              <w:left w:w="20" w:type="dxa"/>
              <w:bottom w:w="0" w:type="dxa"/>
              <w:right w:w="20" w:type="dxa"/>
            </w:tcMar>
            <w:vAlign w:val="center"/>
            <w:hideMark/>
          </w:tcPr>
          <w:p w14:paraId="72B96D44"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1AF3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CC491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1BFAD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724ED6"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74DF2" w14:textId="77777777" w:rsidR="00000000" w:rsidRDefault="00EE5306">
            <w:pPr>
              <w:spacing w:after="100"/>
              <w:jc w:val="right"/>
              <w:rPr>
                <w:rFonts w:eastAsia="Times New Roman"/>
              </w:rPr>
            </w:pPr>
            <w:r>
              <w:rPr>
                <w:rFonts w:eastAsia="Times New Roman"/>
                <w:color w:val="000000"/>
                <w:sz w:val="16"/>
                <w:szCs w:val="16"/>
              </w:rPr>
              <w:t>72.7 </w:t>
            </w:r>
          </w:p>
        </w:tc>
        <w:tc>
          <w:tcPr>
            <w:tcW w:w="0" w:type="auto"/>
            <w:shd w:val="clear" w:color="auto" w:fill="FFFFFF"/>
            <w:tcMar>
              <w:top w:w="30" w:type="dxa"/>
              <w:left w:w="0" w:type="dxa"/>
              <w:bottom w:w="30" w:type="dxa"/>
              <w:right w:w="20" w:type="dxa"/>
            </w:tcMar>
            <w:vAlign w:val="bottom"/>
            <w:hideMark/>
          </w:tcPr>
          <w:p w14:paraId="75860D7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F4BD3"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CC9D1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B45BF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390B7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78B96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6E809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48BDB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A39FB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329509"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8C292E" w14:textId="77777777" w:rsidR="00000000" w:rsidRDefault="00EE5306">
            <w:pPr>
              <w:spacing w:after="100"/>
              <w:jc w:val="right"/>
              <w:rPr>
                <w:rFonts w:eastAsia="Times New Roman"/>
              </w:rPr>
            </w:pPr>
            <w:r>
              <w:rPr>
                <w:rFonts w:eastAsia="Times New Roman"/>
                <w:color w:val="000000"/>
                <w:sz w:val="16"/>
                <w:szCs w:val="16"/>
              </w:rPr>
              <w:t>72.7 </w:t>
            </w:r>
          </w:p>
        </w:tc>
        <w:tc>
          <w:tcPr>
            <w:tcW w:w="0" w:type="auto"/>
            <w:shd w:val="clear" w:color="auto" w:fill="FFFFFF"/>
            <w:tcMar>
              <w:top w:w="30" w:type="dxa"/>
              <w:left w:w="0" w:type="dxa"/>
              <w:bottom w:w="30" w:type="dxa"/>
              <w:right w:w="20" w:type="dxa"/>
            </w:tcMar>
            <w:vAlign w:val="bottom"/>
            <w:hideMark/>
          </w:tcPr>
          <w:p w14:paraId="781471F2" w14:textId="77777777" w:rsidR="00000000" w:rsidRDefault="00EE5306">
            <w:pPr>
              <w:spacing w:after="100"/>
              <w:jc w:val="right"/>
              <w:rPr>
                <w:rFonts w:eastAsia="Times New Roman"/>
              </w:rPr>
            </w:pPr>
          </w:p>
        </w:tc>
      </w:tr>
      <w:tr w:rsidR="00000000" w14:paraId="486CDC16" w14:textId="77777777">
        <w:trPr>
          <w:divId w:val="1605722058"/>
          <w:jc w:val="center"/>
        </w:trPr>
        <w:tc>
          <w:tcPr>
            <w:tcW w:w="0" w:type="auto"/>
            <w:gridSpan w:val="6"/>
            <w:shd w:val="clear" w:color="auto" w:fill="CCEEFF"/>
            <w:tcMar>
              <w:top w:w="30" w:type="dxa"/>
              <w:left w:w="20" w:type="dxa"/>
              <w:bottom w:w="30" w:type="dxa"/>
              <w:right w:w="20" w:type="dxa"/>
            </w:tcMar>
            <w:vAlign w:val="bottom"/>
            <w:hideMark/>
          </w:tcPr>
          <w:p w14:paraId="799E7825" w14:textId="77777777" w:rsidR="00000000" w:rsidRDefault="00EE5306">
            <w:pPr>
              <w:spacing w:after="100"/>
              <w:divId w:val="312217270"/>
              <w:rPr>
                <w:rFonts w:eastAsia="Times New Roman"/>
              </w:rPr>
            </w:pPr>
            <w:r>
              <w:rPr>
                <w:rFonts w:eastAsia="Times New Roman"/>
                <w:color w:val="000000"/>
                <w:sz w:val="18"/>
                <w:szCs w:val="18"/>
              </w:rPr>
              <w:t xml:space="preserve">Shares issued pursuant to stock-based </w:t>
            </w:r>
          </w:p>
          <w:p w14:paraId="4F741D46" w14:textId="77777777" w:rsidR="00000000" w:rsidRDefault="00EE5306">
            <w:pPr>
              <w:spacing w:after="100"/>
              <w:divId w:val="1810004214"/>
              <w:rPr>
                <w:rFonts w:eastAsia="Times New Roman"/>
              </w:rPr>
            </w:pPr>
            <w:r>
              <w:rPr>
                <w:rFonts w:eastAsia="Times New Roman"/>
                <w:color w:val="000000"/>
                <w:sz w:val="18"/>
                <w:szCs w:val="18"/>
              </w:rPr>
              <w:t>compensation plans</w:t>
            </w:r>
          </w:p>
        </w:tc>
        <w:tc>
          <w:tcPr>
            <w:tcW w:w="0" w:type="auto"/>
            <w:gridSpan w:val="3"/>
            <w:shd w:val="clear" w:color="auto" w:fill="CCEEFF"/>
            <w:tcMar>
              <w:top w:w="0" w:type="dxa"/>
              <w:left w:w="20" w:type="dxa"/>
              <w:bottom w:w="0" w:type="dxa"/>
              <w:right w:w="20" w:type="dxa"/>
            </w:tcMar>
            <w:vAlign w:val="center"/>
            <w:hideMark/>
          </w:tcPr>
          <w:p w14:paraId="3493EDC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14F176" w14:textId="77777777" w:rsidR="00000000" w:rsidRDefault="00EE5306">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14:paraId="0080086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DE97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819873"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EC2578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3E70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E1BDA6"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1354A3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C2AAE"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AE347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203DF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F6A43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06D09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7DC97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A6972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015A2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EB8F36"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1F8AF"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D0E4B56" w14:textId="77777777" w:rsidR="00000000" w:rsidRDefault="00EE5306">
            <w:pPr>
              <w:spacing w:after="100"/>
              <w:jc w:val="right"/>
              <w:rPr>
                <w:rFonts w:eastAsia="Times New Roman"/>
              </w:rPr>
            </w:pPr>
          </w:p>
        </w:tc>
      </w:tr>
      <w:tr w:rsidR="00EE5306" w14:paraId="09B84920" w14:textId="77777777">
        <w:trPr>
          <w:divId w:val="1605722058"/>
          <w:jc w:val="center"/>
        </w:trPr>
        <w:tc>
          <w:tcPr>
            <w:tcW w:w="0" w:type="auto"/>
            <w:gridSpan w:val="6"/>
            <w:shd w:val="clear" w:color="auto" w:fill="FFFFFF"/>
            <w:tcMar>
              <w:top w:w="30" w:type="dxa"/>
              <w:left w:w="20" w:type="dxa"/>
              <w:bottom w:w="30" w:type="dxa"/>
              <w:right w:w="20" w:type="dxa"/>
            </w:tcMar>
            <w:vAlign w:val="bottom"/>
            <w:hideMark/>
          </w:tcPr>
          <w:p w14:paraId="13441A87" w14:textId="77777777" w:rsidR="00000000" w:rsidRDefault="00EE5306">
            <w:pPr>
              <w:spacing w:after="100"/>
              <w:divId w:val="540744891"/>
              <w:rPr>
                <w:rFonts w:eastAsia="Times New Roman"/>
              </w:rPr>
            </w:pPr>
            <w:r>
              <w:rPr>
                <w:rFonts w:eastAsia="Times New Roman"/>
                <w:b/>
                <w:bCs/>
                <w:color w:val="000000"/>
                <w:sz w:val="18"/>
                <w:szCs w:val="18"/>
              </w:rPr>
              <w:t>Balance at March 27, 2021</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14:paraId="36BA5B0D"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43C96E" w14:textId="77777777" w:rsidR="00000000" w:rsidRDefault="00EE5306">
            <w:pPr>
              <w:spacing w:after="100"/>
              <w:jc w:val="right"/>
              <w:rPr>
                <w:rFonts w:eastAsia="Times New Roman"/>
              </w:rPr>
            </w:pPr>
            <w:r>
              <w:rPr>
                <w:rFonts w:eastAsia="Times New Roman"/>
                <w:color w:val="000000"/>
                <w:sz w:val="16"/>
                <w:szCs w:val="16"/>
              </w:rPr>
              <w:t>131.0 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93544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52765"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953458"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05E7F7" w14:textId="77777777" w:rsidR="00000000" w:rsidRDefault="00EE5306">
            <w:pPr>
              <w:spacing w:after="100"/>
              <w:jc w:val="right"/>
              <w:rPr>
                <w:rFonts w:eastAsia="Times New Roman"/>
              </w:rPr>
            </w:pPr>
            <w:r>
              <w:rPr>
                <w:rFonts w:eastAsia="Times New Roman"/>
                <w:color w:val="000000"/>
                <w:sz w:val="16"/>
                <w:szCs w:val="16"/>
              </w:rPr>
              <w:t>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A0B9F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AD3EF"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7128E7"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3AFEC8" w14:textId="77777777" w:rsidR="00000000" w:rsidRDefault="00EE5306">
            <w:pPr>
              <w:spacing w:after="100"/>
              <w:jc w:val="right"/>
              <w:rPr>
                <w:rFonts w:eastAsia="Times New Roman"/>
              </w:rPr>
            </w:pPr>
            <w:r>
              <w:rPr>
                <w:rFonts w:eastAsia="Times New Roman"/>
                <w:color w:val="000000"/>
                <w:sz w:val="16"/>
                <w:szCs w:val="16"/>
              </w:rPr>
              <w:t>2,667.1 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4D3FD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6ADEA"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9AB430"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FF6888" w14:textId="77777777" w:rsidR="00000000" w:rsidRDefault="00EE5306">
            <w:pPr>
              <w:spacing w:after="100"/>
              <w:jc w:val="right"/>
              <w:rPr>
                <w:rFonts w:eastAsia="Times New Roman"/>
              </w:rPr>
            </w:pPr>
            <w:r>
              <w:rPr>
                <w:rFonts w:eastAsia="Times New Roman"/>
                <w:color w:val="000000"/>
                <w:sz w:val="16"/>
                <w:szCs w:val="16"/>
              </w:rPr>
              <w:t>5,872.9 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5A141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21C75" w14:textId="77777777" w:rsidR="00000000" w:rsidRDefault="00EE530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CAADD1" w14:textId="77777777" w:rsidR="00000000" w:rsidRDefault="00EE5306">
            <w:pPr>
              <w:spacing w:after="100"/>
              <w:jc w:val="right"/>
              <w:rPr>
                <w:rFonts w:eastAsia="Times New Roman"/>
              </w:rPr>
            </w:pPr>
            <w:r>
              <w:rPr>
                <w:rFonts w:eastAsia="Times New Roman"/>
                <w:color w:val="000000"/>
                <w:sz w:val="16"/>
                <w:szCs w:val="16"/>
              </w:rPr>
              <w:t>57.8 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7AE15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3020C"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12587B"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D94385" w14:textId="77777777" w:rsidR="00000000" w:rsidRDefault="00EE5306">
            <w:pPr>
              <w:spacing w:after="100"/>
              <w:jc w:val="right"/>
              <w:rPr>
                <w:rFonts w:eastAsia="Times New Roman"/>
              </w:rPr>
            </w:pPr>
            <w:r>
              <w:rPr>
                <w:rFonts w:eastAsia="Times New Roman"/>
                <w:color w:val="000000"/>
                <w:sz w:val="16"/>
                <w:szCs w:val="16"/>
              </w:rPr>
              <w:t>(5,816.1)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00212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5AFB5"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32B667"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8C6CCE" w14:textId="77777777" w:rsidR="00000000" w:rsidRDefault="00EE5306">
            <w:pPr>
              <w:spacing w:after="100"/>
              <w:jc w:val="right"/>
              <w:rPr>
                <w:rFonts w:eastAsia="Times New Roman"/>
              </w:rPr>
            </w:pPr>
            <w:r>
              <w:rPr>
                <w:rFonts w:eastAsia="Times New Roman"/>
                <w:color w:val="000000"/>
                <w:sz w:val="16"/>
                <w:szCs w:val="16"/>
              </w:rPr>
              <w:t>(120.8)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36D71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E5F59B"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0BFEE4"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3E6AE3" w14:textId="77777777" w:rsidR="00000000" w:rsidRDefault="00EE5306">
            <w:pPr>
              <w:spacing w:after="100"/>
              <w:jc w:val="right"/>
              <w:rPr>
                <w:rFonts w:eastAsia="Times New Roman"/>
              </w:rPr>
            </w:pPr>
            <w:r>
              <w:rPr>
                <w:rFonts w:eastAsia="Times New Roman"/>
                <w:color w:val="000000"/>
                <w:sz w:val="16"/>
                <w:szCs w:val="16"/>
              </w:rPr>
              <w:t>2,604.4 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975C2F" w14:textId="77777777" w:rsidR="00000000" w:rsidRDefault="00EE5306">
            <w:pPr>
              <w:spacing w:after="100"/>
              <w:jc w:val="right"/>
              <w:rPr>
                <w:rFonts w:eastAsia="Times New Roman"/>
              </w:rPr>
            </w:pPr>
          </w:p>
        </w:tc>
      </w:tr>
      <w:tr w:rsidR="00000000" w14:paraId="0947E53C" w14:textId="77777777">
        <w:tblPrEx>
          <w:tblW w:w="972" w:type="pct"/>
          <w:jc w:val="left"/>
        </w:tblPrEx>
        <w:trPr>
          <w:gridAfter w:val="50"/>
        </w:trPr>
        <w:tc>
          <w:tcPr>
            <w:tcW w:w="50" w:type="pct"/>
            <w:gridSpan w:val="2"/>
            <w:vAlign w:val="center"/>
            <w:hideMark/>
          </w:tcPr>
          <w:p w14:paraId="7DDA0020" w14:textId="77777777" w:rsidR="00000000" w:rsidRDefault="00EE5306">
            <w:pPr>
              <w:jc w:val="center"/>
              <w:rPr>
                <w:rFonts w:eastAsia="Times New Roman"/>
              </w:rPr>
            </w:pPr>
          </w:p>
        </w:tc>
        <w:tc>
          <w:tcPr>
            <w:tcW w:w="4945" w:type="pct"/>
            <w:vAlign w:val="center"/>
            <w:hideMark/>
          </w:tcPr>
          <w:p w14:paraId="2F43D1F9" w14:textId="77777777" w:rsidR="00000000" w:rsidRDefault="00EE5306">
            <w:pPr>
              <w:spacing w:after="100"/>
              <w:rPr>
                <w:rFonts w:eastAsia="Times New Roman"/>
                <w:sz w:val="20"/>
                <w:szCs w:val="20"/>
              </w:rPr>
            </w:pPr>
          </w:p>
        </w:tc>
        <w:tc>
          <w:tcPr>
            <w:tcW w:w="5" w:type="pct"/>
            <w:vAlign w:val="center"/>
            <w:hideMark/>
          </w:tcPr>
          <w:p w14:paraId="57DB0B28" w14:textId="77777777" w:rsidR="00000000" w:rsidRDefault="00EE5306">
            <w:pPr>
              <w:spacing w:after="100"/>
              <w:rPr>
                <w:rFonts w:eastAsia="Times New Roman"/>
                <w:sz w:val="20"/>
                <w:szCs w:val="20"/>
              </w:rPr>
            </w:pPr>
          </w:p>
        </w:tc>
      </w:tr>
      <w:tr w:rsidR="00000000" w14:paraId="65014F3C" w14:textId="77777777">
        <w:tblPrEx>
          <w:tblW w:w="972" w:type="pct"/>
          <w:jc w:val="left"/>
        </w:tblPrEx>
        <w:trPr>
          <w:gridAfter w:val="50"/>
          <w:trHeight w:val="60"/>
        </w:trPr>
        <w:tc>
          <w:tcPr>
            <w:tcW w:w="0" w:type="auto"/>
            <w:gridSpan w:val="4"/>
            <w:tcBorders>
              <w:bottom w:val="single" w:sz="8" w:space="0" w:color="000000"/>
            </w:tcBorders>
            <w:tcMar>
              <w:top w:w="0" w:type="dxa"/>
              <w:left w:w="20" w:type="dxa"/>
              <w:bottom w:w="0" w:type="dxa"/>
              <w:right w:w="20" w:type="dxa"/>
            </w:tcMar>
            <w:vAlign w:val="center"/>
            <w:hideMark/>
          </w:tcPr>
          <w:p w14:paraId="2631F143" w14:textId="77777777" w:rsidR="00000000" w:rsidRDefault="00EE5306">
            <w:pPr>
              <w:spacing w:after="100"/>
              <w:rPr>
                <w:rFonts w:eastAsia="Times New Roman"/>
                <w:sz w:val="20"/>
                <w:szCs w:val="20"/>
              </w:rPr>
            </w:pPr>
          </w:p>
        </w:tc>
      </w:tr>
    </w:tbl>
    <w:p w14:paraId="7E499DF7" w14:textId="77777777" w:rsidR="00000000" w:rsidRDefault="00EE5306">
      <w:pPr>
        <w:ind w:hanging="540"/>
        <w:jc w:val="both"/>
        <w:divId w:val="20791991"/>
        <w:rPr>
          <w:rFonts w:eastAsia="Times New Roman"/>
        </w:rPr>
      </w:pPr>
      <w:r>
        <w:rPr>
          <w:rFonts w:eastAsia="Times New Roman"/>
          <w:b/>
          <w:bCs/>
          <w:color w:val="000000"/>
          <w:sz w:val="12"/>
          <w:szCs w:val="12"/>
        </w:rPr>
        <w:t>(a</w:t>
      </w:r>
      <w:r>
        <w:rPr>
          <w:rFonts w:eastAsia="Times New Roman"/>
          <w:b/>
          <w:bCs/>
          <w:color w:val="000000"/>
          <w:sz w:val="12"/>
          <w:szCs w:val="12"/>
        </w:rPr>
        <w:t>)</w:t>
      </w:r>
      <w:r>
        <w:rPr>
          <w:rFonts w:eastAsia="Times New Roman"/>
          <w:color w:val="000000"/>
          <w:sz w:val="18"/>
          <w:szCs w:val="18"/>
        </w:rPr>
        <w:t xml:space="preserve">Includes Class A and Class B common stock. In Fiscal 2020, 1.0 </w:t>
      </w:r>
      <w:r>
        <w:rPr>
          <w:rFonts w:eastAsia="Times New Roman"/>
          <w:color w:val="000000"/>
          <w:sz w:val="18"/>
          <w:szCs w:val="18"/>
        </w:rPr>
        <w:t>million shares of Class B common stock were converted into an equal number of shares of Class A common stock pursuant to the terms of the Class B common stock (see Note 16).</w:t>
      </w:r>
    </w:p>
    <w:p w14:paraId="693DFF85" w14:textId="77777777" w:rsidR="00000000" w:rsidRDefault="00EE5306">
      <w:pPr>
        <w:ind w:hanging="540"/>
        <w:jc w:val="both"/>
        <w:divId w:val="1887139799"/>
        <w:rPr>
          <w:rFonts w:eastAsia="Times New Roman"/>
        </w:rPr>
      </w:pPr>
      <w:r>
        <w:rPr>
          <w:rFonts w:eastAsia="Times New Roman"/>
          <w:b/>
          <w:bCs/>
          <w:color w:val="000000"/>
          <w:sz w:val="12"/>
          <w:szCs w:val="12"/>
        </w:rPr>
        <w:t>(b</w:t>
      </w:r>
      <w:r>
        <w:rPr>
          <w:rFonts w:eastAsia="Times New Roman"/>
          <w:b/>
          <w:bCs/>
          <w:color w:val="000000"/>
          <w:sz w:val="12"/>
          <w:szCs w:val="12"/>
        </w:rPr>
        <w:t>)</w:t>
      </w:r>
      <w:r>
        <w:rPr>
          <w:rFonts w:eastAsia="Times New Roman"/>
          <w:color w:val="000000"/>
          <w:sz w:val="18"/>
          <w:szCs w:val="18"/>
        </w:rPr>
        <w:t>Accumulated other comprehensive income (loss).</w:t>
      </w:r>
    </w:p>
    <w:p w14:paraId="0A8075A6" w14:textId="77777777" w:rsidR="00000000" w:rsidRDefault="00EE5306">
      <w:pPr>
        <w:jc w:val="both"/>
        <w:divId w:val="451823705"/>
        <w:rPr>
          <w:rFonts w:eastAsia="Times New Roman"/>
        </w:rPr>
      </w:pPr>
    </w:p>
    <w:p w14:paraId="7D2E1D18" w14:textId="77777777" w:rsidR="00000000" w:rsidRDefault="00EE5306">
      <w:pPr>
        <w:jc w:val="center"/>
        <w:divId w:val="651717792"/>
        <w:rPr>
          <w:rFonts w:eastAsia="Times New Roman"/>
        </w:rPr>
      </w:pPr>
      <w:r>
        <w:rPr>
          <w:rFonts w:eastAsia="Times New Roman"/>
          <w:color w:val="000000"/>
          <w:sz w:val="18"/>
          <w:szCs w:val="18"/>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3B3D346" w14:textId="77777777">
        <w:trPr>
          <w:divId w:val="1160081951"/>
          <w:jc w:val="center"/>
        </w:trPr>
        <w:tc>
          <w:tcPr>
            <w:tcW w:w="50" w:type="pct"/>
            <w:vAlign w:val="center"/>
            <w:hideMark/>
          </w:tcPr>
          <w:p w14:paraId="6D1F1FF8" w14:textId="77777777" w:rsidR="00000000" w:rsidRDefault="00EE5306">
            <w:pPr>
              <w:jc w:val="center"/>
              <w:rPr>
                <w:rFonts w:eastAsia="Times New Roman"/>
              </w:rPr>
            </w:pPr>
          </w:p>
        </w:tc>
        <w:tc>
          <w:tcPr>
            <w:tcW w:w="1699" w:type="pct"/>
            <w:vAlign w:val="center"/>
            <w:hideMark/>
          </w:tcPr>
          <w:p w14:paraId="5E1A6FD8" w14:textId="77777777" w:rsidR="00000000" w:rsidRDefault="00EE5306">
            <w:pPr>
              <w:spacing w:after="100"/>
              <w:rPr>
                <w:rFonts w:eastAsia="Times New Roman"/>
                <w:sz w:val="20"/>
                <w:szCs w:val="20"/>
              </w:rPr>
            </w:pPr>
          </w:p>
        </w:tc>
        <w:tc>
          <w:tcPr>
            <w:tcW w:w="5" w:type="pct"/>
            <w:vAlign w:val="center"/>
            <w:hideMark/>
          </w:tcPr>
          <w:p w14:paraId="374189F6" w14:textId="77777777" w:rsidR="00000000" w:rsidRDefault="00EE5306">
            <w:pPr>
              <w:spacing w:after="100"/>
              <w:rPr>
                <w:rFonts w:eastAsia="Times New Roman"/>
                <w:sz w:val="20"/>
                <w:szCs w:val="20"/>
              </w:rPr>
            </w:pPr>
          </w:p>
        </w:tc>
        <w:tc>
          <w:tcPr>
            <w:tcW w:w="50" w:type="pct"/>
            <w:vAlign w:val="center"/>
            <w:hideMark/>
          </w:tcPr>
          <w:p w14:paraId="685669B2" w14:textId="77777777" w:rsidR="00000000" w:rsidRDefault="00EE5306">
            <w:pPr>
              <w:spacing w:after="100"/>
              <w:rPr>
                <w:rFonts w:eastAsia="Times New Roman"/>
                <w:sz w:val="20"/>
                <w:szCs w:val="20"/>
              </w:rPr>
            </w:pPr>
          </w:p>
        </w:tc>
        <w:tc>
          <w:tcPr>
            <w:tcW w:w="1436" w:type="pct"/>
            <w:vAlign w:val="center"/>
            <w:hideMark/>
          </w:tcPr>
          <w:p w14:paraId="5621CEDE" w14:textId="77777777" w:rsidR="00000000" w:rsidRDefault="00EE5306">
            <w:pPr>
              <w:spacing w:after="100"/>
              <w:rPr>
                <w:rFonts w:eastAsia="Times New Roman"/>
                <w:sz w:val="20"/>
                <w:szCs w:val="20"/>
              </w:rPr>
            </w:pPr>
          </w:p>
        </w:tc>
        <w:tc>
          <w:tcPr>
            <w:tcW w:w="5" w:type="pct"/>
            <w:vAlign w:val="center"/>
            <w:hideMark/>
          </w:tcPr>
          <w:p w14:paraId="6A0A087E" w14:textId="77777777" w:rsidR="00000000" w:rsidRDefault="00EE5306">
            <w:pPr>
              <w:spacing w:after="100"/>
              <w:rPr>
                <w:rFonts w:eastAsia="Times New Roman"/>
                <w:sz w:val="20"/>
                <w:szCs w:val="20"/>
              </w:rPr>
            </w:pPr>
          </w:p>
        </w:tc>
        <w:tc>
          <w:tcPr>
            <w:tcW w:w="50" w:type="pct"/>
            <w:vAlign w:val="center"/>
            <w:hideMark/>
          </w:tcPr>
          <w:p w14:paraId="1DF4AE8E" w14:textId="77777777" w:rsidR="00000000" w:rsidRDefault="00EE5306">
            <w:pPr>
              <w:spacing w:after="100"/>
              <w:rPr>
                <w:rFonts w:eastAsia="Times New Roman"/>
                <w:sz w:val="20"/>
                <w:szCs w:val="20"/>
              </w:rPr>
            </w:pPr>
          </w:p>
        </w:tc>
        <w:tc>
          <w:tcPr>
            <w:tcW w:w="1699" w:type="pct"/>
            <w:vAlign w:val="center"/>
            <w:hideMark/>
          </w:tcPr>
          <w:p w14:paraId="4ED93CD3" w14:textId="77777777" w:rsidR="00000000" w:rsidRDefault="00EE5306">
            <w:pPr>
              <w:spacing w:after="100"/>
              <w:rPr>
                <w:rFonts w:eastAsia="Times New Roman"/>
                <w:sz w:val="20"/>
                <w:szCs w:val="20"/>
              </w:rPr>
            </w:pPr>
          </w:p>
        </w:tc>
        <w:tc>
          <w:tcPr>
            <w:tcW w:w="5" w:type="pct"/>
            <w:vAlign w:val="center"/>
            <w:hideMark/>
          </w:tcPr>
          <w:p w14:paraId="7EFF502D" w14:textId="77777777" w:rsidR="00000000" w:rsidRDefault="00EE5306">
            <w:pPr>
              <w:spacing w:after="100"/>
              <w:rPr>
                <w:rFonts w:eastAsia="Times New Roman"/>
                <w:sz w:val="20"/>
                <w:szCs w:val="20"/>
              </w:rPr>
            </w:pPr>
          </w:p>
        </w:tc>
      </w:tr>
      <w:tr w:rsidR="00000000" w14:paraId="16884B77" w14:textId="77777777">
        <w:trPr>
          <w:divId w:val="1160081951"/>
          <w:jc w:val="center"/>
        </w:trPr>
        <w:tc>
          <w:tcPr>
            <w:tcW w:w="0" w:type="auto"/>
            <w:gridSpan w:val="3"/>
            <w:tcMar>
              <w:top w:w="0" w:type="dxa"/>
              <w:left w:w="20" w:type="dxa"/>
              <w:bottom w:w="0" w:type="dxa"/>
              <w:right w:w="20" w:type="dxa"/>
            </w:tcMar>
            <w:vAlign w:val="center"/>
            <w:hideMark/>
          </w:tcPr>
          <w:p w14:paraId="44BCE0E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D0CA170" w14:textId="77777777" w:rsidR="00000000" w:rsidRDefault="00EE5306">
            <w:pPr>
              <w:spacing w:after="100"/>
              <w:jc w:val="center"/>
              <w:rPr>
                <w:rFonts w:eastAsia="Times New Roman"/>
              </w:rPr>
            </w:pPr>
            <w:r>
              <w:rPr>
                <w:rFonts w:eastAsia="Times New Roman"/>
                <w:color w:val="000000"/>
                <w:sz w:val="20"/>
                <w:szCs w:val="20"/>
              </w:rPr>
              <w:t>F-6</w:t>
            </w:r>
          </w:p>
        </w:tc>
        <w:tc>
          <w:tcPr>
            <w:tcW w:w="0" w:type="auto"/>
            <w:gridSpan w:val="3"/>
            <w:tcMar>
              <w:top w:w="0" w:type="dxa"/>
              <w:left w:w="20" w:type="dxa"/>
              <w:bottom w:w="0" w:type="dxa"/>
              <w:right w:w="20" w:type="dxa"/>
            </w:tcMar>
            <w:vAlign w:val="center"/>
            <w:hideMark/>
          </w:tcPr>
          <w:p w14:paraId="0899FCEA" w14:textId="77777777" w:rsidR="00000000" w:rsidRDefault="00EE5306">
            <w:pPr>
              <w:spacing w:after="100"/>
              <w:jc w:val="center"/>
              <w:rPr>
                <w:rFonts w:eastAsia="Times New Roman"/>
              </w:rPr>
            </w:pPr>
          </w:p>
        </w:tc>
      </w:tr>
    </w:tbl>
    <w:p w14:paraId="05C3DF63" w14:textId="77777777" w:rsidR="00000000" w:rsidRDefault="00EE5306">
      <w:pPr>
        <w:rPr>
          <w:rFonts w:eastAsia="Times New Roman"/>
        </w:rPr>
      </w:pPr>
      <w:r>
        <w:rPr>
          <w:rFonts w:eastAsia="Times New Roman"/>
        </w:rPr>
        <w:pict w14:anchorId="02D1F22F">
          <v:rect id="_x0000_i1116" style="width:0;height:1.5pt" o:hralign="center" o:hrstd="t" o:hr="t" fillcolor="#a0a0a0" stroked="f"/>
        </w:pict>
      </w:r>
    </w:p>
    <w:p w14:paraId="465D938F" w14:textId="77777777" w:rsidR="00000000" w:rsidRDefault="00EE5306">
      <w:pPr>
        <w:divId w:val="66462254"/>
        <w:rPr>
          <w:rFonts w:eastAsia="Times New Roman"/>
        </w:rPr>
      </w:pPr>
    </w:p>
    <w:p w14:paraId="0EF2B071" w14:textId="77777777" w:rsidR="00000000" w:rsidRDefault="00EE5306">
      <w:pPr>
        <w:jc w:val="center"/>
        <w:divId w:val="278032340"/>
        <w:rPr>
          <w:rFonts w:eastAsia="Times New Roman"/>
        </w:rPr>
      </w:pPr>
      <w:r>
        <w:rPr>
          <w:rFonts w:eastAsia="Times New Roman"/>
          <w:b/>
          <w:bCs/>
          <w:color w:val="000000"/>
          <w:sz w:val="20"/>
          <w:szCs w:val="20"/>
        </w:rPr>
        <w:t>RALPH LAUREN CORPORATION</w:t>
      </w:r>
    </w:p>
    <w:p w14:paraId="0F678A36" w14:textId="77777777" w:rsidR="00000000" w:rsidRDefault="00EE5306">
      <w:pPr>
        <w:jc w:val="center"/>
        <w:divId w:val="1140613023"/>
        <w:rPr>
          <w:rFonts w:eastAsia="Times New Roman"/>
        </w:rPr>
      </w:pPr>
      <w:r>
        <w:rPr>
          <w:rFonts w:eastAsia="Times New Roman"/>
          <w:b/>
          <w:bCs/>
          <w:color w:val="000000"/>
          <w:sz w:val="20"/>
          <w:szCs w:val="20"/>
        </w:rPr>
        <w:t>NOTES TO CONSOLIDATED FINANCIAL STATEMENTS</w:t>
      </w:r>
    </w:p>
    <w:p w14:paraId="122E0513" w14:textId="77777777" w:rsidR="00000000" w:rsidRDefault="00EE5306">
      <w:pPr>
        <w:ind w:hanging="450"/>
        <w:divId w:val="1868715476"/>
        <w:rPr>
          <w:rFonts w:eastAsia="Times New Roman"/>
        </w:rPr>
      </w:pPr>
      <w:r>
        <w:rPr>
          <w:rFonts w:eastAsia="Times New Roman"/>
          <w:b/>
          <w:bCs/>
          <w:color w:val="000000"/>
          <w:sz w:val="20"/>
          <w:szCs w:val="20"/>
        </w:rPr>
        <w:t>1.    Description of Business</w:t>
      </w:r>
    </w:p>
    <w:p w14:paraId="0A855A03" w14:textId="77777777" w:rsidR="00000000" w:rsidRDefault="00EE5306">
      <w:pPr>
        <w:ind w:firstLine="540"/>
        <w:jc w:val="both"/>
        <w:divId w:val="1271475343"/>
        <w:rPr>
          <w:rFonts w:eastAsia="Times New Roman"/>
        </w:rPr>
      </w:pPr>
      <w:r>
        <w:rPr>
          <w:rFonts w:eastAsia="Times New Roman"/>
          <w:color w:val="000000"/>
          <w:sz w:val="20"/>
          <w:szCs w:val="20"/>
        </w:rPr>
        <w:t>Ralph Lauren Corporation ("RLC") is a global leader in the design, marketing, and distribution of premium lifestyle prod</w:t>
      </w:r>
      <w:r>
        <w:rPr>
          <w:rFonts w:eastAsia="Times New Roman"/>
          <w:color w:val="000000"/>
          <w:sz w:val="20"/>
          <w:szCs w:val="20"/>
        </w:rPr>
        <w:t>ucts, including apparel, footwear, accessories, home furnishings, fragrances, and hospitality. RLC's long-standing reputation and distinctive image have been developed across an expanding number of products, brands, sales channels, and international market</w:t>
      </w:r>
      <w:r>
        <w:rPr>
          <w:rFonts w:eastAsia="Times New Roman"/>
          <w:color w:val="000000"/>
          <w:sz w:val="20"/>
          <w:szCs w:val="20"/>
        </w:rPr>
        <w:t>s. RLC's brand names include Ralph Lauren, Ralph Lauren Collection, Ralph Lauren Purple Label, Polo Ralph Lauren, Double RL, Lauren Ralph Lauren, Polo Ralph Lauren Children, Chaps, and Club Monaco, among others. RLC and its subsidiaries are collectively re</w:t>
      </w:r>
      <w:r>
        <w:rPr>
          <w:rFonts w:eastAsia="Times New Roman"/>
          <w:color w:val="000000"/>
          <w:sz w:val="20"/>
          <w:szCs w:val="20"/>
        </w:rPr>
        <w:t>ferred to herein as the "Company," "we," "us," "our," and "ourselves," unless the context indicates otherwise.</w:t>
      </w:r>
    </w:p>
    <w:p w14:paraId="38DAC9BB" w14:textId="77777777" w:rsidR="00000000" w:rsidRDefault="00EE5306">
      <w:pPr>
        <w:ind w:firstLine="540"/>
        <w:jc w:val="both"/>
        <w:divId w:val="1855027187"/>
        <w:rPr>
          <w:rFonts w:eastAsia="Times New Roman"/>
        </w:rPr>
      </w:pPr>
      <w:r>
        <w:rPr>
          <w:rFonts w:eastAsia="Times New Roman"/>
          <w:color w:val="000000"/>
          <w:sz w:val="20"/>
          <w:szCs w:val="20"/>
        </w:rPr>
        <w:t>The Company diversifies its business by geography (North America, Europe, and Asia, among other regions) and channel of distribution (retail, who</w:t>
      </w:r>
      <w:r>
        <w:rPr>
          <w:rFonts w:eastAsia="Times New Roman"/>
          <w:color w:val="000000"/>
          <w:sz w:val="20"/>
          <w:szCs w:val="20"/>
        </w:rPr>
        <w:t>lesale, and licensing). This allows the Company to maintain a dynamic balance as its operating results do not depend solely on the performance of any single geographic area or channel of distribution. The Company sells directly to consumers through its int</w:t>
      </w:r>
      <w:r>
        <w:rPr>
          <w:rFonts w:eastAsia="Times New Roman"/>
          <w:color w:val="000000"/>
          <w:sz w:val="20"/>
          <w:szCs w:val="20"/>
        </w:rPr>
        <w:t>egrated retail channel, which includes its retail stores, concession-based shop-within-shops, and digital commerce operations around the world. The Company's wholesale sales are made principally to major department stores, specialty stores, and third-party</w:t>
      </w:r>
      <w:r>
        <w:rPr>
          <w:rFonts w:eastAsia="Times New Roman"/>
          <w:color w:val="000000"/>
          <w:sz w:val="20"/>
          <w:szCs w:val="20"/>
        </w:rPr>
        <w:t xml:space="preserve"> digital partners around the world, as well as to certain third-party-owned stores to which the Company has licensed the right to operate in defined geographic territories using its trademarks. In addition, the Company licenses to third parties for specifi</w:t>
      </w:r>
      <w:r>
        <w:rPr>
          <w:rFonts w:eastAsia="Times New Roman"/>
          <w:color w:val="000000"/>
          <w:sz w:val="20"/>
          <w:szCs w:val="20"/>
        </w:rPr>
        <w:t>ed periods the right to access its various trademarks in connection with the licensees' manufacture and sale of designated products, such as certain apparel, eyewear, fragrances, and home furnishings.</w:t>
      </w:r>
    </w:p>
    <w:p w14:paraId="3C79DDF4" w14:textId="77777777" w:rsidR="00000000" w:rsidRDefault="00EE5306">
      <w:pPr>
        <w:ind w:firstLine="540"/>
        <w:jc w:val="both"/>
        <w:divId w:val="1088428866"/>
        <w:rPr>
          <w:rFonts w:eastAsia="Times New Roman"/>
        </w:rPr>
      </w:pPr>
      <w:r>
        <w:rPr>
          <w:rFonts w:eastAsia="Times New Roman"/>
          <w:color w:val="000000"/>
          <w:sz w:val="20"/>
          <w:szCs w:val="20"/>
        </w:rPr>
        <w:t>The Company organizes its business into the following t</w:t>
      </w:r>
      <w:r>
        <w:rPr>
          <w:rFonts w:eastAsia="Times New Roman"/>
          <w:color w:val="000000"/>
          <w:sz w:val="20"/>
          <w:szCs w:val="20"/>
        </w:rPr>
        <w:t>hree reportable segments: North America, Europe, and Asia. In addition to these reportable segments, the Company also has other non-reportable segments. See Note 20 for further discussion of the Company's segment reporting structure.</w:t>
      </w:r>
    </w:p>
    <w:p w14:paraId="2A44BD5F" w14:textId="77777777" w:rsidR="00000000" w:rsidRDefault="00EE5306">
      <w:pPr>
        <w:ind w:hanging="540"/>
        <w:divId w:val="901598053"/>
        <w:rPr>
          <w:rFonts w:eastAsia="Times New Roman"/>
        </w:rPr>
      </w:pPr>
      <w:r>
        <w:rPr>
          <w:rFonts w:eastAsia="Times New Roman"/>
          <w:b/>
          <w:bCs/>
          <w:color w:val="000000"/>
          <w:sz w:val="20"/>
          <w:szCs w:val="20"/>
        </w:rPr>
        <w:t>2.    Basis of Present</w:t>
      </w:r>
      <w:r>
        <w:rPr>
          <w:rFonts w:eastAsia="Times New Roman"/>
          <w:b/>
          <w:bCs/>
          <w:color w:val="000000"/>
          <w:sz w:val="20"/>
          <w:szCs w:val="20"/>
        </w:rPr>
        <w:t>ation</w:t>
      </w:r>
    </w:p>
    <w:p w14:paraId="2A21B649" w14:textId="77777777" w:rsidR="00000000" w:rsidRDefault="00EE5306">
      <w:pPr>
        <w:ind w:firstLine="360"/>
        <w:jc w:val="both"/>
        <w:divId w:val="65222844"/>
        <w:rPr>
          <w:rFonts w:eastAsia="Times New Roman"/>
        </w:rPr>
      </w:pPr>
      <w:r>
        <w:rPr>
          <w:rFonts w:eastAsia="Times New Roman"/>
          <w:b/>
          <w:bCs/>
          <w:i/>
          <w:iCs/>
          <w:color w:val="000000"/>
          <w:sz w:val="20"/>
          <w:szCs w:val="20"/>
        </w:rPr>
        <w:t>Basis of Consolidation</w:t>
      </w:r>
    </w:p>
    <w:p w14:paraId="6A5AE103" w14:textId="77777777" w:rsidR="00000000" w:rsidRDefault="00EE5306">
      <w:pPr>
        <w:ind w:firstLine="540"/>
        <w:jc w:val="both"/>
        <w:divId w:val="553349655"/>
        <w:rPr>
          <w:rFonts w:eastAsia="Times New Roman"/>
        </w:rPr>
      </w:pPr>
      <w:r>
        <w:rPr>
          <w:rFonts w:eastAsia="Times New Roman"/>
          <w:color w:val="000000"/>
          <w:sz w:val="20"/>
          <w:szCs w:val="20"/>
        </w:rPr>
        <w:t>These consolidated financial statements have been prepared in accordance with accounting principles generally accepted in the U.S. ("U.S. GAAP") and present the consolidated financial position, income (loss), comprehensive inco</w:t>
      </w:r>
      <w:r>
        <w:rPr>
          <w:rFonts w:eastAsia="Times New Roman"/>
          <w:color w:val="000000"/>
          <w:sz w:val="20"/>
          <w:szCs w:val="20"/>
        </w:rPr>
        <w:t>me (loss), and cash flows of the Company, including all entities in which the Company has a controlling financial interest and is determined to be the primary beneficiary. All significant intercompany balances and transactions have been eliminated in conso</w:t>
      </w:r>
      <w:r>
        <w:rPr>
          <w:rFonts w:eastAsia="Times New Roman"/>
          <w:color w:val="000000"/>
          <w:sz w:val="20"/>
          <w:szCs w:val="20"/>
        </w:rPr>
        <w:t xml:space="preserve">lidation. </w:t>
      </w:r>
    </w:p>
    <w:p w14:paraId="3B772FC5" w14:textId="77777777" w:rsidR="00000000" w:rsidRDefault="00EE5306">
      <w:pPr>
        <w:ind w:firstLine="360"/>
        <w:jc w:val="both"/>
        <w:divId w:val="2073114388"/>
        <w:rPr>
          <w:rFonts w:eastAsia="Times New Roman"/>
        </w:rPr>
      </w:pPr>
      <w:r>
        <w:rPr>
          <w:rFonts w:eastAsia="Times New Roman"/>
          <w:b/>
          <w:bCs/>
          <w:i/>
          <w:iCs/>
          <w:color w:val="000000"/>
          <w:sz w:val="20"/>
          <w:szCs w:val="20"/>
        </w:rPr>
        <w:t>Fiscal Year</w:t>
      </w:r>
    </w:p>
    <w:p w14:paraId="66705FD2" w14:textId="77777777" w:rsidR="00000000" w:rsidRDefault="00EE5306">
      <w:pPr>
        <w:ind w:firstLine="540"/>
        <w:jc w:val="both"/>
        <w:divId w:val="381753126"/>
        <w:rPr>
          <w:rFonts w:eastAsia="Times New Roman"/>
        </w:rPr>
      </w:pPr>
      <w:r>
        <w:rPr>
          <w:rFonts w:eastAsia="Times New Roman"/>
          <w:color w:val="000000"/>
          <w:sz w:val="20"/>
          <w:szCs w:val="20"/>
        </w:rPr>
        <w:t>The Company utilizes a 52-53 week fiscal year ending on the Saturday immediately before or after March 31. As such, fiscal year 2021 ended on March 27, 2021 and was a 52-week period ("Fiscal 2021"); fiscal year 2020 ended on March 28</w:t>
      </w:r>
      <w:r>
        <w:rPr>
          <w:rFonts w:eastAsia="Times New Roman"/>
          <w:color w:val="000000"/>
          <w:sz w:val="20"/>
          <w:szCs w:val="20"/>
        </w:rPr>
        <w:t>, 2020 and was a 52-week period ("Fiscal 2020"); fiscal year 2019 ended on March 30, 2019 and was a 52-week period ("Fiscal 2019"); and fiscal year 2022 will end on April 2, 2022 and will be a 53-week period ("Fiscal 2022").</w:t>
      </w:r>
    </w:p>
    <w:p w14:paraId="0018F188" w14:textId="77777777" w:rsidR="00000000" w:rsidRDefault="00EE5306">
      <w:pPr>
        <w:ind w:firstLine="360"/>
        <w:jc w:val="both"/>
        <w:divId w:val="757098172"/>
        <w:rPr>
          <w:rFonts w:eastAsia="Times New Roman"/>
        </w:rPr>
      </w:pPr>
      <w:r>
        <w:rPr>
          <w:rFonts w:eastAsia="Times New Roman"/>
          <w:b/>
          <w:bCs/>
          <w:i/>
          <w:iCs/>
          <w:color w:val="000000"/>
          <w:sz w:val="20"/>
          <w:szCs w:val="20"/>
        </w:rPr>
        <w:t>Use of Estimates</w:t>
      </w:r>
    </w:p>
    <w:p w14:paraId="57F693A5" w14:textId="77777777" w:rsidR="00000000" w:rsidRDefault="00EE5306">
      <w:pPr>
        <w:ind w:firstLine="540"/>
        <w:jc w:val="both"/>
        <w:divId w:val="1906716219"/>
        <w:rPr>
          <w:rFonts w:eastAsia="Times New Roman"/>
        </w:rPr>
      </w:pPr>
      <w:r>
        <w:rPr>
          <w:rFonts w:eastAsia="Times New Roman"/>
          <w:color w:val="000000"/>
          <w:sz w:val="20"/>
          <w:szCs w:val="20"/>
        </w:rPr>
        <w:t>The preparatio</w:t>
      </w:r>
      <w:r>
        <w:rPr>
          <w:rFonts w:eastAsia="Times New Roman"/>
          <w:color w:val="000000"/>
          <w:sz w:val="20"/>
          <w:szCs w:val="20"/>
        </w:rPr>
        <w:t>n of financial statements in conformity with U.S. GAAP requires management to make certain estimates and assumptions that affect the amounts reported in the financial statements and notes thereto. Actual results could differ materially from those estimates</w:t>
      </w:r>
      <w:r>
        <w:rPr>
          <w:rFonts w:eastAsia="Times New Roman"/>
          <w:color w:val="000000"/>
          <w:sz w:val="20"/>
          <w:szCs w:val="20"/>
        </w:rPr>
        <w:t>.</w:t>
      </w:r>
    </w:p>
    <w:p w14:paraId="298B0559" w14:textId="77777777" w:rsidR="00000000" w:rsidRDefault="00EE5306">
      <w:pPr>
        <w:ind w:firstLine="540"/>
        <w:jc w:val="both"/>
        <w:divId w:val="726030479"/>
        <w:rPr>
          <w:rFonts w:eastAsia="Times New Roman"/>
        </w:rPr>
      </w:pPr>
      <w:r>
        <w:rPr>
          <w:rFonts w:eastAsia="Times New Roman"/>
          <w:color w:val="000000"/>
          <w:sz w:val="20"/>
          <w:szCs w:val="20"/>
        </w:rPr>
        <w:t>Significant estimates inherent in the preparation of the consolidated financial statements include reserves for bad debt, customer returns, discounts, end-of-season markdowns, operational chargebacks, and certain cooperative advertising allowances; the rea</w:t>
      </w:r>
      <w:r>
        <w:rPr>
          <w:rFonts w:eastAsia="Times New Roman"/>
          <w:color w:val="000000"/>
          <w:sz w:val="20"/>
          <w:szCs w:val="20"/>
        </w:rPr>
        <w:t>lizability of inventory; reserves for litigation and other contingencies; useful lives and impairments of long-lived tangible and intangible assets; fair value measurements; accounting for income taxes and related uncertain tax positions; valuation of stoc</w:t>
      </w:r>
      <w:r>
        <w:rPr>
          <w:rFonts w:eastAsia="Times New Roman"/>
          <w:color w:val="000000"/>
          <w:sz w:val="20"/>
          <w:szCs w:val="20"/>
        </w:rPr>
        <w:t>k-based compensation awards and related forfeiture rates; and reserves for restructuring activity, among others.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D9C3AC7" w14:textId="77777777">
        <w:trPr>
          <w:divId w:val="860238983"/>
          <w:jc w:val="center"/>
        </w:trPr>
        <w:tc>
          <w:tcPr>
            <w:tcW w:w="50" w:type="pct"/>
            <w:vAlign w:val="center"/>
            <w:hideMark/>
          </w:tcPr>
          <w:p w14:paraId="5558F7BB" w14:textId="77777777" w:rsidR="00000000" w:rsidRDefault="00EE5306">
            <w:pPr>
              <w:ind w:firstLine="540"/>
              <w:jc w:val="both"/>
              <w:rPr>
                <w:rFonts w:eastAsia="Times New Roman"/>
              </w:rPr>
            </w:pPr>
          </w:p>
        </w:tc>
        <w:tc>
          <w:tcPr>
            <w:tcW w:w="1699" w:type="pct"/>
            <w:vAlign w:val="center"/>
            <w:hideMark/>
          </w:tcPr>
          <w:p w14:paraId="512496F3" w14:textId="77777777" w:rsidR="00000000" w:rsidRDefault="00EE5306">
            <w:pPr>
              <w:spacing w:after="100"/>
              <w:rPr>
                <w:rFonts w:eastAsia="Times New Roman"/>
                <w:sz w:val="20"/>
                <w:szCs w:val="20"/>
              </w:rPr>
            </w:pPr>
          </w:p>
        </w:tc>
        <w:tc>
          <w:tcPr>
            <w:tcW w:w="5" w:type="pct"/>
            <w:vAlign w:val="center"/>
            <w:hideMark/>
          </w:tcPr>
          <w:p w14:paraId="03BFD633" w14:textId="77777777" w:rsidR="00000000" w:rsidRDefault="00EE5306">
            <w:pPr>
              <w:spacing w:after="100"/>
              <w:rPr>
                <w:rFonts w:eastAsia="Times New Roman"/>
                <w:sz w:val="20"/>
                <w:szCs w:val="20"/>
              </w:rPr>
            </w:pPr>
          </w:p>
        </w:tc>
        <w:tc>
          <w:tcPr>
            <w:tcW w:w="50" w:type="pct"/>
            <w:vAlign w:val="center"/>
            <w:hideMark/>
          </w:tcPr>
          <w:p w14:paraId="718927E9" w14:textId="77777777" w:rsidR="00000000" w:rsidRDefault="00EE5306">
            <w:pPr>
              <w:spacing w:after="100"/>
              <w:rPr>
                <w:rFonts w:eastAsia="Times New Roman"/>
                <w:sz w:val="20"/>
                <w:szCs w:val="20"/>
              </w:rPr>
            </w:pPr>
          </w:p>
        </w:tc>
        <w:tc>
          <w:tcPr>
            <w:tcW w:w="1436" w:type="pct"/>
            <w:vAlign w:val="center"/>
            <w:hideMark/>
          </w:tcPr>
          <w:p w14:paraId="35CCF721" w14:textId="77777777" w:rsidR="00000000" w:rsidRDefault="00EE5306">
            <w:pPr>
              <w:spacing w:after="100"/>
              <w:rPr>
                <w:rFonts w:eastAsia="Times New Roman"/>
                <w:sz w:val="20"/>
                <w:szCs w:val="20"/>
              </w:rPr>
            </w:pPr>
          </w:p>
        </w:tc>
        <w:tc>
          <w:tcPr>
            <w:tcW w:w="5" w:type="pct"/>
            <w:vAlign w:val="center"/>
            <w:hideMark/>
          </w:tcPr>
          <w:p w14:paraId="13316C9B" w14:textId="77777777" w:rsidR="00000000" w:rsidRDefault="00EE5306">
            <w:pPr>
              <w:spacing w:after="100"/>
              <w:rPr>
                <w:rFonts w:eastAsia="Times New Roman"/>
                <w:sz w:val="20"/>
                <w:szCs w:val="20"/>
              </w:rPr>
            </w:pPr>
          </w:p>
        </w:tc>
        <w:tc>
          <w:tcPr>
            <w:tcW w:w="50" w:type="pct"/>
            <w:vAlign w:val="center"/>
            <w:hideMark/>
          </w:tcPr>
          <w:p w14:paraId="6A2031F3" w14:textId="77777777" w:rsidR="00000000" w:rsidRDefault="00EE5306">
            <w:pPr>
              <w:spacing w:after="100"/>
              <w:rPr>
                <w:rFonts w:eastAsia="Times New Roman"/>
                <w:sz w:val="20"/>
                <w:szCs w:val="20"/>
              </w:rPr>
            </w:pPr>
          </w:p>
        </w:tc>
        <w:tc>
          <w:tcPr>
            <w:tcW w:w="1699" w:type="pct"/>
            <w:vAlign w:val="center"/>
            <w:hideMark/>
          </w:tcPr>
          <w:p w14:paraId="70292798" w14:textId="77777777" w:rsidR="00000000" w:rsidRDefault="00EE5306">
            <w:pPr>
              <w:spacing w:after="100"/>
              <w:rPr>
                <w:rFonts w:eastAsia="Times New Roman"/>
                <w:sz w:val="20"/>
                <w:szCs w:val="20"/>
              </w:rPr>
            </w:pPr>
          </w:p>
        </w:tc>
        <w:tc>
          <w:tcPr>
            <w:tcW w:w="5" w:type="pct"/>
            <w:vAlign w:val="center"/>
            <w:hideMark/>
          </w:tcPr>
          <w:p w14:paraId="75E0D6C5" w14:textId="77777777" w:rsidR="00000000" w:rsidRDefault="00EE5306">
            <w:pPr>
              <w:spacing w:after="100"/>
              <w:rPr>
                <w:rFonts w:eastAsia="Times New Roman"/>
                <w:sz w:val="20"/>
                <w:szCs w:val="20"/>
              </w:rPr>
            </w:pPr>
          </w:p>
        </w:tc>
      </w:tr>
      <w:tr w:rsidR="00000000" w14:paraId="17390133" w14:textId="77777777">
        <w:trPr>
          <w:divId w:val="860238983"/>
          <w:jc w:val="center"/>
        </w:trPr>
        <w:tc>
          <w:tcPr>
            <w:tcW w:w="0" w:type="auto"/>
            <w:gridSpan w:val="3"/>
            <w:tcMar>
              <w:top w:w="0" w:type="dxa"/>
              <w:left w:w="20" w:type="dxa"/>
              <w:bottom w:w="0" w:type="dxa"/>
              <w:right w:w="20" w:type="dxa"/>
            </w:tcMar>
            <w:vAlign w:val="center"/>
            <w:hideMark/>
          </w:tcPr>
          <w:p w14:paraId="7D87BDD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B8A708A" w14:textId="77777777" w:rsidR="00000000" w:rsidRDefault="00EE5306">
            <w:pPr>
              <w:spacing w:after="100"/>
              <w:jc w:val="center"/>
              <w:rPr>
                <w:rFonts w:eastAsia="Times New Roman"/>
              </w:rPr>
            </w:pPr>
            <w:r>
              <w:rPr>
                <w:rFonts w:eastAsia="Times New Roman"/>
                <w:color w:val="000000"/>
                <w:sz w:val="20"/>
                <w:szCs w:val="20"/>
              </w:rPr>
              <w:t>F-7</w:t>
            </w:r>
          </w:p>
        </w:tc>
        <w:tc>
          <w:tcPr>
            <w:tcW w:w="0" w:type="auto"/>
            <w:gridSpan w:val="3"/>
            <w:tcMar>
              <w:top w:w="0" w:type="dxa"/>
              <w:left w:w="20" w:type="dxa"/>
              <w:bottom w:w="0" w:type="dxa"/>
              <w:right w:w="20" w:type="dxa"/>
            </w:tcMar>
            <w:vAlign w:val="center"/>
            <w:hideMark/>
          </w:tcPr>
          <w:p w14:paraId="690C4827" w14:textId="77777777" w:rsidR="00000000" w:rsidRDefault="00EE5306">
            <w:pPr>
              <w:spacing w:after="100"/>
              <w:jc w:val="center"/>
              <w:rPr>
                <w:rFonts w:eastAsia="Times New Roman"/>
              </w:rPr>
            </w:pPr>
          </w:p>
        </w:tc>
      </w:tr>
    </w:tbl>
    <w:p w14:paraId="00EFACC4" w14:textId="77777777" w:rsidR="00000000" w:rsidRDefault="00EE5306">
      <w:pPr>
        <w:rPr>
          <w:rFonts w:eastAsia="Times New Roman"/>
        </w:rPr>
      </w:pPr>
      <w:r>
        <w:rPr>
          <w:rFonts w:eastAsia="Times New Roman"/>
        </w:rPr>
        <w:pict w14:anchorId="4B44A52E">
          <v:rect id="_x0000_i1117" style="width:0;height:1.5pt" o:hralign="center" o:hrstd="t" o:hr="t" fillcolor="#a0a0a0" stroked="f"/>
        </w:pict>
      </w:r>
    </w:p>
    <w:p w14:paraId="05C38744" w14:textId="77777777" w:rsidR="00000000" w:rsidRDefault="00EE5306">
      <w:pPr>
        <w:jc w:val="center"/>
        <w:divId w:val="1924757505"/>
        <w:rPr>
          <w:rFonts w:eastAsia="Times New Roman"/>
        </w:rPr>
      </w:pPr>
    </w:p>
    <w:p w14:paraId="3928E7B0" w14:textId="77777777" w:rsidR="00000000" w:rsidRDefault="00EE5306">
      <w:pPr>
        <w:jc w:val="center"/>
        <w:divId w:val="1924757505"/>
        <w:rPr>
          <w:rFonts w:eastAsia="Times New Roman"/>
        </w:rPr>
      </w:pPr>
      <w:r>
        <w:rPr>
          <w:rFonts w:eastAsia="Times New Roman"/>
          <w:b/>
          <w:bCs/>
          <w:color w:val="000000"/>
          <w:sz w:val="20"/>
          <w:szCs w:val="20"/>
        </w:rPr>
        <w:t>RALPH LAUREN CORPORATION</w:t>
      </w:r>
    </w:p>
    <w:p w14:paraId="714D21CF" w14:textId="77777777" w:rsidR="00000000" w:rsidRDefault="00EE5306">
      <w:pPr>
        <w:jc w:val="center"/>
        <w:divId w:val="1600478784"/>
        <w:rPr>
          <w:rFonts w:eastAsia="Times New Roman"/>
        </w:rPr>
      </w:pPr>
      <w:r>
        <w:rPr>
          <w:rFonts w:eastAsia="Times New Roman"/>
          <w:b/>
          <w:bCs/>
          <w:color w:val="000000"/>
          <w:sz w:val="20"/>
          <w:szCs w:val="20"/>
        </w:rPr>
        <w:t>NOTES TO CONSOLIDATED FINANCIAL STATEMENTS (Continued)</w:t>
      </w:r>
    </w:p>
    <w:p w14:paraId="3716FF1B" w14:textId="77777777" w:rsidR="00000000" w:rsidRDefault="00EE5306">
      <w:pPr>
        <w:ind w:firstLine="360"/>
        <w:jc w:val="both"/>
        <w:divId w:val="1665812187"/>
        <w:rPr>
          <w:rFonts w:eastAsia="Times New Roman"/>
        </w:rPr>
      </w:pPr>
      <w:r>
        <w:rPr>
          <w:rFonts w:eastAsia="Times New Roman"/>
          <w:b/>
          <w:bCs/>
          <w:i/>
          <w:iCs/>
          <w:color w:val="000000"/>
          <w:sz w:val="20"/>
          <w:szCs w:val="20"/>
        </w:rPr>
        <w:t>Reclassifications</w:t>
      </w:r>
    </w:p>
    <w:p w14:paraId="084580DC" w14:textId="77777777" w:rsidR="00000000" w:rsidRDefault="00EE5306">
      <w:pPr>
        <w:ind w:firstLine="540"/>
        <w:jc w:val="both"/>
        <w:divId w:val="1810173152"/>
        <w:rPr>
          <w:rFonts w:eastAsia="Times New Roman"/>
        </w:rPr>
      </w:pPr>
      <w:r>
        <w:rPr>
          <w:rFonts w:eastAsia="Times New Roman"/>
          <w:color w:val="000000"/>
          <w:sz w:val="20"/>
          <w:szCs w:val="20"/>
        </w:rPr>
        <w:t>Certain reclassifications have been made to the prior periods' financial information in order to conform to the current period's presentation.</w:t>
      </w:r>
    </w:p>
    <w:p w14:paraId="6D6D276D" w14:textId="77777777" w:rsidR="00000000" w:rsidRDefault="00EE5306">
      <w:pPr>
        <w:ind w:firstLine="360"/>
        <w:jc w:val="both"/>
        <w:divId w:val="2131586711"/>
        <w:rPr>
          <w:rFonts w:eastAsia="Times New Roman"/>
        </w:rPr>
      </w:pPr>
      <w:r>
        <w:rPr>
          <w:rFonts w:eastAsia="Times New Roman"/>
          <w:b/>
          <w:bCs/>
          <w:i/>
          <w:iCs/>
          <w:color w:val="000000"/>
          <w:sz w:val="20"/>
          <w:szCs w:val="20"/>
        </w:rPr>
        <w:t>COVID-19 Pandemic</w:t>
      </w:r>
    </w:p>
    <w:p w14:paraId="0F8E6096" w14:textId="77777777" w:rsidR="00000000" w:rsidRDefault="00EE5306">
      <w:pPr>
        <w:ind w:firstLine="360"/>
        <w:jc w:val="both"/>
        <w:divId w:val="1140030213"/>
        <w:rPr>
          <w:rFonts w:eastAsia="Times New Roman"/>
        </w:rPr>
      </w:pPr>
      <w:r>
        <w:rPr>
          <w:rFonts w:eastAsia="Times New Roman"/>
          <w:color w:val="000000"/>
          <w:sz w:val="20"/>
          <w:szCs w:val="20"/>
        </w:rPr>
        <w:t>Beginning in the fourth quarter of Fiscal 2020, a novel strain of coronavirus commonly referred</w:t>
      </w:r>
      <w:r>
        <w:rPr>
          <w:rFonts w:eastAsia="Times New Roman"/>
          <w:color w:val="000000"/>
          <w:sz w:val="20"/>
          <w:szCs w:val="20"/>
        </w:rPr>
        <w:t xml:space="preserve"> to as COVID-19 emerged and spread rapidly across the globe, including throughout all major geographies in which the Company operates (North America, Europe, and Asia), resulting in adverse economic conditions and business disruptions, as well as significa</w:t>
      </w:r>
      <w:r>
        <w:rPr>
          <w:rFonts w:eastAsia="Times New Roman"/>
          <w:color w:val="000000"/>
          <w:sz w:val="20"/>
          <w:szCs w:val="20"/>
        </w:rPr>
        <w:t>nt volatility in global financial markets. Governments worldwide have imposed varying degrees of preventative and protective actions, such as temporary travel bans, forced business closures, and stay-at-home orders, all in an effort to reduce the spread of</w:t>
      </w:r>
      <w:r>
        <w:rPr>
          <w:rFonts w:eastAsia="Times New Roman"/>
          <w:color w:val="000000"/>
          <w:sz w:val="20"/>
          <w:szCs w:val="20"/>
        </w:rPr>
        <w:t xml:space="preserve"> the virus. Such factors, among others, have resulted in a significant decline in retail traffic, tourism, and consumer spending on discretionary items. Additionally, during this period of uncertainty, companies across a wide array of industries have imple</w:t>
      </w:r>
      <w:r>
        <w:rPr>
          <w:rFonts w:eastAsia="Times New Roman"/>
          <w:color w:val="000000"/>
          <w:sz w:val="20"/>
          <w:szCs w:val="20"/>
        </w:rPr>
        <w:t>mented various initiatives to reduce operating expenses and preserve cash balances, including work furloughs, reduced pay, and severance actions, which could lower consumers' disposable income levels or willingness to purchase discretionary items. Further,</w:t>
      </w:r>
      <w:r>
        <w:rPr>
          <w:rFonts w:eastAsia="Times New Roman"/>
          <w:color w:val="000000"/>
          <w:sz w:val="20"/>
          <w:szCs w:val="20"/>
        </w:rPr>
        <w:t xml:space="preserve"> even after such government restrictions and company initiatives are lifted, consumer behavior, spending levels, and/or shopping preferences, such as willingness to congregate in indoor shopping centers or other populated locations, could be adversely affe</w:t>
      </w:r>
      <w:r>
        <w:rPr>
          <w:rFonts w:eastAsia="Times New Roman"/>
          <w:color w:val="000000"/>
          <w:sz w:val="20"/>
          <w:szCs w:val="20"/>
        </w:rPr>
        <w:t>cted.</w:t>
      </w:r>
    </w:p>
    <w:p w14:paraId="641C01D4" w14:textId="77777777" w:rsidR="00000000" w:rsidRDefault="00EE5306">
      <w:pPr>
        <w:ind w:firstLine="540"/>
        <w:jc w:val="both"/>
        <w:divId w:val="718936781"/>
        <w:rPr>
          <w:rFonts w:eastAsia="Times New Roman"/>
        </w:rPr>
      </w:pPr>
      <w:r>
        <w:rPr>
          <w:rFonts w:eastAsia="Times New Roman"/>
          <w:color w:val="000000"/>
          <w:sz w:val="20"/>
          <w:szCs w:val="20"/>
        </w:rPr>
        <w:t>As a result of the COVID-19 pandemic, the Company has experienced varying degrees of business disruptions and periods of closure of its stores, distribution centers, and corporate facilities, as have the Company's wholesale customers, licensing partn</w:t>
      </w:r>
      <w:r>
        <w:rPr>
          <w:rFonts w:eastAsia="Times New Roman"/>
          <w:color w:val="000000"/>
          <w:sz w:val="20"/>
          <w:szCs w:val="20"/>
        </w:rPr>
        <w:t>ers, suppliers, and vendors. During the first quarter of Fiscal 2021, the majority of the Company's stores in key markets were closed for an average of 8 to 10 weeks due to government-mandated lockdowns and other restrictions, resulting in significant adve</w:t>
      </w:r>
      <w:r>
        <w:rPr>
          <w:rFonts w:eastAsia="Times New Roman"/>
          <w:color w:val="000000"/>
          <w:sz w:val="20"/>
          <w:szCs w:val="20"/>
        </w:rPr>
        <w:t>rse impacts to its operating results. Resurgences in certain parts of the world resulted in further business disruptions periodically throughout Fiscal 2021, most notably in Europe where a significant number of the Company's stores were closed for approxim</w:t>
      </w:r>
      <w:r>
        <w:rPr>
          <w:rFonts w:eastAsia="Times New Roman"/>
          <w:color w:val="000000"/>
          <w:sz w:val="20"/>
          <w:szCs w:val="20"/>
        </w:rPr>
        <w:t>ately two to three months during the second half of Fiscal 2021, including during the holiday period, due to government-mandated lockdowns and other restrictions. Such disruptions have continued into the first quarter of Fiscal 2022, impacting not only the</w:t>
      </w:r>
      <w:r>
        <w:rPr>
          <w:rFonts w:eastAsia="Times New Roman"/>
          <w:color w:val="000000"/>
          <w:sz w:val="20"/>
          <w:szCs w:val="20"/>
        </w:rPr>
        <w:t xml:space="preserve"> Company's businesses in Europe but also in other regions of the world (notably the Company's retail operations in Japan and its sourcing operations in India). Further, the majority of the Company's stores that are able to remain open have periodically bee</w:t>
      </w:r>
      <w:r>
        <w:rPr>
          <w:rFonts w:eastAsia="Times New Roman"/>
          <w:color w:val="000000"/>
          <w:sz w:val="20"/>
          <w:szCs w:val="20"/>
        </w:rPr>
        <w:t>n subject to limited operating hours and/or customer capacity levels in accordance with local health guidelines, with traffic remaining challenged. The Company's wholesale and licensing businesses have also been adversely affected, particularly in North Am</w:t>
      </w:r>
      <w:r>
        <w:rPr>
          <w:rFonts w:eastAsia="Times New Roman"/>
          <w:color w:val="000000"/>
          <w:sz w:val="20"/>
          <w:szCs w:val="20"/>
        </w:rPr>
        <w:t xml:space="preserve">erica and Europe, as a result of store closures and lower traffic and consumer demand. </w:t>
      </w:r>
    </w:p>
    <w:p w14:paraId="217F09B8" w14:textId="77777777" w:rsidR="00000000" w:rsidRDefault="00EE5306">
      <w:pPr>
        <w:ind w:firstLine="540"/>
        <w:jc w:val="both"/>
        <w:divId w:val="908462739"/>
        <w:rPr>
          <w:rFonts w:eastAsia="Times New Roman"/>
        </w:rPr>
      </w:pPr>
      <w:r>
        <w:rPr>
          <w:rFonts w:eastAsia="Times New Roman"/>
          <w:color w:val="000000"/>
          <w:sz w:val="20"/>
          <w:szCs w:val="20"/>
        </w:rPr>
        <w:t>Throughout the pandemic, the Company's priority has been to ensure the safety and well-being of its employees, customers, and the communities in which it operates aroun</w:t>
      </w:r>
      <w:r>
        <w:rPr>
          <w:rFonts w:eastAsia="Times New Roman"/>
          <w:color w:val="000000"/>
          <w:sz w:val="20"/>
          <w:szCs w:val="20"/>
        </w:rPr>
        <w:t>d the world. The Company continues to consider the guidance of local governments and global health organizations and has implemented new health and safety protocols in its stores, distribution centers, and corporate facilities. The Company has also taken v</w:t>
      </w:r>
      <w:r>
        <w:rPr>
          <w:rFonts w:eastAsia="Times New Roman"/>
          <w:color w:val="000000"/>
          <w:sz w:val="20"/>
          <w:szCs w:val="20"/>
        </w:rPr>
        <w:t>arious preemptive actions to preserve cash and strengthen its liquidity position, including:</w:t>
      </w:r>
    </w:p>
    <w:p w14:paraId="21A49A4F" w14:textId="77777777" w:rsidR="00000000" w:rsidRDefault="00EE5306">
      <w:pPr>
        <w:ind w:hanging="180"/>
        <w:jc w:val="both"/>
        <w:divId w:val="716272698"/>
        <w:rPr>
          <w:rFonts w:eastAsia="Times New Roman"/>
        </w:rPr>
      </w:pPr>
      <w:r>
        <w:rPr>
          <w:rFonts w:eastAsia="Times New Roman"/>
          <w:color w:val="000000"/>
          <w:sz w:val="20"/>
          <w:szCs w:val="20"/>
        </w:rPr>
        <w:t>•amending its Global Credit Facility in May 2020 to temporarily waive its leverage ratio requirement (see Note 11);</w:t>
      </w:r>
    </w:p>
    <w:p w14:paraId="42C08099" w14:textId="77777777" w:rsidR="00000000" w:rsidRDefault="00EE5306">
      <w:pPr>
        <w:ind w:hanging="180"/>
        <w:jc w:val="both"/>
        <w:divId w:val="1988973753"/>
        <w:rPr>
          <w:rFonts w:eastAsia="Times New Roman"/>
        </w:rPr>
      </w:pPr>
      <w:r>
        <w:rPr>
          <w:rFonts w:eastAsia="Times New Roman"/>
          <w:color w:val="000000"/>
          <w:sz w:val="20"/>
          <w:szCs w:val="20"/>
        </w:rPr>
        <w:t xml:space="preserve">•issuing $1.250 </w:t>
      </w:r>
      <w:r>
        <w:rPr>
          <w:rFonts w:eastAsia="Times New Roman"/>
          <w:color w:val="000000"/>
          <w:sz w:val="20"/>
          <w:szCs w:val="20"/>
        </w:rPr>
        <w:t>billion of unsecured senior notes in June 2020, the proceeds of which are being used for general corporate purposes, including repayment of certain of the Company's previously outstanding borrowings (see Note 11);</w:t>
      </w:r>
    </w:p>
    <w:p w14:paraId="6E123463" w14:textId="77777777" w:rsidR="00000000" w:rsidRDefault="00EE5306">
      <w:pPr>
        <w:ind w:hanging="180"/>
        <w:jc w:val="both"/>
        <w:divId w:val="1558203323"/>
        <w:rPr>
          <w:rFonts w:eastAsia="Times New Roman"/>
        </w:rPr>
      </w:pPr>
      <w:r>
        <w:rPr>
          <w:rFonts w:eastAsia="Times New Roman"/>
          <w:color w:val="000000"/>
          <w:sz w:val="20"/>
          <w:szCs w:val="20"/>
        </w:rPr>
        <w:t>•temporarily suspending its quarterly cash</w:t>
      </w:r>
      <w:r>
        <w:rPr>
          <w:rFonts w:eastAsia="Times New Roman"/>
          <w:color w:val="000000"/>
          <w:sz w:val="20"/>
          <w:szCs w:val="20"/>
        </w:rPr>
        <w:t xml:space="preserve"> dividend and common stock repurchase program, effective beginning in the first quarter of Fiscal 2021 (see Note 16);</w:t>
      </w:r>
    </w:p>
    <w:p w14:paraId="4B70ACC1" w14:textId="77777777" w:rsidR="00000000" w:rsidRDefault="00EE5306">
      <w:pPr>
        <w:ind w:hanging="180"/>
        <w:jc w:val="both"/>
        <w:divId w:val="1403213912"/>
        <w:rPr>
          <w:rFonts w:eastAsia="Times New Roman"/>
        </w:rPr>
      </w:pPr>
      <w:r>
        <w:rPr>
          <w:rFonts w:eastAsia="Times New Roman"/>
          <w:color w:val="000000"/>
          <w:sz w:val="20"/>
          <w:szCs w:val="20"/>
        </w:rPr>
        <w:t>•temporarily reducing the base compensation of its executives and senior management team, as well as its Board of Directors, for the first</w:t>
      </w:r>
      <w:r>
        <w:rPr>
          <w:rFonts w:eastAsia="Times New Roman"/>
          <w:color w:val="000000"/>
          <w:sz w:val="20"/>
          <w:szCs w:val="20"/>
        </w:rPr>
        <w:t xml:space="preserve"> quarter of Fiscal 2021;</w:t>
      </w:r>
    </w:p>
    <w:p w14:paraId="3CA04C71" w14:textId="77777777" w:rsidR="00000000" w:rsidRDefault="00EE5306">
      <w:pPr>
        <w:ind w:hanging="180"/>
        <w:jc w:val="both"/>
        <w:divId w:val="1050959748"/>
        <w:rPr>
          <w:rFonts w:eastAsia="Times New Roman"/>
        </w:rPr>
      </w:pPr>
      <w:r>
        <w:rPr>
          <w:rFonts w:eastAsia="Times New Roman"/>
          <w:color w:val="000000"/>
          <w:sz w:val="20"/>
          <w:szCs w:val="20"/>
        </w:rPr>
        <w:t>•furloughing or reducing work hours for a significant portion of its employees during the first half of Fiscal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F95EE1B" w14:textId="77777777">
        <w:trPr>
          <w:divId w:val="401024686"/>
          <w:jc w:val="center"/>
        </w:trPr>
        <w:tc>
          <w:tcPr>
            <w:tcW w:w="50" w:type="pct"/>
            <w:vAlign w:val="center"/>
            <w:hideMark/>
          </w:tcPr>
          <w:p w14:paraId="6CA16D34" w14:textId="77777777" w:rsidR="00000000" w:rsidRDefault="00EE5306">
            <w:pPr>
              <w:ind w:hanging="180"/>
              <w:jc w:val="both"/>
              <w:rPr>
                <w:rFonts w:eastAsia="Times New Roman"/>
              </w:rPr>
            </w:pPr>
          </w:p>
        </w:tc>
        <w:tc>
          <w:tcPr>
            <w:tcW w:w="1699" w:type="pct"/>
            <w:vAlign w:val="center"/>
            <w:hideMark/>
          </w:tcPr>
          <w:p w14:paraId="07E76226" w14:textId="77777777" w:rsidR="00000000" w:rsidRDefault="00EE5306">
            <w:pPr>
              <w:spacing w:after="100"/>
              <w:rPr>
                <w:rFonts w:eastAsia="Times New Roman"/>
                <w:sz w:val="20"/>
                <w:szCs w:val="20"/>
              </w:rPr>
            </w:pPr>
          </w:p>
        </w:tc>
        <w:tc>
          <w:tcPr>
            <w:tcW w:w="5" w:type="pct"/>
            <w:vAlign w:val="center"/>
            <w:hideMark/>
          </w:tcPr>
          <w:p w14:paraId="52AD01D4" w14:textId="77777777" w:rsidR="00000000" w:rsidRDefault="00EE5306">
            <w:pPr>
              <w:spacing w:after="100"/>
              <w:rPr>
                <w:rFonts w:eastAsia="Times New Roman"/>
                <w:sz w:val="20"/>
                <w:szCs w:val="20"/>
              </w:rPr>
            </w:pPr>
          </w:p>
        </w:tc>
        <w:tc>
          <w:tcPr>
            <w:tcW w:w="50" w:type="pct"/>
            <w:vAlign w:val="center"/>
            <w:hideMark/>
          </w:tcPr>
          <w:p w14:paraId="522BFA6E" w14:textId="77777777" w:rsidR="00000000" w:rsidRDefault="00EE5306">
            <w:pPr>
              <w:spacing w:after="100"/>
              <w:rPr>
                <w:rFonts w:eastAsia="Times New Roman"/>
                <w:sz w:val="20"/>
                <w:szCs w:val="20"/>
              </w:rPr>
            </w:pPr>
          </w:p>
        </w:tc>
        <w:tc>
          <w:tcPr>
            <w:tcW w:w="1436" w:type="pct"/>
            <w:vAlign w:val="center"/>
            <w:hideMark/>
          </w:tcPr>
          <w:p w14:paraId="7C3334AF" w14:textId="77777777" w:rsidR="00000000" w:rsidRDefault="00EE5306">
            <w:pPr>
              <w:spacing w:after="100"/>
              <w:rPr>
                <w:rFonts w:eastAsia="Times New Roman"/>
                <w:sz w:val="20"/>
                <w:szCs w:val="20"/>
              </w:rPr>
            </w:pPr>
          </w:p>
        </w:tc>
        <w:tc>
          <w:tcPr>
            <w:tcW w:w="5" w:type="pct"/>
            <w:vAlign w:val="center"/>
            <w:hideMark/>
          </w:tcPr>
          <w:p w14:paraId="53791EE6" w14:textId="77777777" w:rsidR="00000000" w:rsidRDefault="00EE5306">
            <w:pPr>
              <w:spacing w:after="100"/>
              <w:rPr>
                <w:rFonts w:eastAsia="Times New Roman"/>
                <w:sz w:val="20"/>
                <w:szCs w:val="20"/>
              </w:rPr>
            </w:pPr>
          </w:p>
        </w:tc>
        <w:tc>
          <w:tcPr>
            <w:tcW w:w="50" w:type="pct"/>
            <w:vAlign w:val="center"/>
            <w:hideMark/>
          </w:tcPr>
          <w:p w14:paraId="68A34B2C" w14:textId="77777777" w:rsidR="00000000" w:rsidRDefault="00EE5306">
            <w:pPr>
              <w:spacing w:after="100"/>
              <w:rPr>
                <w:rFonts w:eastAsia="Times New Roman"/>
                <w:sz w:val="20"/>
                <w:szCs w:val="20"/>
              </w:rPr>
            </w:pPr>
          </w:p>
        </w:tc>
        <w:tc>
          <w:tcPr>
            <w:tcW w:w="1699" w:type="pct"/>
            <w:vAlign w:val="center"/>
            <w:hideMark/>
          </w:tcPr>
          <w:p w14:paraId="5B87CD38" w14:textId="77777777" w:rsidR="00000000" w:rsidRDefault="00EE5306">
            <w:pPr>
              <w:spacing w:after="100"/>
              <w:rPr>
                <w:rFonts w:eastAsia="Times New Roman"/>
                <w:sz w:val="20"/>
                <w:szCs w:val="20"/>
              </w:rPr>
            </w:pPr>
          </w:p>
        </w:tc>
        <w:tc>
          <w:tcPr>
            <w:tcW w:w="5" w:type="pct"/>
            <w:vAlign w:val="center"/>
            <w:hideMark/>
          </w:tcPr>
          <w:p w14:paraId="03D8CF50" w14:textId="77777777" w:rsidR="00000000" w:rsidRDefault="00EE5306">
            <w:pPr>
              <w:spacing w:after="100"/>
              <w:rPr>
                <w:rFonts w:eastAsia="Times New Roman"/>
                <w:sz w:val="20"/>
                <w:szCs w:val="20"/>
              </w:rPr>
            </w:pPr>
          </w:p>
        </w:tc>
      </w:tr>
      <w:tr w:rsidR="00000000" w14:paraId="15163765" w14:textId="77777777">
        <w:trPr>
          <w:divId w:val="401024686"/>
          <w:jc w:val="center"/>
        </w:trPr>
        <w:tc>
          <w:tcPr>
            <w:tcW w:w="0" w:type="auto"/>
            <w:gridSpan w:val="3"/>
            <w:tcMar>
              <w:top w:w="0" w:type="dxa"/>
              <w:left w:w="20" w:type="dxa"/>
              <w:bottom w:w="0" w:type="dxa"/>
              <w:right w:w="20" w:type="dxa"/>
            </w:tcMar>
            <w:vAlign w:val="center"/>
            <w:hideMark/>
          </w:tcPr>
          <w:p w14:paraId="25DC449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E3F68D0" w14:textId="77777777" w:rsidR="00000000" w:rsidRDefault="00EE5306">
            <w:pPr>
              <w:spacing w:after="100"/>
              <w:jc w:val="center"/>
              <w:rPr>
                <w:rFonts w:eastAsia="Times New Roman"/>
              </w:rPr>
            </w:pPr>
            <w:r>
              <w:rPr>
                <w:rFonts w:eastAsia="Times New Roman"/>
                <w:color w:val="000000"/>
                <w:sz w:val="20"/>
                <w:szCs w:val="20"/>
              </w:rPr>
              <w:t>F-8</w:t>
            </w:r>
          </w:p>
        </w:tc>
        <w:tc>
          <w:tcPr>
            <w:tcW w:w="0" w:type="auto"/>
            <w:gridSpan w:val="3"/>
            <w:tcMar>
              <w:top w:w="0" w:type="dxa"/>
              <w:left w:w="20" w:type="dxa"/>
              <w:bottom w:w="0" w:type="dxa"/>
              <w:right w:w="20" w:type="dxa"/>
            </w:tcMar>
            <w:vAlign w:val="center"/>
            <w:hideMark/>
          </w:tcPr>
          <w:p w14:paraId="31A4A9E3" w14:textId="77777777" w:rsidR="00000000" w:rsidRDefault="00EE5306">
            <w:pPr>
              <w:spacing w:after="100"/>
              <w:jc w:val="center"/>
              <w:rPr>
                <w:rFonts w:eastAsia="Times New Roman"/>
              </w:rPr>
            </w:pPr>
          </w:p>
        </w:tc>
      </w:tr>
    </w:tbl>
    <w:p w14:paraId="1057CD93" w14:textId="77777777" w:rsidR="00000000" w:rsidRDefault="00EE5306">
      <w:pPr>
        <w:rPr>
          <w:rFonts w:eastAsia="Times New Roman"/>
        </w:rPr>
      </w:pPr>
      <w:r>
        <w:rPr>
          <w:rFonts w:eastAsia="Times New Roman"/>
        </w:rPr>
        <w:pict w14:anchorId="2381A0B8">
          <v:rect id="_x0000_i1118" style="width:0;height:1.5pt" o:hralign="center" o:hrstd="t" o:hr="t" fillcolor="#a0a0a0" stroked="f"/>
        </w:pict>
      </w:r>
    </w:p>
    <w:p w14:paraId="13763681" w14:textId="77777777" w:rsidR="00000000" w:rsidRDefault="00EE5306">
      <w:pPr>
        <w:jc w:val="center"/>
        <w:divId w:val="403067814"/>
        <w:rPr>
          <w:rFonts w:eastAsia="Times New Roman"/>
        </w:rPr>
      </w:pPr>
    </w:p>
    <w:p w14:paraId="3915ABE2" w14:textId="77777777" w:rsidR="00000000" w:rsidRDefault="00EE5306">
      <w:pPr>
        <w:jc w:val="center"/>
        <w:divId w:val="403067814"/>
        <w:rPr>
          <w:rFonts w:eastAsia="Times New Roman"/>
        </w:rPr>
      </w:pPr>
      <w:r>
        <w:rPr>
          <w:rFonts w:eastAsia="Times New Roman"/>
          <w:b/>
          <w:bCs/>
          <w:color w:val="000000"/>
          <w:sz w:val="20"/>
          <w:szCs w:val="20"/>
        </w:rPr>
        <w:t>RALPH LAUREN CORPORATION</w:t>
      </w:r>
    </w:p>
    <w:p w14:paraId="0F6FDFB6" w14:textId="77777777" w:rsidR="00000000" w:rsidRDefault="00EE5306">
      <w:pPr>
        <w:jc w:val="center"/>
        <w:divId w:val="2092971466"/>
        <w:rPr>
          <w:rFonts w:eastAsia="Times New Roman"/>
        </w:rPr>
      </w:pPr>
      <w:r>
        <w:rPr>
          <w:rFonts w:eastAsia="Times New Roman"/>
          <w:b/>
          <w:bCs/>
          <w:color w:val="000000"/>
          <w:sz w:val="20"/>
          <w:szCs w:val="20"/>
        </w:rPr>
        <w:t>NOTES TO CONSOLIDATED FINANCIAL STATEMENTS (Continued)</w:t>
      </w:r>
    </w:p>
    <w:p w14:paraId="51E5FE17" w14:textId="77777777" w:rsidR="00000000" w:rsidRDefault="00EE5306">
      <w:pPr>
        <w:ind w:hanging="180"/>
        <w:jc w:val="both"/>
        <w:divId w:val="799687659"/>
        <w:rPr>
          <w:rFonts w:eastAsia="Times New Roman"/>
        </w:rPr>
      </w:pPr>
      <w:r>
        <w:rPr>
          <w:rFonts w:eastAsia="Times New Roman"/>
          <w:color w:val="000000"/>
          <w:sz w:val="20"/>
          <w:szCs w:val="20"/>
        </w:rPr>
        <w:t>•carefully managing its expense structure across all key areas of spend, including aligning inventory levels with anticipated demand, nego</w:t>
      </w:r>
      <w:r>
        <w:rPr>
          <w:rFonts w:eastAsia="Times New Roman"/>
          <w:color w:val="000000"/>
          <w:sz w:val="20"/>
          <w:szCs w:val="20"/>
        </w:rPr>
        <w:t>tiating rent abatements with certain of its landlords, and postponing non-critical capital build-out and other investments and activities;</w:t>
      </w:r>
    </w:p>
    <w:p w14:paraId="7F51A24D" w14:textId="77777777" w:rsidR="00000000" w:rsidRDefault="00EE5306">
      <w:pPr>
        <w:ind w:hanging="180"/>
        <w:jc w:val="both"/>
        <w:divId w:val="458257647"/>
        <w:rPr>
          <w:rFonts w:eastAsia="Times New Roman"/>
        </w:rPr>
      </w:pPr>
      <w:r>
        <w:rPr>
          <w:rFonts w:eastAsia="Times New Roman"/>
          <w:color w:val="000000"/>
          <w:sz w:val="20"/>
          <w:szCs w:val="20"/>
        </w:rPr>
        <w:t>•pursuing relevant government subsidy programs related to COVID-19 business disruptions; and</w:t>
      </w:r>
    </w:p>
    <w:p w14:paraId="79CC5E07" w14:textId="77777777" w:rsidR="00000000" w:rsidRDefault="00EE5306">
      <w:pPr>
        <w:ind w:hanging="180"/>
        <w:jc w:val="both"/>
        <w:divId w:val="772242600"/>
        <w:rPr>
          <w:rFonts w:eastAsia="Times New Roman"/>
        </w:rPr>
      </w:pPr>
      <w:r>
        <w:rPr>
          <w:rFonts w:eastAsia="Times New Roman"/>
          <w:color w:val="000000"/>
          <w:sz w:val="20"/>
          <w:szCs w:val="20"/>
        </w:rPr>
        <w:t>•improving upon its cash</w:t>
      </w:r>
      <w:r>
        <w:rPr>
          <w:rFonts w:eastAsia="Times New Roman"/>
          <w:color w:val="000000"/>
          <w:sz w:val="20"/>
          <w:szCs w:val="20"/>
        </w:rPr>
        <w:t xml:space="preserve"> conversion cycle largely driven by its accounts receivable collection efforts and extended vendor payment terms.</w:t>
      </w:r>
    </w:p>
    <w:p w14:paraId="30402EB3" w14:textId="77777777" w:rsidR="00000000" w:rsidRDefault="00EE5306">
      <w:pPr>
        <w:ind w:firstLine="540"/>
        <w:jc w:val="both"/>
        <w:divId w:val="1737359940"/>
        <w:rPr>
          <w:rFonts w:eastAsia="Times New Roman"/>
        </w:rPr>
      </w:pPr>
      <w:r>
        <w:rPr>
          <w:rFonts w:eastAsia="Times New Roman"/>
          <w:color w:val="000000"/>
          <w:sz w:val="20"/>
          <w:szCs w:val="20"/>
        </w:rPr>
        <w:t>Despite the introduction of COVID-19 vaccines, the pandemic remains highly volatile and continues to evolve. Accordingly, the Company cannot p</w:t>
      </w:r>
      <w:r>
        <w:rPr>
          <w:rFonts w:eastAsia="Times New Roman"/>
          <w:color w:val="000000"/>
          <w:sz w:val="20"/>
          <w:szCs w:val="20"/>
        </w:rPr>
        <w:t>redict for how long and to what extent the pandemic will impact its business operations or the global economy as a whole. The Company will continue to assess its operations location-by-location, considering the guidance of local governments and global heal</w:t>
      </w:r>
      <w:r>
        <w:rPr>
          <w:rFonts w:eastAsia="Times New Roman"/>
          <w:color w:val="000000"/>
          <w:sz w:val="20"/>
          <w:szCs w:val="20"/>
        </w:rPr>
        <w:t>th organizations to determine when its operations can begin returning to normal levels of business.</w:t>
      </w:r>
    </w:p>
    <w:p w14:paraId="294C621E" w14:textId="77777777" w:rsidR="00000000" w:rsidRDefault="00EE5306">
      <w:pPr>
        <w:ind w:hanging="540"/>
        <w:divId w:val="1943685627"/>
        <w:rPr>
          <w:rFonts w:eastAsia="Times New Roman"/>
        </w:rPr>
      </w:pPr>
      <w:r>
        <w:rPr>
          <w:rFonts w:eastAsia="Times New Roman"/>
          <w:b/>
          <w:bCs/>
          <w:color w:val="000000"/>
          <w:sz w:val="20"/>
          <w:szCs w:val="20"/>
        </w:rPr>
        <w:t>3.    Summary of Significant Accounting Policies</w:t>
      </w:r>
    </w:p>
    <w:p w14:paraId="725CF19C" w14:textId="77777777" w:rsidR="00000000" w:rsidRDefault="00EE5306">
      <w:pPr>
        <w:ind w:firstLine="360"/>
        <w:jc w:val="both"/>
        <w:divId w:val="1183008717"/>
        <w:rPr>
          <w:rFonts w:eastAsia="Times New Roman"/>
        </w:rPr>
      </w:pPr>
      <w:r>
        <w:rPr>
          <w:rFonts w:eastAsia="Times New Roman"/>
          <w:b/>
          <w:bCs/>
          <w:i/>
          <w:iCs/>
          <w:color w:val="000000"/>
          <w:sz w:val="20"/>
          <w:szCs w:val="20"/>
        </w:rPr>
        <w:t>Revenue Recognition</w:t>
      </w:r>
    </w:p>
    <w:p w14:paraId="72ADF045" w14:textId="77777777" w:rsidR="00000000" w:rsidRDefault="00EE5306">
      <w:pPr>
        <w:ind w:firstLine="540"/>
        <w:jc w:val="both"/>
        <w:divId w:val="230240580"/>
        <w:rPr>
          <w:rFonts w:eastAsia="Times New Roman"/>
        </w:rPr>
      </w:pPr>
      <w:r>
        <w:rPr>
          <w:rFonts w:eastAsia="Times New Roman"/>
          <w:color w:val="000000"/>
          <w:sz w:val="20"/>
          <w:szCs w:val="20"/>
        </w:rPr>
        <w:t>The Company recognizes revenue across all channels of the business when it satisfies its performance obligations by transferring control of promised products or services to its customers, which occurs either at a point in time or over time, depending on wh</w:t>
      </w:r>
      <w:r>
        <w:rPr>
          <w:rFonts w:eastAsia="Times New Roman"/>
          <w:color w:val="000000"/>
          <w:sz w:val="20"/>
          <w:szCs w:val="20"/>
        </w:rPr>
        <w:t>en the customer obtains the ability to direct the use of and obtain substantially all of the remaining benefits from the products or services. The amount of revenue recognized considers terms of sale that create variability in the amount of consideration t</w:t>
      </w:r>
      <w:r>
        <w:rPr>
          <w:rFonts w:eastAsia="Times New Roman"/>
          <w:color w:val="000000"/>
          <w:sz w:val="20"/>
          <w:szCs w:val="20"/>
        </w:rPr>
        <w:t>hat the Company ultimately expects to be entitled to in exchange for the products or services, and is subject to an overall constraint that a significant revenue reversal will not occur in future periods. Sales and other related taxes collected from custom</w:t>
      </w:r>
      <w:r>
        <w:rPr>
          <w:rFonts w:eastAsia="Times New Roman"/>
          <w:color w:val="000000"/>
          <w:sz w:val="20"/>
          <w:szCs w:val="20"/>
        </w:rPr>
        <w:t>ers and remitted to government authorities are excluded from revenue.</w:t>
      </w:r>
    </w:p>
    <w:p w14:paraId="15E777FC" w14:textId="77777777" w:rsidR="00000000" w:rsidRDefault="00EE5306">
      <w:pPr>
        <w:ind w:firstLine="540"/>
        <w:jc w:val="both"/>
        <w:divId w:val="253559121"/>
        <w:rPr>
          <w:rFonts w:eastAsia="Times New Roman"/>
        </w:rPr>
      </w:pPr>
      <w:r>
        <w:rPr>
          <w:rFonts w:eastAsia="Times New Roman"/>
          <w:color w:val="000000"/>
          <w:sz w:val="20"/>
          <w:szCs w:val="20"/>
        </w:rPr>
        <w:t>Revenue from the Company's retail business is recognized when the customer takes physical possession of the products, which occurs either at the point of sale for merchandise purchased a</w:t>
      </w:r>
      <w:r>
        <w:rPr>
          <w:rFonts w:eastAsia="Times New Roman"/>
          <w:color w:val="000000"/>
          <w:sz w:val="20"/>
          <w:szCs w:val="20"/>
        </w:rPr>
        <w:t>t the Company's own retail stores and shop-within-shop locations, or upon receipt of shipment for merchandise ordered through direct-to-consumer digital commerce sites. Such revenues are recorded net of estimated returns based on historical trends. Payment</w:t>
      </w:r>
      <w:r>
        <w:rPr>
          <w:rFonts w:eastAsia="Times New Roman"/>
          <w:color w:val="000000"/>
          <w:sz w:val="20"/>
          <w:szCs w:val="20"/>
        </w:rPr>
        <w:t xml:space="preserve"> is due at the point of sale. </w:t>
      </w:r>
    </w:p>
    <w:p w14:paraId="6BF2CE31" w14:textId="77777777" w:rsidR="00000000" w:rsidRDefault="00EE5306">
      <w:pPr>
        <w:ind w:firstLine="540"/>
        <w:jc w:val="both"/>
        <w:divId w:val="2072118812"/>
        <w:rPr>
          <w:rFonts w:eastAsia="Times New Roman"/>
        </w:rPr>
      </w:pPr>
      <w:r>
        <w:rPr>
          <w:rFonts w:eastAsia="Times New Roman"/>
          <w:color w:val="000000"/>
          <w:sz w:val="20"/>
          <w:szCs w:val="20"/>
        </w:rPr>
        <w:t>Gift cards purchased by customers are recorded as a liability until they are redeemed for products sold by the Company's retail business, at which point revenue is recognized. The Company also estimates and recognizes revenue</w:t>
      </w:r>
      <w:r>
        <w:rPr>
          <w:rFonts w:eastAsia="Times New Roman"/>
          <w:color w:val="000000"/>
          <w:sz w:val="20"/>
          <w:szCs w:val="20"/>
        </w:rPr>
        <w:t xml:space="preserve"> for gift card balances not expected to ever be redeemed (referred to as "breakage") to the extent that it does not have a legal obligation to remit the value of such unredeemed gift cards to the relevant jurisdiction as unclaimed or abandoned property. Su</w:t>
      </w:r>
      <w:r>
        <w:rPr>
          <w:rFonts w:eastAsia="Times New Roman"/>
          <w:color w:val="000000"/>
          <w:sz w:val="20"/>
          <w:szCs w:val="20"/>
        </w:rPr>
        <w:t>ch estimates are based upon historical redemption trends, with breakage income recognized in proportion to the pattern of actual customer redemptions.</w:t>
      </w:r>
    </w:p>
    <w:p w14:paraId="5CDD3139" w14:textId="77777777" w:rsidR="00000000" w:rsidRDefault="00EE5306">
      <w:pPr>
        <w:ind w:firstLine="540"/>
        <w:jc w:val="both"/>
        <w:divId w:val="2061903344"/>
        <w:rPr>
          <w:rFonts w:eastAsia="Times New Roman"/>
        </w:rPr>
      </w:pPr>
      <w:r>
        <w:rPr>
          <w:rFonts w:eastAsia="Times New Roman"/>
          <w:color w:val="000000"/>
          <w:sz w:val="20"/>
          <w:szCs w:val="20"/>
        </w:rPr>
        <w:t>Revenue from the Company's wholesale business is generally recognized upon shipment of products, at which</w:t>
      </w:r>
      <w:r>
        <w:rPr>
          <w:rFonts w:eastAsia="Times New Roman"/>
          <w:color w:val="000000"/>
          <w:sz w:val="20"/>
          <w:szCs w:val="20"/>
        </w:rPr>
        <w:t xml:space="preserve"> point title passes and risk of loss is transferred to the customer. In certain arrangements where the Company retains the risk of loss during shipment, revenue is recognized upon receipt of products by the customer. Wholesale revenue is recorded net of es</w:t>
      </w:r>
      <w:r>
        <w:rPr>
          <w:rFonts w:eastAsia="Times New Roman"/>
          <w:color w:val="000000"/>
          <w:sz w:val="20"/>
          <w:szCs w:val="20"/>
        </w:rPr>
        <w:t>timates of returns, discounts, end-of-season markdowns, operational chargebacks, and certain cooperative advertising allowances. Returns and allowances require pre-approval from management and discounts are based on trade terms. Estimates for end-of-season</w:t>
      </w:r>
      <w:r>
        <w:rPr>
          <w:rFonts w:eastAsia="Times New Roman"/>
          <w:color w:val="000000"/>
          <w:sz w:val="20"/>
          <w:szCs w:val="20"/>
        </w:rPr>
        <w:t xml:space="preserve"> markdown reserves are based on historical trends, actual and forecasted seasonal results, an evaluation of current economic and market conditions, retailer performance, and, in certain cases, contractual terms. Estimates for operational chargebacks are ba</w:t>
      </w:r>
      <w:r>
        <w:rPr>
          <w:rFonts w:eastAsia="Times New Roman"/>
          <w:color w:val="000000"/>
          <w:sz w:val="20"/>
          <w:szCs w:val="20"/>
        </w:rPr>
        <w:t>sed on actual customer notifications of order fulfillment discrepancies and historical trends. The Company reviews and refines these estimates on at least a quarterly basis. The Company's historical estimates of these amounts have not differed materially f</w:t>
      </w:r>
      <w:r>
        <w:rPr>
          <w:rFonts w:eastAsia="Times New Roman"/>
          <w:color w:val="000000"/>
          <w:sz w:val="20"/>
          <w:szCs w:val="20"/>
        </w:rPr>
        <w:t>rom actual results.</w:t>
      </w:r>
    </w:p>
    <w:p w14:paraId="2CB648A0" w14:textId="77777777" w:rsidR="00000000" w:rsidRDefault="00EE5306">
      <w:pPr>
        <w:ind w:firstLine="540"/>
        <w:jc w:val="both"/>
        <w:divId w:val="170879690"/>
        <w:rPr>
          <w:rFonts w:eastAsia="Times New Roman"/>
        </w:rPr>
      </w:pPr>
      <w:r>
        <w:rPr>
          <w:rFonts w:eastAsia="Times New Roman"/>
          <w:color w:val="000000"/>
          <w:sz w:val="20"/>
          <w:szCs w:val="20"/>
        </w:rPr>
        <w:t>Revenue from the Company's licensing arrangements is recognized over time during the period that licensees are provided access to the Company's trademarks (i.e., symbolic intellectual property) and benefit from such access through their</w:t>
      </w:r>
      <w:r>
        <w:rPr>
          <w:rFonts w:eastAsia="Times New Roman"/>
          <w:color w:val="000000"/>
          <w:sz w:val="20"/>
          <w:szCs w:val="20"/>
        </w:rPr>
        <w:t xml:space="preserve"> own sales of licensed products. These arrangements require licensees to pay a sales-based royalty, which for most arrangements may be subject to a contractually-guaranteed minimum royalty amount. Payments are generally due quarterly and, depending on time</w:t>
      </w:r>
      <w:r>
        <w:rPr>
          <w:rFonts w:eastAsia="Times New Roman"/>
          <w:color w:val="000000"/>
          <w:sz w:val="20"/>
          <w:szCs w:val="20"/>
        </w:rPr>
        <w:t xml:space="preserve"> of receipt, may be recorded as a liability until recognized as revenue. The Company recognizes revenue for sales-based royalty arrangements (including those for which the royalty exceeds any contractually-guaranteed minimum royalty amount) as licensed pro</w:t>
      </w:r>
      <w:r>
        <w:rPr>
          <w:rFonts w:eastAsia="Times New Roman"/>
          <w:color w:val="000000"/>
          <w:sz w:val="20"/>
          <w:szCs w:val="20"/>
        </w:rPr>
        <w:t>ducts are sold by the licensee. If a sales-based royalty is not ultimately expected to exceed a contractually-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DB8F68E" w14:textId="77777777">
        <w:trPr>
          <w:divId w:val="1659922954"/>
          <w:jc w:val="center"/>
        </w:trPr>
        <w:tc>
          <w:tcPr>
            <w:tcW w:w="50" w:type="pct"/>
            <w:vAlign w:val="center"/>
            <w:hideMark/>
          </w:tcPr>
          <w:p w14:paraId="680CF1B2" w14:textId="77777777" w:rsidR="00000000" w:rsidRDefault="00EE5306">
            <w:pPr>
              <w:ind w:firstLine="540"/>
              <w:jc w:val="both"/>
              <w:rPr>
                <w:rFonts w:eastAsia="Times New Roman"/>
              </w:rPr>
            </w:pPr>
          </w:p>
        </w:tc>
        <w:tc>
          <w:tcPr>
            <w:tcW w:w="1699" w:type="pct"/>
            <w:vAlign w:val="center"/>
            <w:hideMark/>
          </w:tcPr>
          <w:p w14:paraId="53A1361E" w14:textId="77777777" w:rsidR="00000000" w:rsidRDefault="00EE5306">
            <w:pPr>
              <w:spacing w:after="100"/>
              <w:rPr>
                <w:rFonts w:eastAsia="Times New Roman"/>
                <w:sz w:val="20"/>
                <w:szCs w:val="20"/>
              </w:rPr>
            </w:pPr>
          </w:p>
        </w:tc>
        <w:tc>
          <w:tcPr>
            <w:tcW w:w="5" w:type="pct"/>
            <w:vAlign w:val="center"/>
            <w:hideMark/>
          </w:tcPr>
          <w:p w14:paraId="6AA611C9" w14:textId="77777777" w:rsidR="00000000" w:rsidRDefault="00EE5306">
            <w:pPr>
              <w:spacing w:after="100"/>
              <w:rPr>
                <w:rFonts w:eastAsia="Times New Roman"/>
                <w:sz w:val="20"/>
                <w:szCs w:val="20"/>
              </w:rPr>
            </w:pPr>
          </w:p>
        </w:tc>
        <w:tc>
          <w:tcPr>
            <w:tcW w:w="50" w:type="pct"/>
            <w:vAlign w:val="center"/>
            <w:hideMark/>
          </w:tcPr>
          <w:p w14:paraId="000533A6" w14:textId="77777777" w:rsidR="00000000" w:rsidRDefault="00EE5306">
            <w:pPr>
              <w:spacing w:after="100"/>
              <w:rPr>
                <w:rFonts w:eastAsia="Times New Roman"/>
                <w:sz w:val="20"/>
                <w:szCs w:val="20"/>
              </w:rPr>
            </w:pPr>
          </w:p>
        </w:tc>
        <w:tc>
          <w:tcPr>
            <w:tcW w:w="1436" w:type="pct"/>
            <w:vAlign w:val="center"/>
            <w:hideMark/>
          </w:tcPr>
          <w:p w14:paraId="629B22CC" w14:textId="77777777" w:rsidR="00000000" w:rsidRDefault="00EE5306">
            <w:pPr>
              <w:spacing w:after="100"/>
              <w:rPr>
                <w:rFonts w:eastAsia="Times New Roman"/>
                <w:sz w:val="20"/>
                <w:szCs w:val="20"/>
              </w:rPr>
            </w:pPr>
          </w:p>
        </w:tc>
        <w:tc>
          <w:tcPr>
            <w:tcW w:w="5" w:type="pct"/>
            <w:vAlign w:val="center"/>
            <w:hideMark/>
          </w:tcPr>
          <w:p w14:paraId="7492CE7D" w14:textId="77777777" w:rsidR="00000000" w:rsidRDefault="00EE5306">
            <w:pPr>
              <w:spacing w:after="100"/>
              <w:rPr>
                <w:rFonts w:eastAsia="Times New Roman"/>
                <w:sz w:val="20"/>
                <w:szCs w:val="20"/>
              </w:rPr>
            </w:pPr>
          </w:p>
        </w:tc>
        <w:tc>
          <w:tcPr>
            <w:tcW w:w="50" w:type="pct"/>
            <w:vAlign w:val="center"/>
            <w:hideMark/>
          </w:tcPr>
          <w:p w14:paraId="3F088C11" w14:textId="77777777" w:rsidR="00000000" w:rsidRDefault="00EE5306">
            <w:pPr>
              <w:spacing w:after="100"/>
              <w:rPr>
                <w:rFonts w:eastAsia="Times New Roman"/>
                <w:sz w:val="20"/>
                <w:szCs w:val="20"/>
              </w:rPr>
            </w:pPr>
          </w:p>
        </w:tc>
        <w:tc>
          <w:tcPr>
            <w:tcW w:w="1699" w:type="pct"/>
            <w:vAlign w:val="center"/>
            <w:hideMark/>
          </w:tcPr>
          <w:p w14:paraId="45F24F5A" w14:textId="77777777" w:rsidR="00000000" w:rsidRDefault="00EE5306">
            <w:pPr>
              <w:spacing w:after="100"/>
              <w:rPr>
                <w:rFonts w:eastAsia="Times New Roman"/>
                <w:sz w:val="20"/>
                <w:szCs w:val="20"/>
              </w:rPr>
            </w:pPr>
          </w:p>
        </w:tc>
        <w:tc>
          <w:tcPr>
            <w:tcW w:w="5" w:type="pct"/>
            <w:vAlign w:val="center"/>
            <w:hideMark/>
          </w:tcPr>
          <w:p w14:paraId="7BDB0E1A" w14:textId="77777777" w:rsidR="00000000" w:rsidRDefault="00EE5306">
            <w:pPr>
              <w:spacing w:after="100"/>
              <w:rPr>
                <w:rFonts w:eastAsia="Times New Roman"/>
                <w:sz w:val="20"/>
                <w:szCs w:val="20"/>
              </w:rPr>
            </w:pPr>
          </w:p>
        </w:tc>
      </w:tr>
      <w:tr w:rsidR="00000000" w14:paraId="69ECA668" w14:textId="77777777">
        <w:trPr>
          <w:divId w:val="1659922954"/>
          <w:jc w:val="center"/>
        </w:trPr>
        <w:tc>
          <w:tcPr>
            <w:tcW w:w="0" w:type="auto"/>
            <w:gridSpan w:val="3"/>
            <w:tcMar>
              <w:top w:w="0" w:type="dxa"/>
              <w:left w:w="20" w:type="dxa"/>
              <w:bottom w:w="0" w:type="dxa"/>
              <w:right w:w="20" w:type="dxa"/>
            </w:tcMar>
            <w:vAlign w:val="center"/>
            <w:hideMark/>
          </w:tcPr>
          <w:p w14:paraId="5BD769D8"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2046F83" w14:textId="77777777" w:rsidR="00000000" w:rsidRDefault="00EE5306">
            <w:pPr>
              <w:spacing w:after="100"/>
              <w:jc w:val="center"/>
              <w:rPr>
                <w:rFonts w:eastAsia="Times New Roman"/>
              </w:rPr>
            </w:pPr>
            <w:r>
              <w:rPr>
                <w:rFonts w:eastAsia="Times New Roman"/>
                <w:color w:val="000000"/>
                <w:sz w:val="20"/>
                <w:szCs w:val="20"/>
              </w:rPr>
              <w:t>F-9</w:t>
            </w:r>
          </w:p>
        </w:tc>
        <w:tc>
          <w:tcPr>
            <w:tcW w:w="0" w:type="auto"/>
            <w:gridSpan w:val="3"/>
            <w:tcMar>
              <w:top w:w="0" w:type="dxa"/>
              <w:left w:w="20" w:type="dxa"/>
              <w:bottom w:w="0" w:type="dxa"/>
              <w:right w:w="20" w:type="dxa"/>
            </w:tcMar>
            <w:vAlign w:val="center"/>
            <w:hideMark/>
          </w:tcPr>
          <w:p w14:paraId="2F36F1F2" w14:textId="77777777" w:rsidR="00000000" w:rsidRDefault="00EE5306">
            <w:pPr>
              <w:spacing w:after="100"/>
              <w:jc w:val="center"/>
              <w:rPr>
                <w:rFonts w:eastAsia="Times New Roman"/>
              </w:rPr>
            </w:pPr>
          </w:p>
        </w:tc>
      </w:tr>
    </w:tbl>
    <w:p w14:paraId="36B8C749" w14:textId="77777777" w:rsidR="00000000" w:rsidRDefault="00EE5306">
      <w:pPr>
        <w:rPr>
          <w:rFonts w:eastAsia="Times New Roman"/>
        </w:rPr>
      </w:pPr>
      <w:r>
        <w:rPr>
          <w:rFonts w:eastAsia="Times New Roman"/>
        </w:rPr>
        <w:pict w14:anchorId="3EFF7681">
          <v:rect id="_x0000_i1119" style="width:0;height:1.5pt" o:hralign="center" o:hrstd="t" o:hr="t" fillcolor="#a0a0a0" stroked="f"/>
        </w:pict>
      </w:r>
    </w:p>
    <w:p w14:paraId="69C21DC0" w14:textId="77777777" w:rsidR="00000000" w:rsidRDefault="00EE5306">
      <w:pPr>
        <w:jc w:val="center"/>
        <w:divId w:val="55082784"/>
        <w:rPr>
          <w:rFonts w:eastAsia="Times New Roman"/>
        </w:rPr>
      </w:pPr>
    </w:p>
    <w:p w14:paraId="56FC2D9C" w14:textId="77777777" w:rsidR="00000000" w:rsidRDefault="00EE5306">
      <w:pPr>
        <w:jc w:val="center"/>
        <w:divId w:val="55082784"/>
        <w:rPr>
          <w:rFonts w:eastAsia="Times New Roman"/>
        </w:rPr>
      </w:pPr>
      <w:r>
        <w:rPr>
          <w:rFonts w:eastAsia="Times New Roman"/>
          <w:b/>
          <w:bCs/>
          <w:color w:val="000000"/>
          <w:sz w:val="20"/>
          <w:szCs w:val="20"/>
        </w:rPr>
        <w:t>RALPH LAUREN CORPORATION</w:t>
      </w:r>
    </w:p>
    <w:p w14:paraId="236E91DD" w14:textId="77777777" w:rsidR="00000000" w:rsidRDefault="00EE5306">
      <w:pPr>
        <w:jc w:val="center"/>
        <w:divId w:val="1968969963"/>
        <w:rPr>
          <w:rFonts w:eastAsia="Times New Roman"/>
        </w:rPr>
      </w:pPr>
      <w:r>
        <w:rPr>
          <w:rFonts w:eastAsia="Times New Roman"/>
          <w:b/>
          <w:bCs/>
          <w:color w:val="000000"/>
          <w:sz w:val="20"/>
          <w:szCs w:val="20"/>
        </w:rPr>
        <w:t>NOTES TO CONSOLIDATED FINANCIAL STATEMENTS (Continued)</w:t>
      </w:r>
    </w:p>
    <w:p w14:paraId="63DE9D1B" w14:textId="77777777" w:rsidR="00000000" w:rsidRDefault="00EE5306">
      <w:pPr>
        <w:jc w:val="both"/>
        <w:divId w:val="549076087"/>
        <w:rPr>
          <w:rFonts w:eastAsia="Times New Roman"/>
        </w:rPr>
      </w:pPr>
      <w:r>
        <w:rPr>
          <w:rFonts w:eastAsia="Times New Roman"/>
          <w:color w:val="000000"/>
          <w:sz w:val="20"/>
          <w:szCs w:val="20"/>
        </w:rPr>
        <w:t>guaranteed minimum royalty amount, the minimum is generally recognized as revenue ratably over the respective contractual period. This sal</w:t>
      </w:r>
      <w:r>
        <w:rPr>
          <w:rFonts w:eastAsia="Times New Roman"/>
          <w:color w:val="000000"/>
          <w:sz w:val="20"/>
          <w:szCs w:val="20"/>
        </w:rPr>
        <w:t xml:space="preserve">es-based output measure of progress and pattern of recognition best represents the value transferred to the licensee over the term of the arrangement, as well as the amount of consideration that the Company is entitled to receive in exchange for providing </w:t>
      </w:r>
      <w:r>
        <w:rPr>
          <w:rFonts w:eastAsia="Times New Roman"/>
          <w:color w:val="000000"/>
          <w:sz w:val="20"/>
          <w:szCs w:val="20"/>
        </w:rPr>
        <w:t>access to its trademarks. As of March 27, 2021, contractually-guaranteed minimum royalty amounts expected to be recognized as revenue during future periods were as follows:</w:t>
      </w:r>
    </w:p>
    <w:tbl>
      <w:tblPr>
        <w:tblW w:w="4736" w:type="pct"/>
        <w:jc w:val="center"/>
        <w:tblCellMar>
          <w:top w:w="15" w:type="dxa"/>
          <w:left w:w="15" w:type="dxa"/>
          <w:bottom w:w="15" w:type="dxa"/>
          <w:right w:w="15" w:type="dxa"/>
        </w:tblCellMar>
        <w:tblLook w:val="04A0" w:firstRow="1" w:lastRow="0" w:firstColumn="1" w:lastColumn="0" w:noHBand="0" w:noVBand="1"/>
      </w:tblPr>
      <w:tblGrid>
        <w:gridCol w:w="40"/>
        <w:gridCol w:w="6299"/>
        <w:gridCol w:w="37"/>
        <w:gridCol w:w="36"/>
        <w:gridCol w:w="77"/>
        <w:gridCol w:w="36"/>
        <w:gridCol w:w="121"/>
        <w:gridCol w:w="1185"/>
        <w:gridCol w:w="36"/>
      </w:tblGrid>
      <w:tr w:rsidR="00000000" w14:paraId="592810F6" w14:textId="77777777">
        <w:trPr>
          <w:divId w:val="1662418384"/>
          <w:jc w:val="center"/>
        </w:trPr>
        <w:tc>
          <w:tcPr>
            <w:tcW w:w="50" w:type="pct"/>
            <w:vAlign w:val="center"/>
            <w:hideMark/>
          </w:tcPr>
          <w:p w14:paraId="6E3DFC22" w14:textId="77777777" w:rsidR="00000000" w:rsidRDefault="00EE5306">
            <w:pPr>
              <w:jc w:val="both"/>
              <w:rPr>
                <w:rFonts w:eastAsia="Times New Roman"/>
              </w:rPr>
            </w:pPr>
          </w:p>
        </w:tc>
        <w:tc>
          <w:tcPr>
            <w:tcW w:w="4026" w:type="pct"/>
            <w:vAlign w:val="center"/>
            <w:hideMark/>
          </w:tcPr>
          <w:p w14:paraId="5AFE90B2" w14:textId="77777777" w:rsidR="00000000" w:rsidRDefault="00EE5306">
            <w:pPr>
              <w:spacing w:after="100"/>
              <w:rPr>
                <w:rFonts w:eastAsia="Times New Roman"/>
                <w:sz w:val="20"/>
                <w:szCs w:val="20"/>
              </w:rPr>
            </w:pPr>
          </w:p>
        </w:tc>
        <w:tc>
          <w:tcPr>
            <w:tcW w:w="5" w:type="pct"/>
            <w:vAlign w:val="center"/>
            <w:hideMark/>
          </w:tcPr>
          <w:p w14:paraId="7301EFAD" w14:textId="77777777" w:rsidR="00000000" w:rsidRDefault="00EE5306">
            <w:pPr>
              <w:spacing w:after="100"/>
              <w:rPr>
                <w:rFonts w:eastAsia="Times New Roman"/>
                <w:sz w:val="20"/>
                <w:szCs w:val="20"/>
              </w:rPr>
            </w:pPr>
          </w:p>
        </w:tc>
        <w:tc>
          <w:tcPr>
            <w:tcW w:w="5" w:type="pct"/>
            <w:vAlign w:val="center"/>
            <w:hideMark/>
          </w:tcPr>
          <w:p w14:paraId="2C54B915" w14:textId="77777777" w:rsidR="00000000" w:rsidRDefault="00EE5306">
            <w:pPr>
              <w:spacing w:after="100"/>
              <w:rPr>
                <w:rFonts w:eastAsia="Times New Roman"/>
                <w:sz w:val="20"/>
                <w:szCs w:val="20"/>
              </w:rPr>
            </w:pPr>
          </w:p>
        </w:tc>
        <w:tc>
          <w:tcPr>
            <w:tcW w:w="74" w:type="pct"/>
            <w:vAlign w:val="center"/>
            <w:hideMark/>
          </w:tcPr>
          <w:p w14:paraId="494D3092" w14:textId="77777777" w:rsidR="00000000" w:rsidRDefault="00EE5306">
            <w:pPr>
              <w:spacing w:after="100"/>
              <w:rPr>
                <w:rFonts w:eastAsia="Times New Roman"/>
                <w:sz w:val="20"/>
                <w:szCs w:val="20"/>
              </w:rPr>
            </w:pPr>
          </w:p>
        </w:tc>
        <w:tc>
          <w:tcPr>
            <w:tcW w:w="5" w:type="pct"/>
            <w:vAlign w:val="center"/>
            <w:hideMark/>
          </w:tcPr>
          <w:p w14:paraId="314D37FE" w14:textId="77777777" w:rsidR="00000000" w:rsidRDefault="00EE5306">
            <w:pPr>
              <w:spacing w:after="100"/>
              <w:rPr>
                <w:rFonts w:eastAsia="Times New Roman"/>
                <w:sz w:val="20"/>
                <w:szCs w:val="20"/>
              </w:rPr>
            </w:pPr>
          </w:p>
        </w:tc>
        <w:tc>
          <w:tcPr>
            <w:tcW w:w="50" w:type="pct"/>
            <w:vAlign w:val="center"/>
            <w:hideMark/>
          </w:tcPr>
          <w:p w14:paraId="7A69D4C6" w14:textId="77777777" w:rsidR="00000000" w:rsidRDefault="00EE5306">
            <w:pPr>
              <w:spacing w:after="100"/>
              <w:rPr>
                <w:rFonts w:eastAsia="Times New Roman"/>
                <w:sz w:val="20"/>
                <w:szCs w:val="20"/>
              </w:rPr>
            </w:pPr>
          </w:p>
        </w:tc>
        <w:tc>
          <w:tcPr>
            <w:tcW w:w="778" w:type="pct"/>
            <w:vAlign w:val="center"/>
            <w:hideMark/>
          </w:tcPr>
          <w:p w14:paraId="4914B766" w14:textId="77777777" w:rsidR="00000000" w:rsidRDefault="00EE5306">
            <w:pPr>
              <w:spacing w:after="100"/>
              <w:rPr>
                <w:rFonts w:eastAsia="Times New Roman"/>
                <w:sz w:val="20"/>
                <w:szCs w:val="20"/>
              </w:rPr>
            </w:pPr>
          </w:p>
        </w:tc>
        <w:tc>
          <w:tcPr>
            <w:tcW w:w="5" w:type="pct"/>
            <w:vAlign w:val="center"/>
            <w:hideMark/>
          </w:tcPr>
          <w:p w14:paraId="3ACCAD7B" w14:textId="77777777" w:rsidR="00000000" w:rsidRDefault="00EE5306">
            <w:pPr>
              <w:spacing w:after="100"/>
              <w:rPr>
                <w:rFonts w:eastAsia="Times New Roman"/>
                <w:sz w:val="20"/>
                <w:szCs w:val="20"/>
              </w:rPr>
            </w:pPr>
          </w:p>
        </w:tc>
      </w:tr>
      <w:tr w:rsidR="00000000" w14:paraId="2EEDA3E3" w14:textId="77777777">
        <w:trPr>
          <w:divId w:val="1662418384"/>
          <w:jc w:val="center"/>
        </w:trPr>
        <w:tc>
          <w:tcPr>
            <w:tcW w:w="0" w:type="auto"/>
            <w:gridSpan w:val="3"/>
            <w:tcMar>
              <w:top w:w="0" w:type="dxa"/>
              <w:left w:w="20" w:type="dxa"/>
              <w:bottom w:w="0" w:type="dxa"/>
              <w:right w:w="20" w:type="dxa"/>
            </w:tcMar>
            <w:vAlign w:val="center"/>
            <w:hideMark/>
          </w:tcPr>
          <w:p w14:paraId="711F9FE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47633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EB75667" w14:textId="77777777" w:rsidR="00000000" w:rsidRDefault="00EE5306">
            <w:pPr>
              <w:spacing w:after="100"/>
              <w:jc w:val="center"/>
              <w:rPr>
                <w:rFonts w:eastAsia="Times New Roman"/>
              </w:rPr>
            </w:pPr>
            <w:r>
              <w:rPr>
                <w:rFonts w:eastAsia="Times New Roman"/>
                <w:b/>
                <w:bCs/>
                <w:color w:val="000000"/>
                <w:sz w:val="16"/>
                <w:szCs w:val="16"/>
              </w:rPr>
              <w:t>Contractually-Guaranteed</w:t>
            </w:r>
          </w:p>
          <w:p w14:paraId="5A7AAA8C" w14:textId="77777777" w:rsidR="00000000" w:rsidRDefault="00EE5306">
            <w:pPr>
              <w:spacing w:after="100"/>
              <w:jc w:val="center"/>
              <w:rPr>
                <w:rFonts w:eastAsia="Times New Roman"/>
              </w:rPr>
            </w:pPr>
            <w:r>
              <w:rPr>
                <w:rFonts w:eastAsia="Times New Roman"/>
                <w:b/>
                <w:bCs/>
                <w:color w:val="000000"/>
                <w:sz w:val="16"/>
                <w:szCs w:val="16"/>
              </w:rPr>
              <w:t>Minimum Royaltie</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r>
      <w:tr w:rsidR="00000000" w14:paraId="0E654CA7" w14:textId="77777777">
        <w:trPr>
          <w:divId w:val="1662418384"/>
          <w:jc w:val="center"/>
        </w:trPr>
        <w:tc>
          <w:tcPr>
            <w:tcW w:w="0" w:type="auto"/>
            <w:gridSpan w:val="3"/>
            <w:tcMar>
              <w:top w:w="0" w:type="dxa"/>
              <w:left w:w="20" w:type="dxa"/>
              <w:bottom w:w="0" w:type="dxa"/>
              <w:right w:w="20" w:type="dxa"/>
            </w:tcMar>
            <w:vAlign w:val="center"/>
            <w:hideMark/>
          </w:tcPr>
          <w:p w14:paraId="6DB50BEF"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597D32C"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C8D28DC"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4FC6E143" w14:textId="77777777">
        <w:trPr>
          <w:divId w:val="1662418384"/>
          <w:jc w:val="center"/>
        </w:trPr>
        <w:tc>
          <w:tcPr>
            <w:tcW w:w="0" w:type="auto"/>
            <w:gridSpan w:val="3"/>
            <w:shd w:val="clear" w:color="auto" w:fill="CCEEFF"/>
            <w:tcMar>
              <w:top w:w="30" w:type="dxa"/>
              <w:left w:w="20" w:type="dxa"/>
              <w:bottom w:w="30" w:type="dxa"/>
              <w:right w:w="20" w:type="dxa"/>
            </w:tcMar>
            <w:vAlign w:val="bottom"/>
            <w:hideMark/>
          </w:tcPr>
          <w:p w14:paraId="5F3A5624" w14:textId="77777777" w:rsidR="00000000" w:rsidRDefault="00EE5306">
            <w:pPr>
              <w:spacing w:after="100"/>
              <w:rPr>
                <w:rFonts w:eastAsia="Times New Roman"/>
              </w:rPr>
            </w:pPr>
            <w:r>
              <w:rPr>
                <w:rFonts w:eastAsia="Times New Roman"/>
                <w:color w:val="000000"/>
                <w:sz w:val="20"/>
                <w:szCs w:val="20"/>
              </w:rPr>
              <w:t>Fiscal 2022</w:t>
            </w:r>
          </w:p>
        </w:tc>
        <w:tc>
          <w:tcPr>
            <w:tcW w:w="0" w:type="auto"/>
            <w:gridSpan w:val="3"/>
            <w:shd w:val="clear" w:color="auto" w:fill="CCEEFF"/>
            <w:tcMar>
              <w:top w:w="0" w:type="dxa"/>
              <w:left w:w="20" w:type="dxa"/>
              <w:bottom w:w="0" w:type="dxa"/>
              <w:right w:w="20" w:type="dxa"/>
            </w:tcMar>
            <w:vAlign w:val="center"/>
            <w:hideMark/>
          </w:tcPr>
          <w:p w14:paraId="5C079B1D"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AD680E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1CD254" w14:textId="77777777" w:rsidR="00000000" w:rsidRDefault="00EE5306">
            <w:pPr>
              <w:spacing w:after="100"/>
              <w:jc w:val="right"/>
              <w:rPr>
                <w:rFonts w:eastAsia="Times New Roman"/>
              </w:rPr>
            </w:pPr>
            <w:r>
              <w:rPr>
                <w:rFonts w:eastAsia="Times New Roman"/>
                <w:color w:val="000000"/>
                <w:sz w:val="20"/>
                <w:szCs w:val="20"/>
              </w:rPr>
              <w:t>94.8 </w:t>
            </w:r>
          </w:p>
        </w:tc>
        <w:tc>
          <w:tcPr>
            <w:tcW w:w="0" w:type="auto"/>
            <w:shd w:val="clear" w:color="auto" w:fill="CCEEFF"/>
            <w:tcMar>
              <w:top w:w="30" w:type="dxa"/>
              <w:left w:w="0" w:type="dxa"/>
              <w:bottom w:w="30" w:type="dxa"/>
              <w:right w:w="20" w:type="dxa"/>
            </w:tcMar>
            <w:vAlign w:val="bottom"/>
            <w:hideMark/>
          </w:tcPr>
          <w:p w14:paraId="26BD85E8" w14:textId="77777777" w:rsidR="00000000" w:rsidRDefault="00EE5306">
            <w:pPr>
              <w:spacing w:after="100"/>
              <w:jc w:val="right"/>
              <w:rPr>
                <w:rFonts w:eastAsia="Times New Roman"/>
              </w:rPr>
            </w:pPr>
          </w:p>
        </w:tc>
      </w:tr>
      <w:tr w:rsidR="00000000" w14:paraId="5730054B" w14:textId="77777777">
        <w:trPr>
          <w:divId w:val="1662418384"/>
          <w:jc w:val="center"/>
        </w:trPr>
        <w:tc>
          <w:tcPr>
            <w:tcW w:w="0" w:type="auto"/>
            <w:gridSpan w:val="3"/>
            <w:shd w:val="clear" w:color="auto" w:fill="FFFFFF"/>
            <w:tcMar>
              <w:top w:w="30" w:type="dxa"/>
              <w:left w:w="20" w:type="dxa"/>
              <w:bottom w:w="30" w:type="dxa"/>
              <w:right w:w="20" w:type="dxa"/>
            </w:tcMar>
            <w:vAlign w:val="bottom"/>
            <w:hideMark/>
          </w:tcPr>
          <w:p w14:paraId="1BBC98DD" w14:textId="77777777" w:rsidR="00000000" w:rsidRDefault="00EE5306">
            <w:pPr>
              <w:spacing w:after="100"/>
              <w:rPr>
                <w:rFonts w:eastAsia="Times New Roman"/>
              </w:rPr>
            </w:pPr>
            <w:r>
              <w:rPr>
                <w:rFonts w:eastAsia="Times New Roman"/>
                <w:color w:val="000000"/>
                <w:sz w:val="20"/>
                <w:szCs w:val="20"/>
              </w:rPr>
              <w:t>Fiscal 2023</w:t>
            </w:r>
          </w:p>
        </w:tc>
        <w:tc>
          <w:tcPr>
            <w:tcW w:w="0" w:type="auto"/>
            <w:gridSpan w:val="3"/>
            <w:shd w:val="clear" w:color="auto" w:fill="FFFFFF"/>
            <w:tcMar>
              <w:top w:w="0" w:type="dxa"/>
              <w:left w:w="20" w:type="dxa"/>
              <w:bottom w:w="0" w:type="dxa"/>
              <w:right w:w="20" w:type="dxa"/>
            </w:tcMar>
            <w:vAlign w:val="center"/>
            <w:hideMark/>
          </w:tcPr>
          <w:p w14:paraId="2D4121B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B82621" w14:textId="77777777" w:rsidR="00000000" w:rsidRDefault="00EE5306">
            <w:pPr>
              <w:spacing w:after="100"/>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14:paraId="519B8AFE" w14:textId="77777777" w:rsidR="00000000" w:rsidRDefault="00EE5306">
            <w:pPr>
              <w:spacing w:after="100"/>
              <w:jc w:val="right"/>
              <w:rPr>
                <w:rFonts w:eastAsia="Times New Roman"/>
              </w:rPr>
            </w:pPr>
          </w:p>
        </w:tc>
      </w:tr>
      <w:tr w:rsidR="00000000" w14:paraId="3A18AF5E" w14:textId="77777777">
        <w:trPr>
          <w:divId w:val="1662418384"/>
          <w:jc w:val="center"/>
        </w:trPr>
        <w:tc>
          <w:tcPr>
            <w:tcW w:w="0" w:type="auto"/>
            <w:gridSpan w:val="3"/>
            <w:shd w:val="clear" w:color="auto" w:fill="CCEEFF"/>
            <w:tcMar>
              <w:top w:w="30" w:type="dxa"/>
              <w:left w:w="20" w:type="dxa"/>
              <w:bottom w:w="30" w:type="dxa"/>
              <w:right w:w="20" w:type="dxa"/>
            </w:tcMar>
            <w:vAlign w:val="bottom"/>
            <w:hideMark/>
          </w:tcPr>
          <w:p w14:paraId="6847F1F9" w14:textId="77777777" w:rsidR="00000000" w:rsidRDefault="00EE5306">
            <w:pPr>
              <w:spacing w:after="100"/>
              <w:rPr>
                <w:rFonts w:eastAsia="Times New Roman"/>
              </w:rPr>
            </w:pPr>
            <w:r>
              <w:rPr>
                <w:rFonts w:eastAsia="Times New Roman"/>
                <w:color w:val="000000"/>
                <w:sz w:val="20"/>
                <w:szCs w:val="20"/>
              </w:rPr>
              <w:t>Fiscal 2024</w:t>
            </w:r>
          </w:p>
        </w:tc>
        <w:tc>
          <w:tcPr>
            <w:tcW w:w="0" w:type="auto"/>
            <w:gridSpan w:val="3"/>
            <w:shd w:val="clear" w:color="auto" w:fill="CCEEFF"/>
            <w:tcMar>
              <w:top w:w="0" w:type="dxa"/>
              <w:left w:w="20" w:type="dxa"/>
              <w:bottom w:w="0" w:type="dxa"/>
              <w:right w:w="20" w:type="dxa"/>
            </w:tcMar>
            <w:vAlign w:val="center"/>
            <w:hideMark/>
          </w:tcPr>
          <w:p w14:paraId="2B1AD49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5A9DB7" w14:textId="77777777" w:rsidR="00000000" w:rsidRDefault="00EE5306">
            <w:pPr>
              <w:spacing w:after="100"/>
              <w:jc w:val="right"/>
              <w:rPr>
                <w:rFonts w:eastAsia="Times New Roman"/>
              </w:rPr>
            </w:pPr>
            <w:r>
              <w:rPr>
                <w:rFonts w:eastAsia="Times New Roman"/>
                <w:color w:val="000000"/>
                <w:sz w:val="20"/>
                <w:szCs w:val="20"/>
              </w:rPr>
              <w:t>39.1 </w:t>
            </w:r>
          </w:p>
        </w:tc>
        <w:tc>
          <w:tcPr>
            <w:tcW w:w="0" w:type="auto"/>
            <w:shd w:val="clear" w:color="auto" w:fill="CCEEFF"/>
            <w:tcMar>
              <w:top w:w="30" w:type="dxa"/>
              <w:left w:w="0" w:type="dxa"/>
              <w:bottom w:w="30" w:type="dxa"/>
              <w:right w:w="20" w:type="dxa"/>
            </w:tcMar>
            <w:vAlign w:val="bottom"/>
            <w:hideMark/>
          </w:tcPr>
          <w:p w14:paraId="12614ECC" w14:textId="77777777" w:rsidR="00000000" w:rsidRDefault="00EE5306">
            <w:pPr>
              <w:spacing w:after="100"/>
              <w:jc w:val="right"/>
              <w:rPr>
                <w:rFonts w:eastAsia="Times New Roman"/>
              </w:rPr>
            </w:pPr>
          </w:p>
        </w:tc>
      </w:tr>
      <w:tr w:rsidR="00000000" w14:paraId="37CF262C" w14:textId="77777777">
        <w:trPr>
          <w:divId w:val="1662418384"/>
          <w:jc w:val="center"/>
        </w:trPr>
        <w:tc>
          <w:tcPr>
            <w:tcW w:w="0" w:type="auto"/>
            <w:gridSpan w:val="3"/>
            <w:shd w:val="clear" w:color="auto" w:fill="FFFFFF"/>
            <w:tcMar>
              <w:top w:w="30" w:type="dxa"/>
              <w:left w:w="20" w:type="dxa"/>
              <w:bottom w:w="30" w:type="dxa"/>
              <w:right w:w="20" w:type="dxa"/>
            </w:tcMar>
            <w:vAlign w:val="bottom"/>
            <w:hideMark/>
          </w:tcPr>
          <w:p w14:paraId="600C7905" w14:textId="77777777" w:rsidR="00000000" w:rsidRDefault="00EE5306">
            <w:pPr>
              <w:spacing w:after="100"/>
              <w:rPr>
                <w:rFonts w:eastAsia="Times New Roman"/>
              </w:rPr>
            </w:pPr>
            <w:r>
              <w:rPr>
                <w:rFonts w:eastAsia="Times New Roman"/>
                <w:color w:val="000000"/>
                <w:sz w:val="20"/>
                <w:szCs w:val="20"/>
              </w:rPr>
              <w:t>Fiscal 2025</w:t>
            </w:r>
          </w:p>
        </w:tc>
        <w:tc>
          <w:tcPr>
            <w:tcW w:w="0" w:type="auto"/>
            <w:gridSpan w:val="3"/>
            <w:shd w:val="clear" w:color="auto" w:fill="FFFFFF"/>
            <w:tcMar>
              <w:top w:w="0" w:type="dxa"/>
              <w:left w:w="20" w:type="dxa"/>
              <w:bottom w:w="0" w:type="dxa"/>
              <w:right w:w="20" w:type="dxa"/>
            </w:tcMar>
            <w:vAlign w:val="center"/>
            <w:hideMark/>
          </w:tcPr>
          <w:p w14:paraId="598BA6C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8A2B0F" w14:textId="77777777" w:rsidR="00000000" w:rsidRDefault="00EE5306">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14:paraId="18A2C794" w14:textId="77777777" w:rsidR="00000000" w:rsidRDefault="00EE5306">
            <w:pPr>
              <w:spacing w:after="100"/>
              <w:jc w:val="right"/>
              <w:rPr>
                <w:rFonts w:eastAsia="Times New Roman"/>
              </w:rPr>
            </w:pPr>
          </w:p>
        </w:tc>
      </w:tr>
      <w:tr w:rsidR="00000000" w14:paraId="147126DB" w14:textId="77777777">
        <w:trPr>
          <w:divId w:val="1662418384"/>
          <w:jc w:val="center"/>
        </w:trPr>
        <w:tc>
          <w:tcPr>
            <w:tcW w:w="0" w:type="auto"/>
            <w:gridSpan w:val="3"/>
            <w:shd w:val="clear" w:color="auto" w:fill="CCEEFF"/>
            <w:tcMar>
              <w:top w:w="30" w:type="dxa"/>
              <w:left w:w="20" w:type="dxa"/>
              <w:bottom w:w="30" w:type="dxa"/>
              <w:right w:w="20" w:type="dxa"/>
            </w:tcMar>
            <w:vAlign w:val="bottom"/>
            <w:hideMark/>
          </w:tcPr>
          <w:p w14:paraId="20F842AC" w14:textId="77777777" w:rsidR="00000000" w:rsidRDefault="00EE5306">
            <w:pPr>
              <w:spacing w:after="100"/>
              <w:rPr>
                <w:rFonts w:eastAsia="Times New Roman"/>
              </w:rPr>
            </w:pPr>
            <w:r>
              <w:rPr>
                <w:rFonts w:eastAsia="Times New Roman"/>
                <w:color w:val="000000"/>
                <w:sz w:val="20"/>
                <w:szCs w:val="20"/>
              </w:rPr>
              <w:t>Fiscal 2026</w:t>
            </w:r>
          </w:p>
        </w:tc>
        <w:tc>
          <w:tcPr>
            <w:tcW w:w="0" w:type="auto"/>
            <w:gridSpan w:val="3"/>
            <w:shd w:val="clear" w:color="auto" w:fill="CCEEFF"/>
            <w:tcMar>
              <w:top w:w="0" w:type="dxa"/>
              <w:left w:w="20" w:type="dxa"/>
              <w:bottom w:w="0" w:type="dxa"/>
              <w:right w:w="20" w:type="dxa"/>
            </w:tcMar>
            <w:vAlign w:val="center"/>
            <w:hideMark/>
          </w:tcPr>
          <w:p w14:paraId="6F228E6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BE2864" w14:textId="77777777" w:rsidR="00000000" w:rsidRDefault="00EE5306">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14:paraId="69203A80" w14:textId="77777777" w:rsidR="00000000" w:rsidRDefault="00EE5306">
            <w:pPr>
              <w:spacing w:after="100"/>
              <w:jc w:val="right"/>
              <w:rPr>
                <w:rFonts w:eastAsia="Times New Roman"/>
              </w:rPr>
            </w:pPr>
          </w:p>
        </w:tc>
      </w:tr>
      <w:tr w:rsidR="00000000" w14:paraId="1240E0ED" w14:textId="77777777">
        <w:trPr>
          <w:divId w:val="1662418384"/>
          <w:jc w:val="center"/>
        </w:trPr>
        <w:tc>
          <w:tcPr>
            <w:tcW w:w="0" w:type="auto"/>
            <w:gridSpan w:val="3"/>
            <w:shd w:val="clear" w:color="auto" w:fill="FFFFFF"/>
            <w:tcMar>
              <w:top w:w="30" w:type="dxa"/>
              <w:left w:w="20" w:type="dxa"/>
              <w:bottom w:w="30" w:type="dxa"/>
              <w:right w:w="20" w:type="dxa"/>
            </w:tcMar>
            <w:vAlign w:val="bottom"/>
            <w:hideMark/>
          </w:tcPr>
          <w:p w14:paraId="53EC57AE" w14:textId="77777777" w:rsidR="00000000" w:rsidRDefault="00EE5306">
            <w:pPr>
              <w:spacing w:after="100"/>
              <w:rPr>
                <w:rFonts w:eastAsia="Times New Roman"/>
              </w:rPr>
            </w:pPr>
            <w:r>
              <w:rPr>
                <w:rFonts w:eastAsia="Times New Roman"/>
                <w:color w:val="000000"/>
                <w:sz w:val="20"/>
                <w:szCs w:val="20"/>
              </w:rPr>
              <w:t>Fiscal 2027 and thereafter</w:t>
            </w:r>
          </w:p>
        </w:tc>
        <w:tc>
          <w:tcPr>
            <w:tcW w:w="0" w:type="auto"/>
            <w:gridSpan w:val="3"/>
            <w:shd w:val="clear" w:color="auto" w:fill="FFFFFF"/>
            <w:tcMar>
              <w:top w:w="0" w:type="dxa"/>
              <w:left w:w="20" w:type="dxa"/>
              <w:bottom w:w="0" w:type="dxa"/>
              <w:right w:w="20" w:type="dxa"/>
            </w:tcMar>
            <w:vAlign w:val="center"/>
            <w:hideMark/>
          </w:tcPr>
          <w:p w14:paraId="2CEC89E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74092A" w14:textId="77777777" w:rsidR="00000000" w:rsidRDefault="00EE5306">
            <w:pPr>
              <w:spacing w:after="100"/>
              <w:jc w:val="right"/>
              <w:rPr>
                <w:rFonts w:eastAsia="Times New Roman"/>
              </w:rPr>
            </w:pPr>
            <w:r>
              <w:rPr>
                <w:rFonts w:eastAsia="Times New Roman"/>
                <w:color w:val="000000"/>
                <w:sz w:val="20"/>
                <w:szCs w:val="20"/>
              </w:rPr>
              <w:t>12.1 </w:t>
            </w:r>
          </w:p>
        </w:tc>
        <w:tc>
          <w:tcPr>
            <w:tcW w:w="0" w:type="auto"/>
            <w:shd w:val="clear" w:color="auto" w:fill="FFFFFF"/>
            <w:tcMar>
              <w:top w:w="30" w:type="dxa"/>
              <w:left w:w="0" w:type="dxa"/>
              <w:bottom w:w="30" w:type="dxa"/>
              <w:right w:w="20" w:type="dxa"/>
            </w:tcMar>
            <w:vAlign w:val="bottom"/>
            <w:hideMark/>
          </w:tcPr>
          <w:p w14:paraId="43904F59" w14:textId="77777777" w:rsidR="00000000" w:rsidRDefault="00EE5306">
            <w:pPr>
              <w:spacing w:after="100"/>
              <w:jc w:val="right"/>
              <w:rPr>
                <w:rFonts w:eastAsia="Times New Roman"/>
              </w:rPr>
            </w:pPr>
          </w:p>
        </w:tc>
      </w:tr>
      <w:tr w:rsidR="00000000" w14:paraId="58359B85" w14:textId="77777777">
        <w:trPr>
          <w:divId w:val="1662418384"/>
          <w:jc w:val="center"/>
        </w:trPr>
        <w:tc>
          <w:tcPr>
            <w:tcW w:w="0" w:type="auto"/>
            <w:gridSpan w:val="3"/>
            <w:shd w:val="clear" w:color="auto" w:fill="CCEEFF"/>
            <w:tcMar>
              <w:top w:w="30" w:type="dxa"/>
              <w:left w:w="245" w:type="dxa"/>
              <w:bottom w:w="30" w:type="dxa"/>
              <w:right w:w="20" w:type="dxa"/>
            </w:tcMar>
            <w:vAlign w:val="bottom"/>
            <w:hideMark/>
          </w:tcPr>
          <w:p w14:paraId="5E01A489" w14:textId="77777777" w:rsidR="00000000" w:rsidRDefault="00EE530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0011FDB4"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3EA56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5B3C8C" w14:textId="77777777" w:rsidR="00000000" w:rsidRDefault="00EE5306">
            <w:pPr>
              <w:spacing w:after="100"/>
              <w:jc w:val="right"/>
              <w:rPr>
                <w:rFonts w:eastAsia="Times New Roman"/>
              </w:rPr>
            </w:pPr>
            <w:r>
              <w:rPr>
                <w:rFonts w:eastAsia="Times New Roman"/>
                <w:color w:val="000000"/>
                <w:sz w:val="20"/>
                <w:szCs w:val="20"/>
              </w:rPr>
              <w:t>242.4 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2ECB30"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736509D7" w14:textId="77777777">
        <w:tc>
          <w:tcPr>
            <w:tcW w:w="50" w:type="pct"/>
            <w:vAlign w:val="center"/>
            <w:hideMark/>
          </w:tcPr>
          <w:p w14:paraId="1B9C282B" w14:textId="77777777" w:rsidR="00000000" w:rsidRDefault="00EE5306">
            <w:pPr>
              <w:ind w:firstLine="540"/>
              <w:jc w:val="center"/>
              <w:rPr>
                <w:rFonts w:eastAsia="Times New Roman"/>
              </w:rPr>
            </w:pPr>
          </w:p>
        </w:tc>
        <w:tc>
          <w:tcPr>
            <w:tcW w:w="4945" w:type="pct"/>
            <w:vAlign w:val="center"/>
            <w:hideMark/>
          </w:tcPr>
          <w:p w14:paraId="50BDC4D9" w14:textId="77777777" w:rsidR="00000000" w:rsidRDefault="00EE5306">
            <w:pPr>
              <w:spacing w:after="100"/>
              <w:rPr>
                <w:rFonts w:eastAsia="Times New Roman"/>
                <w:sz w:val="20"/>
                <w:szCs w:val="20"/>
              </w:rPr>
            </w:pPr>
          </w:p>
        </w:tc>
        <w:tc>
          <w:tcPr>
            <w:tcW w:w="5" w:type="pct"/>
            <w:vAlign w:val="center"/>
            <w:hideMark/>
          </w:tcPr>
          <w:p w14:paraId="1B35A0C3" w14:textId="77777777" w:rsidR="00000000" w:rsidRDefault="00EE5306">
            <w:pPr>
              <w:spacing w:after="100"/>
              <w:rPr>
                <w:rFonts w:eastAsia="Times New Roman"/>
                <w:sz w:val="20"/>
                <w:szCs w:val="20"/>
              </w:rPr>
            </w:pPr>
          </w:p>
        </w:tc>
      </w:tr>
      <w:tr w:rsidR="00000000" w14:paraId="189E5F28"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0637755F" w14:textId="77777777" w:rsidR="00000000" w:rsidRDefault="00EE5306">
            <w:pPr>
              <w:spacing w:after="100"/>
              <w:rPr>
                <w:rFonts w:eastAsia="Times New Roman"/>
                <w:sz w:val="20"/>
                <w:szCs w:val="20"/>
              </w:rPr>
            </w:pPr>
          </w:p>
        </w:tc>
      </w:tr>
    </w:tbl>
    <w:p w14:paraId="0EB54A5D" w14:textId="77777777" w:rsidR="00000000" w:rsidRDefault="00EE5306">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Amounts presented do not contemplate potential contract renewals or royalties earned in excess of the contractually-guaranteed minimums.</w:t>
      </w:r>
    </w:p>
    <w:p w14:paraId="5BF29A8A" w14:textId="77777777" w:rsidR="00000000" w:rsidRDefault="00EE5306">
      <w:pPr>
        <w:ind w:firstLine="360"/>
        <w:jc w:val="both"/>
        <w:divId w:val="1386179361"/>
        <w:rPr>
          <w:rFonts w:eastAsia="Times New Roman"/>
        </w:rPr>
      </w:pPr>
      <w:r>
        <w:rPr>
          <w:rFonts w:eastAsia="Times New Roman"/>
          <w:i/>
          <w:iCs/>
          <w:color w:val="000000"/>
          <w:sz w:val="20"/>
          <w:szCs w:val="20"/>
        </w:rPr>
        <w:t>Disaggregated Net Revenues</w:t>
      </w:r>
    </w:p>
    <w:p w14:paraId="051F8849" w14:textId="77777777" w:rsidR="00000000" w:rsidRDefault="00EE5306">
      <w:pPr>
        <w:ind w:firstLine="540"/>
        <w:jc w:val="both"/>
        <w:divId w:val="2094400275"/>
        <w:rPr>
          <w:rFonts w:eastAsia="Times New Roman"/>
        </w:rPr>
      </w:pPr>
      <w:r>
        <w:rPr>
          <w:rFonts w:eastAsia="Times New Roman"/>
          <w:color w:val="000000"/>
          <w:sz w:val="20"/>
          <w:szCs w:val="20"/>
        </w:rPr>
        <w:t>The following tables disaggregate the Company's net revenues into categories that depict how</w:t>
      </w:r>
      <w:r>
        <w:rPr>
          <w:rFonts w:eastAsia="Times New Roman"/>
          <w:color w:val="000000"/>
          <w:sz w:val="20"/>
          <w:szCs w:val="20"/>
        </w:rPr>
        <w:t xml:space="preserve"> the nature, amount, timing, and uncertainty of revenues and cash flows are affected by economic factors for the fiscal periods presented:</w:t>
      </w:r>
    </w:p>
    <w:tbl>
      <w:tblPr>
        <w:tblW w:w="4773" w:type="pct"/>
        <w:jc w:val="center"/>
        <w:tblCellMar>
          <w:top w:w="15" w:type="dxa"/>
          <w:left w:w="15" w:type="dxa"/>
          <w:bottom w:w="15" w:type="dxa"/>
          <w:right w:w="15" w:type="dxa"/>
        </w:tblCellMar>
        <w:tblLook w:val="04A0" w:firstRow="1" w:lastRow="0" w:firstColumn="1" w:lastColumn="0" w:noHBand="0" w:noVBand="1"/>
      </w:tblPr>
      <w:tblGrid>
        <w:gridCol w:w="37"/>
        <w:gridCol w:w="2615"/>
        <w:gridCol w:w="36"/>
        <w:gridCol w:w="36"/>
        <w:gridCol w:w="36"/>
        <w:gridCol w:w="36"/>
        <w:gridCol w:w="120"/>
        <w:gridCol w:w="783"/>
        <w:gridCol w:w="36"/>
        <w:gridCol w:w="36"/>
        <w:gridCol w:w="36"/>
        <w:gridCol w:w="36"/>
        <w:gridCol w:w="120"/>
        <w:gridCol w:w="783"/>
        <w:gridCol w:w="36"/>
        <w:gridCol w:w="36"/>
        <w:gridCol w:w="36"/>
        <w:gridCol w:w="36"/>
        <w:gridCol w:w="120"/>
        <w:gridCol w:w="785"/>
        <w:gridCol w:w="36"/>
        <w:gridCol w:w="36"/>
        <w:gridCol w:w="36"/>
        <w:gridCol w:w="36"/>
        <w:gridCol w:w="120"/>
        <w:gridCol w:w="785"/>
        <w:gridCol w:w="36"/>
        <w:gridCol w:w="36"/>
        <w:gridCol w:w="36"/>
        <w:gridCol w:w="36"/>
        <w:gridCol w:w="120"/>
        <w:gridCol w:w="785"/>
        <w:gridCol w:w="36"/>
      </w:tblGrid>
      <w:tr w:rsidR="00000000" w14:paraId="0839B017" w14:textId="77777777">
        <w:trPr>
          <w:divId w:val="1561817937"/>
          <w:jc w:val="center"/>
        </w:trPr>
        <w:tc>
          <w:tcPr>
            <w:tcW w:w="50" w:type="pct"/>
            <w:vAlign w:val="center"/>
            <w:hideMark/>
          </w:tcPr>
          <w:p w14:paraId="25BC1E6E" w14:textId="77777777" w:rsidR="00000000" w:rsidRDefault="00EE5306">
            <w:pPr>
              <w:ind w:firstLine="540"/>
              <w:jc w:val="both"/>
              <w:rPr>
                <w:rFonts w:eastAsia="Times New Roman"/>
              </w:rPr>
            </w:pPr>
          </w:p>
        </w:tc>
        <w:tc>
          <w:tcPr>
            <w:tcW w:w="1690" w:type="pct"/>
            <w:vAlign w:val="center"/>
            <w:hideMark/>
          </w:tcPr>
          <w:p w14:paraId="3CE8277F" w14:textId="77777777" w:rsidR="00000000" w:rsidRDefault="00EE5306">
            <w:pPr>
              <w:spacing w:after="100"/>
              <w:rPr>
                <w:rFonts w:eastAsia="Times New Roman"/>
                <w:sz w:val="20"/>
                <w:szCs w:val="20"/>
              </w:rPr>
            </w:pPr>
          </w:p>
        </w:tc>
        <w:tc>
          <w:tcPr>
            <w:tcW w:w="5" w:type="pct"/>
            <w:vAlign w:val="center"/>
            <w:hideMark/>
          </w:tcPr>
          <w:p w14:paraId="313FFC31" w14:textId="77777777" w:rsidR="00000000" w:rsidRDefault="00EE5306">
            <w:pPr>
              <w:spacing w:after="100"/>
              <w:rPr>
                <w:rFonts w:eastAsia="Times New Roman"/>
                <w:sz w:val="20"/>
                <w:szCs w:val="20"/>
              </w:rPr>
            </w:pPr>
          </w:p>
        </w:tc>
        <w:tc>
          <w:tcPr>
            <w:tcW w:w="5" w:type="pct"/>
            <w:vAlign w:val="center"/>
            <w:hideMark/>
          </w:tcPr>
          <w:p w14:paraId="7EBAC175" w14:textId="77777777" w:rsidR="00000000" w:rsidRDefault="00EE5306">
            <w:pPr>
              <w:spacing w:after="100"/>
              <w:rPr>
                <w:rFonts w:eastAsia="Times New Roman"/>
                <w:sz w:val="20"/>
                <w:szCs w:val="20"/>
              </w:rPr>
            </w:pPr>
          </w:p>
        </w:tc>
        <w:tc>
          <w:tcPr>
            <w:tcW w:w="28" w:type="pct"/>
            <w:vAlign w:val="center"/>
            <w:hideMark/>
          </w:tcPr>
          <w:p w14:paraId="5D9CA7A7" w14:textId="77777777" w:rsidR="00000000" w:rsidRDefault="00EE5306">
            <w:pPr>
              <w:spacing w:after="100"/>
              <w:rPr>
                <w:rFonts w:eastAsia="Times New Roman"/>
                <w:sz w:val="20"/>
                <w:szCs w:val="20"/>
              </w:rPr>
            </w:pPr>
          </w:p>
        </w:tc>
        <w:tc>
          <w:tcPr>
            <w:tcW w:w="5" w:type="pct"/>
            <w:vAlign w:val="center"/>
            <w:hideMark/>
          </w:tcPr>
          <w:p w14:paraId="5DD89F23" w14:textId="77777777" w:rsidR="00000000" w:rsidRDefault="00EE5306">
            <w:pPr>
              <w:spacing w:after="100"/>
              <w:rPr>
                <w:rFonts w:eastAsia="Times New Roman"/>
                <w:sz w:val="20"/>
                <w:szCs w:val="20"/>
              </w:rPr>
            </w:pPr>
          </w:p>
        </w:tc>
        <w:tc>
          <w:tcPr>
            <w:tcW w:w="50" w:type="pct"/>
            <w:vAlign w:val="center"/>
            <w:hideMark/>
          </w:tcPr>
          <w:p w14:paraId="5A5DEA04" w14:textId="77777777" w:rsidR="00000000" w:rsidRDefault="00EE5306">
            <w:pPr>
              <w:spacing w:after="100"/>
              <w:rPr>
                <w:rFonts w:eastAsia="Times New Roman"/>
                <w:sz w:val="20"/>
                <w:szCs w:val="20"/>
              </w:rPr>
            </w:pPr>
          </w:p>
        </w:tc>
        <w:tc>
          <w:tcPr>
            <w:tcW w:w="557" w:type="pct"/>
            <w:vAlign w:val="center"/>
            <w:hideMark/>
          </w:tcPr>
          <w:p w14:paraId="5FE76F4C" w14:textId="77777777" w:rsidR="00000000" w:rsidRDefault="00EE5306">
            <w:pPr>
              <w:spacing w:after="100"/>
              <w:rPr>
                <w:rFonts w:eastAsia="Times New Roman"/>
                <w:sz w:val="20"/>
                <w:szCs w:val="20"/>
              </w:rPr>
            </w:pPr>
          </w:p>
        </w:tc>
        <w:tc>
          <w:tcPr>
            <w:tcW w:w="5" w:type="pct"/>
            <w:vAlign w:val="center"/>
            <w:hideMark/>
          </w:tcPr>
          <w:p w14:paraId="4CA59A43" w14:textId="77777777" w:rsidR="00000000" w:rsidRDefault="00EE5306">
            <w:pPr>
              <w:spacing w:after="100"/>
              <w:rPr>
                <w:rFonts w:eastAsia="Times New Roman"/>
                <w:sz w:val="20"/>
                <w:szCs w:val="20"/>
              </w:rPr>
            </w:pPr>
          </w:p>
        </w:tc>
        <w:tc>
          <w:tcPr>
            <w:tcW w:w="5" w:type="pct"/>
            <w:vAlign w:val="center"/>
            <w:hideMark/>
          </w:tcPr>
          <w:p w14:paraId="081BEC83" w14:textId="77777777" w:rsidR="00000000" w:rsidRDefault="00EE5306">
            <w:pPr>
              <w:spacing w:after="100"/>
              <w:rPr>
                <w:rFonts w:eastAsia="Times New Roman"/>
                <w:sz w:val="20"/>
                <w:szCs w:val="20"/>
              </w:rPr>
            </w:pPr>
          </w:p>
        </w:tc>
        <w:tc>
          <w:tcPr>
            <w:tcW w:w="28" w:type="pct"/>
            <w:vAlign w:val="center"/>
            <w:hideMark/>
          </w:tcPr>
          <w:p w14:paraId="324D0DD8" w14:textId="77777777" w:rsidR="00000000" w:rsidRDefault="00EE5306">
            <w:pPr>
              <w:spacing w:after="100"/>
              <w:rPr>
                <w:rFonts w:eastAsia="Times New Roman"/>
                <w:sz w:val="20"/>
                <w:szCs w:val="20"/>
              </w:rPr>
            </w:pPr>
          </w:p>
        </w:tc>
        <w:tc>
          <w:tcPr>
            <w:tcW w:w="5" w:type="pct"/>
            <w:vAlign w:val="center"/>
            <w:hideMark/>
          </w:tcPr>
          <w:p w14:paraId="5118F068" w14:textId="77777777" w:rsidR="00000000" w:rsidRDefault="00EE5306">
            <w:pPr>
              <w:spacing w:after="100"/>
              <w:rPr>
                <w:rFonts w:eastAsia="Times New Roman"/>
                <w:sz w:val="20"/>
                <w:szCs w:val="20"/>
              </w:rPr>
            </w:pPr>
          </w:p>
        </w:tc>
        <w:tc>
          <w:tcPr>
            <w:tcW w:w="50" w:type="pct"/>
            <w:vAlign w:val="center"/>
            <w:hideMark/>
          </w:tcPr>
          <w:p w14:paraId="44CBB6EC" w14:textId="77777777" w:rsidR="00000000" w:rsidRDefault="00EE5306">
            <w:pPr>
              <w:spacing w:after="100"/>
              <w:rPr>
                <w:rFonts w:eastAsia="Times New Roman"/>
                <w:sz w:val="20"/>
                <w:szCs w:val="20"/>
              </w:rPr>
            </w:pPr>
          </w:p>
        </w:tc>
        <w:tc>
          <w:tcPr>
            <w:tcW w:w="557" w:type="pct"/>
            <w:vAlign w:val="center"/>
            <w:hideMark/>
          </w:tcPr>
          <w:p w14:paraId="56356036" w14:textId="77777777" w:rsidR="00000000" w:rsidRDefault="00EE5306">
            <w:pPr>
              <w:spacing w:after="100"/>
              <w:rPr>
                <w:rFonts w:eastAsia="Times New Roman"/>
                <w:sz w:val="20"/>
                <w:szCs w:val="20"/>
              </w:rPr>
            </w:pPr>
          </w:p>
        </w:tc>
        <w:tc>
          <w:tcPr>
            <w:tcW w:w="5" w:type="pct"/>
            <w:vAlign w:val="center"/>
            <w:hideMark/>
          </w:tcPr>
          <w:p w14:paraId="58B8E7B5" w14:textId="77777777" w:rsidR="00000000" w:rsidRDefault="00EE5306">
            <w:pPr>
              <w:spacing w:after="100"/>
              <w:rPr>
                <w:rFonts w:eastAsia="Times New Roman"/>
                <w:sz w:val="20"/>
                <w:szCs w:val="20"/>
              </w:rPr>
            </w:pPr>
          </w:p>
        </w:tc>
        <w:tc>
          <w:tcPr>
            <w:tcW w:w="5" w:type="pct"/>
            <w:vAlign w:val="center"/>
            <w:hideMark/>
          </w:tcPr>
          <w:p w14:paraId="489E00C4" w14:textId="77777777" w:rsidR="00000000" w:rsidRDefault="00EE5306">
            <w:pPr>
              <w:spacing w:after="100"/>
              <w:rPr>
                <w:rFonts w:eastAsia="Times New Roman"/>
                <w:sz w:val="20"/>
                <w:szCs w:val="20"/>
              </w:rPr>
            </w:pPr>
          </w:p>
        </w:tc>
        <w:tc>
          <w:tcPr>
            <w:tcW w:w="28" w:type="pct"/>
            <w:vAlign w:val="center"/>
            <w:hideMark/>
          </w:tcPr>
          <w:p w14:paraId="70903C43" w14:textId="77777777" w:rsidR="00000000" w:rsidRDefault="00EE5306">
            <w:pPr>
              <w:spacing w:after="100"/>
              <w:rPr>
                <w:rFonts w:eastAsia="Times New Roman"/>
                <w:sz w:val="20"/>
                <w:szCs w:val="20"/>
              </w:rPr>
            </w:pPr>
          </w:p>
        </w:tc>
        <w:tc>
          <w:tcPr>
            <w:tcW w:w="5" w:type="pct"/>
            <w:vAlign w:val="center"/>
            <w:hideMark/>
          </w:tcPr>
          <w:p w14:paraId="6864C71B" w14:textId="77777777" w:rsidR="00000000" w:rsidRDefault="00EE5306">
            <w:pPr>
              <w:spacing w:after="100"/>
              <w:rPr>
                <w:rFonts w:eastAsia="Times New Roman"/>
                <w:sz w:val="20"/>
                <w:szCs w:val="20"/>
              </w:rPr>
            </w:pPr>
          </w:p>
        </w:tc>
        <w:tc>
          <w:tcPr>
            <w:tcW w:w="50" w:type="pct"/>
            <w:vAlign w:val="center"/>
            <w:hideMark/>
          </w:tcPr>
          <w:p w14:paraId="7D373EE1" w14:textId="77777777" w:rsidR="00000000" w:rsidRDefault="00EE5306">
            <w:pPr>
              <w:spacing w:after="100"/>
              <w:rPr>
                <w:rFonts w:eastAsia="Times New Roman"/>
                <w:sz w:val="20"/>
                <w:szCs w:val="20"/>
              </w:rPr>
            </w:pPr>
          </w:p>
        </w:tc>
        <w:tc>
          <w:tcPr>
            <w:tcW w:w="557" w:type="pct"/>
            <w:vAlign w:val="center"/>
            <w:hideMark/>
          </w:tcPr>
          <w:p w14:paraId="4B744967" w14:textId="77777777" w:rsidR="00000000" w:rsidRDefault="00EE5306">
            <w:pPr>
              <w:spacing w:after="100"/>
              <w:rPr>
                <w:rFonts w:eastAsia="Times New Roman"/>
                <w:sz w:val="20"/>
                <w:szCs w:val="20"/>
              </w:rPr>
            </w:pPr>
          </w:p>
        </w:tc>
        <w:tc>
          <w:tcPr>
            <w:tcW w:w="5" w:type="pct"/>
            <w:vAlign w:val="center"/>
            <w:hideMark/>
          </w:tcPr>
          <w:p w14:paraId="4730E470" w14:textId="77777777" w:rsidR="00000000" w:rsidRDefault="00EE5306">
            <w:pPr>
              <w:spacing w:after="100"/>
              <w:rPr>
                <w:rFonts w:eastAsia="Times New Roman"/>
                <w:sz w:val="20"/>
                <w:szCs w:val="20"/>
              </w:rPr>
            </w:pPr>
          </w:p>
        </w:tc>
        <w:tc>
          <w:tcPr>
            <w:tcW w:w="5" w:type="pct"/>
            <w:vAlign w:val="center"/>
            <w:hideMark/>
          </w:tcPr>
          <w:p w14:paraId="39B8655E" w14:textId="77777777" w:rsidR="00000000" w:rsidRDefault="00EE5306">
            <w:pPr>
              <w:spacing w:after="100"/>
              <w:rPr>
                <w:rFonts w:eastAsia="Times New Roman"/>
                <w:sz w:val="20"/>
                <w:szCs w:val="20"/>
              </w:rPr>
            </w:pPr>
          </w:p>
        </w:tc>
        <w:tc>
          <w:tcPr>
            <w:tcW w:w="28" w:type="pct"/>
            <w:vAlign w:val="center"/>
            <w:hideMark/>
          </w:tcPr>
          <w:p w14:paraId="7215A854" w14:textId="77777777" w:rsidR="00000000" w:rsidRDefault="00EE5306">
            <w:pPr>
              <w:spacing w:after="100"/>
              <w:rPr>
                <w:rFonts w:eastAsia="Times New Roman"/>
                <w:sz w:val="20"/>
                <w:szCs w:val="20"/>
              </w:rPr>
            </w:pPr>
          </w:p>
        </w:tc>
        <w:tc>
          <w:tcPr>
            <w:tcW w:w="5" w:type="pct"/>
            <w:vAlign w:val="center"/>
            <w:hideMark/>
          </w:tcPr>
          <w:p w14:paraId="43E78EE8" w14:textId="77777777" w:rsidR="00000000" w:rsidRDefault="00EE5306">
            <w:pPr>
              <w:spacing w:after="100"/>
              <w:rPr>
                <w:rFonts w:eastAsia="Times New Roman"/>
                <w:sz w:val="20"/>
                <w:szCs w:val="20"/>
              </w:rPr>
            </w:pPr>
          </w:p>
        </w:tc>
        <w:tc>
          <w:tcPr>
            <w:tcW w:w="50" w:type="pct"/>
            <w:vAlign w:val="center"/>
            <w:hideMark/>
          </w:tcPr>
          <w:p w14:paraId="256245CE" w14:textId="77777777" w:rsidR="00000000" w:rsidRDefault="00EE5306">
            <w:pPr>
              <w:spacing w:after="100"/>
              <w:rPr>
                <w:rFonts w:eastAsia="Times New Roman"/>
                <w:sz w:val="20"/>
                <w:szCs w:val="20"/>
              </w:rPr>
            </w:pPr>
          </w:p>
        </w:tc>
        <w:tc>
          <w:tcPr>
            <w:tcW w:w="557" w:type="pct"/>
            <w:vAlign w:val="center"/>
            <w:hideMark/>
          </w:tcPr>
          <w:p w14:paraId="461CBC6A" w14:textId="77777777" w:rsidR="00000000" w:rsidRDefault="00EE5306">
            <w:pPr>
              <w:spacing w:after="100"/>
              <w:rPr>
                <w:rFonts w:eastAsia="Times New Roman"/>
                <w:sz w:val="20"/>
                <w:szCs w:val="20"/>
              </w:rPr>
            </w:pPr>
          </w:p>
        </w:tc>
        <w:tc>
          <w:tcPr>
            <w:tcW w:w="5" w:type="pct"/>
            <w:vAlign w:val="center"/>
            <w:hideMark/>
          </w:tcPr>
          <w:p w14:paraId="5774FA69" w14:textId="77777777" w:rsidR="00000000" w:rsidRDefault="00EE5306">
            <w:pPr>
              <w:spacing w:after="100"/>
              <w:rPr>
                <w:rFonts w:eastAsia="Times New Roman"/>
                <w:sz w:val="20"/>
                <w:szCs w:val="20"/>
              </w:rPr>
            </w:pPr>
          </w:p>
        </w:tc>
        <w:tc>
          <w:tcPr>
            <w:tcW w:w="5" w:type="pct"/>
            <w:vAlign w:val="center"/>
            <w:hideMark/>
          </w:tcPr>
          <w:p w14:paraId="3DB7680F" w14:textId="77777777" w:rsidR="00000000" w:rsidRDefault="00EE5306">
            <w:pPr>
              <w:spacing w:after="100"/>
              <w:rPr>
                <w:rFonts w:eastAsia="Times New Roman"/>
                <w:sz w:val="20"/>
                <w:szCs w:val="20"/>
              </w:rPr>
            </w:pPr>
          </w:p>
        </w:tc>
        <w:tc>
          <w:tcPr>
            <w:tcW w:w="28" w:type="pct"/>
            <w:vAlign w:val="center"/>
            <w:hideMark/>
          </w:tcPr>
          <w:p w14:paraId="401FE017" w14:textId="77777777" w:rsidR="00000000" w:rsidRDefault="00EE5306">
            <w:pPr>
              <w:spacing w:after="100"/>
              <w:rPr>
                <w:rFonts w:eastAsia="Times New Roman"/>
                <w:sz w:val="20"/>
                <w:szCs w:val="20"/>
              </w:rPr>
            </w:pPr>
          </w:p>
        </w:tc>
        <w:tc>
          <w:tcPr>
            <w:tcW w:w="5" w:type="pct"/>
            <w:vAlign w:val="center"/>
            <w:hideMark/>
          </w:tcPr>
          <w:p w14:paraId="21E4A7A0" w14:textId="77777777" w:rsidR="00000000" w:rsidRDefault="00EE5306">
            <w:pPr>
              <w:spacing w:after="100"/>
              <w:rPr>
                <w:rFonts w:eastAsia="Times New Roman"/>
                <w:sz w:val="20"/>
                <w:szCs w:val="20"/>
              </w:rPr>
            </w:pPr>
          </w:p>
        </w:tc>
        <w:tc>
          <w:tcPr>
            <w:tcW w:w="50" w:type="pct"/>
            <w:vAlign w:val="center"/>
            <w:hideMark/>
          </w:tcPr>
          <w:p w14:paraId="5BFF73B9" w14:textId="77777777" w:rsidR="00000000" w:rsidRDefault="00EE5306">
            <w:pPr>
              <w:spacing w:after="100"/>
              <w:rPr>
                <w:rFonts w:eastAsia="Times New Roman"/>
                <w:sz w:val="20"/>
                <w:szCs w:val="20"/>
              </w:rPr>
            </w:pPr>
          </w:p>
        </w:tc>
        <w:tc>
          <w:tcPr>
            <w:tcW w:w="557" w:type="pct"/>
            <w:vAlign w:val="center"/>
            <w:hideMark/>
          </w:tcPr>
          <w:p w14:paraId="72076ECC" w14:textId="77777777" w:rsidR="00000000" w:rsidRDefault="00EE5306">
            <w:pPr>
              <w:spacing w:after="100"/>
              <w:rPr>
                <w:rFonts w:eastAsia="Times New Roman"/>
                <w:sz w:val="20"/>
                <w:szCs w:val="20"/>
              </w:rPr>
            </w:pPr>
          </w:p>
        </w:tc>
        <w:tc>
          <w:tcPr>
            <w:tcW w:w="5" w:type="pct"/>
            <w:vAlign w:val="center"/>
            <w:hideMark/>
          </w:tcPr>
          <w:p w14:paraId="22328C36" w14:textId="77777777" w:rsidR="00000000" w:rsidRDefault="00EE5306">
            <w:pPr>
              <w:spacing w:after="100"/>
              <w:rPr>
                <w:rFonts w:eastAsia="Times New Roman"/>
                <w:sz w:val="20"/>
                <w:szCs w:val="20"/>
              </w:rPr>
            </w:pPr>
          </w:p>
        </w:tc>
      </w:tr>
      <w:tr w:rsidR="00000000" w14:paraId="54055592" w14:textId="77777777">
        <w:trPr>
          <w:divId w:val="1561817937"/>
          <w:jc w:val="center"/>
        </w:trPr>
        <w:tc>
          <w:tcPr>
            <w:tcW w:w="0" w:type="auto"/>
            <w:gridSpan w:val="3"/>
            <w:tcMar>
              <w:top w:w="0" w:type="dxa"/>
              <w:left w:w="20" w:type="dxa"/>
              <w:bottom w:w="0" w:type="dxa"/>
              <w:right w:w="20" w:type="dxa"/>
            </w:tcMar>
            <w:vAlign w:val="center"/>
            <w:hideMark/>
          </w:tcPr>
          <w:p w14:paraId="282505E0"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5F1999" w14:textId="77777777" w:rsidR="00000000" w:rsidRDefault="00EE5306">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14:paraId="6E65D766" w14:textId="77777777" w:rsidR="00000000" w:rsidRDefault="00EE5306">
            <w:pPr>
              <w:spacing w:after="100"/>
              <w:jc w:val="center"/>
              <w:rPr>
                <w:rFonts w:eastAsia="Times New Roman"/>
              </w:rPr>
            </w:pPr>
            <w:r>
              <w:rPr>
                <w:rFonts w:eastAsia="Times New Roman"/>
                <w:b/>
                <w:bCs/>
                <w:color w:val="000000"/>
                <w:sz w:val="16"/>
                <w:szCs w:val="16"/>
              </w:rPr>
              <w:t>Fiscal Year Ended</w:t>
            </w:r>
          </w:p>
        </w:tc>
      </w:tr>
      <w:tr w:rsidR="00000000" w14:paraId="2D7EE247" w14:textId="77777777">
        <w:trPr>
          <w:divId w:val="1561817937"/>
          <w:jc w:val="center"/>
        </w:trPr>
        <w:tc>
          <w:tcPr>
            <w:tcW w:w="0" w:type="auto"/>
            <w:gridSpan w:val="3"/>
            <w:tcMar>
              <w:top w:w="0" w:type="dxa"/>
              <w:left w:w="20" w:type="dxa"/>
              <w:bottom w:w="0" w:type="dxa"/>
              <w:right w:w="20" w:type="dxa"/>
            </w:tcMar>
            <w:vAlign w:val="center"/>
            <w:hideMark/>
          </w:tcPr>
          <w:p w14:paraId="6BB0A312"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26CCBFE" w14:textId="77777777" w:rsidR="00000000" w:rsidRDefault="00EE5306">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52DAC330" w14:textId="77777777" w:rsidR="00000000" w:rsidRDefault="00EE5306">
            <w:pPr>
              <w:spacing w:after="100"/>
              <w:jc w:val="center"/>
              <w:rPr>
                <w:rFonts w:eastAsia="Times New Roman"/>
              </w:rPr>
            </w:pPr>
            <w:r>
              <w:rPr>
                <w:rFonts w:eastAsia="Times New Roman"/>
                <w:b/>
                <w:bCs/>
                <w:color w:val="000000"/>
                <w:sz w:val="16"/>
                <w:szCs w:val="16"/>
              </w:rPr>
              <w:t>March 27, 2021</w:t>
            </w:r>
          </w:p>
        </w:tc>
      </w:tr>
      <w:tr w:rsidR="00000000" w14:paraId="754AB95C" w14:textId="77777777">
        <w:trPr>
          <w:divId w:val="1561817937"/>
          <w:jc w:val="center"/>
        </w:trPr>
        <w:tc>
          <w:tcPr>
            <w:tcW w:w="0" w:type="auto"/>
            <w:gridSpan w:val="3"/>
            <w:shd w:val="clear" w:color="auto" w:fill="FFFFFF"/>
            <w:tcMar>
              <w:top w:w="0" w:type="dxa"/>
              <w:left w:w="20" w:type="dxa"/>
              <w:bottom w:w="0" w:type="dxa"/>
              <w:right w:w="20" w:type="dxa"/>
            </w:tcMar>
            <w:vAlign w:val="center"/>
            <w:hideMark/>
          </w:tcPr>
          <w:p w14:paraId="77BB8F76" w14:textId="77777777" w:rsidR="00000000" w:rsidRDefault="00EE5306">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BA19E"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EF41F10" w14:textId="77777777" w:rsidR="00000000" w:rsidRDefault="00EE5306">
            <w:pPr>
              <w:spacing w:after="100"/>
              <w:jc w:val="center"/>
              <w:rPr>
                <w:rFonts w:eastAsia="Times New Roman"/>
              </w:rPr>
            </w:pPr>
            <w:r>
              <w:rPr>
                <w:rFonts w:eastAsia="Times New Roman"/>
                <w:b/>
                <w:bCs/>
                <w:color w:val="000000"/>
                <w:sz w:val="16"/>
                <w:szCs w:val="16"/>
              </w:rPr>
              <w:t>North America</w:t>
            </w:r>
          </w:p>
        </w:tc>
        <w:tc>
          <w:tcPr>
            <w:tcW w:w="0" w:type="auto"/>
            <w:gridSpan w:val="3"/>
            <w:tcBorders>
              <w:top w:val="single" w:sz="8" w:space="0" w:color="000000"/>
            </w:tcBorders>
            <w:tcMar>
              <w:top w:w="0" w:type="dxa"/>
              <w:left w:w="20" w:type="dxa"/>
              <w:bottom w:w="0" w:type="dxa"/>
              <w:right w:w="20" w:type="dxa"/>
            </w:tcMar>
            <w:vAlign w:val="center"/>
            <w:hideMark/>
          </w:tcPr>
          <w:p w14:paraId="66587B9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8ADE7E" w14:textId="77777777" w:rsidR="00000000" w:rsidRDefault="00EE5306">
            <w:pPr>
              <w:spacing w:after="100"/>
              <w:jc w:val="center"/>
              <w:rPr>
                <w:rFonts w:eastAsia="Times New Roman"/>
              </w:rPr>
            </w:pPr>
            <w:r>
              <w:rPr>
                <w:rFonts w:eastAsia="Times New Roman"/>
                <w:b/>
                <w:bCs/>
                <w:color w:val="000000"/>
                <w:sz w:val="16"/>
                <w:szCs w:val="16"/>
              </w:rPr>
              <w:t>Europe</w:t>
            </w:r>
          </w:p>
        </w:tc>
        <w:tc>
          <w:tcPr>
            <w:tcW w:w="0" w:type="auto"/>
            <w:gridSpan w:val="3"/>
            <w:tcBorders>
              <w:top w:val="single" w:sz="8" w:space="0" w:color="000000"/>
            </w:tcBorders>
            <w:tcMar>
              <w:top w:w="0" w:type="dxa"/>
              <w:left w:w="20" w:type="dxa"/>
              <w:bottom w:w="0" w:type="dxa"/>
              <w:right w:w="20" w:type="dxa"/>
            </w:tcMar>
            <w:vAlign w:val="center"/>
            <w:hideMark/>
          </w:tcPr>
          <w:p w14:paraId="49868B4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999CDE0" w14:textId="77777777" w:rsidR="00000000" w:rsidRDefault="00EE5306">
            <w:pPr>
              <w:spacing w:after="100"/>
              <w:jc w:val="center"/>
              <w:rPr>
                <w:rFonts w:eastAsia="Times New Roman"/>
              </w:rPr>
            </w:pPr>
            <w:r>
              <w:rPr>
                <w:rFonts w:eastAsia="Times New Roman"/>
                <w:b/>
                <w:bCs/>
                <w:color w:val="000000"/>
                <w:sz w:val="16"/>
                <w:szCs w:val="16"/>
              </w:rPr>
              <w:t>Asia</w:t>
            </w:r>
          </w:p>
        </w:tc>
        <w:tc>
          <w:tcPr>
            <w:tcW w:w="0" w:type="auto"/>
            <w:gridSpan w:val="3"/>
            <w:tcBorders>
              <w:top w:val="single" w:sz="8" w:space="0" w:color="000000"/>
            </w:tcBorders>
            <w:tcMar>
              <w:top w:w="0" w:type="dxa"/>
              <w:left w:w="20" w:type="dxa"/>
              <w:bottom w:w="0" w:type="dxa"/>
              <w:right w:w="20" w:type="dxa"/>
            </w:tcMar>
            <w:vAlign w:val="center"/>
            <w:hideMark/>
          </w:tcPr>
          <w:p w14:paraId="2C7BF539"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7B664C" w14:textId="77777777" w:rsidR="00000000" w:rsidRDefault="00EE530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5B103C3D"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8E3C6B4" w14:textId="77777777" w:rsidR="00000000" w:rsidRDefault="00EE5306">
            <w:pPr>
              <w:spacing w:after="100"/>
              <w:jc w:val="center"/>
              <w:rPr>
                <w:rFonts w:eastAsia="Times New Roman"/>
              </w:rPr>
            </w:pPr>
            <w:r>
              <w:rPr>
                <w:rFonts w:eastAsia="Times New Roman"/>
                <w:b/>
                <w:bCs/>
                <w:color w:val="000000"/>
                <w:sz w:val="16"/>
                <w:szCs w:val="16"/>
              </w:rPr>
              <w:t>Total</w:t>
            </w:r>
          </w:p>
        </w:tc>
      </w:tr>
      <w:tr w:rsidR="00000000" w14:paraId="7948E102" w14:textId="77777777">
        <w:trPr>
          <w:divId w:val="1561817937"/>
          <w:jc w:val="center"/>
        </w:trPr>
        <w:tc>
          <w:tcPr>
            <w:tcW w:w="0" w:type="auto"/>
            <w:gridSpan w:val="3"/>
            <w:tcMar>
              <w:top w:w="0" w:type="dxa"/>
              <w:left w:w="20" w:type="dxa"/>
              <w:bottom w:w="0" w:type="dxa"/>
              <w:right w:w="20" w:type="dxa"/>
            </w:tcMar>
            <w:vAlign w:val="center"/>
            <w:hideMark/>
          </w:tcPr>
          <w:p w14:paraId="4EB5F3AF"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55264C1" w14:textId="77777777" w:rsidR="00000000" w:rsidRDefault="00EE5306">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34F01455"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309659B1" w14:textId="77777777">
        <w:trPr>
          <w:divId w:val="1561817937"/>
          <w:jc w:val="center"/>
        </w:trPr>
        <w:tc>
          <w:tcPr>
            <w:tcW w:w="0" w:type="auto"/>
            <w:gridSpan w:val="3"/>
            <w:shd w:val="clear" w:color="auto" w:fill="CCEEFF"/>
            <w:tcMar>
              <w:top w:w="30" w:type="dxa"/>
              <w:left w:w="20" w:type="dxa"/>
              <w:bottom w:w="30" w:type="dxa"/>
              <w:right w:w="20" w:type="dxa"/>
            </w:tcMar>
            <w:vAlign w:val="bottom"/>
            <w:hideMark/>
          </w:tcPr>
          <w:p w14:paraId="7BED0BA6" w14:textId="77777777" w:rsidR="00000000" w:rsidRDefault="00EE5306">
            <w:pPr>
              <w:spacing w:after="100"/>
              <w:divId w:val="1842968577"/>
              <w:rPr>
                <w:rFonts w:eastAsia="Times New Roman"/>
              </w:rPr>
            </w:pPr>
            <w:r>
              <w:rPr>
                <w:rFonts w:eastAsia="Times New Roman"/>
                <w:b/>
                <w:bCs/>
                <w:color w:val="000000"/>
                <w:sz w:val="20"/>
                <w:szCs w:val="20"/>
              </w:rPr>
              <w:t>Sales Channe</w:t>
            </w:r>
            <w:r>
              <w:rPr>
                <w:rFonts w:eastAsia="Times New Roman"/>
                <w:b/>
                <w:bCs/>
                <w:color w:val="000000"/>
                <w:sz w:val="20"/>
                <w:szCs w:val="20"/>
              </w:rPr>
              <w:t>l</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FE4DE4F"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1520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25459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EA8FC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9AF03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FDE11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B1264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15E2A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A52CB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B1083F" w14:textId="77777777" w:rsidR="00000000" w:rsidRDefault="00EE5306">
            <w:pPr>
              <w:spacing w:after="100"/>
              <w:rPr>
                <w:rFonts w:eastAsia="Times New Roman"/>
                <w:sz w:val="20"/>
                <w:szCs w:val="20"/>
              </w:rPr>
            </w:pPr>
          </w:p>
        </w:tc>
      </w:tr>
      <w:tr w:rsidR="00000000" w14:paraId="5E22F471" w14:textId="77777777">
        <w:trPr>
          <w:divId w:val="1561817937"/>
          <w:jc w:val="center"/>
        </w:trPr>
        <w:tc>
          <w:tcPr>
            <w:tcW w:w="0" w:type="auto"/>
            <w:gridSpan w:val="3"/>
            <w:shd w:val="clear" w:color="auto" w:fill="FFFFFF"/>
            <w:tcMar>
              <w:top w:w="30" w:type="dxa"/>
              <w:left w:w="155" w:type="dxa"/>
              <w:bottom w:w="30" w:type="dxa"/>
              <w:right w:w="20" w:type="dxa"/>
            </w:tcMar>
            <w:vAlign w:val="bottom"/>
            <w:hideMark/>
          </w:tcPr>
          <w:p w14:paraId="12FB97FF" w14:textId="77777777" w:rsidR="00000000" w:rsidRDefault="00EE5306">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14:paraId="5902CA0E"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B0E72A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52066D" w14:textId="77777777" w:rsidR="00000000" w:rsidRDefault="00EE5306">
            <w:pPr>
              <w:spacing w:after="100"/>
              <w:jc w:val="right"/>
              <w:rPr>
                <w:rFonts w:eastAsia="Times New Roman"/>
              </w:rPr>
            </w:pPr>
            <w:r>
              <w:rPr>
                <w:rFonts w:eastAsia="Times New Roman"/>
                <w:color w:val="000000"/>
                <w:sz w:val="20"/>
                <w:szCs w:val="20"/>
              </w:rPr>
              <w:t>1,214.1 </w:t>
            </w:r>
          </w:p>
        </w:tc>
        <w:tc>
          <w:tcPr>
            <w:tcW w:w="0" w:type="auto"/>
            <w:shd w:val="clear" w:color="auto" w:fill="FFFFFF"/>
            <w:tcMar>
              <w:top w:w="30" w:type="dxa"/>
              <w:left w:w="0" w:type="dxa"/>
              <w:bottom w:w="30" w:type="dxa"/>
              <w:right w:w="20" w:type="dxa"/>
            </w:tcMar>
            <w:vAlign w:val="bottom"/>
            <w:hideMark/>
          </w:tcPr>
          <w:p w14:paraId="69CD6A8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D6CBB"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C0FCA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CAA6245" w14:textId="77777777" w:rsidR="00000000" w:rsidRDefault="00EE5306">
            <w:pPr>
              <w:spacing w:after="100"/>
              <w:jc w:val="right"/>
              <w:rPr>
                <w:rFonts w:eastAsia="Times New Roman"/>
              </w:rPr>
            </w:pPr>
            <w:r>
              <w:rPr>
                <w:rFonts w:eastAsia="Times New Roman"/>
                <w:color w:val="000000"/>
                <w:sz w:val="20"/>
                <w:szCs w:val="20"/>
              </w:rPr>
              <w:t>517.1 </w:t>
            </w:r>
          </w:p>
        </w:tc>
        <w:tc>
          <w:tcPr>
            <w:tcW w:w="0" w:type="auto"/>
            <w:shd w:val="clear" w:color="auto" w:fill="FFFFFF"/>
            <w:tcMar>
              <w:top w:w="30" w:type="dxa"/>
              <w:left w:w="0" w:type="dxa"/>
              <w:bottom w:w="30" w:type="dxa"/>
              <w:right w:w="20" w:type="dxa"/>
            </w:tcMar>
            <w:vAlign w:val="bottom"/>
            <w:hideMark/>
          </w:tcPr>
          <w:p w14:paraId="0F88E0B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217253"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2B833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559D23" w14:textId="77777777" w:rsidR="00000000" w:rsidRDefault="00EE5306">
            <w:pPr>
              <w:spacing w:after="100"/>
              <w:jc w:val="right"/>
              <w:rPr>
                <w:rFonts w:eastAsia="Times New Roman"/>
              </w:rPr>
            </w:pPr>
            <w:r>
              <w:rPr>
                <w:rFonts w:eastAsia="Times New Roman"/>
                <w:color w:val="000000"/>
                <w:sz w:val="20"/>
                <w:szCs w:val="20"/>
              </w:rPr>
              <w:t>968.4 </w:t>
            </w:r>
          </w:p>
        </w:tc>
        <w:tc>
          <w:tcPr>
            <w:tcW w:w="0" w:type="auto"/>
            <w:shd w:val="clear" w:color="auto" w:fill="FFFFFF"/>
            <w:tcMar>
              <w:top w:w="30" w:type="dxa"/>
              <w:left w:w="0" w:type="dxa"/>
              <w:bottom w:w="30" w:type="dxa"/>
              <w:right w:w="20" w:type="dxa"/>
            </w:tcMar>
            <w:vAlign w:val="bottom"/>
            <w:hideMark/>
          </w:tcPr>
          <w:p w14:paraId="727A1E7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03B8F"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29C5E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9ADAEE" w14:textId="77777777" w:rsidR="00000000" w:rsidRDefault="00EE5306">
            <w:pPr>
              <w:spacing w:after="100"/>
              <w:jc w:val="right"/>
              <w:rPr>
                <w:rFonts w:eastAsia="Times New Roman"/>
              </w:rPr>
            </w:pPr>
            <w:r>
              <w:rPr>
                <w:rFonts w:eastAsia="Times New Roman"/>
                <w:color w:val="000000"/>
                <w:sz w:val="20"/>
                <w:szCs w:val="20"/>
              </w:rPr>
              <w:t>80.2 </w:t>
            </w:r>
          </w:p>
        </w:tc>
        <w:tc>
          <w:tcPr>
            <w:tcW w:w="0" w:type="auto"/>
            <w:shd w:val="clear" w:color="auto" w:fill="FFFFFF"/>
            <w:tcMar>
              <w:top w:w="30" w:type="dxa"/>
              <w:left w:w="0" w:type="dxa"/>
              <w:bottom w:w="30" w:type="dxa"/>
              <w:right w:w="20" w:type="dxa"/>
            </w:tcMar>
            <w:vAlign w:val="bottom"/>
            <w:hideMark/>
          </w:tcPr>
          <w:p w14:paraId="60CDC16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0E681"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17C02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33511D" w14:textId="77777777" w:rsidR="00000000" w:rsidRDefault="00EE5306">
            <w:pPr>
              <w:spacing w:after="100"/>
              <w:jc w:val="right"/>
              <w:rPr>
                <w:rFonts w:eastAsia="Times New Roman"/>
              </w:rPr>
            </w:pPr>
            <w:r>
              <w:rPr>
                <w:rFonts w:eastAsia="Times New Roman"/>
                <w:color w:val="000000"/>
                <w:sz w:val="20"/>
                <w:szCs w:val="20"/>
              </w:rPr>
              <w:t>2,779.8 </w:t>
            </w:r>
          </w:p>
        </w:tc>
        <w:tc>
          <w:tcPr>
            <w:tcW w:w="0" w:type="auto"/>
            <w:shd w:val="clear" w:color="auto" w:fill="FFFFFF"/>
            <w:tcMar>
              <w:top w:w="30" w:type="dxa"/>
              <w:left w:w="0" w:type="dxa"/>
              <w:bottom w:w="30" w:type="dxa"/>
              <w:right w:w="20" w:type="dxa"/>
            </w:tcMar>
            <w:vAlign w:val="bottom"/>
            <w:hideMark/>
          </w:tcPr>
          <w:p w14:paraId="69BBA12C" w14:textId="77777777" w:rsidR="00000000" w:rsidRDefault="00EE5306">
            <w:pPr>
              <w:spacing w:after="100"/>
              <w:jc w:val="right"/>
              <w:rPr>
                <w:rFonts w:eastAsia="Times New Roman"/>
              </w:rPr>
            </w:pPr>
          </w:p>
        </w:tc>
      </w:tr>
      <w:tr w:rsidR="00000000" w14:paraId="1F040550" w14:textId="77777777">
        <w:trPr>
          <w:divId w:val="1561817937"/>
          <w:jc w:val="center"/>
        </w:trPr>
        <w:tc>
          <w:tcPr>
            <w:tcW w:w="0" w:type="auto"/>
            <w:gridSpan w:val="3"/>
            <w:shd w:val="clear" w:color="auto" w:fill="CCEEFF"/>
            <w:tcMar>
              <w:top w:w="30" w:type="dxa"/>
              <w:left w:w="155" w:type="dxa"/>
              <w:bottom w:w="30" w:type="dxa"/>
              <w:right w:w="20" w:type="dxa"/>
            </w:tcMar>
            <w:vAlign w:val="bottom"/>
            <w:hideMark/>
          </w:tcPr>
          <w:p w14:paraId="7E087C9F" w14:textId="77777777" w:rsidR="00000000" w:rsidRDefault="00EE5306">
            <w:pPr>
              <w:spacing w:after="100"/>
              <w:rPr>
                <w:rFonts w:eastAsia="Times New Roman"/>
              </w:rPr>
            </w:pPr>
            <w:r>
              <w:rPr>
                <w:rFonts w:eastAsia="Times New Roman"/>
                <w:color w:val="000000"/>
                <w:sz w:val="20"/>
                <w:szCs w:val="20"/>
              </w:rPr>
              <w:t>Wholesale</w:t>
            </w:r>
          </w:p>
        </w:tc>
        <w:tc>
          <w:tcPr>
            <w:tcW w:w="0" w:type="auto"/>
            <w:gridSpan w:val="3"/>
            <w:shd w:val="clear" w:color="auto" w:fill="CCEEFF"/>
            <w:tcMar>
              <w:top w:w="0" w:type="dxa"/>
              <w:left w:w="20" w:type="dxa"/>
              <w:bottom w:w="0" w:type="dxa"/>
              <w:right w:w="20" w:type="dxa"/>
            </w:tcMar>
            <w:vAlign w:val="center"/>
            <w:hideMark/>
          </w:tcPr>
          <w:p w14:paraId="26A1DD5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B53CEE" w14:textId="77777777" w:rsidR="00000000" w:rsidRDefault="00EE5306">
            <w:pPr>
              <w:spacing w:after="100"/>
              <w:jc w:val="right"/>
              <w:rPr>
                <w:rFonts w:eastAsia="Times New Roman"/>
              </w:rPr>
            </w:pPr>
            <w:r>
              <w:rPr>
                <w:rFonts w:eastAsia="Times New Roman"/>
                <w:color w:val="000000"/>
                <w:sz w:val="20"/>
                <w:szCs w:val="20"/>
              </w:rPr>
              <w:t>778.3 </w:t>
            </w:r>
          </w:p>
        </w:tc>
        <w:tc>
          <w:tcPr>
            <w:tcW w:w="0" w:type="auto"/>
            <w:shd w:val="clear" w:color="auto" w:fill="CCEEFF"/>
            <w:tcMar>
              <w:top w:w="30" w:type="dxa"/>
              <w:left w:w="0" w:type="dxa"/>
              <w:bottom w:w="30" w:type="dxa"/>
              <w:right w:w="20" w:type="dxa"/>
            </w:tcMar>
            <w:vAlign w:val="bottom"/>
            <w:hideMark/>
          </w:tcPr>
          <w:p w14:paraId="05EF46A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59C5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FB1670" w14:textId="77777777" w:rsidR="00000000" w:rsidRDefault="00EE5306">
            <w:pPr>
              <w:spacing w:after="100"/>
              <w:jc w:val="right"/>
              <w:rPr>
                <w:rFonts w:eastAsia="Times New Roman"/>
              </w:rPr>
            </w:pPr>
            <w:r>
              <w:rPr>
                <w:rFonts w:eastAsia="Times New Roman"/>
                <w:color w:val="000000"/>
                <w:sz w:val="20"/>
                <w:szCs w:val="20"/>
              </w:rPr>
              <w:t>648.8 </w:t>
            </w:r>
          </w:p>
        </w:tc>
        <w:tc>
          <w:tcPr>
            <w:tcW w:w="0" w:type="auto"/>
            <w:shd w:val="clear" w:color="auto" w:fill="CCEEFF"/>
            <w:tcMar>
              <w:top w:w="30" w:type="dxa"/>
              <w:left w:w="0" w:type="dxa"/>
              <w:bottom w:w="30" w:type="dxa"/>
              <w:right w:w="20" w:type="dxa"/>
            </w:tcMar>
            <w:vAlign w:val="bottom"/>
            <w:hideMark/>
          </w:tcPr>
          <w:p w14:paraId="0C988AF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751F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0215C" w14:textId="77777777" w:rsidR="00000000" w:rsidRDefault="00EE5306">
            <w:pPr>
              <w:spacing w:after="100"/>
              <w:jc w:val="right"/>
              <w:rPr>
                <w:rFonts w:eastAsia="Times New Roman"/>
              </w:rPr>
            </w:pPr>
            <w:r>
              <w:rPr>
                <w:rFonts w:eastAsia="Times New Roman"/>
                <w:color w:val="000000"/>
                <w:sz w:val="20"/>
                <w:szCs w:val="20"/>
              </w:rPr>
              <w:t>59.1 </w:t>
            </w:r>
          </w:p>
        </w:tc>
        <w:tc>
          <w:tcPr>
            <w:tcW w:w="0" w:type="auto"/>
            <w:shd w:val="clear" w:color="auto" w:fill="CCEEFF"/>
            <w:tcMar>
              <w:top w:w="30" w:type="dxa"/>
              <w:left w:w="0" w:type="dxa"/>
              <w:bottom w:w="30" w:type="dxa"/>
              <w:right w:w="20" w:type="dxa"/>
            </w:tcMar>
            <w:vAlign w:val="bottom"/>
            <w:hideMark/>
          </w:tcPr>
          <w:p w14:paraId="3FFC9BD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363A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4270EF" w14:textId="77777777" w:rsidR="00000000" w:rsidRDefault="00EE5306">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14:paraId="6BF338F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C77A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E61B8D" w14:textId="77777777" w:rsidR="00000000" w:rsidRDefault="00EE5306">
            <w:pPr>
              <w:spacing w:after="100"/>
              <w:jc w:val="right"/>
              <w:rPr>
                <w:rFonts w:eastAsia="Times New Roman"/>
              </w:rPr>
            </w:pPr>
            <w:r>
              <w:rPr>
                <w:rFonts w:eastAsia="Times New Roman"/>
                <w:color w:val="000000"/>
                <w:sz w:val="20"/>
                <w:szCs w:val="20"/>
              </w:rPr>
              <w:t>1,498.6 </w:t>
            </w:r>
          </w:p>
        </w:tc>
        <w:tc>
          <w:tcPr>
            <w:tcW w:w="0" w:type="auto"/>
            <w:shd w:val="clear" w:color="auto" w:fill="CCEEFF"/>
            <w:tcMar>
              <w:top w:w="30" w:type="dxa"/>
              <w:left w:w="0" w:type="dxa"/>
              <w:bottom w:w="30" w:type="dxa"/>
              <w:right w:w="20" w:type="dxa"/>
            </w:tcMar>
            <w:vAlign w:val="bottom"/>
            <w:hideMark/>
          </w:tcPr>
          <w:p w14:paraId="76BBD5BF" w14:textId="77777777" w:rsidR="00000000" w:rsidRDefault="00EE5306">
            <w:pPr>
              <w:spacing w:after="100"/>
              <w:jc w:val="right"/>
              <w:rPr>
                <w:rFonts w:eastAsia="Times New Roman"/>
              </w:rPr>
            </w:pPr>
          </w:p>
        </w:tc>
      </w:tr>
      <w:tr w:rsidR="00000000" w14:paraId="5E9A7219" w14:textId="77777777">
        <w:trPr>
          <w:divId w:val="1561817937"/>
          <w:jc w:val="center"/>
        </w:trPr>
        <w:tc>
          <w:tcPr>
            <w:tcW w:w="0" w:type="auto"/>
            <w:gridSpan w:val="3"/>
            <w:shd w:val="clear" w:color="auto" w:fill="FFFFFF"/>
            <w:tcMar>
              <w:top w:w="30" w:type="dxa"/>
              <w:left w:w="155" w:type="dxa"/>
              <w:bottom w:w="30" w:type="dxa"/>
              <w:right w:w="20" w:type="dxa"/>
            </w:tcMar>
            <w:vAlign w:val="bottom"/>
            <w:hideMark/>
          </w:tcPr>
          <w:p w14:paraId="784C8A87" w14:textId="77777777" w:rsidR="00000000" w:rsidRDefault="00EE5306">
            <w:pPr>
              <w:spacing w:after="100"/>
              <w:rPr>
                <w:rFonts w:eastAsia="Times New Roman"/>
              </w:rPr>
            </w:pPr>
            <w:r>
              <w:rPr>
                <w:rFonts w:eastAsia="Times New Roman"/>
                <w:color w:val="000000"/>
                <w:sz w:val="20"/>
                <w:szCs w:val="20"/>
              </w:rPr>
              <w:t>Licensing</w:t>
            </w:r>
          </w:p>
        </w:tc>
        <w:tc>
          <w:tcPr>
            <w:tcW w:w="0" w:type="auto"/>
            <w:gridSpan w:val="3"/>
            <w:shd w:val="clear" w:color="auto" w:fill="FFFFFF"/>
            <w:tcMar>
              <w:top w:w="0" w:type="dxa"/>
              <w:left w:w="20" w:type="dxa"/>
              <w:bottom w:w="0" w:type="dxa"/>
              <w:right w:w="20" w:type="dxa"/>
            </w:tcMar>
            <w:vAlign w:val="center"/>
            <w:hideMark/>
          </w:tcPr>
          <w:p w14:paraId="2B6B4D4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80C741"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68EB5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A5E6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A536F0"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398FF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5F86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26C422"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3F21F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7FEB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C38C79" w14:textId="77777777" w:rsidR="00000000" w:rsidRDefault="00EE5306">
            <w:pPr>
              <w:spacing w:after="100"/>
              <w:jc w:val="right"/>
              <w:rPr>
                <w:rFonts w:eastAsia="Times New Roman"/>
              </w:rPr>
            </w:pPr>
            <w:r>
              <w:rPr>
                <w:rFonts w:eastAsia="Times New Roman"/>
                <w:color w:val="000000"/>
                <w:sz w:val="20"/>
                <w:szCs w:val="20"/>
              </w:rPr>
              <w:t>122.4 </w:t>
            </w:r>
          </w:p>
        </w:tc>
        <w:tc>
          <w:tcPr>
            <w:tcW w:w="0" w:type="auto"/>
            <w:shd w:val="clear" w:color="auto" w:fill="FFFFFF"/>
            <w:tcMar>
              <w:top w:w="30" w:type="dxa"/>
              <w:left w:w="0" w:type="dxa"/>
              <w:bottom w:w="30" w:type="dxa"/>
              <w:right w:w="20" w:type="dxa"/>
            </w:tcMar>
            <w:vAlign w:val="bottom"/>
            <w:hideMark/>
          </w:tcPr>
          <w:p w14:paraId="50F0B74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B3F6E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141380" w14:textId="77777777" w:rsidR="00000000" w:rsidRDefault="00EE5306">
            <w:pPr>
              <w:spacing w:after="100"/>
              <w:jc w:val="right"/>
              <w:rPr>
                <w:rFonts w:eastAsia="Times New Roman"/>
              </w:rPr>
            </w:pPr>
            <w:r>
              <w:rPr>
                <w:rFonts w:eastAsia="Times New Roman"/>
                <w:color w:val="000000"/>
                <w:sz w:val="20"/>
                <w:szCs w:val="20"/>
              </w:rPr>
              <w:t>122.4 </w:t>
            </w:r>
          </w:p>
        </w:tc>
        <w:tc>
          <w:tcPr>
            <w:tcW w:w="0" w:type="auto"/>
            <w:shd w:val="clear" w:color="auto" w:fill="FFFFFF"/>
            <w:tcMar>
              <w:top w:w="30" w:type="dxa"/>
              <w:left w:w="0" w:type="dxa"/>
              <w:bottom w:w="30" w:type="dxa"/>
              <w:right w:w="20" w:type="dxa"/>
            </w:tcMar>
            <w:vAlign w:val="bottom"/>
            <w:hideMark/>
          </w:tcPr>
          <w:p w14:paraId="693CDA95" w14:textId="77777777" w:rsidR="00000000" w:rsidRDefault="00EE5306">
            <w:pPr>
              <w:spacing w:after="100"/>
              <w:jc w:val="right"/>
              <w:rPr>
                <w:rFonts w:eastAsia="Times New Roman"/>
              </w:rPr>
            </w:pPr>
          </w:p>
        </w:tc>
      </w:tr>
      <w:tr w:rsidR="00000000" w14:paraId="231F2CAF" w14:textId="77777777">
        <w:trPr>
          <w:divId w:val="1561817937"/>
          <w:jc w:val="center"/>
        </w:trPr>
        <w:tc>
          <w:tcPr>
            <w:tcW w:w="0" w:type="auto"/>
            <w:gridSpan w:val="3"/>
            <w:shd w:val="clear" w:color="auto" w:fill="CCEEFF"/>
            <w:tcMar>
              <w:top w:w="30" w:type="dxa"/>
              <w:left w:w="380" w:type="dxa"/>
              <w:bottom w:w="30" w:type="dxa"/>
              <w:right w:w="20" w:type="dxa"/>
            </w:tcMar>
            <w:vAlign w:val="bottom"/>
            <w:hideMark/>
          </w:tcPr>
          <w:p w14:paraId="66181F77" w14:textId="77777777" w:rsidR="00000000" w:rsidRDefault="00EE530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467C1822"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B6AC84"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050776" w14:textId="77777777" w:rsidR="00000000" w:rsidRDefault="00EE5306">
            <w:pPr>
              <w:spacing w:after="100"/>
              <w:jc w:val="right"/>
              <w:rPr>
                <w:rFonts w:eastAsia="Times New Roman"/>
              </w:rPr>
            </w:pPr>
            <w:r>
              <w:rPr>
                <w:rFonts w:eastAsia="Times New Roman"/>
                <w:color w:val="000000"/>
                <w:sz w:val="20"/>
                <w:szCs w:val="20"/>
              </w:rPr>
              <w:t>1,992.4 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FC2CF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58CD8"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090C3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267A57" w14:textId="77777777" w:rsidR="00000000" w:rsidRDefault="00EE5306">
            <w:pPr>
              <w:spacing w:after="100"/>
              <w:jc w:val="right"/>
              <w:rPr>
                <w:rFonts w:eastAsia="Times New Roman"/>
              </w:rPr>
            </w:pPr>
            <w:r>
              <w:rPr>
                <w:rFonts w:eastAsia="Times New Roman"/>
                <w:color w:val="000000"/>
                <w:sz w:val="20"/>
                <w:szCs w:val="20"/>
              </w:rPr>
              <w:t>1,165.9 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3025B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38340"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6ED05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3B8C40" w14:textId="77777777" w:rsidR="00000000" w:rsidRDefault="00EE5306">
            <w:pPr>
              <w:spacing w:after="100"/>
              <w:jc w:val="right"/>
              <w:rPr>
                <w:rFonts w:eastAsia="Times New Roman"/>
              </w:rPr>
            </w:pPr>
            <w:r>
              <w:rPr>
                <w:rFonts w:eastAsia="Times New Roman"/>
                <w:color w:val="000000"/>
                <w:sz w:val="20"/>
                <w:szCs w:val="20"/>
              </w:rPr>
              <w:t>1,027.5 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80234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D64530"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293FF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86E3E7" w14:textId="77777777" w:rsidR="00000000" w:rsidRDefault="00EE5306">
            <w:pPr>
              <w:spacing w:after="100"/>
              <w:jc w:val="right"/>
              <w:rPr>
                <w:rFonts w:eastAsia="Times New Roman"/>
              </w:rPr>
            </w:pPr>
            <w:r>
              <w:rPr>
                <w:rFonts w:eastAsia="Times New Roman"/>
                <w:color w:val="000000"/>
                <w:sz w:val="20"/>
                <w:szCs w:val="20"/>
              </w:rPr>
              <w:t>215.0 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E20FB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22152"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451CF4"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74B880" w14:textId="77777777" w:rsidR="00000000" w:rsidRDefault="00EE5306">
            <w:pPr>
              <w:spacing w:after="100"/>
              <w:jc w:val="right"/>
              <w:rPr>
                <w:rFonts w:eastAsia="Times New Roman"/>
              </w:rPr>
            </w:pPr>
            <w:r>
              <w:rPr>
                <w:rFonts w:eastAsia="Times New Roman"/>
                <w:color w:val="000000"/>
                <w:sz w:val="20"/>
                <w:szCs w:val="20"/>
              </w:rPr>
              <w:t>4,400.8 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D6C3B8" w14:textId="77777777" w:rsidR="00000000" w:rsidRDefault="00EE5306">
            <w:pPr>
              <w:spacing w:after="100"/>
              <w:jc w:val="right"/>
              <w:rPr>
                <w:rFonts w:eastAsia="Times New Roman"/>
              </w:rPr>
            </w:pPr>
          </w:p>
        </w:tc>
      </w:tr>
    </w:tbl>
    <w:tbl>
      <w:tblPr>
        <w:tblW w:w="4773" w:type="pct"/>
        <w:jc w:val="center"/>
        <w:tblCellMar>
          <w:top w:w="15" w:type="dxa"/>
          <w:left w:w="15" w:type="dxa"/>
          <w:bottom w:w="15" w:type="dxa"/>
          <w:right w:w="15" w:type="dxa"/>
        </w:tblCellMar>
        <w:tblLook w:val="04A0" w:firstRow="1" w:lastRow="0" w:firstColumn="1" w:lastColumn="0" w:noHBand="0" w:noVBand="1"/>
      </w:tblPr>
      <w:tblGrid>
        <w:gridCol w:w="144"/>
        <w:gridCol w:w="2679"/>
        <w:gridCol w:w="144"/>
        <w:gridCol w:w="144"/>
        <w:gridCol w:w="144"/>
        <w:gridCol w:w="144"/>
        <w:gridCol w:w="144"/>
        <w:gridCol w:w="883"/>
        <w:gridCol w:w="144"/>
        <w:gridCol w:w="144"/>
        <w:gridCol w:w="144"/>
        <w:gridCol w:w="144"/>
        <w:gridCol w:w="144"/>
        <w:gridCol w:w="883"/>
        <w:gridCol w:w="144"/>
        <w:gridCol w:w="144"/>
        <w:gridCol w:w="144"/>
        <w:gridCol w:w="144"/>
        <w:gridCol w:w="144"/>
        <w:gridCol w:w="883"/>
        <w:gridCol w:w="144"/>
        <w:gridCol w:w="144"/>
        <w:gridCol w:w="144"/>
        <w:gridCol w:w="144"/>
        <w:gridCol w:w="144"/>
        <w:gridCol w:w="883"/>
        <w:gridCol w:w="144"/>
        <w:gridCol w:w="144"/>
        <w:gridCol w:w="144"/>
        <w:gridCol w:w="144"/>
        <w:gridCol w:w="144"/>
        <w:gridCol w:w="883"/>
        <w:gridCol w:w="144"/>
      </w:tblGrid>
      <w:tr w:rsidR="00000000" w14:paraId="3A60F2E0" w14:textId="77777777">
        <w:trPr>
          <w:jc w:val="center"/>
        </w:trPr>
        <w:tc>
          <w:tcPr>
            <w:tcW w:w="50" w:type="pct"/>
            <w:vAlign w:val="center"/>
            <w:hideMark/>
          </w:tcPr>
          <w:p w14:paraId="7E01E9F2" w14:textId="77777777" w:rsidR="00000000" w:rsidRDefault="00EE5306">
            <w:pPr>
              <w:ind w:firstLine="450"/>
              <w:jc w:val="center"/>
              <w:rPr>
                <w:rFonts w:eastAsia="Times New Roman"/>
              </w:rPr>
            </w:pPr>
          </w:p>
        </w:tc>
        <w:tc>
          <w:tcPr>
            <w:tcW w:w="1690" w:type="pct"/>
            <w:vAlign w:val="center"/>
            <w:hideMark/>
          </w:tcPr>
          <w:p w14:paraId="2A78E7D8" w14:textId="77777777" w:rsidR="00000000" w:rsidRDefault="00EE5306">
            <w:pPr>
              <w:spacing w:after="100"/>
              <w:rPr>
                <w:rFonts w:eastAsia="Times New Roman"/>
                <w:sz w:val="20"/>
                <w:szCs w:val="20"/>
              </w:rPr>
            </w:pPr>
          </w:p>
        </w:tc>
        <w:tc>
          <w:tcPr>
            <w:tcW w:w="5" w:type="pct"/>
            <w:vAlign w:val="center"/>
            <w:hideMark/>
          </w:tcPr>
          <w:p w14:paraId="7B6317EA" w14:textId="77777777" w:rsidR="00000000" w:rsidRDefault="00EE5306">
            <w:pPr>
              <w:spacing w:after="100"/>
              <w:rPr>
                <w:rFonts w:eastAsia="Times New Roman"/>
                <w:sz w:val="20"/>
                <w:szCs w:val="20"/>
              </w:rPr>
            </w:pPr>
          </w:p>
        </w:tc>
        <w:tc>
          <w:tcPr>
            <w:tcW w:w="5" w:type="pct"/>
            <w:vAlign w:val="center"/>
            <w:hideMark/>
          </w:tcPr>
          <w:p w14:paraId="23997308" w14:textId="77777777" w:rsidR="00000000" w:rsidRDefault="00EE5306">
            <w:pPr>
              <w:spacing w:after="100"/>
              <w:rPr>
                <w:rFonts w:eastAsia="Times New Roman"/>
                <w:sz w:val="20"/>
                <w:szCs w:val="20"/>
              </w:rPr>
            </w:pPr>
          </w:p>
        </w:tc>
        <w:tc>
          <w:tcPr>
            <w:tcW w:w="28" w:type="pct"/>
            <w:vAlign w:val="center"/>
            <w:hideMark/>
          </w:tcPr>
          <w:p w14:paraId="50DEB9AB" w14:textId="77777777" w:rsidR="00000000" w:rsidRDefault="00EE5306">
            <w:pPr>
              <w:spacing w:after="100"/>
              <w:rPr>
                <w:rFonts w:eastAsia="Times New Roman"/>
                <w:sz w:val="20"/>
                <w:szCs w:val="20"/>
              </w:rPr>
            </w:pPr>
          </w:p>
        </w:tc>
        <w:tc>
          <w:tcPr>
            <w:tcW w:w="5" w:type="pct"/>
            <w:vAlign w:val="center"/>
            <w:hideMark/>
          </w:tcPr>
          <w:p w14:paraId="0B85C511" w14:textId="77777777" w:rsidR="00000000" w:rsidRDefault="00EE5306">
            <w:pPr>
              <w:spacing w:after="100"/>
              <w:rPr>
                <w:rFonts w:eastAsia="Times New Roman"/>
                <w:sz w:val="20"/>
                <w:szCs w:val="20"/>
              </w:rPr>
            </w:pPr>
          </w:p>
        </w:tc>
        <w:tc>
          <w:tcPr>
            <w:tcW w:w="50" w:type="pct"/>
            <w:vAlign w:val="center"/>
            <w:hideMark/>
          </w:tcPr>
          <w:p w14:paraId="25E5DEE4" w14:textId="77777777" w:rsidR="00000000" w:rsidRDefault="00EE5306">
            <w:pPr>
              <w:spacing w:after="100"/>
              <w:rPr>
                <w:rFonts w:eastAsia="Times New Roman"/>
                <w:sz w:val="20"/>
                <w:szCs w:val="20"/>
              </w:rPr>
            </w:pPr>
          </w:p>
        </w:tc>
        <w:tc>
          <w:tcPr>
            <w:tcW w:w="557" w:type="pct"/>
            <w:vAlign w:val="center"/>
            <w:hideMark/>
          </w:tcPr>
          <w:p w14:paraId="7EA48FC4" w14:textId="77777777" w:rsidR="00000000" w:rsidRDefault="00EE5306">
            <w:pPr>
              <w:spacing w:after="100"/>
              <w:rPr>
                <w:rFonts w:eastAsia="Times New Roman"/>
                <w:sz w:val="20"/>
                <w:szCs w:val="20"/>
              </w:rPr>
            </w:pPr>
          </w:p>
        </w:tc>
        <w:tc>
          <w:tcPr>
            <w:tcW w:w="5" w:type="pct"/>
            <w:vAlign w:val="center"/>
            <w:hideMark/>
          </w:tcPr>
          <w:p w14:paraId="0A2C4239" w14:textId="77777777" w:rsidR="00000000" w:rsidRDefault="00EE5306">
            <w:pPr>
              <w:spacing w:after="100"/>
              <w:rPr>
                <w:rFonts w:eastAsia="Times New Roman"/>
                <w:sz w:val="20"/>
                <w:szCs w:val="20"/>
              </w:rPr>
            </w:pPr>
          </w:p>
        </w:tc>
        <w:tc>
          <w:tcPr>
            <w:tcW w:w="5" w:type="pct"/>
            <w:vAlign w:val="center"/>
            <w:hideMark/>
          </w:tcPr>
          <w:p w14:paraId="5EF54D76" w14:textId="77777777" w:rsidR="00000000" w:rsidRDefault="00EE5306">
            <w:pPr>
              <w:spacing w:after="100"/>
              <w:rPr>
                <w:rFonts w:eastAsia="Times New Roman"/>
                <w:sz w:val="20"/>
                <w:szCs w:val="20"/>
              </w:rPr>
            </w:pPr>
          </w:p>
        </w:tc>
        <w:tc>
          <w:tcPr>
            <w:tcW w:w="28" w:type="pct"/>
            <w:vAlign w:val="center"/>
            <w:hideMark/>
          </w:tcPr>
          <w:p w14:paraId="03A99006" w14:textId="77777777" w:rsidR="00000000" w:rsidRDefault="00EE5306">
            <w:pPr>
              <w:spacing w:after="100"/>
              <w:rPr>
                <w:rFonts w:eastAsia="Times New Roman"/>
                <w:sz w:val="20"/>
                <w:szCs w:val="20"/>
              </w:rPr>
            </w:pPr>
          </w:p>
        </w:tc>
        <w:tc>
          <w:tcPr>
            <w:tcW w:w="5" w:type="pct"/>
            <w:vAlign w:val="center"/>
            <w:hideMark/>
          </w:tcPr>
          <w:p w14:paraId="1B06D5BA" w14:textId="77777777" w:rsidR="00000000" w:rsidRDefault="00EE5306">
            <w:pPr>
              <w:spacing w:after="100"/>
              <w:rPr>
                <w:rFonts w:eastAsia="Times New Roman"/>
                <w:sz w:val="20"/>
                <w:szCs w:val="20"/>
              </w:rPr>
            </w:pPr>
          </w:p>
        </w:tc>
        <w:tc>
          <w:tcPr>
            <w:tcW w:w="50" w:type="pct"/>
            <w:vAlign w:val="center"/>
            <w:hideMark/>
          </w:tcPr>
          <w:p w14:paraId="7042061A" w14:textId="77777777" w:rsidR="00000000" w:rsidRDefault="00EE5306">
            <w:pPr>
              <w:spacing w:after="100"/>
              <w:rPr>
                <w:rFonts w:eastAsia="Times New Roman"/>
                <w:sz w:val="20"/>
                <w:szCs w:val="20"/>
              </w:rPr>
            </w:pPr>
          </w:p>
        </w:tc>
        <w:tc>
          <w:tcPr>
            <w:tcW w:w="557" w:type="pct"/>
            <w:vAlign w:val="center"/>
            <w:hideMark/>
          </w:tcPr>
          <w:p w14:paraId="2FF102DD" w14:textId="77777777" w:rsidR="00000000" w:rsidRDefault="00EE5306">
            <w:pPr>
              <w:spacing w:after="100"/>
              <w:rPr>
                <w:rFonts w:eastAsia="Times New Roman"/>
                <w:sz w:val="20"/>
                <w:szCs w:val="20"/>
              </w:rPr>
            </w:pPr>
          </w:p>
        </w:tc>
        <w:tc>
          <w:tcPr>
            <w:tcW w:w="5" w:type="pct"/>
            <w:vAlign w:val="center"/>
            <w:hideMark/>
          </w:tcPr>
          <w:p w14:paraId="4C07B605" w14:textId="77777777" w:rsidR="00000000" w:rsidRDefault="00EE5306">
            <w:pPr>
              <w:spacing w:after="100"/>
              <w:rPr>
                <w:rFonts w:eastAsia="Times New Roman"/>
                <w:sz w:val="20"/>
                <w:szCs w:val="20"/>
              </w:rPr>
            </w:pPr>
          </w:p>
        </w:tc>
        <w:tc>
          <w:tcPr>
            <w:tcW w:w="5" w:type="pct"/>
            <w:vAlign w:val="center"/>
            <w:hideMark/>
          </w:tcPr>
          <w:p w14:paraId="5EDEC092" w14:textId="77777777" w:rsidR="00000000" w:rsidRDefault="00EE5306">
            <w:pPr>
              <w:spacing w:after="100"/>
              <w:rPr>
                <w:rFonts w:eastAsia="Times New Roman"/>
                <w:sz w:val="20"/>
                <w:szCs w:val="20"/>
              </w:rPr>
            </w:pPr>
          </w:p>
        </w:tc>
        <w:tc>
          <w:tcPr>
            <w:tcW w:w="28" w:type="pct"/>
            <w:vAlign w:val="center"/>
            <w:hideMark/>
          </w:tcPr>
          <w:p w14:paraId="228E8A51" w14:textId="77777777" w:rsidR="00000000" w:rsidRDefault="00EE5306">
            <w:pPr>
              <w:spacing w:after="100"/>
              <w:rPr>
                <w:rFonts w:eastAsia="Times New Roman"/>
                <w:sz w:val="20"/>
                <w:szCs w:val="20"/>
              </w:rPr>
            </w:pPr>
          </w:p>
        </w:tc>
        <w:tc>
          <w:tcPr>
            <w:tcW w:w="5" w:type="pct"/>
            <w:vAlign w:val="center"/>
            <w:hideMark/>
          </w:tcPr>
          <w:p w14:paraId="515D00C5" w14:textId="77777777" w:rsidR="00000000" w:rsidRDefault="00EE5306">
            <w:pPr>
              <w:spacing w:after="100"/>
              <w:rPr>
                <w:rFonts w:eastAsia="Times New Roman"/>
                <w:sz w:val="20"/>
                <w:szCs w:val="20"/>
              </w:rPr>
            </w:pPr>
          </w:p>
        </w:tc>
        <w:tc>
          <w:tcPr>
            <w:tcW w:w="50" w:type="pct"/>
            <w:vAlign w:val="center"/>
            <w:hideMark/>
          </w:tcPr>
          <w:p w14:paraId="77F35A02" w14:textId="77777777" w:rsidR="00000000" w:rsidRDefault="00EE5306">
            <w:pPr>
              <w:spacing w:after="100"/>
              <w:rPr>
                <w:rFonts w:eastAsia="Times New Roman"/>
                <w:sz w:val="20"/>
                <w:szCs w:val="20"/>
              </w:rPr>
            </w:pPr>
          </w:p>
        </w:tc>
        <w:tc>
          <w:tcPr>
            <w:tcW w:w="557" w:type="pct"/>
            <w:vAlign w:val="center"/>
            <w:hideMark/>
          </w:tcPr>
          <w:p w14:paraId="4DD0F3C4" w14:textId="77777777" w:rsidR="00000000" w:rsidRDefault="00EE5306">
            <w:pPr>
              <w:spacing w:after="100"/>
              <w:rPr>
                <w:rFonts w:eastAsia="Times New Roman"/>
                <w:sz w:val="20"/>
                <w:szCs w:val="20"/>
              </w:rPr>
            </w:pPr>
          </w:p>
        </w:tc>
        <w:tc>
          <w:tcPr>
            <w:tcW w:w="5" w:type="pct"/>
            <w:vAlign w:val="center"/>
            <w:hideMark/>
          </w:tcPr>
          <w:p w14:paraId="6424758D" w14:textId="77777777" w:rsidR="00000000" w:rsidRDefault="00EE5306">
            <w:pPr>
              <w:spacing w:after="100"/>
              <w:rPr>
                <w:rFonts w:eastAsia="Times New Roman"/>
                <w:sz w:val="20"/>
                <w:szCs w:val="20"/>
              </w:rPr>
            </w:pPr>
          </w:p>
        </w:tc>
        <w:tc>
          <w:tcPr>
            <w:tcW w:w="5" w:type="pct"/>
            <w:vAlign w:val="center"/>
            <w:hideMark/>
          </w:tcPr>
          <w:p w14:paraId="65BE89C6" w14:textId="77777777" w:rsidR="00000000" w:rsidRDefault="00EE5306">
            <w:pPr>
              <w:spacing w:after="100"/>
              <w:rPr>
                <w:rFonts w:eastAsia="Times New Roman"/>
                <w:sz w:val="20"/>
                <w:szCs w:val="20"/>
              </w:rPr>
            </w:pPr>
          </w:p>
        </w:tc>
        <w:tc>
          <w:tcPr>
            <w:tcW w:w="28" w:type="pct"/>
            <w:vAlign w:val="center"/>
            <w:hideMark/>
          </w:tcPr>
          <w:p w14:paraId="59B84BD1" w14:textId="77777777" w:rsidR="00000000" w:rsidRDefault="00EE5306">
            <w:pPr>
              <w:spacing w:after="100"/>
              <w:rPr>
                <w:rFonts w:eastAsia="Times New Roman"/>
                <w:sz w:val="20"/>
                <w:szCs w:val="20"/>
              </w:rPr>
            </w:pPr>
          </w:p>
        </w:tc>
        <w:tc>
          <w:tcPr>
            <w:tcW w:w="5" w:type="pct"/>
            <w:vAlign w:val="center"/>
            <w:hideMark/>
          </w:tcPr>
          <w:p w14:paraId="0E41776E" w14:textId="77777777" w:rsidR="00000000" w:rsidRDefault="00EE5306">
            <w:pPr>
              <w:spacing w:after="100"/>
              <w:rPr>
                <w:rFonts w:eastAsia="Times New Roman"/>
                <w:sz w:val="20"/>
                <w:szCs w:val="20"/>
              </w:rPr>
            </w:pPr>
          </w:p>
        </w:tc>
        <w:tc>
          <w:tcPr>
            <w:tcW w:w="50" w:type="pct"/>
            <w:vAlign w:val="center"/>
            <w:hideMark/>
          </w:tcPr>
          <w:p w14:paraId="008F7D06" w14:textId="77777777" w:rsidR="00000000" w:rsidRDefault="00EE5306">
            <w:pPr>
              <w:spacing w:after="100"/>
              <w:rPr>
                <w:rFonts w:eastAsia="Times New Roman"/>
                <w:sz w:val="20"/>
                <w:szCs w:val="20"/>
              </w:rPr>
            </w:pPr>
          </w:p>
        </w:tc>
        <w:tc>
          <w:tcPr>
            <w:tcW w:w="557" w:type="pct"/>
            <w:vAlign w:val="center"/>
            <w:hideMark/>
          </w:tcPr>
          <w:p w14:paraId="1BBBFC4A" w14:textId="77777777" w:rsidR="00000000" w:rsidRDefault="00EE5306">
            <w:pPr>
              <w:spacing w:after="100"/>
              <w:rPr>
                <w:rFonts w:eastAsia="Times New Roman"/>
                <w:sz w:val="20"/>
                <w:szCs w:val="20"/>
              </w:rPr>
            </w:pPr>
          </w:p>
        </w:tc>
        <w:tc>
          <w:tcPr>
            <w:tcW w:w="5" w:type="pct"/>
            <w:vAlign w:val="center"/>
            <w:hideMark/>
          </w:tcPr>
          <w:p w14:paraId="15CA63B3" w14:textId="77777777" w:rsidR="00000000" w:rsidRDefault="00EE5306">
            <w:pPr>
              <w:spacing w:after="100"/>
              <w:rPr>
                <w:rFonts w:eastAsia="Times New Roman"/>
                <w:sz w:val="20"/>
                <w:szCs w:val="20"/>
              </w:rPr>
            </w:pPr>
          </w:p>
        </w:tc>
        <w:tc>
          <w:tcPr>
            <w:tcW w:w="5" w:type="pct"/>
            <w:vAlign w:val="center"/>
            <w:hideMark/>
          </w:tcPr>
          <w:p w14:paraId="105F8D94" w14:textId="77777777" w:rsidR="00000000" w:rsidRDefault="00EE5306">
            <w:pPr>
              <w:spacing w:after="100"/>
              <w:rPr>
                <w:rFonts w:eastAsia="Times New Roman"/>
                <w:sz w:val="20"/>
                <w:szCs w:val="20"/>
              </w:rPr>
            </w:pPr>
          </w:p>
        </w:tc>
        <w:tc>
          <w:tcPr>
            <w:tcW w:w="28" w:type="pct"/>
            <w:vAlign w:val="center"/>
            <w:hideMark/>
          </w:tcPr>
          <w:p w14:paraId="3CC723CC" w14:textId="77777777" w:rsidR="00000000" w:rsidRDefault="00EE5306">
            <w:pPr>
              <w:spacing w:after="100"/>
              <w:rPr>
                <w:rFonts w:eastAsia="Times New Roman"/>
                <w:sz w:val="20"/>
                <w:szCs w:val="20"/>
              </w:rPr>
            </w:pPr>
          </w:p>
        </w:tc>
        <w:tc>
          <w:tcPr>
            <w:tcW w:w="5" w:type="pct"/>
            <w:vAlign w:val="center"/>
            <w:hideMark/>
          </w:tcPr>
          <w:p w14:paraId="3EB50DB5" w14:textId="77777777" w:rsidR="00000000" w:rsidRDefault="00EE5306">
            <w:pPr>
              <w:spacing w:after="100"/>
              <w:rPr>
                <w:rFonts w:eastAsia="Times New Roman"/>
                <w:sz w:val="20"/>
                <w:szCs w:val="20"/>
              </w:rPr>
            </w:pPr>
          </w:p>
        </w:tc>
        <w:tc>
          <w:tcPr>
            <w:tcW w:w="50" w:type="pct"/>
            <w:vAlign w:val="center"/>
            <w:hideMark/>
          </w:tcPr>
          <w:p w14:paraId="42DBAA93" w14:textId="77777777" w:rsidR="00000000" w:rsidRDefault="00EE5306">
            <w:pPr>
              <w:spacing w:after="100"/>
              <w:rPr>
                <w:rFonts w:eastAsia="Times New Roman"/>
                <w:sz w:val="20"/>
                <w:szCs w:val="20"/>
              </w:rPr>
            </w:pPr>
          </w:p>
        </w:tc>
        <w:tc>
          <w:tcPr>
            <w:tcW w:w="557" w:type="pct"/>
            <w:vAlign w:val="center"/>
            <w:hideMark/>
          </w:tcPr>
          <w:p w14:paraId="002BB0BC" w14:textId="77777777" w:rsidR="00000000" w:rsidRDefault="00EE5306">
            <w:pPr>
              <w:spacing w:after="100"/>
              <w:rPr>
                <w:rFonts w:eastAsia="Times New Roman"/>
                <w:sz w:val="20"/>
                <w:szCs w:val="20"/>
              </w:rPr>
            </w:pPr>
          </w:p>
        </w:tc>
        <w:tc>
          <w:tcPr>
            <w:tcW w:w="5" w:type="pct"/>
            <w:vAlign w:val="center"/>
            <w:hideMark/>
          </w:tcPr>
          <w:p w14:paraId="2727BBEB" w14:textId="77777777" w:rsidR="00000000" w:rsidRDefault="00EE5306">
            <w:pPr>
              <w:spacing w:after="100"/>
              <w:rPr>
                <w:rFonts w:eastAsia="Times New Roman"/>
                <w:sz w:val="20"/>
                <w:szCs w:val="20"/>
              </w:rPr>
            </w:pPr>
          </w:p>
        </w:tc>
      </w:tr>
      <w:tr w:rsidR="00000000" w14:paraId="5FC19C08" w14:textId="77777777">
        <w:trPr>
          <w:jc w:val="center"/>
        </w:trPr>
        <w:tc>
          <w:tcPr>
            <w:tcW w:w="0" w:type="auto"/>
            <w:gridSpan w:val="3"/>
            <w:tcMar>
              <w:top w:w="0" w:type="dxa"/>
              <w:left w:w="20" w:type="dxa"/>
              <w:bottom w:w="0" w:type="dxa"/>
              <w:right w:w="20" w:type="dxa"/>
            </w:tcMar>
            <w:vAlign w:val="center"/>
            <w:hideMark/>
          </w:tcPr>
          <w:p w14:paraId="34524EB2"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A1DBE7" w14:textId="77777777" w:rsidR="00000000" w:rsidRDefault="00EE5306">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14:paraId="607E1391" w14:textId="77777777" w:rsidR="00000000" w:rsidRDefault="00EE5306">
            <w:pPr>
              <w:spacing w:after="100"/>
              <w:jc w:val="center"/>
              <w:rPr>
                <w:rFonts w:eastAsia="Times New Roman"/>
              </w:rPr>
            </w:pPr>
            <w:r>
              <w:rPr>
                <w:rFonts w:eastAsia="Times New Roman"/>
                <w:b/>
                <w:bCs/>
                <w:color w:val="000000"/>
                <w:sz w:val="16"/>
                <w:szCs w:val="16"/>
              </w:rPr>
              <w:t>Fiscal Year Ended</w:t>
            </w:r>
          </w:p>
        </w:tc>
      </w:tr>
      <w:tr w:rsidR="00000000" w14:paraId="75295F9B" w14:textId="77777777">
        <w:trPr>
          <w:jc w:val="center"/>
        </w:trPr>
        <w:tc>
          <w:tcPr>
            <w:tcW w:w="0" w:type="auto"/>
            <w:gridSpan w:val="3"/>
            <w:tcMar>
              <w:top w:w="0" w:type="dxa"/>
              <w:left w:w="20" w:type="dxa"/>
              <w:bottom w:w="0" w:type="dxa"/>
              <w:right w:w="20" w:type="dxa"/>
            </w:tcMar>
            <w:vAlign w:val="center"/>
            <w:hideMark/>
          </w:tcPr>
          <w:p w14:paraId="218BD080"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BCA8011" w14:textId="77777777" w:rsidR="00000000" w:rsidRDefault="00EE5306">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729FBD2D" w14:textId="77777777" w:rsidR="00000000" w:rsidRDefault="00EE5306">
            <w:pPr>
              <w:spacing w:after="100"/>
              <w:jc w:val="center"/>
              <w:rPr>
                <w:rFonts w:eastAsia="Times New Roman"/>
              </w:rPr>
            </w:pPr>
            <w:r>
              <w:rPr>
                <w:rFonts w:eastAsia="Times New Roman"/>
                <w:b/>
                <w:bCs/>
                <w:color w:val="000000"/>
                <w:sz w:val="16"/>
                <w:szCs w:val="16"/>
              </w:rPr>
              <w:t>March 28, 2020</w:t>
            </w:r>
          </w:p>
        </w:tc>
      </w:tr>
      <w:tr w:rsidR="00000000" w14:paraId="69F03284" w14:textId="77777777">
        <w:trPr>
          <w:jc w:val="center"/>
        </w:trPr>
        <w:tc>
          <w:tcPr>
            <w:tcW w:w="0" w:type="auto"/>
            <w:gridSpan w:val="3"/>
            <w:shd w:val="clear" w:color="auto" w:fill="FFFFFF"/>
            <w:tcMar>
              <w:top w:w="0" w:type="dxa"/>
              <w:left w:w="20" w:type="dxa"/>
              <w:bottom w:w="0" w:type="dxa"/>
              <w:right w:w="20" w:type="dxa"/>
            </w:tcMar>
            <w:vAlign w:val="center"/>
            <w:hideMark/>
          </w:tcPr>
          <w:p w14:paraId="4F45ABAD" w14:textId="77777777" w:rsidR="00000000" w:rsidRDefault="00EE5306">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7FB1E"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EC97D9E" w14:textId="77777777" w:rsidR="00000000" w:rsidRDefault="00EE5306">
            <w:pPr>
              <w:spacing w:after="100"/>
              <w:jc w:val="center"/>
              <w:rPr>
                <w:rFonts w:eastAsia="Times New Roman"/>
              </w:rPr>
            </w:pPr>
            <w:r>
              <w:rPr>
                <w:rFonts w:eastAsia="Times New Roman"/>
                <w:b/>
                <w:bCs/>
                <w:color w:val="000000"/>
                <w:sz w:val="16"/>
                <w:szCs w:val="16"/>
              </w:rPr>
              <w:t>North America</w:t>
            </w:r>
          </w:p>
        </w:tc>
        <w:tc>
          <w:tcPr>
            <w:tcW w:w="0" w:type="auto"/>
            <w:gridSpan w:val="3"/>
            <w:tcBorders>
              <w:top w:val="single" w:sz="8" w:space="0" w:color="000000"/>
            </w:tcBorders>
            <w:tcMar>
              <w:top w:w="0" w:type="dxa"/>
              <w:left w:w="20" w:type="dxa"/>
              <w:bottom w:w="0" w:type="dxa"/>
              <w:right w:w="20" w:type="dxa"/>
            </w:tcMar>
            <w:vAlign w:val="center"/>
            <w:hideMark/>
          </w:tcPr>
          <w:p w14:paraId="12E520C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B27D21A" w14:textId="77777777" w:rsidR="00000000" w:rsidRDefault="00EE5306">
            <w:pPr>
              <w:spacing w:after="100"/>
              <w:jc w:val="center"/>
              <w:rPr>
                <w:rFonts w:eastAsia="Times New Roman"/>
              </w:rPr>
            </w:pPr>
            <w:r>
              <w:rPr>
                <w:rFonts w:eastAsia="Times New Roman"/>
                <w:b/>
                <w:bCs/>
                <w:color w:val="000000"/>
                <w:sz w:val="16"/>
                <w:szCs w:val="16"/>
              </w:rPr>
              <w:t>Europe</w:t>
            </w:r>
          </w:p>
        </w:tc>
        <w:tc>
          <w:tcPr>
            <w:tcW w:w="0" w:type="auto"/>
            <w:gridSpan w:val="3"/>
            <w:tcBorders>
              <w:top w:val="single" w:sz="8" w:space="0" w:color="000000"/>
            </w:tcBorders>
            <w:tcMar>
              <w:top w:w="0" w:type="dxa"/>
              <w:left w:w="20" w:type="dxa"/>
              <w:bottom w:w="0" w:type="dxa"/>
              <w:right w:w="20" w:type="dxa"/>
            </w:tcMar>
            <w:vAlign w:val="center"/>
            <w:hideMark/>
          </w:tcPr>
          <w:p w14:paraId="41B41ECA"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60E023A" w14:textId="77777777" w:rsidR="00000000" w:rsidRDefault="00EE5306">
            <w:pPr>
              <w:spacing w:after="100"/>
              <w:jc w:val="center"/>
              <w:rPr>
                <w:rFonts w:eastAsia="Times New Roman"/>
              </w:rPr>
            </w:pPr>
            <w:r>
              <w:rPr>
                <w:rFonts w:eastAsia="Times New Roman"/>
                <w:b/>
                <w:bCs/>
                <w:color w:val="000000"/>
                <w:sz w:val="16"/>
                <w:szCs w:val="16"/>
              </w:rPr>
              <w:t>Asia</w:t>
            </w:r>
          </w:p>
        </w:tc>
        <w:tc>
          <w:tcPr>
            <w:tcW w:w="0" w:type="auto"/>
            <w:gridSpan w:val="3"/>
            <w:tcBorders>
              <w:top w:val="single" w:sz="8" w:space="0" w:color="000000"/>
            </w:tcBorders>
            <w:tcMar>
              <w:top w:w="0" w:type="dxa"/>
              <w:left w:w="20" w:type="dxa"/>
              <w:bottom w:w="0" w:type="dxa"/>
              <w:right w:w="20" w:type="dxa"/>
            </w:tcMar>
            <w:vAlign w:val="center"/>
            <w:hideMark/>
          </w:tcPr>
          <w:p w14:paraId="5278328D"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8383000" w14:textId="77777777" w:rsidR="00000000" w:rsidRDefault="00EE530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4E96559A"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85EDA78" w14:textId="77777777" w:rsidR="00000000" w:rsidRDefault="00EE5306">
            <w:pPr>
              <w:spacing w:after="100"/>
              <w:jc w:val="center"/>
              <w:rPr>
                <w:rFonts w:eastAsia="Times New Roman"/>
              </w:rPr>
            </w:pPr>
            <w:r>
              <w:rPr>
                <w:rFonts w:eastAsia="Times New Roman"/>
                <w:b/>
                <w:bCs/>
                <w:color w:val="000000"/>
                <w:sz w:val="16"/>
                <w:szCs w:val="16"/>
              </w:rPr>
              <w:t>Total</w:t>
            </w:r>
          </w:p>
        </w:tc>
      </w:tr>
      <w:tr w:rsidR="00000000" w14:paraId="278466E6" w14:textId="77777777">
        <w:trPr>
          <w:jc w:val="center"/>
        </w:trPr>
        <w:tc>
          <w:tcPr>
            <w:tcW w:w="0" w:type="auto"/>
            <w:gridSpan w:val="3"/>
            <w:tcMar>
              <w:top w:w="0" w:type="dxa"/>
              <w:left w:w="20" w:type="dxa"/>
              <w:bottom w:w="0" w:type="dxa"/>
              <w:right w:w="20" w:type="dxa"/>
            </w:tcMar>
            <w:vAlign w:val="center"/>
            <w:hideMark/>
          </w:tcPr>
          <w:p w14:paraId="3ECED4C9"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FC5ECE7" w14:textId="77777777" w:rsidR="00000000" w:rsidRDefault="00EE5306">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071E1125"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7DD989C3" w14:textId="77777777">
        <w:trPr>
          <w:jc w:val="center"/>
        </w:trPr>
        <w:tc>
          <w:tcPr>
            <w:tcW w:w="0" w:type="auto"/>
            <w:gridSpan w:val="3"/>
            <w:shd w:val="clear" w:color="auto" w:fill="CCEEFF"/>
            <w:tcMar>
              <w:top w:w="30" w:type="dxa"/>
              <w:left w:w="20" w:type="dxa"/>
              <w:bottom w:w="30" w:type="dxa"/>
              <w:right w:w="20" w:type="dxa"/>
            </w:tcMar>
            <w:vAlign w:val="bottom"/>
            <w:hideMark/>
          </w:tcPr>
          <w:p w14:paraId="1D6C50B6" w14:textId="77777777" w:rsidR="00000000" w:rsidRDefault="00EE5306">
            <w:pPr>
              <w:spacing w:after="100"/>
              <w:divId w:val="483011827"/>
              <w:rPr>
                <w:rFonts w:eastAsia="Times New Roman"/>
              </w:rPr>
            </w:pPr>
            <w:r>
              <w:rPr>
                <w:rFonts w:eastAsia="Times New Roman"/>
                <w:b/>
                <w:bCs/>
                <w:color w:val="000000"/>
                <w:sz w:val="20"/>
                <w:szCs w:val="20"/>
              </w:rPr>
              <w:t>Sales Channe</w:t>
            </w:r>
            <w:r>
              <w:rPr>
                <w:rFonts w:eastAsia="Times New Roman"/>
                <w:b/>
                <w:bCs/>
                <w:color w:val="000000"/>
                <w:sz w:val="20"/>
                <w:szCs w:val="20"/>
              </w:rPr>
              <w:t>l</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F6110B6"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AF19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A398D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2AEED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1937D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804AD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C3C6C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AD0A9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7B53D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4B2510" w14:textId="77777777" w:rsidR="00000000" w:rsidRDefault="00EE5306">
            <w:pPr>
              <w:spacing w:after="100"/>
              <w:rPr>
                <w:rFonts w:eastAsia="Times New Roman"/>
                <w:sz w:val="20"/>
                <w:szCs w:val="20"/>
              </w:rPr>
            </w:pPr>
          </w:p>
        </w:tc>
      </w:tr>
      <w:tr w:rsidR="00000000" w14:paraId="732139F4" w14:textId="77777777">
        <w:trPr>
          <w:jc w:val="center"/>
        </w:trPr>
        <w:tc>
          <w:tcPr>
            <w:tcW w:w="0" w:type="auto"/>
            <w:gridSpan w:val="3"/>
            <w:shd w:val="clear" w:color="auto" w:fill="FFFFFF"/>
            <w:tcMar>
              <w:top w:w="30" w:type="dxa"/>
              <w:left w:w="155" w:type="dxa"/>
              <w:bottom w:w="30" w:type="dxa"/>
              <w:right w:w="20" w:type="dxa"/>
            </w:tcMar>
            <w:vAlign w:val="bottom"/>
            <w:hideMark/>
          </w:tcPr>
          <w:p w14:paraId="1D86EB76" w14:textId="77777777" w:rsidR="00000000" w:rsidRDefault="00EE5306">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14:paraId="5C03DDD0"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B616D8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B2816C" w14:textId="77777777" w:rsidR="00000000" w:rsidRDefault="00EE5306">
            <w:pPr>
              <w:spacing w:after="100"/>
              <w:jc w:val="right"/>
              <w:rPr>
                <w:rFonts w:eastAsia="Times New Roman"/>
              </w:rPr>
            </w:pPr>
            <w:r>
              <w:rPr>
                <w:rFonts w:eastAsia="Times New Roman"/>
                <w:color w:val="000000"/>
                <w:sz w:val="20"/>
                <w:szCs w:val="20"/>
              </w:rPr>
              <w:t>1,727.3 </w:t>
            </w:r>
          </w:p>
        </w:tc>
        <w:tc>
          <w:tcPr>
            <w:tcW w:w="0" w:type="auto"/>
            <w:shd w:val="clear" w:color="auto" w:fill="FFFFFF"/>
            <w:tcMar>
              <w:top w:w="30" w:type="dxa"/>
              <w:left w:w="0" w:type="dxa"/>
              <w:bottom w:w="30" w:type="dxa"/>
              <w:right w:w="20" w:type="dxa"/>
            </w:tcMar>
            <w:vAlign w:val="bottom"/>
            <w:hideMark/>
          </w:tcPr>
          <w:p w14:paraId="721BCF5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F3FC3"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6DE40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D08467" w14:textId="77777777" w:rsidR="00000000" w:rsidRDefault="00EE5306">
            <w:pPr>
              <w:spacing w:after="100"/>
              <w:jc w:val="right"/>
              <w:rPr>
                <w:rFonts w:eastAsia="Times New Roman"/>
              </w:rPr>
            </w:pPr>
            <w:r>
              <w:rPr>
                <w:rFonts w:eastAsia="Times New Roman"/>
                <w:color w:val="000000"/>
                <w:sz w:val="20"/>
                <w:szCs w:val="20"/>
              </w:rPr>
              <w:t>874.6 </w:t>
            </w:r>
          </w:p>
        </w:tc>
        <w:tc>
          <w:tcPr>
            <w:tcW w:w="0" w:type="auto"/>
            <w:shd w:val="clear" w:color="auto" w:fill="FFFFFF"/>
            <w:tcMar>
              <w:top w:w="30" w:type="dxa"/>
              <w:left w:w="0" w:type="dxa"/>
              <w:bottom w:w="30" w:type="dxa"/>
              <w:right w:w="20" w:type="dxa"/>
            </w:tcMar>
            <w:vAlign w:val="bottom"/>
            <w:hideMark/>
          </w:tcPr>
          <w:p w14:paraId="2C744A4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30839"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6F388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D8EB10" w14:textId="77777777" w:rsidR="00000000" w:rsidRDefault="00EE5306">
            <w:pPr>
              <w:spacing w:after="100"/>
              <w:jc w:val="right"/>
              <w:rPr>
                <w:rFonts w:eastAsia="Times New Roman"/>
              </w:rPr>
            </w:pPr>
            <w:r>
              <w:rPr>
                <w:rFonts w:eastAsia="Times New Roman"/>
                <w:color w:val="000000"/>
                <w:sz w:val="20"/>
                <w:szCs w:val="20"/>
              </w:rPr>
              <w:t>948.0 </w:t>
            </w:r>
          </w:p>
        </w:tc>
        <w:tc>
          <w:tcPr>
            <w:tcW w:w="0" w:type="auto"/>
            <w:shd w:val="clear" w:color="auto" w:fill="FFFFFF"/>
            <w:tcMar>
              <w:top w:w="30" w:type="dxa"/>
              <w:left w:w="0" w:type="dxa"/>
              <w:bottom w:w="30" w:type="dxa"/>
              <w:right w:w="20" w:type="dxa"/>
            </w:tcMar>
            <w:vAlign w:val="bottom"/>
            <w:hideMark/>
          </w:tcPr>
          <w:p w14:paraId="2DBE91F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F37FAA"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754DA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3223DD" w14:textId="77777777" w:rsidR="00000000" w:rsidRDefault="00EE5306">
            <w:pPr>
              <w:spacing w:after="100"/>
              <w:jc w:val="right"/>
              <w:rPr>
                <w:rFonts w:eastAsia="Times New Roman"/>
              </w:rPr>
            </w:pPr>
            <w:r>
              <w:rPr>
                <w:rFonts w:eastAsia="Times New Roman"/>
                <w:color w:val="000000"/>
                <w:sz w:val="20"/>
                <w:szCs w:val="20"/>
              </w:rPr>
              <w:t>191.0 </w:t>
            </w:r>
          </w:p>
        </w:tc>
        <w:tc>
          <w:tcPr>
            <w:tcW w:w="0" w:type="auto"/>
            <w:shd w:val="clear" w:color="auto" w:fill="FFFFFF"/>
            <w:tcMar>
              <w:top w:w="30" w:type="dxa"/>
              <w:left w:w="0" w:type="dxa"/>
              <w:bottom w:w="30" w:type="dxa"/>
              <w:right w:w="20" w:type="dxa"/>
            </w:tcMar>
            <w:vAlign w:val="bottom"/>
            <w:hideMark/>
          </w:tcPr>
          <w:p w14:paraId="1396DEB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A7E54"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FD155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276BC3" w14:textId="77777777" w:rsidR="00000000" w:rsidRDefault="00EE5306">
            <w:pPr>
              <w:spacing w:after="100"/>
              <w:jc w:val="right"/>
              <w:rPr>
                <w:rFonts w:eastAsia="Times New Roman"/>
              </w:rPr>
            </w:pPr>
            <w:r>
              <w:rPr>
                <w:rFonts w:eastAsia="Times New Roman"/>
                <w:color w:val="000000"/>
                <w:sz w:val="20"/>
                <w:szCs w:val="20"/>
              </w:rPr>
              <w:t>3,740.9 </w:t>
            </w:r>
          </w:p>
        </w:tc>
        <w:tc>
          <w:tcPr>
            <w:tcW w:w="0" w:type="auto"/>
            <w:shd w:val="clear" w:color="auto" w:fill="FFFFFF"/>
            <w:tcMar>
              <w:top w:w="30" w:type="dxa"/>
              <w:left w:w="0" w:type="dxa"/>
              <w:bottom w:w="30" w:type="dxa"/>
              <w:right w:w="20" w:type="dxa"/>
            </w:tcMar>
            <w:vAlign w:val="bottom"/>
            <w:hideMark/>
          </w:tcPr>
          <w:p w14:paraId="2A5DFF8B" w14:textId="77777777" w:rsidR="00000000" w:rsidRDefault="00EE5306">
            <w:pPr>
              <w:spacing w:after="100"/>
              <w:jc w:val="right"/>
              <w:rPr>
                <w:rFonts w:eastAsia="Times New Roman"/>
              </w:rPr>
            </w:pPr>
          </w:p>
        </w:tc>
      </w:tr>
      <w:tr w:rsidR="00000000" w14:paraId="0C0A2572" w14:textId="77777777">
        <w:trPr>
          <w:jc w:val="center"/>
        </w:trPr>
        <w:tc>
          <w:tcPr>
            <w:tcW w:w="0" w:type="auto"/>
            <w:gridSpan w:val="3"/>
            <w:shd w:val="clear" w:color="auto" w:fill="CCEEFF"/>
            <w:tcMar>
              <w:top w:w="30" w:type="dxa"/>
              <w:left w:w="155" w:type="dxa"/>
              <w:bottom w:w="30" w:type="dxa"/>
              <w:right w:w="20" w:type="dxa"/>
            </w:tcMar>
            <w:vAlign w:val="bottom"/>
            <w:hideMark/>
          </w:tcPr>
          <w:p w14:paraId="5CB94A43" w14:textId="77777777" w:rsidR="00000000" w:rsidRDefault="00EE5306">
            <w:pPr>
              <w:spacing w:after="100"/>
              <w:rPr>
                <w:rFonts w:eastAsia="Times New Roman"/>
              </w:rPr>
            </w:pPr>
            <w:r>
              <w:rPr>
                <w:rFonts w:eastAsia="Times New Roman"/>
                <w:color w:val="000000"/>
                <w:sz w:val="20"/>
                <w:szCs w:val="20"/>
              </w:rPr>
              <w:t>Wholesale</w:t>
            </w:r>
          </w:p>
        </w:tc>
        <w:tc>
          <w:tcPr>
            <w:tcW w:w="0" w:type="auto"/>
            <w:gridSpan w:val="3"/>
            <w:shd w:val="clear" w:color="auto" w:fill="CCEEFF"/>
            <w:tcMar>
              <w:top w:w="0" w:type="dxa"/>
              <w:left w:w="20" w:type="dxa"/>
              <w:bottom w:w="0" w:type="dxa"/>
              <w:right w:w="20" w:type="dxa"/>
            </w:tcMar>
            <w:vAlign w:val="center"/>
            <w:hideMark/>
          </w:tcPr>
          <w:p w14:paraId="4B62D9A9"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4502C2" w14:textId="77777777" w:rsidR="00000000" w:rsidRDefault="00EE5306">
            <w:pPr>
              <w:spacing w:after="100"/>
              <w:jc w:val="right"/>
              <w:rPr>
                <w:rFonts w:eastAsia="Times New Roman"/>
              </w:rPr>
            </w:pPr>
            <w:r>
              <w:rPr>
                <w:rFonts w:eastAsia="Times New Roman"/>
                <w:color w:val="000000"/>
                <w:sz w:val="20"/>
                <w:szCs w:val="20"/>
              </w:rPr>
              <w:t>1,413.2 </w:t>
            </w:r>
          </w:p>
        </w:tc>
        <w:tc>
          <w:tcPr>
            <w:tcW w:w="0" w:type="auto"/>
            <w:shd w:val="clear" w:color="auto" w:fill="CCEEFF"/>
            <w:tcMar>
              <w:top w:w="30" w:type="dxa"/>
              <w:left w:w="0" w:type="dxa"/>
              <w:bottom w:w="30" w:type="dxa"/>
              <w:right w:w="20" w:type="dxa"/>
            </w:tcMar>
            <w:vAlign w:val="bottom"/>
            <w:hideMark/>
          </w:tcPr>
          <w:p w14:paraId="3487A89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A7F3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CF5831" w14:textId="77777777" w:rsidR="00000000" w:rsidRDefault="00EE5306">
            <w:pPr>
              <w:spacing w:after="100"/>
              <w:jc w:val="right"/>
              <w:rPr>
                <w:rFonts w:eastAsia="Times New Roman"/>
              </w:rPr>
            </w:pPr>
            <w:r>
              <w:rPr>
                <w:rFonts w:eastAsia="Times New Roman"/>
                <w:color w:val="000000"/>
                <w:sz w:val="20"/>
                <w:szCs w:val="20"/>
              </w:rPr>
              <w:t>757.6 </w:t>
            </w:r>
          </w:p>
        </w:tc>
        <w:tc>
          <w:tcPr>
            <w:tcW w:w="0" w:type="auto"/>
            <w:shd w:val="clear" w:color="auto" w:fill="CCEEFF"/>
            <w:tcMar>
              <w:top w:w="30" w:type="dxa"/>
              <w:left w:w="0" w:type="dxa"/>
              <w:bottom w:w="30" w:type="dxa"/>
              <w:right w:w="20" w:type="dxa"/>
            </w:tcMar>
            <w:vAlign w:val="bottom"/>
            <w:hideMark/>
          </w:tcPr>
          <w:p w14:paraId="1A77294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6EAE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1E4130" w14:textId="77777777" w:rsidR="00000000" w:rsidRDefault="00EE5306">
            <w:pPr>
              <w:spacing w:after="100"/>
              <w:jc w:val="right"/>
              <w:rPr>
                <w:rFonts w:eastAsia="Times New Roman"/>
              </w:rPr>
            </w:pPr>
            <w:r>
              <w:rPr>
                <w:rFonts w:eastAsia="Times New Roman"/>
                <w:color w:val="000000"/>
                <w:sz w:val="20"/>
                <w:szCs w:val="20"/>
              </w:rPr>
              <w:t>69.2 </w:t>
            </w:r>
          </w:p>
        </w:tc>
        <w:tc>
          <w:tcPr>
            <w:tcW w:w="0" w:type="auto"/>
            <w:shd w:val="clear" w:color="auto" w:fill="CCEEFF"/>
            <w:tcMar>
              <w:top w:w="30" w:type="dxa"/>
              <w:left w:w="0" w:type="dxa"/>
              <w:bottom w:w="30" w:type="dxa"/>
              <w:right w:w="20" w:type="dxa"/>
            </w:tcMar>
            <w:vAlign w:val="bottom"/>
            <w:hideMark/>
          </w:tcPr>
          <w:p w14:paraId="64B79AC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A14B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BAA34C" w14:textId="77777777" w:rsidR="00000000" w:rsidRDefault="00EE5306">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14:paraId="7E17988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4B31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984177" w14:textId="77777777" w:rsidR="00000000" w:rsidRDefault="00EE5306">
            <w:pPr>
              <w:spacing w:after="100"/>
              <w:jc w:val="right"/>
              <w:rPr>
                <w:rFonts w:eastAsia="Times New Roman"/>
              </w:rPr>
            </w:pPr>
            <w:r>
              <w:rPr>
                <w:rFonts w:eastAsia="Times New Roman"/>
                <w:color w:val="000000"/>
                <w:sz w:val="20"/>
                <w:szCs w:val="20"/>
              </w:rPr>
              <w:t>2,250.8 </w:t>
            </w:r>
          </w:p>
        </w:tc>
        <w:tc>
          <w:tcPr>
            <w:tcW w:w="0" w:type="auto"/>
            <w:shd w:val="clear" w:color="auto" w:fill="CCEEFF"/>
            <w:tcMar>
              <w:top w:w="30" w:type="dxa"/>
              <w:left w:w="0" w:type="dxa"/>
              <w:bottom w:w="30" w:type="dxa"/>
              <w:right w:w="20" w:type="dxa"/>
            </w:tcMar>
            <w:vAlign w:val="bottom"/>
            <w:hideMark/>
          </w:tcPr>
          <w:p w14:paraId="34145B95" w14:textId="77777777" w:rsidR="00000000" w:rsidRDefault="00EE5306">
            <w:pPr>
              <w:spacing w:after="100"/>
              <w:jc w:val="right"/>
              <w:rPr>
                <w:rFonts w:eastAsia="Times New Roman"/>
              </w:rPr>
            </w:pPr>
          </w:p>
        </w:tc>
      </w:tr>
      <w:tr w:rsidR="00000000" w14:paraId="68444B07" w14:textId="77777777">
        <w:trPr>
          <w:jc w:val="center"/>
        </w:trPr>
        <w:tc>
          <w:tcPr>
            <w:tcW w:w="0" w:type="auto"/>
            <w:gridSpan w:val="3"/>
            <w:shd w:val="clear" w:color="auto" w:fill="FFFFFF"/>
            <w:tcMar>
              <w:top w:w="30" w:type="dxa"/>
              <w:left w:w="155" w:type="dxa"/>
              <w:bottom w:w="30" w:type="dxa"/>
              <w:right w:w="20" w:type="dxa"/>
            </w:tcMar>
            <w:vAlign w:val="bottom"/>
            <w:hideMark/>
          </w:tcPr>
          <w:p w14:paraId="7C4B305F" w14:textId="77777777" w:rsidR="00000000" w:rsidRDefault="00EE5306">
            <w:pPr>
              <w:spacing w:after="100"/>
              <w:rPr>
                <w:rFonts w:eastAsia="Times New Roman"/>
              </w:rPr>
            </w:pPr>
            <w:r>
              <w:rPr>
                <w:rFonts w:eastAsia="Times New Roman"/>
                <w:color w:val="000000"/>
                <w:sz w:val="20"/>
                <w:szCs w:val="20"/>
              </w:rPr>
              <w:t>Licensing</w:t>
            </w:r>
          </w:p>
        </w:tc>
        <w:tc>
          <w:tcPr>
            <w:tcW w:w="0" w:type="auto"/>
            <w:gridSpan w:val="3"/>
            <w:shd w:val="clear" w:color="auto" w:fill="FFFFFF"/>
            <w:tcMar>
              <w:top w:w="0" w:type="dxa"/>
              <w:left w:w="20" w:type="dxa"/>
              <w:bottom w:w="0" w:type="dxa"/>
              <w:right w:w="20" w:type="dxa"/>
            </w:tcMar>
            <w:vAlign w:val="center"/>
            <w:hideMark/>
          </w:tcPr>
          <w:p w14:paraId="6B8BA1E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CFCCD9"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F2933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7BFB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53860E"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4AC37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99A2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DB8F8C"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1EF5B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4E05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E05828" w14:textId="77777777" w:rsidR="00000000" w:rsidRDefault="00EE5306">
            <w:pPr>
              <w:spacing w:after="100"/>
              <w:jc w:val="right"/>
              <w:rPr>
                <w:rFonts w:eastAsia="Times New Roman"/>
              </w:rPr>
            </w:pPr>
            <w:r>
              <w:rPr>
                <w:rFonts w:eastAsia="Times New Roman"/>
                <w:color w:val="000000"/>
                <w:sz w:val="20"/>
                <w:szCs w:val="20"/>
              </w:rPr>
              <w:t>168.1 </w:t>
            </w:r>
          </w:p>
        </w:tc>
        <w:tc>
          <w:tcPr>
            <w:tcW w:w="0" w:type="auto"/>
            <w:shd w:val="clear" w:color="auto" w:fill="FFFFFF"/>
            <w:tcMar>
              <w:top w:w="30" w:type="dxa"/>
              <w:left w:w="0" w:type="dxa"/>
              <w:bottom w:w="30" w:type="dxa"/>
              <w:right w:w="20" w:type="dxa"/>
            </w:tcMar>
            <w:vAlign w:val="bottom"/>
            <w:hideMark/>
          </w:tcPr>
          <w:p w14:paraId="2BA2C07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F399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1199A5" w14:textId="77777777" w:rsidR="00000000" w:rsidRDefault="00EE5306">
            <w:pPr>
              <w:spacing w:after="100"/>
              <w:jc w:val="right"/>
              <w:rPr>
                <w:rFonts w:eastAsia="Times New Roman"/>
              </w:rPr>
            </w:pPr>
            <w:r>
              <w:rPr>
                <w:rFonts w:eastAsia="Times New Roman"/>
                <w:color w:val="000000"/>
                <w:sz w:val="20"/>
                <w:szCs w:val="20"/>
              </w:rPr>
              <w:t>168.1 </w:t>
            </w:r>
          </w:p>
        </w:tc>
        <w:tc>
          <w:tcPr>
            <w:tcW w:w="0" w:type="auto"/>
            <w:shd w:val="clear" w:color="auto" w:fill="FFFFFF"/>
            <w:tcMar>
              <w:top w:w="30" w:type="dxa"/>
              <w:left w:w="0" w:type="dxa"/>
              <w:bottom w:w="30" w:type="dxa"/>
              <w:right w:w="20" w:type="dxa"/>
            </w:tcMar>
            <w:vAlign w:val="bottom"/>
            <w:hideMark/>
          </w:tcPr>
          <w:p w14:paraId="5A401A78" w14:textId="77777777" w:rsidR="00000000" w:rsidRDefault="00EE5306">
            <w:pPr>
              <w:spacing w:after="100"/>
              <w:jc w:val="right"/>
              <w:rPr>
                <w:rFonts w:eastAsia="Times New Roman"/>
              </w:rPr>
            </w:pPr>
          </w:p>
        </w:tc>
      </w:tr>
      <w:tr w:rsidR="00000000" w14:paraId="7E7475F0" w14:textId="77777777">
        <w:trPr>
          <w:jc w:val="center"/>
        </w:trPr>
        <w:tc>
          <w:tcPr>
            <w:tcW w:w="0" w:type="auto"/>
            <w:gridSpan w:val="3"/>
            <w:shd w:val="clear" w:color="auto" w:fill="CCEEFF"/>
            <w:tcMar>
              <w:top w:w="30" w:type="dxa"/>
              <w:left w:w="380" w:type="dxa"/>
              <w:bottom w:w="30" w:type="dxa"/>
              <w:right w:w="20" w:type="dxa"/>
            </w:tcMar>
            <w:vAlign w:val="bottom"/>
            <w:hideMark/>
          </w:tcPr>
          <w:p w14:paraId="1EFF38CA" w14:textId="77777777" w:rsidR="00000000" w:rsidRDefault="00EE530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403270C7"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1D628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58AB09" w14:textId="77777777" w:rsidR="00000000" w:rsidRDefault="00EE5306">
            <w:pPr>
              <w:spacing w:after="100"/>
              <w:jc w:val="right"/>
              <w:rPr>
                <w:rFonts w:eastAsia="Times New Roman"/>
              </w:rPr>
            </w:pPr>
            <w:r>
              <w:rPr>
                <w:rFonts w:eastAsia="Times New Roman"/>
                <w:color w:val="000000"/>
                <w:sz w:val="20"/>
                <w:szCs w:val="20"/>
              </w:rPr>
              <w:t>3,140.5 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A6264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17397F"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05B6D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436F87" w14:textId="77777777" w:rsidR="00000000" w:rsidRDefault="00EE5306">
            <w:pPr>
              <w:spacing w:after="100"/>
              <w:jc w:val="right"/>
              <w:rPr>
                <w:rFonts w:eastAsia="Times New Roman"/>
              </w:rPr>
            </w:pPr>
            <w:r>
              <w:rPr>
                <w:rFonts w:eastAsia="Times New Roman"/>
                <w:color w:val="000000"/>
                <w:sz w:val="20"/>
                <w:szCs w:val="20"/>
              </w:rPr>
              <w:t>1,632.2 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1A74B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BA4D0"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EE725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A63978" w14:textId="77777777" w:rsidR="00000000" w:rsidRDefault="00EE5306">
            <w:pPr>
              <w:spacing w:after="100"/>
              <w:jc w:val="right"/>
              <w:rPr>
                <w:rFonts w:eastAsia="Times New Roman"/>
              </w:rPr>
            </w:pPr>
            <w:r>
              <w:rPr>
                <w:rFonts w:eastAsia="Times New Roman"/>
                <w:color w:val="000000"/>
                <w:sz w:val="20"/>
                <w:szCs w:val="20"/>
              </w:rPr>
              <w:t>1,017.2 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F788B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478F9"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E1AD8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CB731B" w14:textId="77777777" w:rsidR="00000000" w:rsidRDefault="00EE5306">
            <w:pPr>
              <w:spacing w:after="100"/>
              <w:jc w:val="right"/>
              <w:rPr>
                <w:rFonts w:eastAsia="Times New Roman"/>
              </w:rPr>
            </w:pPr>
            <w:r>
              <w:rPr>
                <w:rFonts w:eastAsia="Times New Roman"/>
                <w:color w:val="000000"/>
                <w:sz w:val="20"/>
                <w:szCs w:val="20"/>
              </w:rPr>
              <w:t>369.9 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0BA2D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29EEC"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47798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0E4047" w14:textId="77777777" w:rsidR="00000000" w:rsidRDefault="00EE5306">
            <w:pPr>
              <w:spacing w:after="100"/>
              <w:jc w:val="right"/>
              <w:rPr>
                <w:rFonts w:eastAsia="Times New Roman"/>
              </w:rPr>
            </w:pPr>
            <w:r>
              <w:rPr>
                <w:rFonts w:eastAsia="Times New Roman"/>
                <w:color w:val="000000"/>
                <w:sz w:val="20"/>
                <w:szCs w:val="20"/>
              </w:rPr>
              <w:t>6,159.8 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C4D6E2" w14:textId="77777777" w:rsidR="00000000" w:rsidRDefault="00EE5306">
            <w:pPr>
              <w:spacing w:after="100"/>
              <w:jc w:val="right"/>
              <w:rPr>
                <w:rFonts w:eastAsia="Times New Roman"/>
              </w:rPr>
            </w:pPr>
          </w:p>
        </w:tc>
      </w:tr>
    </w:tbl>
    <w:p w14:paraId="54DD7039" w14:textId="77777777" w:rsidR="00000000" w:rsidRDefault="00EE5306">
      <w:pPr>
        <w:jc w:val="center"/>
        <w:divId w:val="921991328"/>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72FB4B21" w14:textId="77777777">
        <w:trPr>
          <w:divId w:val="921991328"/>
          <w:jc w:val="center"/>
        </w:trPr>
        <w:tc>
          <w:tcPr>
            <w:tcW w:w="50" w:type="pct"/>
            <w:vAlign w:val="center"/>
            <w:hideMark/>
          </w:tcPr>
          <w:p w14:paraId="4E27143F" w14:textId="77777777" w:rsidR="00000000" w:rsidRDefault="00EE5306">
            <w:pPr>
              <w:ind w:firstLine="450"/>
              <w:jc w:val="center"/>
              <w:rPr>
                <w:rFonts w:eastAsia="Times New Roman"/>
              </w:rPr>
            </w:pPr>
          </w:p>
        </w:tc>
        <w:tc>
          <w:tcPr>
            <w:tcW w:w="1699" w:type="pct"/>
            <w:vAlign w:val="center"/>
            <w:hideMark/>
          </w:tcPr>
          <w:p w14:paraId="4C40910C" w14:textId="77777777" w:rsidR="00000000" w:rsidRDefault="00EE5306">
            <w:pPr>
              <w:spacing w:after="100"/>
              <w:rPr>
                <w:rFonts w:eastAsia="Times New Roman"/>
                <w:sz w:val="20"/>
                <w:szCs w:val="20"/>
              </w:rPr>
            </w:pPr>
          </w:p>
        </w:tc>
        <w:tc>
          <w:tcPr>
            <w:tcW w:w="5" w:type="pct"/>
            <w:vAlign w:val="center"/>
            <w:hideMark/>
          </w:tcPr>
          <w:p w14:paraId="6409633B" w14:textId="77777777" w:rsidR="00000000" w:rsidRDefault="00EE5306">
            <w:pPr>
              <w:spacing w:after="100"/>
              <w:rPr>
                <w:rFonts w:eastAsia="Times New Roman"/>
                <w:sz w:val="20"/>
                <w:szCs w:val="20"/>
              </w:rPr>
            </w:pPr>
          </w:p>
        </w:tc>
        <w:tc>
          <w:tcPr>
            <w:tcW w:w="50" w:type="pct"/>
            <w:vAlign w:val="center"/>
            <w:hideMark/>
          </w:tcPr>
          <w:p w14:paraId="5730C186" w14:textId="77777777" w:rsidR="00000000" w:rsidRDefault="00EE5306">
            <w:pPr>
              <w:spacing w:after="100"/>
              <w:rPr>
                <w:rFonts w:eastAsia="Times New Roman"/>
                <w:sz w:val="20"/>
                <w:szCs w:val="20"/>
              </w:rPr>
            </w:pPr>
          </w:p>
        </w:tc>
        <w:tc>
          <w:tcPr>
            <w:tcW w:w="1436" w:type="pct"/>
            <w:vAlign w:val="center"/>
            <w:hideMark/>
          </w:tcPr>
          <w:p w14:paraId="047D0B86" w14:textId="77777777" w:rsidR="00000000" w:rsidRDefault="00EE5306">
            <w:pPr>
              <w:spacing w:after="100"/>
              <w:rPr>
                <w:rFonts w:eastAsia="Times New Roman"/>
                <w:sz w:val="20"/>
                <w:szCs w:val="20"/>
              </w:rPr>
            </w:pPr>
          </w:p>
        </w:tc>
        <w:tc>
          <w:tcPr>
            <w:tcW w:w="5" w:type="pct"/>
            <w:vAlign w:val="center"/>
            <w:hideMark/>
          </w:tcPr>
          <w:p w14:paraId="4C2FBEFD" w14:textId="77777777" w:rsidR="00000000" w:rsidRDefault="00EE5306">
            <w:pPr>
              <w:spacing w:after="100"/>
              <w:rPr>
                <w:rFonts w:eastAsia="Times New Roman"/>
                <w:sz w:val="20"/>
                <w:szCs w:val="20"/>
              </w:rPr>
            </w:pPr>
          </w:p>
        </w:tc>
        <w:tc>
          <w:tcPr>
            <w:tcW w:w="50" w:type="pct"/>
            <w:vAlign w:val="center"/>
            <w:hideMark/>
          </w:tcPr>
          <w:p w14:paraId="5EBEC94C" w14:textId="77777777" w:rsidR="00000000" w:rsidRDefault="00EE5306">
            <w:pPr>
              <w:spacing w:after="100"/>
              <w:rPr>
                <w:rFonts w:eastAsia="Times New Roman"/>
                <w:sz w:val="20"/>
                <w:szCs w:val="20"/>
              </w:rPr>
            </w:pPr>
          </w:p>
        </w:tc>
        <w:tc>
          <w:tcPr>
            <w:tcW w:w="1699" w:type="pct"/>
            <w:vAlign w:val="center"/>
            <w:hideMark/>
          </w:tcPr>
          <w:p w14:paraId="583D5D32" w14:textId="77777777" w:rsidR="00000000" w:rsidRDefault="00EE5306">
            <w:pPr>
              <w:spacing w:after="100"/>
              <w:rPr>
                <w:rFonts w:eastAsia="Times New Roman"/>
                <w:sz w:val="20"/>
                <w:szCs w:val="20"/>
              </w:rPr>
            </w:pPr>
          </w:p>
        </w:tc>
        <w:tc>
          <w:tcPr>
            <w:tcW w:w="5" w:type="pct"/>
            <w:vAlign w:val="center"/>
            <w:hideMark/>
          </w:tcPr>
          <w:p w14:paraId="452D3948" w14:textId="77777777" w:rsidR="00000000" w:rsidRDefault="00EE5306">
            <w:pPr>
              <w:spacing w:after="100"/>
              <w:rPr>
                <w:rFonts w:eastAsia="Times New Roman"/>
                <w:sz w:val="20"/>
                <w:szCs w:val="20"/>
              </w:rPr>
            </w:pPr>
          </w:p>
        </w:tc>
      </w:tr>
      <w:tr w:rsidR="00000000" w14:paraId="4BC15682" w14:textId="77777777">
        <w:trPr>
          <w:divId w:val="921991328"/>
          <w:jc w:val="center"/>
        </w:trPr>
        <w:tc>
          <w:tcPr>
            <w:tcW w:w="0" w:type="auto"/>
            <w:gridSpan w:val="3"/>
            <w:tcMar>
              <w:top w:w="0" w:type="dxa"/>
              <w:left w:w="20" w:type="dxa"/>
              <w:bottom w:w="0" w:type="dxa"/>
              <w:right w:w="20" w:type="dxa"/>
            </w:tcMar>
            <w:vAlign w:val="center"/>
            <w:hideMark/>
          </w:tcPr>
          <w:p w14:paraId="2D7E383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E402A64" w14:textId="77777777" w:rsidR="00000000" w:rsidRDefault="00EE5306">
            <w:pPr>
              <w:spacing w:after="100"/>
              <w:jc w:val="center"/>
              <w:rPr>
                <w:rFonts w:eastAsia="Times New Roman"/>
              </w:rPr>
            </w:pPr>
            <w:r>
              <w:rPr>
                <w:rFonts w:eastAsia="Times New Roman"/>
                <w:color w:val="000000"/>
                <w:sz w:val="20"/>
                <w:szCs w:val="20"/>
              </w:rPr>
              <w:t>F-10</w:t>
            </w:r>
          </w:p>
        </w:tc>
        <w:tc>
          <w:tcPr>
            <w:tcW w:w="0" w:type="auto"/>
            <w:gridSpan w:val="3"/>
            <w:tcMar>
              <w:top w:w="0" w:type="dxa"/>
              <w:left w:w="20" w:type="dxa"/>
              <w:bottom w:w="0" w:type="dxa"/>
              <w:right w:w="20" w:type="dxa"/>
            </w:tcMar>
            <w:vAlign w:val="center"/>
            <w:hideMark/>
          </w:tcPr>
          <w:p w14:paraId="5EA71AF0" w14:textId="77777777" w:rsidR="00000000" w:rsidRDefault="00EE5306">
            <w:pPr>
              <w:spacing w:after="100"/>
              <w:jc w:val="center"/>
              <w:rPr>
                <w:rFonts w:eastAsia="Times New Roman"/>
              </w:rPr>
            </w:pPr>
          </w:p>
        </w:tc>
      </w:tr>
    </w:tbl>
    <w:p w14:paraId="53209397" w14:textId="77777777" w:rsidR="00000000" w:rsidRDefault="00EE5306">
      <w:pPr>
        <w:rPr>
          <w:rFonts w:eastAsia="Times New Roman"/>
        </w:rPr>
      </w:pPr>
      <w:r>
        <w:rPr>
          <w:rFonts w:eastAsia="Times New Roman"/>
        </w:rPr>
        <w:pict w14:anchorId="69720D86">
          <v:rect id="_x0000_i1120" style="width:0;height:1.5pt" o:hralign="center" o:hrstd="t" o:hr="t" fillcolor="#a0a0a0" stroked="f"/>
        </w:pict>
      </w:r>
    </w:p>
    <w:p w14:paraId="23CAE3F2" w14:textId="77777777" w:rsidR="00000000" w:rsidRDefault="00EE5306">
      <w:pPr>
        <w:jc w:val="center"/>
        <w:divId w:val="2067872292"/>
        <w:rPr>
          <w:rFonts w:eastAsia="Times New Roman"/>
        </w:rPr>
      </w:pPr>
    </w:p>
    <w:p w14:paraId="39977775" w14:textId="77777777" w:rsidR="00000000" w:rsidRDefault="00EE5306">
      <w:pPr>
        <w:jc w:val="center"/>
        <w:divId w:val="2067872292"/>
        <w:rPr>
          <w:rFonts w:eastAsia="Times New Roman"/>
        </w:rPr>
      </w:pPr>
      <w:r>
        <w:rPr>
          <w:rFonts w:eastAsia="Times New Roman"/>
          <w:b/>
          <w:bCs/>
          <w:color w:val="000000"/>
          <w:sz w:val="20"/>
          <w:szCs w:val="20"/>
        </w:rPr>
        <w:t>RALPH LAUREN CORPORATION</w:t>
      </w:r>
    </w:p>
    <w:p w14:paraId="02CE945B" w14:textId="77777777" w:rsidR="00000000" w:rsidRDefault="00EE5306">
      <w:pPr>
        <w:jc w:val="center"/>
        <w:divId w:val="1174371447"/>
        <w:rPr>
          <w:rFonts w:eastAsia="Times New Roman"/>
        </w:rPr>
      </w:pPr>
      <w:r>
        <w:rPr>
          <w:rFonts w:eastAsia="Times New Roman"/>
          <w:b/>
          <w:bCs/>
          <w:color w:val="000000"/>
          <w:sz w:val="20"/>
          <w:szCs w:val="20"/>
        </w:rPr>
        <w:t>NOTES TO CONSOLIDATED FINANCIAL STATEMENTS (Continued)</w:t>
      </w:r>
    </w:p>
    <w:tbl>
      <w:tblPr>
        <w:tblW w:w="4773" w:type="pct"/>
        <w:jc w:val="center"/>
        <w:tblCellMar>
          <w:top w:w="15" w:type="dxa"/>
          <w:left w:w="15" w:type="dxa"/>
          <w:bottom w:w="15" w:type="dxa"/>
          <w:right w:w="15" w:type="dxa"/>
        </w:tblCellMar>
        <w:tblLook w:val="04A0" w:firstRow="1" w:lastRow="0" w:firstColumn="1" w:lastColumn="0" w:noHBand="0" w:noVBand="1"/>
      </w:tblPr>
      <w:tblGrid>
        <w:gridCol w:w="37"/>
        <w:gridCol w:w="2615"/>
        <w:gridCol w:w="36"/>
        <w:gridCol w:w="36"/>
        <w:gridCol w:w="36"/>
        <w:gridCol w:w="36"/>
        <w:gridCol w:w="120"/>
        <w:gridCol w:w="783"/>
        <w:gridCol w:w="36"/>
        <w:gridCol w:w="36"/>
        <w:gridCol w:w="36"/>
        <w:gridCol w:w="36"/>
        <w:gridCol w:w="120"/>
        <w:gridCol w:w="783"/>
        <w:gridCol w:w="36"/>
        <w:gridCol w:w="36"/>
        <w:gridCol w:w="36"/>
        <w:gridCol w:w="36"/>
        <w:gridCol w:w="120"/>
        <w:gridCol w:w="785"/>
        <w:gridCol w:w="36"/>
        <w:gridCol w:w="36"/>
        <w:gridCol w:w="36"/>
        <w:gridCol w:w="36"/>
        <w:gridCol w:w="120"/>
        <w:gridCol w:w="785"/>
        <w:gridCol w:w="36"/>
        <w:gridCol w:w="36"/>
        <w:gridCol w:w="36"/>
        <w:gridCol w:w="36"/>
        <w:gridCol w:w="120"/>
        <w:gridCol w:w="785"/>
        <w:gridCol w:w="36"/>
      </w:tblGrid>
      <w:tr w:rsidR="00000000" w14:paraId="166168FC" w14:textId="77777777">
        <w:trPr>
          <w:divId w:val="1271549685"/>
          <w:jc w:val="center"/>
        </w:trPr>
        <w:tc>
          <w:tcPr>
            <w:tcW w:w="50" w:type="pct"/>
            <w:vAlign w:val="center"/>
            <w:hideMark/>
          </w:tcPr>
          <w:p w14:paraId="4A1E1A29" w14:textId="77777777" w:rsidR="00000000" w:rsidRDefault="00EE5306">
            <w:pPr>
              <w:jc w:val="center"/>
              <w:rPr>
                <w:rFonts w:eastAsia="Times New Roman"/>
              </w:rPr>
            </w:pPr>
          </w:p>
        </w:tc>
        <w:tc>
          <w:tcPr>
            <w:tcW w:w="1690" w:type="pct"/>
            <w:vAlign w:val="center"/>
            <w:hideMark/>
          </w:tcPr>
          <w:p w14:paraId="7FDE6C16" w14:textId="77777777" w:rsidR="00000000" w:rsidRDefault="00EE5306">
            <w:pPr>
              <w:spacing w:after="100"/>
              <w:rPr>
                <w:rFonts w:eastAsia="Times New Roman"/>
                <w:sz w:val="20"/>
                <w:szCs w:val="20"/>
              </w:rPr>
            </w:pPr>
          </w:p>
        </w:tc>
        <w:tc>
          <w:tcPr>
            <w:tcW w:w="5" w:type="pct"/>
            <w:vAlign w:val="center"/>
            <w:hideMark/>
          </w:tcPr>
          <w:p w14:paraId="12E58CFE" w14:textId="77777777" w:rsidR="00000000" w:rsidRDefault="00EE5306">
            <w:pPr>
              <w:spacing w:after="100"/>
              <w:rPr>
                <w:rFonts w:eastAsia="Times New Roman"/>
                <w:sz w:val="20"/>
                <w:szCs w:val="20"/>
              </w:rPr>
            </w:pPr>
          </w:p>
        </w:tc>
        <w:tc>
          <w:tcPr>
            <w:tcW w:w="5" w:type="pct"/>
            <w:vAlign w:val="center"/>
            <w:hideMark/>
          </w:tcPr>
          <w:p w14:paraId="0B5EAFA3" w14:textId="77777777" w:rsidR="00000000" w:rsidRDefault="00EE5306">
            <w:pPr>
              <w:spacing w:after="100"/>
              <w:rPr>
                <w:rFonts w:eastAsia="Times New Roman"/>
                <w:sz w:val="20"/>
                <w:szCs w:val="20"/>
              </w:rPr>
            </w:pPr>
          </w:p>
        </w:tc>
        <w:tc>
          <w:tcPr>
            <w:tcW w:w="28" w:type="pct"/>
            <w:vAlign w:val="center"/>
            <w:hideMark/>
          </w:tcPr>
          <w:p w14:paraId="4A84BF01" w14:textId="77777777" w:rsidR="00000000" w:rsidRDefault="00EE5306">
            <w:pPr>
              <w:spacing w:after="100"/>
              <w:rPr>
                <w:rFonts w:eastAsia="Times New Roman"/>
                <w:sz w:val="20"/>
                <w:szCs w:val="20"/>
              </w:rPr>
            </w:pPr>
          </w:p>
        </w:tc>
        <w:tc>
          <w:tcPr>
            <w:tcW w:w="5" w:type="pct"/>
            <w:vAlign w:val="center"/>
            <w:hideMark/>
          </w:tcPr>
          <w:p w14:paraId="61A06B71" w14:textId="77777777" w:rsidR="00000000" w:rsidRDefault="00EE5306">
            <w:pPr>
              <w:spacing w:after="100"/>
              <w:rPr>
                <w:rFonts w:eastAsia="Times New Roman"/>
                <w:sz w:val="20"/>
                <w:szCs w:val="20"/>
              </w:rPr>
            </w:pPr>
          </w:p>
        </w:tc>
        <w:tc>
          <w:tcPr>
            <w:tcW w:w="50" w:type="pct"/>
            <w:vAlign w:val="center"/>
            <w:hideMark/>
          </w:tcPr>
          <w:p w14:paraId="6246C556" w14:textId="77777777" w:rsidR="00000000" w:rsidRDefault="00EE5306">
            <w:pPr>
              <w:spacing w:after="100"/>
              <w:rPr>
                <w:rFonts w:eastAsia="Times New Roman"/>
                <w:sz w:val="20"/>
                <w:szCs w:val="20"/>
              </w:rPr>
            </w:pPr>
          </w:p>
        </w:tc>
        <w:tc>
          <w:tcPr>
            <w:tcW w:w="557" w:type="pct"/>
            <w:vAlign w:val="center"/>
            <w:hideMark/>
          </w:tcPr>
          <w:p w14:paraId="500D54AD" w14:textId="77777777" w:rsidR="00000000" w:rsidRDefault="00EE5306">
            <w:pPr>
              <w:spacing w:after="100"/>
              <w:rPr>
                <w:rFonts w:eastAsia="Times New Roman"/>
                <w:sz w:val="20"/>
                <w:szCs w:val="20"/>
              </w:rPr>
            </w:pPr>
          </w:p>
        </w:tc>
        <w:tc>
          <w:tcPr>
            <w:tcW w:w="5" w:type="pct"/>
            <w:vAlign w:val="center"/>
            <w:hideMark/>
          </w:tcPr>
          <w:p w14:paraId="2A7641EC" w14:textId="77777777" w:rsidR="00000000" w:rsidRDefault="00EE5306">
            <w:pPr>
              <w:spacing w:after="100"/>
              <w:rPr>
                <w:rFonts w:eastAsia="Times New Roman"/>
                <w:sz w:val="20"/>
                <w:szCs w:val="20"/>
              </w:rPr>
            </w:pPr>
          </w:p>
        </w:tc>
        <w:tc>
          <w:tcPr>
            <w:tcW w:w="5" w:type="pct"/>
            <w:vAlign w:val="center"/>
            <w:hideMark/>
          </w:tcPr>
          <w:p w14:paraId="15CBC2BE" w14:textId="77777777" w:rsidR="00000000" w:rsidRDefault="00EE5306">
            <w:pPr>
              <w:spacing w:after="100"/>
              <w:rPr>
                <w:rFonts w:eastAsia="Times New Roman"/>
                <w:sz w:val="20"/>
                <w:szCs w:val="20"/>
              </w:rPr>
            </w:pPr>
          </w:p>
        </w:tc>
        <w:tc>
          <w:tcPr>
            <w:tcW w:w="28" w:type="pct"/>
            <w:vAlign w:val="center"/>
            <w:hideMark/>
          </w:tcPr>
          <w:p w14:paraId="44FABBDB" w14:textId="77777777" w:rsidR="00000000" w:rsidRDefault="00EE5306">
            <w:pPr>
              <w:spacing w:after="100"/>
              <w:rPr>
                <w:rFonts w:eastAsia="Times New Roman"/>
                <w:sz w:val="20"/>
                <w:szCs w:val="20"/>
              </w:rPr>
            </w:pPr>
          </w:p>
        </w:tc>
        <w:tc>
          <w:tcPr>
            <w:tcW w:w="5" w:type="pct"/>
            <w:vAlign w:val="center"/>
            <w:hideMark/>
          </w:tcPr>
          <w:p w14:paraId="62058950" w14:textId="77777777" w:rsidR="00000000" w:rsidRDefault="00EE5306">
            <w:pPr>
              <w:spacing w:after="100"/>
              <w:rPr>
                <w:rFonts w:eastAsia="Times New Roman"/>
                <w:sz w:val="20"/>
                <w:szCs w:val="20"/>
              </w:rPr>
            </w:pPr>
          </w:p>
        </w:tc>
        <w:tc>
          <w:tcPr>
            <w:tcW w:w="50" w:type="pct"/>
            <w:vAlign w:val="center"/>
            <w:hideMark/>
          </w:tcPr>
          <w:p w14:paraId="0971AA37" w14:textId="77777777" w:rsidR="00000000" w:rsidRDefault="00EE5306">
            <w:pPr>
              <w:spacing w:after="100"/>
              <w:rPr>
                <w:rFonts w:eastAsia="Times New Roman"/>
                <w:sz w:val="20"/>
                <w:szCs w:val="20"/>
              </w:rPr>
            </w:pPr>
          </w:p>
        </w:tc>
        <w:tc>
          <w:tcPr>
            <w:tcW w:w="557" w:type="pct"/>
            <w:vAlign w:val="center"/>
            <w:hideMark/>
          </w:tcPr>
          <w:p w14:paraId="689BC5E3" w14:textId="77777777" w:rsidR="00000000" w:rsidRDefault="00EE5306">
            <w:pPr>
              <w:spacing w:after="100"/>
              <w:rPr>
                <w:rFonts w:eastAsia="Times New Roman"/>
                <w:sz w:val="20"/>
                <w:szCs w:val="20"/>
              </w:rPr>
            </w:pPr>
          </w:p>
        </w:tc>
        <w:tc>
          <w:tcPr>
            <w:tcW w:w="5" w:type="pct"/>
            <w:vAlign w:val="center"/>
            <w:hideMark/>
          </w:tcPr>
          <w:p w14:paraId="3B03815D" w14:textId="77777777" w:rsidR="00000000" w:rsidRDefault="00EE5306">
            <w:pPr>
              <w:spacing w:after="100"/>
              <w:rPr>
                <w:rFonts w:eastAsia="Times New Roman"/>
                <w:sz w:val="20"/>
                <w:szCs w:val="20"/>
              </w:rPr>
            </w:pPr>
          </w:p>
        </w:tc>
        <w:tc>
          <w:tcPr>
            <w:tcW w:w="5" w:type="pct"/>
            <w:vAlign w:val="center"/>
            <w:hideMark/>
          </w:tcPr>
          <w:p w14:paraId="108695D8" w14:textId="77777777" w:rsidR="00000000" w:rsidRDefault="00EE5306">
            <w:pPr>
              <w:spacing w:after="100"/>
              <w:rPr>
                <w:rFonts w:eastAsia="Times New Roman"/>
                <w:sz w:val="20"/>
                <w:szCs w:val="20"/>
              </w:rPr>
            </w:pPr>
          </w:p>
        </w:tc>
        <w:tc>
          <w:tcPr>
            <w:tcW w:w="28" w:type="pct"/>
            <w:vAlign w:val="center"/>
            <w:hideMark/>
          </w:tcPr>
          <w:p w14:paraId="162F36C5" w14:textId="77777777" w:rsidR="00000000" w:rsidRDefault="00EE5306">
            <w:pPr>
              <w:spacing w:after="100"/>
              <w:rPr>
                <w:rFonts w:eastAsia="Times New Roman"/>
                <w:sz w:val="20"/>
                <w:szCs w:val="20"/>
              </w:rPr>
            </w:pPr>
          </w:p>
        </w:tc>
        <w:tc>
          <w:tcPr>
            <w:tcW w:w="5" w:type="pct"/>
            <w:vAlign w:val="center"/>
            <w:hideMark/>
          </w:tcPr>
          <w:p w14:paraId="2C54D8FE" w14:textId="77777777" w:rsidR="00000000" w:rsidRDefault="00EE5306">
            <w:pPr>
              <w:spacing w:after="100"/>
              <w:rPr>
                <w:rFonts w:eastAsia="Times New Roman"/>
                <w:sz w:val="20"/>
                <w:szCs w:val="20"/>
              </w:rPr>
            </w:pPr>
          </w:p>
        </w:tc>
        <w:tc>
          <w:tcPr>
            <w:tcW w:w="50" w:type="pct"/>
            <w:vAlign w:val="center"/>
            <w:hideMark/>
          </w:tcPr>
          <w:p w14:paraId="4E154F4E" w14:textId="77777777" w:rsidR="00000000" w:rsidRDefault="00EE5306">
            <w:pPr>
              <w:spacing w:after="100"/>
              <w:rPr>
                <w:rFonts w:eastAsia="Times New Roman"/>
                <w:sz w:val="20"/>
                <w:szCs w:val="20"/>
              </w:rPr>
            </w:pPr>
          </w:p>
        </w:tc>
        <w:tc>
          <w:tcPr>
            <w:tcW w:w="557" w:type="pct"/>
            <w:vAlign w:val="center"/>
            <w:hideMark/>
          </w:tcPr>
          <w:p w14:paraId="229044AB" w14:textId="77777777" w:rsidR="00000000" w:rsidRDefault="00EE5306">
            <w:pPr>
              <w:spacing w:after="100"/>
              <w:rPr>
                <w:rFonts w:eastAsia="Times New Roman"/>
                <w:sz w:val="20"/>
                <w:szCs w:val="20"/>
              </w:rPr>
            </w:pPr>
          </w:p>
        </w:tc>
        <w:tc>
          <w:tcPr>
            <w:tcW w:w="5" w:type="pct"/>
            <w:vAlign w:val="center"/>
            <w:hideMark/>
          </w:tcPr>
          <w:p w14:paraId="13A72C17" w14:textId="77777777" w:rsidR="00000000" w:rsidRDefault="00EE5306">
            <w:pPr>
              <w:spacing w:after="100"/>
              <w:rPr>
                <w:rFonts w:eastAsia="Times New Roman"/>
                <w:sz w:val="20"/>
                <w:szCs w:val="20"/>
              </w:rPr>
            </w:pPr>
          </w:p>
        </w:tc>
        <w:tc>
          <w:tcPr>
            <w:tcW w:w="5" w:type="pct"/>
            <w:vAlign w:val="center"/>
            <w:hideMark/>
          </w:tcPr>
          <w:p w14:paraId="0F532B47" w14:textId="77777777" w:rsidR="00000000" w:rsidRDefault="00EE5306">
            <w:pPr>
              <w:spacing w:after="100"/>
              <w:rPr>
                <w:rFonts w:eastAsia="Times New Roman"/>
                <w:sz w:val="20"/>
                <w:szCs w:val="20"/>
              </w:rPr>
            </w:pPr>
          </w:p>
        </w:tc>
        <w:tc>
          <w:tcPr>
            <w:tcW w:w="28" w:type="pct"/>
            <w:vAlign w:val="center"/>
            <w:hideMark/>
          </w:tcPr>
          <w:p w14:paraId="04AFE9C2" w14:textId="77777777" w:rsidR="00000000" w:rsidRDefault="00EE5306">
            <w:pPr>
              <w:spacing w:after="100"/>
              <w:rPr>
                <w:rFonts w:eastAsia="Times New Roman"/>
                <w:sz w:val="20"/>
                <w:szCs w:val="20"/>
              </w:rPr>
            </w:pPr>
          </w:p>
        </w:tc>
        <w:tc>
          <w:tcPr>
            <w:tcW w:w="5" w:type="pct"/>
            <w:vAlign w:val="center"/>
            <w:hideMark/>
          </w:tcPr>
          <w:p w14:paraId="6BA77C55" w14:textId="77777777" w:rsidR="00000000" w:rsidRDefault="00EE5306">
            <w:pPr>
              <w:spacing w:after="100"/>
              <w:rPr>
                <w:rFonts w:eastAsia="Times New Roman"/>
                <w:sz w:val="20"/>
                <w:szCs w:val="20"/>
              </w:rPr>
            </w:pPr>
          </w:p>
        </w:tc>
        <w:tc>
          <w:tcPr>
            <w:tcW w:w="50" w:type="pct"/>
            <w:vAlign w:val="center"/>
            <w:hideMark/>
          </w:tcPr>
          <w:p w14:paraId="1359C650" w14:textId="77777777" w:rsidR="00000000" w:rsidRDefault="00EE5306">
            <w:pPr>
              <w:spacing w:after="100"/>
              <w:rPr>
                <w:rFonts w:eastAsia="Times New Roman"/>
                <w:sz w:val="20"/>
                <w:szCs w:val="20"/>
              </w:rPr>
            </w:pPr>
          </w:p>
        </w:tc>
        <w:tc>
          <w:tcPr>
            <w:tcW w:w="557" w:type="pct"/>
            <w:vAlign w:val="center"/>
            <w:hideMark/>
          </w:tcPr>
          <w:p w14:paraId="7619A13C" w14:textId="77777777" w:rsidR="00000000" w:rsidRDefault="00EE5306">
            <w:pPr>
              <w:spacing w:after="100"/>
              <w:rPr>
                <w:rFonts w:eastAsia="Times New Roman"/>
                <w:sz w:val="20"/>
                <w:szCs w:val="20"/>
              </w:rPr>
            </w:pPr>
          </w:p>
        </w:tc>
        <w:tc>
          <w:tcPr>
            <w:tcW w:w="5" w:type="pct"/>
            <w:vAlign w:val="center"/>
            <w:hideMark/>
          </w:tcPr>
          <w:p w14:paraId="504B6126" w14:textId="77777777" w:rsidR="00000000" w:rsidRDefault="00EE5306">
            <w:pPr>
              <w:spacing w:after="100"/>
              <w:rPr>
                <w:rFonts w:eastAsia="Times New Roman"/>
                <w:sz w:val="20"/>
                <w:szCs w:val="20"/>
              </w:rPr>
            </w:pPr>
          </w:p>
        </w:tc>
        <w:tc>
          <w:tcPr>
            <w:tcW w:w="5" w:type="pct"/>
            <w:vAlign w:val="center"/>
            <w:hideMark/>
          </w:tcPr>
          <w:p w14:paraId="76DACD70" w14:textId="77777777" w:rsidR="00000000" w:rsidRDefault="00EE5306">
            <w:pPr>
              <w:spacing w:after="100"/>
              <w:rPr>
                <w:rFonts w:eastAsia="Times New Roman"/>
                <w:sz w:val="20"/>
                <w:szCs w:val="20"/>
              </w:rPr>
            </w:pPr>
          </w:p>
        </w:tc>
        <w:tc>
          <w:tcPr>
            <w:tcW w:w="28" w:type="pct"/>
            <w:vAlign w:val="center"/>
            <w:hideMark/>
          </w:tcPr>
          <w:p w14:paraId="43082B56" w14:textId="77777777" w:rsidR="00000000" w:rsidRDefault="00EE5306">
            <w:pPr>
              <w:spacing w:after="100"/>
              <w:rPr>
                <w:rFonts w:eastAsia="Times New Roman"/>
                <w:sz w:val="20"/>
                <w:szCs w:val="20"/>
              </w:rPr>
            </w:pPr>
          </w:p>
        </w:tc>
        <w:tc>
          <w:tcPr>
            <w:tcW w:w="5" w:type="pct"/>
            <w:vAlign w:val="center"/>
            <w:hideMark/>
          </w:tcPr>
          <w:p w14:paraId="2B736094" w14:textId="77777777" w:rsidR="00000000" w:rsidRDefault="00EE5306">
            <w:pPr>
              <w:spacing w:after="100"/>
              <w:rPr>
                <w:rFonts w:eastAsia="Times New Roman"/>
                <w:sz w:val="20"/>
                <w:szCs w:val="20"/>
              </w:rPr>
            </w:pPr>
          </w:p>
        </w:tc>
        <w:tc>
          <w:tcPr>
            <w:tcW w:w="50" w:type="pct"/>
            <w:vAlign w:val="center"/>
            <w:hideMark/>
          </w:tcPr>
          <w:p w14:paraId="044CDB8C" w14:textId="77777777" w:rsidR="00000000" w:rsidRDefault="00EE5306">
            <w:pPr>
              <w:spacing w:after="100"/>
              <w:rPr>
                <w:rFonts w:eastAsia="Times New Roman"/>
                <w:sz w:val="20"/>
                <w:szCs w:val="20"/>
              </w:rPr>
            </w:pPr>
          </w:p>
        </w:tc>
        <w:tc>
          <w:tcPr>
            <w:tcW w:w="557" w:type="pct"/>
            <w:vAlign w:val="center"/>
            <w:hideMark/>
          </w:tcPr>
          <w:p w14:paraId="138F2BCE" w14:textId="77777777" w:rsidR="00000000" w:rsidRDefault="00EE5306">
            <w:pPr>
              <w:spacing w:after="100"/>
              <w:rPr>
                <w:rFonts w:eastAsia="Times New Roman"/>
                <w:sz w:val="20"/>
                <w:szCs w:val="20"/>
              </w:rPr>
            </w:pPr>
          </w:p>
        </w:tc>
        <w:tc>
          <w:tcPr>
            <w:tcW w:w="5" w:type="pct"/>
            <w:vAlign w:val="center"/>
            <w:hideMark/>
          </w:tcPr>
          <w:p w14:paraId="76903C2C" w14:textId="77777777" w:rsidR="00000000" w:rsidRDefault="00EE5306">
            <w:pPr>
              <w:spacing w:after="100"/>
              <w:rPr>
                <w:rFonts w:eastAsia="Times New Roman"/>
                <w:sz w:val="20"/>
                <w:szCs w:val="20"/>
              </w:rPr>
            </w:pPr>
          </w:p>
        </w:tc>
      </w:tr>
      <w:tr w:rsidR="00000000" w14:paraId="5EA891B4" w14:textId="77777777">
        <w:trPr>
          <w:divId w:val="1271549685"/>
          <w:jc w:val="center"/>
        </w:trPr>
        <w:tc>
          <w:tcPr>
            <w:tcW w:w="0" w:type="auto"/>
            <w:gridSpan w:val="3"/>
            <w:tcMar>
              <w:top w:w="0" w:type="dxa"/>
              <w:left w:w="20" w:type="dxa"/>
              <w:bottom w:w="0" w:type="dxa"/>
              <w:right w:w="20" w:type="dxa"/>
            </w:tcMar>
            <w:vAlign w:val="center"/>
            <w:hideMark/>
          </w:tcPr>
          <w:p w14:paraId="32054EE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B0FF70" w14:textId="77777777" w:rsidR="00000000" w:rsidRDefault="00EE5306">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14:paraId="71442767" w14:textId="77777777" w:rsidR="00000000" w:rsidRDefault="00EE5306">
            <w:pPr>
              <w:spacing w:after="100"/>
              <w:jc w:val="center"/>
              <w:rPr>
                <w:rFonts w:eastAsia="Times New Roman"/>
              </w:rPr>
            </w:pPr>
            <w:r>
              <w:rPr>
                <w:rFonts w:eastAsia="Times New Roman"/>
                <w:b/>
                <w:bCs/>
                <w:color w:val="000000"/>
                <w:sz w:val="16"/>
                <w:szCs w:val="16"/>
              </w:rPr>
              <w:t>Fiscal Year Ended</w:t>
            </w:r>
          </w:p>
        </w:tc>
      </w:tr>
      <w:tr w:rsidR="00000000" w14:paraId="34CC6699" w14:textId="77777777">
        <w:trPr>
          <w:divId w:val="1271549685"/>
          <w:jc w:val="center"/>
        </w:trPr>
        <w:tc>
          <w:tcPr>
            <w:tcW w:w="0" w:type="auto"/>
            <w:gridSpan w:val="3"/>
            <w:tcMar>
              <w:top w:w="0" w:type="dxa"/>
              <w:left w:w="20" w:type="dxa"/>
              <w:bottom w:w="0" w:type="dxa"/>
              <w:right w:w="20" w:type="dxa"/>
            </w:tcMar>
            <w:vAlign w:val="center"/>
            <w:hideMark/>
          </w:tcPr>
          <w:p w14:paraId="03EA86D4"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7431DB9" w14:textId="77777777" w:rsidR="00000000" w:rsidRDefault="00EE5306">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44D83094" w14:textId="77777777" w:rsidR="00000000" w:rsidRDefault="00EE5306">
            <w:pPr>
              <w:spacing w:after="100"/>
              <w:jc w:val="center"/>
              <w:rPr>
                <w:rFonts w:eastAsia="Times New Roman"/>
              </w:rPr>
            </w:pPr>
            <w:r>
              <w:rPr>
                <w:rFonts w:eastAsia="Times New Roman"/>
                <w:b/>
                <w:bCs/>
                <w:color w:val="000000"/>
                <w:sz w:val="16"/>
                <w:szCs w:val="16"/>
              </w:rPr>
              <w:t>March 30, 2019</w:t>
            </w:r>
          </w:p>
        </w:tc>
      </w:tr>
      <w:tr w:rsidR="00000000" w14:paraId="0C283ADE" w14:textId="77777777">
        <w:trPr>
          <w:divId w:val="1271549685"/>
          <w:jc w:val="center"/>
        </w:trPr>
        <w:tc>
          <w:tcPr>
            <w:tcW w:w="0" w:type="auto"/>
            <w:gridSpan w:val="3"/>
            <w:shd w:val="clear" w:color="auto" w:fill="FFFFFF"/>
            <w:tcMar>
              <w:top w:w="0" w:type="dxa"/>
              <w:left w:w="20" w:type="dxa"/>
              <w:bottom w:w="0" w:type="dxa"/>
              <w:right w:w="20" w:type="dxa"/>
            </w:tcMar>
            <w:vAlign w:val="center"/>
            <w:hideMark/>
          </w:tcPr>
          <w:p w14:paraId="2088C457" w14:textId="77777777" w:rsidR="00000000" w:rsidRDefault="00EE5306">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0FF65"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7B28B9A" w14:textId="77777777" w:rsidR="00000000" w:rsidRDefault="00EE5306">
            <w:pPr>
              <w:spacing w:after="100"/>
              <w:jc w:val="center"/>
              <w:rPr>
                <w:rFonts w:eastAsia="Times New Roman"/>
              </w:rPr>
            </w:pPr>
            <w:r>
              <w:rPr>
                <w:rFonts w:eastAsia="Times New Roman"/>
                <w:b/>
                <w:bCs/>
                <w:color w:val="000000"/>
                <w:sz w:val="16"/>
                <w:szCs w:val="16"/>
              </w:rPr>
              <w:t>North America</w:t>
            </w:r>
          </w:p>
        </w:tc>
        <w:tc>
          <w:tcPr>
            <w:tcW w:w="0" w:type="auto"/>
            <w:gridSpan w:val="3"/>
            <w:tcBorders>
              <w:top w:val="single" w:sz="8" w:space="0" w:color="000000"/>
            </w:tcBorders>
            <w:tcMar>
              <w:top w:w="0" w:type="dxa"/>
              <w:left w:w="20" w:type="dxa"/>
              <w:bottom w:w="0" w:type="dxa"/>
              <w:right w:w="20" w:type="dxa"/>
            </w:tcMar>
            <w:vAlign w:val="center"/>
            <w:hideMark/>
          </w:tcPr>
          <w:p w14:paraId="67A2587A"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292FBD" w14:textId="77777777" w:rsidR="00000000" w:rsidRDefault="00EE5306">
            <w:pPr>
              <w:spacing w:after="100"/>
              <w:jc w:val="center"/>
              <w:rPr>
                <w:rFonts w:eastAsia="Times New Roman"/>
              </w:rPr>
            </w:pPr>
            <w:r>
              <w:rPr>
                <w:rFonts w:eastAsia="Times New Roman"/>
                <w:b/>
                <w:bCs/>
                <w:color w:val="000000"/>
                <w:sz w:val="16"/>
                <w:szCs w:val="16"/>
              </w:rPr>
              <w:t>Europe</w:t>
            </w:r>
          </w:p>
        </w:tc>
        <w:tc>
          <w:tcPr>
            <w:tcW w:w="0" w:type="auto"/>
            <w:gridSpan w:val="3"/>
            <w:tcBorders>
              <w:top w:val="single" w:sz="8" w:space="0" w:color="000000"/>
            </w:tcBorders>
            <w:tcMar>
              <w:top w:w="0" w:type="dxa"/>
              <w:left w:w="20" w:type="dxa"/>
              <w:bottom w:w="0" w:type="dxa"/>
              <w:right w:w="20" w:type="dxa"/>
            </w:tcMar>
            <w:vAlign w:val="center"/>
            <w:hideMark/>
          </w:tcPr>
          <w:p w14:paraId="79194351"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9387C93" w14:textId="77777777" w:rsidR="00000000" w:rsidRDefault="00EE5306">
            <w:pPr>
              <w:spacing w:after="100"/>
              <w:jc w:val="center"/>
              <w:rPr>
                <w:rFonts w:eastAsia="Times New Roman"/>
              </w:rPr>
            </w:pPr>
            <w:r>
              <w:rPr>
                <w:rFonts w:eastAsia="Times New Roman"/>
                <w:b/>
                <w:bCs/>
                <w:color w:val="000000"/>
                <w:sz w:val="16"/>
                <w:szCs w:val="16"/>
              </w:rPr>
              <w:t>Asia</w:t>
            </w:r>
          </w:p>
        </w:tc>
        <w:tc>
          <w:tcPr>
            <w:tcW w:w="0" w:type="auto"/>
            <w:gridSpan w:val="3"/>
            <w:tcBorders>
              <w:top w:val="single" w:sz="8" w:space="0" w:color="000000"/>
            </w:tcBorders>
            <w:tcMar>
              <w:top w:w="0" w:type="dxa"/>
              <w:left w:w="20" w:type="dxa"/>
              <w:bottom w:w="0" w:type="dxa"/>
              <w:right w:w="20" w:type="dxa"/>
            </w:tcMar>
            <w:vAlign w:val="center"/>
            <w:hideMark/>
          </w:tcPr>
          <w:p w14:paraId="671000DF"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FE534F" w14:textId="77777777" w:rsidR="00000000" w:rsidRDefault="00EE530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16CEF7E9"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D096303" w14:textId="77777777" w:rsidR="00000000" w:rsidRDefault="00EE5306">
            <w:pPr>
              <w:spacing w:after="100"/>
              <w:jc w:val="center"/>
              <w:rPr>
                <w:rFonts w:eastAsia="Times New Roman"/>
              </w:rPr>
            </w:pPr>
            <w:r>
              <w:rPr>
                <w:rFonts w:eastAsia="Times New Roman"/>
                <w:b/>
                <w:bCs/>
                <w:color w:val="000000"/>
                <w:sz w:val="16"/>
                <w:szCs w:val="16"/>
              </w:rPr>
              <w:t>Total</w:t>
            </w:r>
          </w:p>
        </w:tc>
      </w:tr>
      <w:tr w:rsidR="00000000" w14:paraId="6342BA5A" w14:textId="77777777">
        <w:trPr>
          <w:divId w:val="1271549685"/>
          <w:jc w:val="center"/>
        </w:trPr>
        <w:tc>
          <w:tcPr>
            <w:tcW w:w="0" w:type="auto"/>
            <w:gridSpan w:val="3"/>
            <w:tcMar>
              <w:top w:w="0" w:type="dxa"/>
              <w:left w:w="20" w:type="dxa"/>
              <w:bottom w:w="0" w:type="dxa"/>
              <w:right w:w="20" w:type="dxa"/>
            </w:tcMar>
            <w:vAlign w:val="center"/>
            <w:hideMark/>
          </w:tcPr>
          <w:p w14:paraId="7E6702C7"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0E28BF8" w14:textId="77777777" w:rsidR="00000000" w:rsidRDefault="00EE5306">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1E2096B7"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3F67039F" w14:textId="77777777">
        <w:trPr>
          <w:divId w:val="1271549685"/>
          <w:jc w:val="center"/>
        </w:trPr>
        <w:tc>
          <w:tcPr>
            <w:tcW w:w="0" w:type="auto"/>
            <w:gridSpan w:val="3"/>
            <w:shd w:val="clear" w:color="auto" w:fill="CCEEFF"/>
            <w:tcMar>
              <w:top w:w="30" w:type="dxa"/>
              <w:left w:w="20" w:type="dxa"/>
              <w:bottom w:w="30" w:type="dxa"/>
              <w:right w:w="20" w:type="dxa"/>
            </w:tcMar>
            <w:vAlign w:val="bottom"/>
            <w:hideMark/>
          </w:tcPr>
          <w:p w14:paraId="11F400AA" w14:textId="77777777" w:rsidR="00000000" w:rsidRDefault="00EE5306">
            <w:pPr>
              <w:spacing w:after="100"/>
              <w:divId w:val="564295187"/>
              <w:rPr>
                <w:rFonts w:eastAsia="Times New Roman"/>
              </w:rPr>
            </w:pPr>
            <w:r>
              <w:rPr>
                <w:rFonts w:eastAsia="Times New Roman"/>
                <w:b/>
                <w:bCs/>
                <w:color w:val="000000"/>
                <w:sz w:val="20"/>
                <w:szCs w:val="20"/>
              </w:rPr>
              <w:t>Sales Channe</w:t>
            </w:r>
            <w:r>
              <w:rPr>
                <w:rFonts w:eastAsia="Times New Roman"/>
                <w:b/>
                <w:bCs/>
                <w:color w:val="000000"/>
                <w:sz w:val="20"/>
                <w:szCs w:val="20"/>
              </w:rPr>
              <w:t>l</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CA37CC"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B763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83AF9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F32A5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ACFFC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DD9F4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3552A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B0769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C2088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CDC0B8" w14:textId="77777777" w:rsidR="00000000" w:rsidRDefault="00EE5306">
            <w:pPr>
              <w:spacing w:after="100"/>
              <w:rPr>
                <w:rFonts w:eastAsia="Times New Roman"/>
                <w:sz w:val="20"/>
                <w:szCs w:val="20"/>
              </w:rPr>
            </w:pPr>
          </w:p>
        </w:tc>
      </w:tr>
      <w:tr w:rsidR="00000000" w14:paraId="1E6E10BD" w14:textId="77777777">
        <w:trPr>
          <w:divId w:val="1271549685"/>
          <w:jc w:val="center"/>
        </w:trPr>
        <w:tc>
          <w:tcPr>
            <w:tcW w:w="0" w:type="auto"/>
            <w:gridSpan w:val="3"/>
            <w:shd w:val="clear" w:color="auto" w:fill="FFFFFF"/>
            <w:tcMar>
              <w:top w:w="30" w:type="dxa"/>
              <w:left w:w="155" w:type="dxa"/>
              <w:bottom w:w="30" w:type="dxa"/>
              <w:right w:w="20" w:type="dxa"/>
            </w:tcMar>
            <w:vAlign w:val="bottom"/>
            <w:hideMark/>
          </w:tcPr>
          <w:p w14:paraId="6E02CE1D" w14:textId="77777777" w:rsidR="00000000" w:rsidRDefault="00EE5306">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14:paraId="7CAA2930"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6FB23F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BA00C4F" w14:textId="77777777" w:rsidR="00000000" w:rsidRDefault="00EE5306">
            <w:pPr>
              <w:spacing w:after="100"/>
              <w:jc w:val="right"/>
              <w:rPr>
                <w:rFonts w:eastAsia="Times New Roman"/>
              </w:rPr>
            </w:pPr>
            <w:r>
              <w:rPr>
                <w:rFonts w:eastAsia="Times New Roman"/>
                <w:color w:val="000000"/>
                <w:sz w:val="20"/>
                <w:szCs w:val="20"/>
              </w:rPr>
              <w:t>1,688.5 </w:t>
            </w:r>
          </w:p>
        </w:tc>
        <w:tc>
          <w:tcPr>
            <w:tcW w:w="0" w:type="auto"/>
            <w:shd w:val="clear" w:color="auto" w:fill="FFFFFF"/>
            <w:tcMar>
              <w:top w:w="30" w:type="dxa"/>
              <w:left w:w="0" w:type="dxa"/>
              <w:bottom w:w="30" w:type="dxa"/>
              <w:right w:w="20" w:type="dxa"/>
            </w:tcMar>
            <w:vAlign w:val="bottom"/>
            <w:hideMark/>
          </w:tcPr>
          <w:p w14:paraId="1604E80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6FAC9"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0FD67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A3B78C" w14:textId="77777777" w:rsidR="00000000" w:rsidRDefault="00EE5306">
            <w:pPr>
              <w:spacing w:after="100"/>
              <w:jc w:val="right"/>
              <w:rPr>
                <w:rFonts w:eastAsia="Times New Roman"/>
              </w:rPr>
            </w:pPr>
            <w:r>
              <w:rPr>
                <w:rFonts w:eastAsia="Times New Roman"/>
                <w:color w:val="000000"/>
                <w:sz w:val="20"/>
                <w:szCs w:val="20"/>
              </w:rPr>
              <w:t>881.1 </w:t>
            </w:r>
          </w:p>
        </w:tc>
        <w:tc>
          <w:tcPr>
            <w:tcW w:w="0" w:type="auto"/>
            <w:shd w:val="clear" w:color="auto" w:fill="FFFFFF"/>
            <w:tcMar>
              <w:top w:w="30" w:type="dxa"/>
              <w:left w:w="0" w:type="dxa"/>
              <w:bottom w:w="30" w:type="dxa"/>
              <w:right w:w="20" w:type="dxa"/>
            </w:tcMar>
            <w:vAlign w:val="bottom"/>
            <w:hideMark/>
          </w:tcPr>
          <w:p w14:paraId="4CC55CA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0A153"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B9D68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66D52D" w14:textId="77777777" w:rsidR="00000000" w:rsidRDefault="00EE5306">
            <w:pPr>
              <w:spacing w:after="100"/>
              <w:jc w:val="right"/>
              <w:rPr>
                <w:rFonts w:eastAsia="Times New Roman"/>
              </w:rPr>
            </w:pPr>
            <w:r>
              <w:rPr>
                <w:rFonts w:eastAsia="Times New Roman"/>
                <w:color w:val="000000"/>
                <w:sz w:val="20"/>
                <w:szCs w:val="20"/>
              </w:rPr>
              <w:t>969.9 </w:t>
            </w:r>
          </w:p>
        </w:tc>
        <w:tc>
          <w:tcPr>
            <w:tcW w:w="0" w:type="auto"/>
            <w:shd w:val="clear" w:color="auto" w:fill="FFFFFF"/>
            <w:tcMar>
              <w:top w:w="30" w:type="dxa"/>
              <w:left w:w="0" w:type="dxa"/>
              <w:bottom w:w="30" w:type="dxa"/>
              <w:right w:w="20" w:type="dxa"/>
            </w:tcMar>
            <w:vAlign w:val="bottom"/>
            <w:hideMark/>
          </w:tcPr>
          <w:p w14:paraId="430CEFA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36888"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DE1B73"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CFCFC9" w14:textId="77777777" w:rsidR="00000000" w:rsidRDefault="00EE5306">
            <w:pPr>
              <w:spacing w:after="100"/>
              <w:jc w:val="right"/>
              <w:rPr>
                <w:rFonts w:eastAsia="Times New Roman"/>
              </w:rPr>
            </w:pPr>
            <w:r>
              <w:rPr>
                <w:rFonts w:eastAsia="Times New Roman"/>
                <w:color w:val="000000"/>
                <w:sz w:val="20"/>
                <w:szCs w:val="20"/>
              </w:rPr>
              <w:t>208.3 </w:t>
            </w:r>
          </w:p>
        </w:tc>
        <w:tc>
          <w:tcPr>
            <w:tcW w:w="0" w:type="auto"/>
            <w:shd w:val="clear" w:color="auto" w:fill="FFFFFF"/>
            <w:tcMar>
              <w:top w:w="30" w:type="dxa"/>
              <w:left w:w="0" w:type="dxa"/>
              <w:bottom w:w="30" w:type="dxa"/>
              <w:right w:w="20" w:type="dxa"/>
            </w:tcMar>
            <w:vAlign w:val="bottom"/>
            <w:hideMark/>
          </w:tcPr>
          <w:p w14:paraId="0A63370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2B554"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330A5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1FA51B" w14:textId="77777777" w:rsidR="00000000" w:rsidRDefault="00EE5306">
            <w:pPr>
              <w:spacing w:after="100"/>
              <w:jc w:val="right"/>
              <w:rPr>
                <w:rFonts w:eastAsia="Times New Roman"/>
              </w:rPr>
            </w:pPr>
            <w:r>
              <w:rPr>
                <w:rFonts w:eastAsia="Times New Roman"/>
                <w:color w:val="000000"/>
                <w:sz w:val="20"/>
                <w:szCs w:val="20"/>
              </w:rPr>
              <w:t>3,747.8 </w:t>
            </w:r>
          </w:p>
        </w:tc>
        <w:tc>
          <w:tcPr>
            <w:tcW w:w="0" w:type="auto"/>
            <w:shd w:val="clear" w:color="auto" w:fill="FFFFFF"/>
            <w:tcMar>
              <w:top w:w="30" w:type="dxa"/>
              <w:left w:w="0" w:type="dxa"/>
              <w:bottom w:w="30" w:type="dxa"/>
              <w:right w:w="20" w:type="dxa"/>
            </w:tcMar>
            <w:vAlign w:val="bottom"/>
            <w:hideMark/>
          </w:tcPr>
          <w:p w14:paraId="670DFB49" w14:textId="77777777" w:rsidR="00000000" w:rsidRDefault="00EE5306">
            <w:pPr>
              <w:spacing w:after="100"/>
              <w:jc w:val="right"/>
              <w:rPr>
                <w:rFonts w:eastAsia="Times New Roman"/>
              </w:rPr>
            </w:pPr>
          </w:p>
        </w:tc>
      </w:tr>
      <w:tr w:rsidR="00000000" w14:paraId="2273CAA8" w14:textId="77777777">
        <w:trPr>
          <w:divId w:val="1271549685"/>
          <w:jc w:val="center"/>
        </w:trPr>
        <w:tc>
          <w:tcPr>
            <w:tcW w:w="0" w:type="auto"/>
            <w:gridSpan w:val="3"/>
            <w:shd w:val="clear" w:color="auto" w:fill="CCEEFF"/>
            <w:tcMar>
              <w:top w:w="30" w:type="dxa"/>
              <w:left w:w="155" w:type="dxa"/>
              <w:bottom w:w="30" w:type="dxa"/>
              <w:right w:w="20" w:type="dxa"/>
            </w:tcMar>
            <w:vAlign w:val="bottom"/>
            <w:hideMark/>
          </w:tcPr>
          <w:p w14:paraId="7F84E7BE" w14:textId="77777777" w:rsidR="00000000" w:rsidRDefault="00EE5306">
            <w:pPr>
              <w:spacing w:after="100"/>
              <w:rPr>
                <w:rFonts w:eastAsia="Times New Roman"/>
              </w:rPr>
            </w:pPr>
            <w:r>
              <w:rPr>
                <w:rFonts w:eastAsia="Times New Roman"/>
                <w:color w:val="000000"/>
                <w:sz w:val="20"/>
                <w:szCs w:val="20"/>
              </w:rPr>
              <w:t>Wholesale</w:t>
            </w:r>
          </w:p>
        </w:tc>
        <w:tc>
          <w:tcPr>
            <w:tcW w:w="0" w:type="auto"/>
            <w:gridSpan w:val="3"/>
            <w:shd w:val="clear" w:color="auto" w:fill="CCEEFF"/>
            <w:tcMar>
              <w:top w:w="0" w:type="dxa"/>
              <w:left w:w="20" w:type="dxa"/>
              <w:bottom w:w="0" w:type="dxa"/>
              <w:right w:w="20" w:type="dxa"/>
            </w:tcMar>
            <w:vAlign w:val="center"/>
            <w:hideMark/>
          </w:tcPr>
          <w:p w14:paraId="28BB4FF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F8B9BC" w14:textId="77777777" w:rsidR="00000000" w:rsidRDefault="00EE5306">
            <w:pPr>
              <w:spacing w:after="100"/>
              <w:jc w:val="right"/>
              <w:rPr>
                <w:rFonts w:eastAsia="Times New Roman"/>
              </w:rPr>
            </w:pPr>
            <w:r>
              <w:rPr>
                <w:rFonts w:eastAsia="Times New Roman"/>
                <w:color w:val="000000"/>
                <w:sz w:val="20"/>
                <w:szCs w:val="20"/>
              </w:rPr>
              <w:t>1,514.4 </w:t>
            </w:r>
          </w:p>
        </w:tc>
        <w:tc>
          <w:tcPr>
            <w:tcW w:w="0" w:type="auto"/>
            <w:shd w:val="clear" w:color="auto" w:fill="CCEEFF"/>
            <w:tcMar>
              <w:top w:w="30" w:type="dxa"/>
              <w:left w:w="0" w:type="dxa"/>
              <w:bottom w:w="30" w:type="dxa"/>
              <w:right w:w="20" w:type="dxa"/>
            </w:tcMar>
            <w:vAlign w:val="bottom"/>
            <w:hideMark/>
          </w:tcPr>
          <w:p w14:paraId="44FA41C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B53E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8DA29F" w14:textId="77777777" w:rsidR="00000000" w:rsidRDefault="00EE5306">
            <w:pPr>
              <w:spacing w:after="100"/>
              <w:jc w:val="right"/>
              <w:rPr>
                <w:rFonts w:eastAsia="Times New Roman"/>
              </w:rPr>
            </w:pPr>
            <w:r>
              <w:rPr>
                <w:rFonts w:eastAsia="Times New Roman"/>
                <w:color w:val="000000"/>
                <w:sz w:val="20"/>
                <w:szCs w:val="20"/>
              </w:rPr>
              <w:t>801.9 </w:t>
            </w:r>
          </w:p>
        </w:tc>
        <w:tc>
          <w:tcPr>
            <w:tcW w:w="0" w:type="auto"/>
            <w:shd w:val="clear" w:color="auto" w:fill="CCEEFF"/>
            <w:tcMar>
              <w:top w:w="30" w:type="dxa"/>
              <w:left w:w="0" w:type="dxa"/>
              <w:bottom w:w="30" w:type="dxa"/>
              <w:right w:w="20" w:type="dxa"/>
            </w:tcMar>
            <w:vAlign w:val="bottom"/>
            <w:hideMark/>
          </w:tcPr>
          <w:p w14:paraId="34A49D5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48B1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C9AB15" w14:textId="77777777" w:rsidR="00000000" w:rsidRDefault="00EE5306">
            <w:pPr>
              <w:spacing w:after="100"/>
              <w:jc w:val="right"/>
              <w:rPr>
                <w:rFonts w:eastAsia="Times New Roman"/>
              </w:rPr>
            </w:pPr>
            <w:r>
              <w:rPr>
                <w:rFonts w:eastAsia="Times New Roman"/>
                <w:color w:val="000000"/>
                <w:sz w:val="20"/>
                <w:szCs w:val="20"/>
              </w:rPr>
              <w:t>71.1 </w:t>
            </w:r>
          </w:p>
        </w:tc>
        <w:tc>
          <w:tcPr>
            <w:tcW w:w="0" w:type="auto"/>
            <w:shd w:val="clear" w:color="auto" w:fill="CCEEFF"/>
            <w:tcMar>
              <w:top w:w="30" w:type="dxa"/>
              <w:left w:w="0" w:type="dxa"/>
              <w:bottom w:w="30" w:type="dxa"/>
              <w:right w:w="20" w:type="dxa"/>
            </w:tcMar>
            <w:vAlign w:val="bottom"/>
            <w:hideMark/>
          </w:tcPr>
          <w:p w14:paraId="1FB50C6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9F26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66172" w14:textId="77777777" w:rsidR="00000000" w:rsidRDefault="00EE5306">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14:paraId="1695131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9B6B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B44DA6" w14:textId="77777777" w:rsidR="00000000" w:rsidRDefault="00EE5306">
            <w:pPr>
              <w:spacing w:after="100"/>
              <w:jc w:val="right"/>
              <w:rPr>
                <w:rFonts w:eastAsia="Times New Roman"/>
              </w:rPr>
            </w:pPr>
            <w:r>
              <w:rPr>
                <w:rFonts w:eastAsia="Times New Roman"/>
                <w:color w:val="000000"/>
                <w:sz w:val="20"/>
                <w:szCs w:val="20"/>
              </w:rPr>
              <w:t>2,392.5 </w:t>
            </w:r>
          </w:p>
        </w:tc>
        <w:tc>
          <w:tcPr>
            <w:tcW w:w="0" w:type="auto"/>
            <w:shd w:val="clear" w:color="auto" w:fill="CCEEFF"/>
            <w:tcMar>
              <w:top w:w="30" w:type="dxa"/>
              <w:left w:w="0" w:type="dxa"/>
              <w:bottom w:w="30" w:type="dxa"/>
              <w:right w:w="20" w:type="dxa"/>
            </w:tcMar>
            <w:vAlign w:val="bottom"/>
            <w:hideMark/>
          </w:tcPr>
          <w:p w14:paraId="03139CD2" w14:textId="77777777" w:rsidR="00000000" w:rsidRDefault="00EE5306">
            <w:pPr>
              <w:spacing w:after="100"/>
              <w:jc w:val="right"/>
              <w:rPr>
                <w:rFonts w:eastAsia="Times New Roman"/>
              </w:rPr>
            </w:pPr>
          </w:p>
        </w:tc>
      </w:tr>
      <w:tr w:rsidR="00000000" w14:paraId="350957DD" w14:textId="77777777">
        <w:trPr>
          <w:divId w:val="1271549685"/>
          <w:jc w:val="center"/>
        </w:trPr>
        <w:tc>
          <w:tcPr>
            <w:tcW w:w="0" w:type="auto"/>
            <w:gridSpan w:val="3"/>
            <w:shd w:val="clear" w:color="auto" w:fill="FFFFFF"/>
            <w:tcMar>
              <w:top w:w="30" w:type="dxa"/>
              <w:left w:w="155" w:type="dxa"/>
              <w:bottom w:w="30" w:type="dxa"/>
              <w:right w:w="20" w:type="dxa"/>
            </w:tcMar>
            <w:vAlign w:val="bottom"/>
            <w:hideMark/>
          </w:tcPr>
          <w:p w14:paraId="4F324282" w14:textId="77777777" w:rsidR="00000000" w:rsidRDefault="00EE5306">
            <w:pPr>
              <w:spacing w:after="100"/>
              <w:rPr>
                <w:rFonts w:eastAsia="Times New Roman"/>
              </w:rPr>
            </w:pPr>
            <w:r>
              <w:rPr>
                <w:rFonts w:eastAsia="Times New Roman"/>
                <w:color w:val="000000"/>
                <w:sz w:val="20"/>
                <w:szCs w:val="20"/>
              </w:rPr>
              <w:t>Licensing</w:t>
            </w:r>
          </w:p>
        </w:tc>
        <w:tc>
          <w:tcPr>
            <w:tcW w:w="0" w:type="auto"/>
            <w:gridSpan w:val="3"/>
            <w:shd w:val="clear" w:color="auto" w:fill="FFFFFF"/>
            <w:tcMar>
              <w:top w:w="0" w:type="dxa"/>
              <w:left w:w="20" w:type="dxa"/>
              <w:bottom w:w="0" w:type="dxa"/>
              <w:right w:w="20" w:type="dxa"/>
            </w:tcMar>
            <w:vAlign w:val="center"/>
            <w:hideMark/>
          </w:tcPr>
          <w:p w14:paraId="562E5DE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D5373E"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B5149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3171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F945A3"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F1633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82F7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C2A794"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A3921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282E1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7DB307" w14:textId="77777777" w:rsidR="00000000" w:rsidRDefault="00EE5306">
            <w:pPr>
              <w:spacing w:after="100"/>
              <w:jc w:val="right"/>
              <w:rPr>
                <w:rFonts w:eastAsia="Times New Roman"/>
              </w:rPr>
            </w:pPr>
            <w:r>
              <w:rPr>
                <w:rFonts w:eastAsia="Times New Roman"/>
                <w:color w:val="000000"/>
                <w:sz w:val="20"/>
                <w:szCs w:val="20"/>
              </w:rPr>
              <w:t>172.7 </w:t>
            </w:r>
          </w:p>
        </w:tc>
        <w:tc>
          <w:tcPr>
            <w:tcW w:w="0" w:type="auto"/>
            <w:shd w:val="clear" w:color="auto" w:fill="FFFFFF"/>
            <w:tcMar>
              <w:top w:w="30" w:type="dxa"/>
              <w:left w:w="0" w:type="dxa"/>
              <w:bottom w:w="30" w:type="dxa"/>
              <w:right w:w="20" w:type="dxa"/>
            </w:tcMar>
            <w:vAlign w:val="bottom"/>
            <w:hideMark/>
          </w:tcPr>
          <w:p w14:paraId="1249D8B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B3DF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551EFE" w14:textId="77777777" w:rsidR="00000000" w:rsidRDefault="00EE5306">
            <w:pPr>
              <w:spacing w:after="100"/>
              <w:jc w:val="right"/>
              <w:rPr>
                <w:rFonts w:eastAsia="Times New Roman"/>
              </w:rPr>
            </w:pPr>
            <w:r>
              <w:rPr>
                <w:rFonts w:eastAsia="Times New Roman"/>
                <w:color w:val="000000"/>
                <w:sz w:val="20"/>
                <w:szCs w:val="20"/>
              </w:rPr>
              <w:t>172.7 </w:t>
            </w:r>
          </w:p>
        </w:tc>
        <w:tc>
          <w:tcPr>
            <w:tcW w:w="0" w:type="auto"/>
            <w:shd w:val="clear" w:color="auto" w:fill="FFFFFF"/>
            <w:tcMar>
              <w:top w:w="30" w:type="dxa"/>
              <w:left w:w="0" w:type="dxa"/>
              <w:bottom w:w="30" w:type="dxa"/>
              <w:right w:w="20" w:type="dxa"/>
            </w:tcMar>
            <w:vAlign w:val="bottom"/>
            <w:hideMark/>
          </w:tcPr>
          <w:p w14:paraId="2492F68D" w14:textId="77777777" w:rsidR="00000000" w:rsidRDefault="00EE5306">
            <w:pPr>
              <w:spacing w:after="100"/>
              <w:jc w:val="right"/>
              <w:rPr>
                <w:rFonts w:eastAsia="Times New Roman"/>
              </w:rPr>
            </w:pPr>
          </w:p>
        </w:tc>
      </w:tr>
      <w:tr w:rsidR="00000000" w14:paraId="47825AF8" w14:textId="77777777">
        <w:trPr>
          <w:divId w:val="1271549685"/>
          <w:jc w:val="center"/>
        </w:trPr>
        <w:tc>
          <w:tcPr>
            <w:tcW w:w="0" w:type="auto"/>
            <w:gridSpan w:val="3"/>
            <w:shd w:val="clear" w:color="auto" w:fill="CCEEFF"/>
            <w:tcMar>
              <w:top w:w="30" w:type="dxa"/>
              <w:left w:w="380" w:type="dxa"/>
              <w:bottom w:w="30" w:type="dxa"/>
              <w:right w:w="20" w:type="dxa"/>
            </w:tcMar>
            <w:vAlign w:val="bottom"/>
            <w:hideMark/>
          </w:tcPr>
          <w:p w14:paraId="427C8E8E" w14:textId="77777777" w:rsidR="00000000" w:rsidRDefault="00EE530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3F75AC30"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5B75A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BDFEDB" w14:textId="77777777" w:rsidR="00000000" w:rsidRDefault="00EE5306">
            <w:pPr>
              <w:spacing w:after="100"/>
              <w:jc w:val="right"/>
              <w:rPr>
                <w:rFonts w:eastAsia="Times New Roman"/>
              </w:rPr>
            </w:pPr>
            <w:r>
              <w:rPr>
                <w:rFonts w:eastAsia="Times New Roman"/>
                <w:color w:val="000000"/>
                <w:sz w:val="20"/>
                <w:szCs w:val="20"/>
              </w:rPr>
              <w:t>3,202.9 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E6FA5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DB87D"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3B5CB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5FBE80" w14:textId="77777777" w:rsidR="00000000" w:rsidRDefault="00EE5306">
            <w:pPr>
              <w:spacing w:after="100"/>
              <w:jc w:val="right"/>
              <w:rPr>
                <w:rFonts w:eastAsia="Times New Roman"/>
              </w:rPr>
            </w:pPr>
            <w:r>
              <w:rPr>
                <w:rFonts w:eastAsia="Times New Roman"/>
                <w:color w:val="000000"/>
                <w:sz w:val="20"/>
                <w:szCs w:val="20"/>
              </w:rPr>
              <w:t>1,683.0 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1C2A5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200E8"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39BD4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1FA722" w14:textId="77777777" w:rsidR="00000000" w:rsidRDefault="00EE5306">
            <w:pPr>
              <w:spacing w:after="100"/>
              <w:jc w:val="right"/>
              <w:rPr>
                <w:rFonts w:eastAsia="Times New Roman"/>
              </w:rPr>
            </w:pPr>
            <w:r>
              <w:rPr>
                <w:rFonts w:eastAsia="Times New Roman"/>
                <w:color w:val="000000"/>
                <w:sz w:val="20"/>
                <w:szCs w:val="20"/>
              </w:rPr>
              <w:t>1,041.0 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5BA8B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4DEA1"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BDB862"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573EAD" w14:textId="77777777" w:rsidR="00000000" w:rsidRDefault="00EE5306">
            <w:pPr>
              <w:spacing w:after="100"/>
              <w:jc w:val="right"/>
              <w:rPr>
                <w:rFonts w:eastAsia="Times New Roman"/>
              </w:rPr>
            </w:pPr>
            <w:r>
              <w:rPr>
                <w:rFonts w:eastAsia="Times New Roman"/>
                <w:color w:val="000000"/>
                <w:sz w:val="20"/>
                <w:szCs w:val="20"/>
              </w:rPr>
              <w:t>386.1 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0C39B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FA555"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468506"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69F42B" w14:textId="77777777" w:rsidR="00000000" w:rsidRDefault="00EE5306">
            <w:pPr>
              <w:spacing w:after="100"/>
              <w:jc w:val="right"/>
              <w:rPr>
                <w:rFonts w:eastAsia="Times New Roman"/>
              </w:rPr>
            </w:pPr>
            <w:r>
              <w:rPr>
                <w:rFonts w:eastAsia="Times New Roman"/>
                <w:color w:val="000000"/>
                <w:sz w:val="20"/>
                <w:szCs w:val="20"/>
              </w:rPr>
              <w:t>6,313.0 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C91048"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400A7D95" w14:textId="77777777">
        <w:tc>
          <w:tcPr>
            <w:tcW w:w="50" w:type="pct"/>
            <w:vAlign w:val="center"/>
            <w:hideMark/>
          </w:tcPr>
          <w:p w14:paraId="6EE8BA80" w14:textId="77777777" w:rsidR="00000000" w:rsidRDefault="00EE5306">
            <w:pPr>
              <w:ind w:firstLine="450"/>
              <w:jc w:val="center"/>
              <w:rPr>
                <w:rFonts w:eastAsia="Times New Roman"/>
              </w:rPr>
            </w:pPr>
          </w:p>
        </w:tc>
        <w:tc>
          <w:tcPr>
            <w:tcW w:w="4945" w:type="pct"/>
            <w:vAlign w:val="center"/>
            <w:hideMark/>
          </w:tcPr>
          <w:p w14:paraId="7147BB9B" w14:textId="77777777" w:rsidR="00000000" w:rsidRDefault="00EE5306">
            <w:pPr>
              <w:spacing w:after="100"/>
              <w:rPr>
                <w:rFonts w:eastAsia="Times New Roman"/>
                <w:sz w:val="20"/>
                <w:szCs w:val="20"/>
              </w:rPr>
            </w:pPr>
          </w:p>
        </w:tc>
        <w:tc>
          <w:tcPr>
            <w:tcW w:w="5" w:type="pct"/>
            <w:vAlign w:val="center"/>
            <w:hideMark/>
          </w:tcPr>
          <w:p w14:paraId="67F513EE" w14:textId="77777777" w:rsidR="00000000" w:rsidRDefault="00EE5306">
            <w:pPr>
              <w:spacing w:after="100"/>
              <w:rPr>
                <w:rFonts w:eastAsia="Times New Roman"/>
                <w:sz w:val="20"/>
                <w:szCs w:val="20"/>
              </w:rPr>
            </w:pPr>
          </w:p>
        </w:tc>
      </w:tr>
      <w:tr w:rsidR="00000000" w14:paraId="79CA92A6"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6D809B16" w14:textId="77777777" w:rsidR="00000000" w:rsidRDefault="00EE5306">
            <w:pPr>
              <w:spacing w:after="100"/>
              <w:rPr>
                <w:rFonts w:eastAsia="Times New Roman"/>
                <w:sz w:val="20"/>
                <w:szCs w:val="20"/>
              </w:rPr>
            </w:pPr>
          </w:p>
        </w:tc>
      </w:tr>
    </w:tbl>
    <w:p w14:paraId="6B68EDA7" w14:textId="77777777" w:rsidR="00000000" w:rsidRDefault="00EE5306">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Net revenues from the Company's retail and wholesale businesses are recognized at a point in time. Net revenues from the Company's licensing business are recognized over time.</w:t>
      </w:r>
    </w:p>
    <w:p w14:paraId="3372098B" w14:textId="77777777" w:rsidR="00000000" w:rsidRDefault="00EE5306">
      <w:pPr>
        <w:ind w:firstLine="360"/>
        <w:jc w:val="both"/>
        <w:divId w:val="689071196"/>
        <w:rPr>
          <w:rFonts w:eastAsia="Times New Roman"/>
        </w:rPr>
      </w:pPr>
      <w:r>
        <w:rPr>
          <w:rFonts w:eastAsia="Times New Roman"/>
          <w:i/>
          <w:iCs/>
          <w:color w:val="000000"/>
          <w:sz w:val="20"/>
          <w:szCs w:val="20"/>
        </w:rPr>
        <w:t>Deferred Income</w:t>
      </w:r>
    </w:p>
    <w:p w14:paraId="38E4E64C" w14:textId="77777777" w:rsidR="00000000" w:rsidRDefault="00EE5306">
      <w:pPr>
        <w:ind w:firstLine="540"/>
        <w:jc w:val="both"/>
        <w:divId w:val="1312566352"/>
        <w:rPr>
          <w:rFonts w:eastAsia="Times New Roman"/>
        </w:rPr>
      </w:pPr>
      <w:r>
        <w:rPr>
          <w:rFonts w:eastAsia="Times New Roman"/>
          <w:color w:val="000000"/>
          <w:sz w:val="20"/>
          <w:szCs w:val="20"/>
        </w:rPr>
        <w:t xml:space="preserve">Deferred income represents cash payments received in advance of </w:t>
      </w:r>
      <w:r>
        <w:rPr>
          <w:rFonts w:eastAsia="Times New Roman"/>
          <w:color w:val="000000"/>
          <w:sz w:val="20"/>
          <w:szCs w:val="20"/>
        </w:rPr>
        <w:t>the Company's transfer of control of products or services to its customers and generally consists of unredeemed gift cards (net of breakage) and advance royalty payments from licensees. The Company's deferred income balances were $12.1 million and $14.6 mi</w:t>
      </w:r>
      <w:r>
        <w:rPr>
          <w:rFonts w:eastAsia="Times New Roman"/>
          <w:color w:val="000000"/>
          <w:sz w:val="20"/>
          <w:szCs w:val="20"/>
        </w:rPr>
        <w:t xml:space="preserve">llion as of March 27, 2021 and March 28, 2020, respectively, and were primarily recorded within accrued expenses and other current liabilities within the consolidated balance sheets. During Fiscal 2021, the Company recognized $10.0 million of net revenues </w:t>
      </w:r>
      <w:r>
        <w:rPr>
          <w:rFonts w:eastAsia="Times New Roman"/>
          <w:color w:val="000000"/>
          <w:sz w:val="20"/>
          <w:szCs w:val="20"/>
        </w:rPr>
        <w:t>from amounts recorded as deferred income as of March 28, 2020. The majority of the deferred income balance as of March 27, 2021 is expected to be recognized as revenue within the next twelve months.</w:t>
      </w:r>
    </w:p>
    <w:p w14:paraId="4063D26B" w14:textId="77777777" w:rsidR="00000000" w:rsidRDefault="00EE5306">
      <w:pPr>
        <w:ind w:firstLine="360"/>
        <w:jc w:val="both"/>
        <w:divId w:val="548230012"/>
        <w:rPr>
          <w:rFonts w:eastAsia="Times New Roman"/>
        </w:rPr>
      </w:pPr>
      <w:r>
        <w:rPr>
          <w:rFonts w:eastAsia="Times New Roman"/>
          <w:b/>
          <w:bCs/>
          <w:i/>
          <w:iCs/>
          <w:color w:val="000000"/>
          <w:sz w:val="20"/>
          <w:szCs w:val="20"/>
        </w:rPr>
        <w:t>Cost of Goods Sold and Selling Expenses</w:t>
      </w:r>
    </w:p>
    <w:p w14:paraId="508C206C" w14:textId="77777777" w:rsidR="00000000" w:rsidRDefault="00EE5306">
      <w:pPr>
        <w:ind w:firstLine="540"/>
        <w:jc w:val="both"/>
        <w:divId w:val="1847938604"/>
        <w:rPr>
          <w:rFonts w:eastAsia="Times New Roman"/>
        </w:rPr>
      </w:pPr>
      <w:r>
        <w:rPr>
          <w:rFonts w:eastAsia="Times New Roman"/>
          <w:color w:val="000000"/>
          <w:sz w:val="20"/>
          <w:szCs w:val="20"/>
        </w:rPr>
        <w:t>Cost of goods sold includes the amounts incurred to acquire and produce inventory for sale to the Company's customers, including product costs, freight-in, and import costs, as well as changes in reserves for shrinkage and inventory realizability. Gains an</w:t>
      </w:r>
      <w:r>
        <w:rPr>
          <w:rFonts w:eastAsia="Times New Roman"/>
          <w:color w:val="000000"/>
          <w:sz w:val="20"/>
          <w:szCs w:val="20"/>
        </w:rPr>
        <w:t>d losses associated with forward foreign currency exchange contracts that are designated and qualifying as cash flow hedges of inventory transactions are also recognized within cost of goods sold when the hedged inventory is sold. The costs of selling merc</w:t>
      </w:r>
      <w:r>
        <w:rPr>
          <w:rFonts w:eastAsia="Times New Roman"/>
          <w:color w:val="000000"/>
          <w:sz w:val="20"/>
          <w:szCs w:val="20"/>
        </w:rPr>
        <w:t>handise, including those associated with preparing merchandise for sale, such as picking, packing, warehousing, and order charges ("handling costs"), are included in selling, general, and administrative ("SG&amp;A") expenses in the consolidated statements of o</w:t>
      </w:r>
      <w:r>
        <w:rPr>
          <w:rFonts w:eastAsia="Times New Roman"/>
          <w:color w:val="000000"/>
          <w:sz w:val="20"/>
          <w:szCs w:val="20"/>
        </w:rPr>
        <w:t>perations.</w:t>
      </w:r>
    </w:p>
    <w:p w14:paraId="2AC4A900" w14:textId="77777777" w:rsidR="00000000" w:rsidRDefault="00EE5306">
      <w:pPr>
        <w:ind w:firstLine="360"/>
        <w:jc w:val="both"/>
        <w:divId w:val="476801321"/>
        <w:rPr>
          <w:rFonts w:eastAsia="Times New Roman"/>
        </w:rPr>
      </w:pPr>
      <w:r>
        <w:rPr>
          <w:rFonts w:eastAsia="Times New Roman"/>
          <w:b/>
          <w:bCs/>
          <w:i/>
          <w:iCs/>
          <w:color w:val="000000"/>
          <w:sz w:val="20"/>
          <w:szCs w:val="20"/>
        </w:rPr>
        <w:t>Shipping and Handling Costs</w:t>
      </w:r>
    </w:p>
    <w:p w14:paraId="55942FB4" w14:textId="77777777" w:rsidR="00000000" w:rsidRDefault="00EE5306">
      <w:pPr>
        <w:ind w:firstLine="540"/>
        <w:jc w:val="both"/>
        <w:divId w:val="1750541180"/>
        <w:rPr>
          <w:rFonts w:eastAsia="Times New Roman"/>
        </w:rPr>
      </w:pPr>
      <w:r>
        <w:rPr>
          <w:rFonts w:eastAsia="Times New Roman"/>
          <w:color w:val="000000"/>
          <w:sz w:val="20"/>
          <w:szCs w:val="20"/>
        </w:rPr>
        <w:t xml:space="preserve">Costs associated with shipping goods to customers are accounted for as fulfillment activities and reflected as SG&amp;A expenses in the consolidated statements of operations. Shipping and handling costs (described above) </w:t>
      </w:r>
      <w:r>
        <w:rPr>
          <w:rFonts w:eastAsia="Times New Roman"/>
          <w:color w:val="000000"/>
          <w:sz w:val="20"/>
          <w:szCs w:val="20"/>
        </w:rPr>
        <w:t>billed to customers are included in revenue. A summary of shipping and handling costs recognized during the fiscal periods presented is as follows:</w:t>
      </w:r>
    </w:p>
    <w:tbl>
      <w:tblPr>
        <w:tblW w:w="4729" w:type="pct"/>
        <w:tblCellMar>
          <w:top w:w="15" w:type="dxa"/>
          <w:left w:w="15" w:type="dxa"/>
          <w:bottom w:w="15" w:type="dxa"/>
          <w:right w:w="15" w:type="dxa"/>
        </w:tblCellMar>
        <w:tblLook w:val="04A0" w:firstRow="1" w:lastRow="0" w:firstColumn="1" w:lastColumn="0" w:noHBand="0" w:noVBand="1"/>
      </w:tblPr>
      <w:tblGrid>
        <w:gridCol w:w="37"/>
        <w:gridCol w:w="4616"/>
        <w:gridCol w:w="36"/>
        <w:gridCol w:w="36"/>
        <w:gridCol w:w="36"/>
        <w:gridCol w:w="36"/>
        <w:gridCol w:w="120"/>
        <w:gridCol w:w="791"/>
        <w:gridCol w:w="36"/>
        <w:gridCol w:w="36"/>
        <w:gridCol w:w="36"/>
        <w:gridCol w:w="36"/>
        <w:gridCol w:w="120"/>
        <w:gridCol w:w="791"/>
        <w:gridCol w:w="36"/>
        <w:gridCol w:w="36"/>
        <w:gridCol w:w="36"/>
        <w:gridCol w:w="36"/>
        <w:gridCol w:w="120"/>
        <w:gridCol w:w="793"/>
        <w:gridCol w:w="36"/>
      </w:tblGrid>
      <w:tr w:rsidR="00000000" w14:paraId="0753090E" w14:textId="77777777">
        <w:trPr>
          <w:divId w:val="1486429848"/>
        </w:trPr>
        <w:tc>
          <w:tcPr>
            <w:tcW w:w="50" w:type="pct"/>
            <w:vAlign w:val="center"/>
            <w:hideMark/>
          </w:tcPr>
          <w:p w14:paraId="30F6E9E7" w14:textId="77777777" w:rsidR="00000000" w:rsidRDefault="00EE5306">
            <w:pPr>
              <w:ind w:firstLine="540"/>
              <w:jc w:val="both"/>
              <w:rPr>
                <w:rFonts w:eastAsia="Times New Roman"/>
              </w:rPr>
            </w:pPr>
          </w:p>
        </w:tc>
        <w:tc>
          <w:tcPr>
            <w:tcW w:w="2974" w:type="pct"/>
            <w:vAlign w:val="center"/>
            <w:hideMark/>
          </w:tcPr>
          <w:p w14:paraId="0B7810C6" w14:textId="77777777" w:rsidR="00000000" w:rsidRDefault="00EE5306">
            <w:pPr>
              <w:spacing w:after="100"/>
              <w:rPr>
                <w:rFonts w:eastAsia="Times New Roman"/>
                <w:sz w:val="20"/>
                <w:szCs w:val="20"/>
              </w:rPr>
            </w:pPr>
          </w:p>
        </w:tc>
        <w:tc>
          <w:tcPr>
            <w:tcW w:w="5" w:type="pct"/>
            <w:vAlign w:val="center"/>
            <w:hideMark/>
          </w:tcPr>
          <w:p w14:paraId="182824D8" w14:textId="77777777" w:rsidR="00000000" w:rsidRDefault="00EE5306">
            <w:pPr>
              <w:spacing w:after="100"/>
              <w:rPr>
                <w:rFonts w:eastAsia="Times New Roman"/>
                <w:sz w:val="20"/>
                <w:szCs w:val="20"/>
              </w:rPr>
            </w:pPr>
          </w:p>
        </w:tc>
        <w:tc>
          <w:tcPr>
            <w:tcW w:w="5" w:type="pct"/>
            <w:vAlign w:val="center"/>
            <w:hideMark/>
          </w:tcPr>
          <w:p w14:paraId="571A2CB0" w14:textId="77777777" w:rsidR="00000000" w:rsidRDefault="00EE5306">
            <w:pPr>
              <w:spacing w:after="100"/>
              <w:rPr>
                <w:rFonts w:eastAsia="Times New Roman"/>
                <w:sz w:val="20"/>
                <w:szCs w:val="20"/>
              </w:rPr>
            </w:pPr>
          </w:p>
        </w:tc>
        <w:tc>
          <w:tcPr>
            <w:tcW w:w="28" w:type="pct"/>
            <w:vAlign w:val="center"/>
            <w:hideMark/>
          </w:tcPr>
          <w:p w14:paraId="22313AF3" w14:textId="77777777" w:rsidR="00000000" w:rsidRDefault="00EE5306">
            <w:pPr>
              <w:spacing w:after="100"/>
              <w:rPr>
                <w:rFonts w:eastAsia="Times New Roman"/>
                <w:sz w:val="20"/>
                <w:szCs w:val="20"/>
              </w:rPr>
            </w:pPr>
          </w:p>
        </w:tc>
        <w:tc>
          <w:tcPr>
            <w:tcW w:w="5" w:type="pct"/>
            <w:vAlign w:val="center"/>
            <w:hideMark/>
          </w:tcPr>
          <w:p w14:paraId="55AF3C0A" w14:textId="77777777" w:rsidR="00000000" w:rsidRDefault="00EE5306">
            <w:pPr>
              <w:spacing w:after="100"/>
              <w:rPr>
                <w:rFonts w:eastAsia="Times New Roman"/>
                <w:sz w:val="20"/>
                <w:szCs w:val="20"/>
              </w:rPr>
            </w:pPr>
          </w:p>
        </w:tc>
        <w:tc>
          <w:tcPr>
            <w:tcW w:w="50" w:type="pct"/>
            <w:vAlign w:val="center"/>
            <w:hideMark/>
          </w:tcPr>
          <w:p w14:paraId="3E9F3B93" w14:textId="77777777" w:rsidR="00000000" w:rsidRDefault="00EE5306">
            <w:pPr>
              <w:spacing w:after="100"/>
              <w:rPr>
                <w:rFonts w:eastAsia="Times New Roman"/>
                <w:sz w:val="20"/>
                <w:szCs w:val="20"/>
              </w:rPr>
            </w:pPr>
          </w:p>
        </w:tc>
        <w:tc>
          <w:tcPr>
            <w:tcW w:w="563" w:type="pct"/>
            <w:vAlign w:val="center"/>
            <w:hideMark/>
          </w:tcPr>
          <w:p w14:paraId="7DBD5E79" w14:textId="77777777" w:rsidR="00000000" w:rsidRDefault="00EE5306">
            <w:pPr>
              <w:spacing w:after="100"/>
              <w:rPr>
                <w:rFonts w:eastAsia="Times New Roman"/>
                <w:sz w:val="20"/>
                <w:szCs w:val="20"/>
              </w:rPr>
            </w:pPr>
          </w:p>
        </w:tc>
        <w:tc>
          <w:tcPr>
            <w:tcW w:w="5" w:type="pct"/>
            <w:vAlign w:val="center"/>
            <w:hideMark/>
          </w:tcPr>
          <w:p w14:paraId="64DE539F" w14:textId="77777777" w:rsidR="00000000" w:rsidRDefault="00EE5306">
            <w:pPr>
              <w:spacing w:after="100"/>
              <w:rPr>
                <w:rFonts w:eastAsia="Times New Roman"/>
                <w:sz w:val="20"/>
                <w:szCs w:val="20"/>
              </w:rPr>
            </w:pPr>
          </w:p>
        </w:tc>
        <w:tc>
          <w:tcPr>
            <w:tcW w:w="5" w:type="pct"/>
            <w:vAlign w:val="center"/>
            <w:hideMark/>
          </w:tcPr>
          <w:p w14:paraId="403AEAC8" w14:textId="77777777" w:rsidR="00000000" w:rsidRDefault="00EE5306">
            <w:pPr>
              <w:spacing w:after="100"/>
              <w:rPr>
                <w:rFonts w:eastAsia="Times New Roman"/>
                <w:sz w:val="20"/>
                <w:szCs w:val="20"/>
              </w:rPr>
            </w:pPr>
          </w:p>
        </w:tc>
        <w:tc>
          <w:tcPr>
            <w:tcW w:w="28" w:type="pct"/>
            <w:vAlign w:val="center"/>
            <w:hideMark/>
          </w:tcPr>
          <w:p w14:paraId="2F4DC357" w14:textId="77777777" w:rsidR="00000000" w:rsidRDefault="00EE5306">
            <w:pPr>
              <w:spacing w:after="100"/>
              <w:rPr>
                <w:rFonts w:eastAsia="Times New Roman"/>
                <w:sz w:val="20"/>
                <w:szCs w:val="20"/>
              </w:rPr>
            </w:pPr>
          </w:p>
        </w:tc>
        <w:tc>
          <w:tcPr>
            <w:tcW w:w="5" w:type="pct"/>
            <w:vAlign w:val="center"/>
            <w:hideMark/>
          </w:tcPr>
          <w:p w14:paraId="554B9B6C" w14:textId="77777777" w:rsidR="00000000" w:rsidRDefault="00EE5306">
            <w:pPr>
              <w:spacing w:after="100"/>
              <w:rPr>
                <w:rFonts w:eastAsia="Times New Roman"/>
                <w:sz w:val="20"/>
                <w:szCs w:val="20"/>
              </w:rPr>
            </w:pPr>
          </w:p>
        </w:tc>
        <w:tc>
          <w:tcPr>
            <w:tcW w:w="50" w:type="pct"/>
            <w:vAlign w:val="center"/>
            <w:hideMark/>
          </w:tcPr>
          <w:p w14:paraId="50966EA0" w14:textId="77777777" w:rsidR="00000000" w:rsidRDefault="00EE5306">
            <w:pPr>
              <w:spacing w:after="100"/>
              <w:rPr>
                <w:rFonts w:eastAsia="Times New Roman"/>
                <w:sz w:val="20"/>
                <w:szCs w:val="20"/>
              </w:rPr>
            </w:pPr>
          </w:p>
        </w:tc>
        <w:tc>
          <w:tcPr>
            <w:tcW w:w="563" w:type="pct"/>
            <w:vAlign w:val="center"/>
            <w:hideMark/>
          </w:tcPr>
          <w:p w14:paraId="361EDBA6" w14:textId="77777777" w:rsidR="00000000" w:rsidRDefault="00EE5306">
            <w:pPr>
              <w:spacing w:after="100"/>
              <w:rPr>
                <w:rFonts w:eastAsia="Times New Roman"/>
                <w:sz w:val="20"/>
                <w:szCs w:val="20"/>
              </w:rPr>
            </w:pPr>
          </w:p>
        </w:tc>
        <w:tc>
          <w:tcPr>
            <w:tcW w:w="5" w:type="pct"/>
            <w:vAlign w:val="center"/>
            <w:hideMark/>
          </w:tcPr>
          <w:p w14:paraId="58DD3BE1" w14:textId="77777777" w:rsidR="00000000" w:rsidRDefault="00EE5306">
            <w:pPr>
              <w:spacing w:after="100"/>
              <w:rPr>
                <w:rFonts w:eastAsia="Times New Roman"/>
                <w:sz w:val="20"/>
                <w:szCs w:val="20"/>
              </w:rPr>
            </w:pPr>
          </w:p>
        </w:tc>
        <w:tc>
          <w:tcPr>
            <w:tcW w:w="5" w:type="pct"/>
            <w:vAlign w:val="center"/>
            <w:hideMark/>
          </w:tcPr>
          <w:p w14:paraId="3A4F1901" w14:textId="77777777" w:rsidR="00000000" w:rsidRDefault="00EE5306">
            <w:pPr>
              <w:spacing w:after="100"/>
              <w:rPr>
                <w:rFonts w:eastAsia="Times New Roman"/>
                <w:sz w:val="20"/>
                <w:szCs w:val="20"/>
              </w:rPr>
            </w:pPr>
          </w:p>
        </w:tc>
        <w:tc>
          <w:tcPr>
            <w:tcW w:w="28" w:type="pct"/>
            <w:vAlign w:val="center"/>
            <w:hideMark/>
          </w:tcPr>
          <w:p w14:paraId="077F1548" w14:textId="77777777" w:rsidR="00000000" w:rsidRDefault="00EE5306">
            <w:pPr>
              <w:spacing w:after="100"/>
              <w:rPr>
                <w:rFonts w:eastAsia="Times New Roman"/>
                <w:sz w:val="20"/>
                <w:szCs w:val="20"/>
              </w:rPr>
            </w:pPr>
          </w:p>
        </w:tc>
        <w:tc>
          <w:tcPr>
            <w:tcW w:w="5" w:type="pct"/>
            <w:vAlign w:val="center"/>
            <w:hideMark/>
          </w:tcPr>
          <w:p w14:paraId="31601D6F" w14:textId="77777777" w:rsidR="00000000" w:rsidRDefault="00EE5306">
            <w:pPr>
              <w:spacing w:after="100"/>
              <w:rPr>
                <w:rFonts w:eastAsia="Times New Roman"/>
                <w:sz w:val="20"/>
                <w:szCs w:val="20"/>
              </w:rPr>
            </w:pPr>
          </w:p>
        </w:tc>
        <w:tc>
          <w:tcPr>
            <w:tcW w:w="50" w:type="pct"/>
            <w:vAlign w:val="center"/>
            <w:hideMark/>
          </w:tcPr>
          <w:p w14:paraId="4F560098" w14:textId="77777777" w:rsidR="00000000" w:rsidRDefault="00EE5306">
            <w:pPr>
              <w:spacing w:after="100"/>
              <w:rPr>
                <w:rFonts w:eastAsia="Times New Roman"/>
                <w:sz w:val="20"/>
                <w:szCs w:val="20"/>
              </w:rPr>
            </w:pPr>
          </w:p>
        </w:tc>
        <w:tc>
          <w:tcPr>
            <w:tcW w:w="563" w:type="pct"/>
            <w:vAlign w:val="center"/>
            <w:hideMark/>
          </w:tcPr>
          <w:p w14:paraId="316195D2" w14:textId="77777777" w:rsidR="00000000" w:rsidRDefault="00EE5306">
            <w:pPr>
              <w:spacing w:after="100"/>
              <w:rPr>
                <w:rFonts w:eastAsia="Times New Roman"/>
                <w:sz w:val="20"/>
                <w:szCs w:val="20"/>
              </w:rPr>
            </w:pPr>
          </w:p>
        </w:tc>
        <w:tc>
          <w:tcPr>
            <w:tcW w:w="5" w:type="pct"/>
            <w:vAlign w:val="center"/>
            <w:hideMark/>
          </w:tcPr>
          <w:p w14:paraId="07BD6186" w14:textId="77777777" w:rsidR="00000000" w:rsidRDefault="00EE5306">
            <w:pPr>
              <w:spacing w:after="100"/>
              <w:rPr>
                <w:rFonts w:eastAsia="Times New Roman"/>
                <w:sz w:val="20"/>
                <w:szCs w:val="20"/>
              </w:rPr>
            </w:pPr>
          </w:p>
        </w:tc>
      </w:tr>
      <w:tr w:rsidR="00000000" w14:paraId="53DA5B8A" w14:textId="77777777">
        <w:trPr>
          <w:divId w:val="1486429848"/>
        </w:trPr>
        <w:tc>
          <w:tcPr>
            <w:tcW w:w="0" w:type="auto"/>
            <w:gridSpan w:val="3"/>
            <w:tcMar>
              <w:top w:w="30" w:type="dxa"/>
              <w:left w:w="20" w:type="dxa"/>
              <w:bottom w:w="30" w:type="dxa"/>
              <w:right w:w="20" w:type="dxa"/>
            </w:tcMar>
            <w:vAlign w:val="bottom"/>
            <w:hideMark/>
          </w:tcPr>
          <w:p w14:paraId="178F1A7B"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7F7A398"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224BDFED"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1DE1DCD4" w14:textId="77777777">
        <w:trPr>
          <w:divId w:val="1486429848"/>
        </w:trPr>
        <w:tc>
          <w:tcPr>
            <w:tcW w:w="0" w:type="auto"/>
            <w:gridSpan w:val="3"/>
            <w:tcMar>
              <w:top w:w="30" w:type="dxa"/>
              <w:left w:w="20" w:type="dxa"/>
              <w:bottom w:w="30" w:type="dxa"/>
              <w:right w:w="20" w:type="dxa"/>
            </w:tcMar>
            <w:vAlign w:val="bottom"/>
            <w:hideMark/>
          </w:tcPr>
          <w:p w14:paraId="7AF6B22B"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51E112F"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8611C3"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2B644FF1"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25B8BD2"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D0FC4C4"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FC65FF"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2A142ACD" w14:textId="77777777">
        <w:trPr>
          <w:divId w:val="1486429848"/>
        </w:trPr>
        <w:tc>
          <w:tcPr>
            <w:tcW w:w="0" w:type="auto"/>
            <w:gridSpan w:val="3"/>
            <w:tcMar>
              <w:top w:w="30" w:type="dxa"/>
              <w:left w:w="20" w:type="dxa"/>
              <w:bottom w:w="30" w:type="dxa"/>
              <w:right w:w="20" w:type="dxa"/>
            </w:tcMar>
            <w:vAlign w:val="bottom"/>
            <w:hideMark/>
          </w:tcPr>
          <w:p w14:paraId="7CE167C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E5781C1"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E19AD25"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7E5B22CF" w14:textId="77777777">
        <w:trPr>
          <w:divId w:val="1486429848"/>
        </w:trPr>
        <w:tc>
          <w:tcPr>
            <w:tcW w:w="0" w:type="auto"/>
            <w:gridSpan w:val="3"/>
            <w:shd w:val="clear" w:color="auto" w:fill="CCEEFF"/>
            <w:tcMar>
              <w:top w:w="30" w:type="dxa"/>
              <w:left w:w="20" w:type="dxa"/>
              <w:bottom w:w="30" w:type="dxa"/>
              <w:right w:w="20" w:type="dxa"/>
            </w:tcMar>
            <w:vAlign w:val="bottom"/>
            <w:hideMark/>
          </w:tcPr>
          <w:p w14:paraId="62BAC373" w14:textId="77777777" w:rsidR="00000000" w:rsidRDefault="00EE5306">
            <w:pPr>
              <w:spacing w:after="100"/>
              <w:rPr>
                <w:rFonts w:eastAsia="Times New Roman"/>
              </w:rPr>
            </w:pPr>
            <w:r>
              <w:rPr>
                <w:rFonts w:eastAsia="Times New Roman"/>
                <w:color w:val="000000"/>
                <w:sz w:val="20"/>
                <w:szCs w:val="20"/>
              </w:rPr>
              <w:t>Shipping costs</w:t>
            </w:r>
          </w:p>
        </w:tc>
        <w:tc>
          <w:tcPr>
            <w:tcW w:w="0" w:type="auto"/>
            <w:gridSpan w:val="3"/>
            <w:shd w:val="clear" w:color="auto" w:fill="CCEEFF"/>
            <w:tcMar>
              <w:top w:w="0" w:type="dxa"/>
              <w:left w:w="20" w:type="dxa"/>
              <w:bottom w:w="0" w:type="dxa"/>
              <w:right w:w="20" w:type="dxa"/>
            </w:tcMar>
            <w:vAlign w:val="center"/>
            <w:hideMark/>
          </w:tcPr>
          <w:p w14:paraId="31E90FD5"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5113E4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8F638B" w14:textId="77777777" w:rsidR="00000000" w:rsidRDefault="00EE5306">
            <w:pPr>
              <w:spacing w:after="100"/>
              <w:jc w:val="right"/>
              <w:rPr>
                <w:rFonts w:eastAsia="Times New Roman"/>
              </w:rPr>
            </w:pPr>
            <w:r>
              <w:rPr>
                <w:rFonts w:eastAsia="Times New Roman"/>
                <w:color w:val="000000"/>
                <w:sz w:val="20"/>
                <w:szCs w:val="20"/>
              </w:rPr>
              <w:t>54.8 </w:t>
            </w:r>
          </w:p>
        </w:tc>
        <w:tc>
          <w:tcPr>
            <w:tcW w:w="0" w:type="auto"/>
            <w:shd w:val="clear" w:color="auto" w:fill="CCEEFF"/>
            <w:tcMar>
              <w:top w:w="30" w:type="dxa"/>
              <w:left w:w="0" w:type="dxa"/>
              <w:bottom w:w="30" w:type="dxa"/>
              <w:right w:w="20" w:type="dxa"/>
            </w:tcMar>
            <w:vAlign w:val="bottom"/>
            <w:hideMark/>
          </w:tcPr>
          <w:p w14:paraId="44EA89F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C751D"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E5E14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014C46" w14:textId="77777777" w:rsidR="00000000" w:rsidRDefault="00EE5306">
            <w:pPr>
              <w:spacing w:after="100"/>
              <w:jc w:val="right"/>
              <w:rPr>
                <w:rFonts w:eastAsia="Times New Roman"/>
              </w:rPr>
            </w:pPr>
            <w:r>
              <w:rPr>
                <w:rFonts w:eastAsia="Times New Roman"/>
                <w:color w:val="000000"/>
                <w:sz w:val="20"/>
                <w:szCs w:val="20"/>
              </w:rPr>
              <w:t>46.7 </w:t>
            </w:r>
          </w:p>
        </w:tc>
        <w:tc>
          <w:tcPr>
            <w:tcW w:w="0" w:type="auto"/>
            <w:shd w:val="clear" w:color="auto" w:fill="CCEEFF"/>
            <w:tcMar>
              <w:top w:w="30" w:type="dxa"/>
              <w:left w:w="0" w:type="dxa"/>
              <w:bottom w:w="30" w:type="dxa"/>
              <w:right w:w="20" w:type="dxa"/>
            </w:tcMar>
            <w:vAlign w:val="bottom"/>
            <w:hideMark/>
          </w:tcPr>
          <w:p w14:paraId="3ED7D24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BA8A3"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717F2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280ACE" w14:textId="77777777" w:rsidR="00000000" w:rsidRDefault="00EE5306">
            <w:pPr>
              <w:spacing w:after="100"/>
              <w:jc w:val="right"/>
              <w:rPr>
                <w:rFonts w:eastAsia="Times New Roman"/>
              </w:rPr>
            </w:pPr>
            <w:r>
              <w:rPr>
                <w:rFonts w:eastAsia="Times New Roman"/>
                <w:color w:val="000000"/>
                <w:sz w:val="20"/>
                <w:szCs w:val="20"/>
              </w:rPr>
              <w:t>49.1 </w:t>
            </w:r>
          </w:p>
        </w:tc>
        <w:tc>
          <w:tcPr>
            <w:tcW w:w="0" w:type="auto"/>
            <w:shd w:val="clear" w:color="auto" w:fill="CCEEFF"/>
            <w:tcMar>
              <w:top w:w="30" w:type="dxa"/>
              <w:left w:w="0" w:type="dxa"/>
              <w:bottom w:w="30" w:type="dxa"/>
              <w:right w:w="20" w:type="dxa"/>
            </w:tcMar>
            <w:vAlign w:val="bottom"/>
            <w:hideMark/>
          </w:tcPr>
          <w:p w14:paraId="7033629D" w14:textId="77777777" w:rsidR="00000000" w:rsidRDefault="00EE5306">
            <w:pPr>
              <w:spacing w:after="100"/>
              <w:jc w:val="right"/>
              <w:rPr>
                <w:rFonts w:eastAsia="Times New Roman"/>
              </w:rPr>
            </w:pPr>
          </w:p>
        </w:tc>
      </w:tr>
      <w:tr w:rsidR="00000000" w14:paraId="007D104F" w14:textId="77777777">
        <w:trPr>
          <w:divId w:val="1486429848"/>
        </w:trPr>
        <w:tc>
          <w:tcPr>
            <w:tcW w:w="0" w:type="auto"/>
            <w:gridSpan w:val="3"/>
            <w:shd w:val="clear" w:color="auto" w:fill="FFFFFF"/>
            <w:tcMar>
              <w:top w:w="30" w:type="dxa"/>
              <w:left w:w="20" w:type="dxa"/>
              <w:bottom w:w="30" w:type="dxa"/>
              <w:right w:w="20" w:type="dxa"/>
            </w:tcMar>
            <w:vAlign w:val="bottom"/>
            <w:hideMark/>
          </w:tcPr>
          <w:p w14:paraId="0953501F" w14:textId="77777777" w:rsidR="00000000" w:rsidRDefault="00EE5306">
            <w:pPr>
              <w:spacing w:after="100"/>
              <w:ind w:hanging="180"/>
              <w:divId w:val="1733649849"/>
              <w:rPr>
                <w:rFonts w:eastAsia="Times New Roman"/>
              </w:rPr>
            </w:pPr>
            <w:r>
              <w:rPr>
                <w:rFonts w:eastAsia="Times New Roman"/>
                <w:color w:val="000000"/>
                <w:sz w:val="20"/>
                <w:szCs w:val="20"/>
              </w:rPr>
              <w:t>Handling costs</w:t>
            </w:r>
          </w:p>
        </w:tc>
        <w:tc>
          <w:tcPr>
            <w:tcW w:w="0" w:type="auto"/>
            <w:gridSpan w:val="3"/>
            <w:shd w:val="clear" w:color="auto" w:fill="FFFFFF"/>
            <w:tcMar>
              <w:top w:w="0" w:type="dxa"/>
              <w:left w:w="20" w:type="dxa"/>
              <w:bottom w:w="0" w:type="dxa"/>
              <w:right w:w="20" w:type="dxa"/>
            </w:tcMar>
            <w:vAlign w:val="center"/>
            <w:hideMark/>
          </w:tcPr>
          <w:p w14:paraId="5C355E8C"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78FDED" w14:textId="77777777" w:rsidR="00000000" w:rsidRDefault="00EE5306">
            <w:pPr>
              <w:spacing w:after="100"/>
              <w:jc w:val="right"/>
              <w:rPr>
                <w:rFonts w:eastAsia="Times New Roman"/>
              </w:rPr>
            </w:pPr>
            <w:r>
              <w:rPr>
                <w:rFonts w:eastAsia="Times New Roman"/>
                <w:color w:val="000000"/>
                <w:sz w:val="20"/>
                <w:szCs w:val="20"/>
              </w:rPr>
              <w:t>138.3 </w:t>
            </w:r>
          </w:p>
        </w:tc>
        <w:tc>
          <w:tcPr>
            <w:tcW w:w="0" w:type="auto"/>
            <w:shd w:val="clear" w:color="auto" w:fill="FFFFFF"/>
            <w:tcMar>
              <w:top w:w="30" w:type="dxa"/>
              <w:left w:w="0" w:type="dxa"/>
              <w:bottom w:w="30" w:type="dxa"/>
              <w:right w:w="20" w:type="dxa"/>
            </w:tcMar>
            <w:vAlign w:val="bottom"/>
            <w:hideMark/>
          </w:tcPr>
          <w:p w14:paraId="6AB2112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853B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C071D2" w14:textId="77777777" w:rsidR="00000000" w:rsidRDefault="00EE5306">
            <w:pPr>
              <w:spacing w:after="100"/>
              <w:jc w:val="right"/>
              <w:rPr>
                <w:rFonts w:eastAsia="Times New Roman"/>
              </w:rPr>
            </w:pPr>
            <w:r>
              <w:rPr>
                <w:rFonts w:eastAsia="Times New Roman"/>
                <w:color w:val="000000"/>
                <w:sz w:val="20"/>
                <w:szCs w:val="20"/>
              </w:rPr>
              <w:t>154.0 </w:t>
            </w:r>
          </w:p>
        </w:tc>
        <w:tc>
          <w:tcPr>
            <w:tcW w:w="0" w:type="auto"/>
            <w:shd w:val="clear" w:color="auto" w:fill="FFFFFF"/>
            <w:tcMar>
              <w:top w:w="30" w:type="dxa"/>
              <w:left w:w="0" w:type="dxa"/>
              <w:bottom w:w="30" w:type="dxa"/>
              <w:right w:w="20" w:type="dxa"/>
            </w:tcMar>
            <w:vAlign w:val="bottom"/>
            <w:hideMark/>
          </w:tcPr>
          <w:p w14:paraId="2ADB2CB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EBDB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D03A5F" w14:textId="77777777" w:rsidR="00000000" w:rsidRDefault="00EE5306">
            <w:pPr>
              <w:spacing w:after="100"/>
              <w:jc w:val="right"/>
              <w:rPr>
                <w:rFonts w:eastAsia="Times New Roman"/>
              </w:rPr>
            </w:pPr>
            <w:r>
              <w:rPr>
                <w:rFonts w:eastAsia="Times New Roman"/>
                <w:color w:val="000000"/>
                <w:sz w:val="20"/>
                <w:szCs w:val="20"/>
              </w:rPr>
              <w:t>153.1 </w:t>
            </w:r>
          </w:p>
        </w:tc>
        <w:tc>
          <w:tcPr>
            <w:tcW w:w="0" w:type="auto"/>
            <w:shd w:val="clear" w:color="auto" w:fill="FFFFFF"/>
            <w:tcMar>
              <w:top w:w="30" w:type="dxa"/>
              <w:left w:w="0" w:type="dxa"/>
              <w:bottom w:w="30" w:type="dxa"/>
              <w:right w:w="20" w:type="dxa"/>
            </w:tcMar>
            <w:vAlign w:val="bottom"/>
            <w:hideMark/>
          </w:tcPr>
          <w:p w14:paraId="575C06C8" w14:textId="77777777" w:rsidR="00000000" w:rsidRDefault="00EE5306">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7015B07A" w14:textId="77777777">
        <w:trPr>
          <w:jc w:val="center"/>
        </w:trPr>
        <w:tc>
          <w:tcPr>
            <w:tcW w:w="50" w:type="pct"/>
            <w:vAlign w:val="center"/>
            <w:hideMark/>
          </w:tcPr>
          <w:p w14:paraId="58E75E85" w14:textId="77777777" w:rsidR="00000000" w:rsidRDefault="00EE5306">
            <w:pPr>
              <w:rPr>
                <w:rFonts w:eastAsia="Times New Roman"/>
              </w:rPr>
            </w:pPr>
          </w:p>
        </w:tc>
        <w:tc>
          <w:tcPr>
            <w:tcW w:w="1699" w:type="pct"/>
            <w:vAlign w:val="center"/>
            <w:hideMark/>
          </w:tcPr>
          <w:p w14:paraId="3F21FA85" w14:textId="77777777" w:rsidR="00000000" w:rsidRDefault="00EE5306">
            <w:pPr>
              <w:spacing w:after="100"/>
              <w:rPr>
                <w:rFonts w:eastAsia="Times New Roman"/>
                <w:sz w:val="20"/>
                <w:szCs w:val="20"/>
              </w:rPr>
            </w:pPr>
          </w:p>
        </w:tc>
        <w:tc>
          <w:tcPr>
            <w:tcW w:w="5" w:type="pct"/>
            <w:vAlign w:val="center"/>
            <w:hideMark/>
          </w:tcPr>
          <w:p w14:paraId="15949C55" w14:textId="77777777" w:rsidR="00000000" w:rsidRDefault="00EE5306">
            <w:pPr>
              <w:spacing w:after="100"/>
              <w:rPr>
                <w:rFonts w:eastAsia="Times New Roman"/>
                <w:sz w:val="20"/>
                <w:szCs w:val="20"/>
              </w:rPr>
            </w:pPr>
          </w:p>
        </w:tc>
        <w:tc>
          <w:tcPr>
            <w:tcW w:w="50" w:type="pct"/>
            <w:vAlign w:val="center"/>
            <w:hideMark/>
          </w:tcPr>
          <w:p w14:paraId="013E1E75" w14:textId="77777777" w:rsidR="00000000" w:rsidRDefault="00EE5306">
            <w:pPr>
              <w:spacing w:after="100"/>
              <w:rPr>
                <w:rFonts w:eastAsia="Times New Roman"/>
                <w:sz w:val="20"/>
                <w:szCs w:val="20"/>
              </w:rPr>
            </w:pPr>
          </w:p>
        </w:tc>
        <w:tc>
          <w:tcPr>
            <w:tcW w:w="1436" w:type="pct"/>
            <w:vAlign w:val="center"/>
            <w:hideMark/>
          </w:tcPr>
          <w:p w14:paraId="47231D1C" w14:textId="77777777" w:rsidR="00000000" w:rsidRDefault="00EE5306">
            <w:pPr>
              <w:spacing w:after="100"/>
              <w:rPr>
                <w:rFonts w:eastAsia="Times New Roman"/>
                <w:sz w:val="20"/>
                <w:szCs w:val="20"/>
              </w:rPr>
            </w:pPr>
          </w:p>
        </w:tc>
        <w:tc>
          <w:tcPr>
            <w:tcW w:w="5" w:type="pct"/>
            <w:vAlign w:val="center"/>
            <w:hideMark/>
          </w:tcPr>
          <w:p w14:paraId="29209444" w14:textId="77777777" w:rsidR="00000000" w:rsidRDefault="00EE5306">
            <w:pPr>
              <w:spacing w:after="100"/>
              <w:rPr>
                <w:rFonts w:eastAsia="Times New Roman"/>
                <w:sz w:val="20"/>
                <w:szCs w:val="20"/>
              </w:rPr>
            </w:pPr>
          </w:p>
        </w:tc>
        <w:tc>
          <w:tcPr>
            <w:tcW w:w="50" w:type="pct"/>
            <w:vAlign w:val="center"/>
            <w:hideMark/>
          </w:tcPr>
          <w:p w14:paraId="61E4B284" w14:textId="77777777" w:rsidR="00000000" w:rsidRDefault="00EE5306">
            <w:pPr>
              <w:spacing w:after="100"/>
              <w:rPr>
                <w:rFonts w:eastAsia="Times New Roman"/>
                <w:sz w:val="20"/>
                <w:szCs w:val="20"/>
              </w:rPr>
            </w:pPr>
          </w:p>
        </w:tc>
        <w:tc>
          <w:tcPr>
            <w:tcW w:w="1699" w:type="pct"/>
            <w:vAlign w:val="center"/>
            <w:hideMark/>
          </w:tcPr>
          <w:p w14:paraId="1DA16C8A" w14:textId="77777777" w:rsidR="00000000" w:rsidRDefault="00EE5306">
            <w:pPr>
              <w:spacing w:after="100"/>
              <w:rPr>
                <w:rFonts w:eastAsia="Times New Roman"/>
                <w:sz w:val="20"/>
                <w:szCs w:val="20"/>
              </w:rPr>
            </w:pPr>
          </w:p>
        </w:tc>
        <w:tc>
          <w:tcPr>
            <w:tcW w:w="5" w:type="pct"/>
            <w:vAlign w:val="center"/>
            <w:hideMark/>
          </w:tcPr>
          <w:p w14:paraId="54CDA3E7" w14:textId="77777777" w:rsidR="00000000" w:rsidRDefault="00EE5306">
            <w:pPr>
              <w:spacing w:after="100"/>
              <w:rPr>
                <w:rFonts w:eastAsia="Times New Roman"/>
                <w:sz w:val="20"/>
                <w:szCs w:val="20"/>
              </w:rPr>
            </w:pPr>
          </w:p>
        </w:tc>
      </w:tr>
      <w:tr w:rsidR="00000000" w14:paraId="4B51CC75" w14:textId="77777777">
        <w:trPr>
          <w:jc w:val="center"/>
        </w:trPr>
        <w:tc>
          <w:tcPr>
            <w:tcW w:w="0" w:type="auto"/>
            <w:gridSpan w:val="3"/>
            <w:tcMar>
              <w:top w:w="0" w:type="dxa"/>
              <w:left w:w="20" w:type="dxa"/>
              <w:bottom w:w="0" w:type="dxa"/>
              <w:right w:w="20" w:type="dxa"/>
            </w:tcMar>
            <w:vAlign w:val="center"/>
            <w:hideMark/>
          </w:tcPr>
          <w:p w14:paraId="0B20372D"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DF180C0" w14:textId="77777777" w:rsidR="00000000" w:rsidRDefault="00EE5306">
            <w:pPr>
              <w:spacing w:after="100"/>
              <w:jc w:val="center"/>
              <w:rPr>
                <w:rFonts w:eastAsia="Times New Roman"/>
              </w:rPr>
            </w:pPr>
            <w:r>
              <w:rPr>
                <w:rFonts w:eastAsia="Times New Roman"/>
                <w:color w:val="000000"/>
                <w:sz w:val="20"/>
                <w:szCs w:val="20"/>
              </w:rPr>
              <w:t>F-11</w:t>
            </w:r>
          </w:p>
        </w:tc>
        <w:tc>
          <w:tcPr>
            <w:tcW w:w="0" w:type="auto"/>
            <w:gridSpan w:val="3"/>
            <w:tcMar>
              <w:top w:w="0" w:type="dxa"/>
              <w:left w:w="20" w:type="dxa"/>
              <w:bottom w:w="0" w:type="dxa"/>
              <w:right w:w="20" w:type="dxa"/>
            </w:tcMar>
            <w:vAlign w:val="center"/>
            <w:hideMark/>
          </w:tcPr>
          <w:p w14:paraId="64E549EC" w14:textId="77777777" w:rsidR="00000000" w:rsidRDefault="00EE5306">
            <w:pPr>
              <w:spacing w:after="100"/>
              <w:jc w:val="center"/>
              <w:rPr>
                <w:rFonts w:eastAsia="Times New Roman"/>
              </w:rPr>
            </w:pPr>
          </w:p>
        </w:tc>
      </w:tr>
    </w:tbl>
    <w:p w14:paraId="1C1D89A9" w14:textId="77777777" w:rsidR="00000000" w:rsidRDefault="00EE5306">
      <w:pPr>
        <w:rPr>
          <w:rFonts w:eastAsia="Times New Roman"/>
        </w:rPr>
      </w:pPr>
      <w:r>
        <w:rPr>
          <w:rFonts w:eastAsia="Times New Roman"/>
        </w:rPr>
        <w:pict w14:anchorId="577DC5A4">
          <v:rect id="_x0000_i1121" style="width:0;height:1.5pt" o:hralign="center" o:hrstd="t" o:hr="t" fillcolor="#a0a0a0" stroked="f"/>
        </w:pict>
      </w:r>
    </w:p>
    <w:p w14:paraId="3436D41D" w14:textId="77777777" w:rsidR="00000000" w:rsidRDefault="00EE5306">
      <w:pPr>
        <w:jc w:val="center"/>
        <w:divId w:val="724180709"/>
        <w:rPr>
          <w:rFonts w:eastAsia="Times New Roman"/>
        </w:rPr>
      </w:pPr>
    </w:p>
    <w:p w14:paraId="36742D75" w14:textId="77777777" w:rsidR="00000000" w:rsidRDefault="00EE5306">
      <w:pPr>
        <w:jc w:val="center"/>
        <w:divId w:val="724180709"/>
        <w:rPr>
          <w:rFonts w:eastAsia="Times New Roman"/>
        </w:rPr>
      </w:pPr>
      <w:r>
        <w:rPr>
          <w:rFonts w:eastAsia="Times New Roman"/>
          <w:b/>
          <w:bCs/>
          <w:color w:val="000000"/>
          <w:sz w:val="20"/>
          <w:szCs w:val="20"/>
        </w:rPr>
        <w:t>RALPH LAUREN CORPORATION</w:t>
      </w:r>
    </w:p>
    <w:p w14:paraId="2200C1F0" w14:textId="77777777" w:rsidR="00000000" w:rsidRDefault="00EE5306">
      <w:pPr>
        <w:jc w:val="center"/>
        <w:divId w:val="20671970"/>
        <w:rPr>
          <w:rFonts w:eastAsia="Times New Roman"/>
        </w:rPr>
      </w:pPr>
      <w:r>
        <w:rPr>
          <w:rFonts w:eastAsia="Times New Roman"/>
          <w:b/>
          <w:bCs/>
          <w:color w:val="000000"/>
          <w:sz w:val="20"/>
          <w:szCs w:val="20"/>
        </w:rPr>
        <w:t>NOTES TO CONSOLIDATED FINANCIAL STATEMENTS (Continued)</w:t>
      </w:r>
    </w:p>
    <w:p w14:paraId="121CE543" w14:textId="77777777" w:rsidR="00000000" w:rsidRDefault="00EE5306">
      <w:pPr>
        <w:ind w:firstLine="360"/>
        <w:jc w:val="both"/>
        <w:divId w:val="1353452292"/>
        <w:rPr>
          <w:rFonts w:eastAsia="Times New Roman"/>
        </w:rPr>
      </w:pPr>
      <w:r>
        <w:rPr>
          <w:rFonts w:eastAsia="Times New Roman"/>
          <w:b/>
          <w:bCs/>
          <w:i/>
          <w:iCs/>
          <w:color w:val="000000"/>
          <w:sz w:val="20"/>
          <w:szCs w:val="20"/>
        </w:rPr>
        <w:t>Advertising and Marketing Costs</w:t>
      </w:r>
    </w:p>
    <w:p w14:paraId="79940358" w14:textId="77777777" w:rsidR="00000000" w:rsidRDefault="00EE5306">
      <w:pPr>
        <w:ind w:firstLine="540"/>
        <w:jc w:val="both"/>
        <w:divId w:val="343897151"/>
        <w:rPr>
          <w:rFonts w:eastAsia="Times New Roman"/>
        </w:rPr>
      </w:pPr>
      <w:r>
        <w:rPr>
          <w:rFonts w:eastAsia="Times New Roman"/>
          <w:color w:val="000000"/>
          <w:sz w:val="20"/>
          <w:szCs w:val="20"/>
        </w:rPr>
        <w:t>Advertising costs, including the costs to produce advertising, are expensed when the advertisement is first exhibited. Advertising costs paid to wholesale customers under cooperative advertising programs are not included in advertising costs, but rather ar</w:t>
      </w:r>
      <w:r>
        <w:rPr>
          <w:rFonts w:eastAsia="Times New Roman"/>
          <w:color w:val="000000"/>
          <w:sz w:val="20"/>
          <w:szCs w:val="20"/>
        </w:rPr>
        <w:t>e reflected as a reduction of revenue since generally the benefits are not sufficiently separable from the purchases of the Company's products by customers. Costs associated with the marketing and promotion of the Company's products are included within SG&amp;</w:t>
      </w:r>
      <w:r>
        <w:rPr>
          <w:rFonts w:eastAsia="Times New Roman"/>
          <w:color w:val="000000"/>
          <w:sz w:val="20"/>
          <w:szCs w:val="20"/>
        </w:rPr>
        <w:t>A expenses.</w:t>
      </w:r>
    </w:p>
    <w:p w14:paraId="3E51362A" w14:textId="77777777" w:rsidR="00000000" w:rsidRDefault="00EE5306">
      <w:pPr>
        <w:ind w:firstLine="540"/>
        <w:jc w:val="both"/>
        <w:divId w:val="1191070741"/>
        <w:rPr>
          <w:rFonts w:eastAsia="Times New Roman"/>
        </w:rPr>
      </w:pPr>
      <w:r>
        <w:rPr>
          <w:rFonts w:eastAsia="Times New Roman"/>
          <w:color w:val="000000"/>
          <w:sz w:val="20"/>
          <w:szCs w:val="20"/>
        </w:rPr>
        <w:t>Advertising and marketing expenses were $265.0 million, $278.0 million, and $272.8 million in Fiscal 2021, Fiscal 2020, and Fiscal 2019, respectively. Deferred advertising, marketing, and promotional costs, which principally relate to advertise</w:t>
      </w:r>
      <w:r>
        <w:rPr>
          <w:rFonts w:eastAsia="Times New Roman"/>
          <w:color w:val="000000"/>
          <w:sz w:val="20"/>
          <w:szCs w:val="20"/>
        </w:rPr>
        <w:t>ments that have not yet been exhibited or payments made for services that have not yet been received, were $9.5 million and $10.1 million at the end of Fiscal 2021 and Fiscal 2020, respectively, and were recorded within prepaid expenses and other current a</w:t>
      </w:r>
      <w:r>
        <w:rPr>
          <w:rFonts w:eastAsia="Times New Roman"/>
          <w:color w:val="000000"/>
          <w:sz w:val="20"/>
          <w:szCs w:val="20"/>
        </w:rPr>
        <w:t>ssets in the Company's consolidated balance sheets.</w:t>
      </w:r>
    </w:p>
    <w:p w14:paraId="4C97B203" w14:textId="77777777" w:rsidR="00000000" w:rsidRDefault="00EE5306">
      <w:pPr>
        <w:ind w:firstLine="360"/>
        <w:jc w:val="both"/>
        <w:divId w:val="1477599709"/>
        <w:rPr>
          <w:rFonts w:eastAsia="Times New Roman"/>
        </w:rPr>
      </w:pPr>
      <w:r>
        <w:rPr>
          <w:rFonts w:eastAsia="Times New Roman"/>
          <w:b/>
          <w:bCs/>
          <w:i/>
          <w:iCs/>
          <w:color w:val="000000"/>
          <w:sz w:val="20"/>
          <w:szCs w:val="20"/>
        </w:rPr>
        <w:t>Foreign Currency Translation and Transactions</w:t>
      </w:r>
    </w:p>
    <w:p w14:paraId="7295053D" w14:textId="77777777" w:rsidR="00000000" w:rsidRDefault="00EE5306">
      <w:pPr>
        <w:ind w:firstLine="540"/>
        <w:jc w:val="both"/>
        <w:divId w:val="2075547591"/>
        <w:rPr>
          <w:rFonts w:eastAsia="Times New Roman"/>
        </w:rPr>
      </w:pPr>
      <w:r>
        <w:rPr>
          <w:rFonts w:eastAsia="Times New Roman"/>
          <w:color w:val="000000"/>
          <w:sz w:val="20"/>
          <w:szCs w:val="20"/>
        </w:rPr>
        <w:t>The financial position and operating results of the Company's foreign operations are accounted for in their respective functional currencies, which are genera</w:t>
      </w:r>
      <w:r>
        <w:rPr>
          <w:rFonts w:eastAsia="Times New Roman"/>
          <w:color w:val="000000"/>
          <w:sz w:val="20"/>
          <w:szCs w:val="20"/>
        </w:rPr>
        <w:t>lly consistent with the local currency. For purposes of consolidation, local currency assets and liabilities are translated to U.S. Dollars at the spot rates of exchange prevailing on the balance sheet date, and local currency revenues and expenses are tra</w:t>
      </w:r>
      <w:r>
        <w:rPr>
          <w:rFonts w:eastAsia="Times New Roman"/>
          <w:color w:val="000000"/>
          <w:sz w:val="20"/>
          <w:szCs w:val="20"/>
        </w:rPr>
        <w:t>nslated to U.S. Dollars at average rates of exchange in effect during the period. The resulting translation gains or losses are included in the consolidated statements of comprehensive income (loss) as a component of other comprehensive income (loss) ("OCI</w:t>
      </w:r>
      <w:r>
        <w:rPr>
          <w:rFonts w:eastAsia="Times New Roman"/>
          <w:color w:val="000000"/>
          <w:sz w:val="20"/>
          <w:szCs w:val="20"/>
        </w:rPr>
        <w:t>") and in the consolidated statements of equity within accumulated other comprehensive income (loss) ("AOCI"). Gains and losses on the translation of intercompany loans made to foreign subsidiaries that are of a long-term investment nature are also include</w:t>
      </w:r>
      <w:r>
        <w:rPr>
          <w:rFonts w:eastAsia="Times New Roman"/>
          <w:color w:val="000000"/>
          <w:sz w:val="20"/>
          <w:szCs w:val="20"/>
        </w:rPr>
        <w:t>d within this component of equity.</w:t>
      </w:r>
    </w:p>
    <w:p w14:paraId="59F6E16E" w14:textId="77777777" w:rsidR="00000000" w:rsidRDefault="00EE5306">
      <w:pPr>
        <w:ind w:firstLine="540"/>
        <w:jc w:val="both"/>
        <w:divId w:val="330832602"/>
        <w:rPr>
          <w:rFonts w:eastAsia="Times New Roman"/>
        </w:rPr>
      </w:pPr>
      <w:r>
        <w:rPr>
          <w:rFonts w:eastAsia="Times New Roman"/>
          <w:color w:val="000000"/>
          <w:sz w:val="20"/>
          <w:szCs w:val="20"/>
        </w:rPr>
        <w:t>The Company also recognizes gains and losses on both third-party and intercompany balances that are denominated in a currency other than the respective entity's functional currency. Such foreign currency transactional gai</w:t>
      </w:r>
      <w:r>
        <w:rPr>
          <w:rFonts w:eastAsia="Times New Roman"/>
          <w:color w:val="000000"/>
          <w:sz w:val="20"/>
          <w:szCs w:val="20"/>
        </w:rPr>
        <w:t xml:space="preserve">ns and losses are recognized within other income (expense), net in the consolidated statements of operations, inclusive of the effects of any related hedging activities, and reflected net gains of $8.7 million in Fiscal 2021 and net losses of $1.1 million </w:t>
      </w:r>
      <w:r>
        <w:rPr>
          <w:rFonts w:eastAsia="Times New Roman"/>
          <w:color w:val="000000"/>
          <w:sz w:val="20"/>
          <w:szCs w:val="20"/>
        </w:rPr>
        <w:t>and $2.8 million in Fiscal 2020 and Fiscal 2019, respectively.</w:t>
      </w:r>
    </w:p>
    <w:p w14:paraId="6F3324EE" w14:textId="77777777" w:rsidR="00000000" w:rsidRDefault="00EE5306">
      <w:pPr>
        <w:ind w:firstLine="360"/>
        <w:jc w:val="both"/>
        <w:divId w:val="780494586"/>
        <w:rPr>
          <w:rFonts w:eastAsia="Times New Roman"/>
        </w:rPr>
      </w:pPr>
      <w:r>
        <w:rPr>
          <w:rFonts w:eastAsia="Times New Roman"/>
          <w:b/>
          <w:bCs/>
          <w:i/>
          <w:iCs/>
          <w:color w:val="000000"/>
          <w:sz w:val="20"/>
          <w:szCs w:val="20"/>
        </w:rPr>
        <w:t>Comprehensive Income (Loss)</w:t>
      </w:r>
    </w:p>
    <w:p w14:paraId="181CB4DA" w14:textId="77777777" w:rsidR="00000000" w:rsidRDefault="00EE5306">
      <w:pPr>
        <w:ind w:firstLine="540"/>
        <w:jc w:val="both"/>
        <w:divId w:val="411925732"/>
        <w:rPr>
          <w:rFonts w:eastAsia="Times New Roman"/>
        </w:rPr>
      </w:pPr>
      <w:r>
        <w:rPr>
          <w:rFonts w:eastAsia="Times New Roman"/>
          <w:color w:val="000000"/>
          <w:sz w:val="20"/>
          <w:szCs w:val="20"/>
        </w:rPr>
        <w:t>Comprehensive income (loss), which is reported in the consolidated statements of comprehensive income (loss) and consolidated statements of equity, consists of net i</w:t>
      </w:r>
      <w:r>
        <w:rPr>
          <w:rFonts w:eastAsia="Times New Roman"/>
          <w:color w:val="000000"/>
          <w:sz w:val="20"/>
          <w:szCs w:val="20"/>
        </w:rPr>
        <w:t xml:space="preserve">ncome (loss) and certain other gains and losses affecting equity that, under U.S. GAAP, are excluded from net income (loss) and referred to as OCI. Components of OCI consist of foreign currency translation gains (losses); net realized and unrealized gains </w:t>
      </w:r>
      <w:r>
        <w:rPr>
          <w:rFonts w:eastAsia="Times New Roman"/>
          <w:color w:val="000000"/>
          <w:sz w:val="20"/>
          <w:szCs w:val="20"/>
        </w:rPr>
        <w:t>(losses) on cash flow hedges, such as forward foreign currency exchange contracts; net realized and unrealized gains (losses) on available-for-sale investments; and net realized and unrealized gains (losses) related to the Company's defined benefit plans.</w:t>
      </w:r>
    </w:p>
    <w:p w14:paraId="2052C260" w14:textId="77777777" w:rsidR="00000000" w:rsidRDefault="00EE5306">
      <w:pPr>
        <w:ind w:firstLine="360"/>
        <w:jc w:val="both"/>
        <w:divId w:val="1850098879"/>
        <w:rPr>
          <w:rFonts w:eastAsia="Times New Roman"/>
        </w:rPr>
      </w:pPr>
      <w:r>
        <w:rPr>
          <w:rFonts w:eastAsia="Times New Roman"/>
          <w:b/>
          <w:bCs/>
          <w:i/>
          <w:iCs/>
          <w:color w:val="000000"/>
          <w:sz w:val="20"/>
          <w:szCs w:val="20"/>
        </w:rPr>
        <w:t>Net Income (Loss) per Common Share</w:t>
      </w:r>
    </w:p>
    <w:p w14:paraId="21F792AD" w14:textId="77777777" w:rsidR="00000000" w:rsidRDefault="00EE5306">
      <w:pPr>
        <w:ind w:firstLine="540"/>
        <w:jc w:val="both"/>
        <w:divId w:val="1635134006"/>
        <w:rPr>
          <w:rFonts w:eastAsia="Times New Roman"/>
        </w:rPr>
      </w:pPr>
      <w:r>
        <w:rPr>
          <w:rFonts w:eastAsia="Times New Roman"/>
          <w:color w:val="000000"/>
          <w:sz w:val="20"/>
          <w:szCs w:val="20"/>
        </w:rPr>
        <w:t>Basic net income (loss) per common share is computed by dividing net income (loss) attributable to common shares by the weighted-average number of common shares outstanding during the period. Weighted-average common share</w:t>
      </w:r>
      <w:r>
        <w:rPr>
          <w:rFonts w:eastAsia="Times New Roman"/>
          <w:color w:val="000000"/>
          <w:sz w:val="20"/>
          <w:szCs w:val="20"/>
        </w:rPr>
        <w:t xml:space="preserve">s include shares of the Company's Class A and Class B common stock. Diluted net income (loss) per common share adjusts basic net income (loss) per common share for the dilutive effects of outstanding restricted stock units ("RSUs"), stock options, and any </w:t>
      </w:r>
      <w:r>
        <w:rPr>
          <w:rFonts w:eastAsia="Times New Roman"/>
          <w:color w:val="000000"/>
          <w:sz w:val="20"/>
          <w:szCs w:val="20"/>
        </w:rPr>
        <w:t>other potentially dilutive instruments, only in the periods in which such effects are dilutive.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73D1B23" w14:textId="77777777">
        <w:trPr>
          <w:divId w:val="561058662"/>
          <w:jc w:val="center"/>
        </w:trPr>
        <w:tc>
          <w:tcPr>
            <w:tcW w:w="50" w:type="pct"/>
            <w:vAlign w:val="center"/>
            <w:hideMark/>
          </w:tcPr>
          <w:p w14:paraId="31C2BA5C" w14:textId="77777777" w:rsidR="00000000" w:rsidRDefault="00EE5306">
            <w:pPr>
              <w:ind w:firstLine="540"/>
              <w:jc w:val="both"/>
              <w:rPr>
                <w:rFonts w:eastAsia="Times New Roman"/>
              </w:rPr>
            </w:pPr>
          </w:p>
        </w:tc>
        <w:tc>
          <w:tcPr>
            <w:tcW w:w="1699" w:type="pct"/>
            <w:vAlign w:val="center"/>
            <w:hideMark/>
          </w:tcPr>
          <w:p w14:paraId="16742827" w14:textId="77777777" w:rsidR="00000000" w:rsidRDefault="00EE5306">
            <w:pPr>
              <w:spacing w:after="100"/>
              <w:rPr>
                <w:rFonts w:eastAsia="Times New Roman"/>
                <w:sz w:val="20"/>
                <w:szCs w:val="20"/>
              </w:rPr>
            </w:pPr>
          </w:p>
        </w:tc>
        <w:tc>
          <w:tcPr>
            <w:tcW w:w="5" w:type="pct"/>
            <w:vAlign w:val="center"/>
            <w:hideMark/>
          </w:tcPr>
          <w:p w14:paraId="013513A6" w14:textId="77777777" w:rsidR="00000000" w:rsidRDefault="00EE5306">
            <w:pPr>
              <w:spacing w:after="100"/>
              <w:rPr>
                <w:rFonts w:eastAsia="Times New Roman"/>
                <w:sz w:val="20"/>
                <w:szCs w:val="20"/>
              </w:rPr>
            </w:pPr>
          </w:p>
        </w:tc>
        <w:tc>
          <w:tcPr>
            <w:tcW w:w="50" w:type="pct"/>
            <w:vAlign w:val="center"/>
            <w:hideMark/>
          </w:tcPr>
          <w:p w14:paraId="6C3F729C" w14:textId="77777777" w:rsidR="00000000" w:rsidRDefault="00EE5306">
            <w:pPr>
              <w:spacing w:after="100"/>
              <w:rPr>
                <w:rFonts w:eastAsia="Times New Roman"/>
                <w:sz w:val="20"/>
                <w:szCs w:val="20"/>
              </w:rPr>
            </w:pPr>
          </w:p>
        </w:tc>
        <w:tc>
          <w:tcPr>
            <w:tcW w:w="1436" w:type="pct"/>
            <w:vAlign w:val="center"/>
            <w:hideMark/>
          </w:tcPr>
          <w:p w14:paraId="591CCA6D" w14:textId="77777777" w:rsidR="00000000" w:rsidRDefault="00EE5306">
            <w:pPr>
              <w:spacing w:after="100"/>
              <w:rPr>
                <w:rFonts w:eastAsia="Times New Roman"/>
                <w:sz w:val="20"/>
                <w:szCs w:val="20"/>
              </w:rPr>
            </w:pPr>
          </w:p>
        </w:tc>
        <w:tc>
          <w:tcPr>
            <w:tcW w:w="5" w:type="pct"/>
            <w:vAlign w:val="center"/>
            <w:hideMark/>
          </w:tcPr>
          <w:p w14:paraId="408E9170" w14:textId="77777777" w:rsidR="00000000" w:rsidRDefault="00EE5306">
            <w:pPr>
              <w:spacing w:after="100"/>
              <w:rPr>
                <w:rFonts w:eastAsia="Times New Roman"/>
                <w:sz w:val="20"/>
                <w:szCs w:val="20"/>
              </w:rPr>
            </w:pPr>
          </w:p>
        </w:tc>
        <w:tc>
          <w:tcPr>
            <w:tcW w:w="50" w:type="pct"/>
            <w:vAlign w:val="center"/>
            <w:hideMark/>
          </w:tcPr>
          <w:p w14:paraId="386E475C" w14:textId="77777777" w:rsidR="00000000" w:rsidRDefault="00EE5306">
            <w:pPr>
              <w:spacing w:after="100"/>
              <w:rPr>
                <w:rFonts w:eastAsia="Times New Roman"/>
                <w:sz w:val="20"/>
                <w:szCs w:val="20"/>
              </w:rPr>
            </w:pPr>
          </w:p>
        </w:tc>
        <w:tc>
          <w:tcPr>
            <w:tcW w:w="1699" w:type="pct"/>
            <w:vAlign w:val="center"/>
            <w:hideMark/>
          </w:tcPr>
          <w:p w14:paraId="79B46DCF" w14:textId="77777777" w:rsidR="00000000" w:rsidRDefault="00EE5306">
            <w:pPr>
              <w:spacing w:after="100"/>
              <w:rPr>
                <w:rFonts w:eastAsia="Times New Roman"/>
                <w:sz w:val="20"/>
                <w:szCs w:val="20"/>
              </w:rPr>
            </w:pPr>
          </w:p>
        </w:tc>
        <w:tc>
          <w:tcPr>
            <w:tcW w:w="5" w:type="pct"/>
            <w:vAlign w:val="center"/>
            <w:hideMark/>
          </w:tcPr>
          <w:p w14:paraId="19E592CA" w14:textId="77777777" w:rsidR="00000000" w:rsidRDefault="00EE5306">
            <w:pPr>
              <w:spacing w:after="100"/>
              <w:rPr>
                <w:rFonts w:eastAsia="Times New Roman"/>
                <w:sz w:val="20"/>
                <w:szCs w:val="20"/>
              </w:rPr>
            </w:pPr>
          </w:p>
        </w:tc>
      </w:tr>
      <w:tr w:rsidR="00000000" w14:paraId="725ABBDC" w14:textId="77777777">
        <w:trPr>
          <w:divId w:val="561058662"/>
          <w:jc w:val="center"/>
        </w:trPr>
        <w:tc>
          <w:tcPr>
            <w:tcW w:w="0" w:type="auto"/>
            <w:gridSpan w:val="3"/>
            <w:tcMar>
              <w:top w:w="0" w:type="dxa"/>
              <w:left w:w="20" w:type="dxa"/>
              <w:bottom w:w="0" w:type="dxa"/>
              <w:right w:w="20" w:type="dxa"/>
            </w:tcMar>
            <w:vAlign w:val="center"/>
            <w:hideMark/>
          </w:tcPr>
          <w:p w14:paraId="1E46D9B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F1A3C2F" w14:textId="77777777" w:rsidR="00000000" w:rsidRDefault="00EE5306">
            <w:pPr>
              <w:spacing w:after="100"/>
              <w:jc w:val="center"/>
              <w:rPr>
                <w:rFonts w:eastAsia="Times New Roman"/>
              </w:rPr>
            </w:pPr>
            <w:r>
              <w:rPr>
                <w:rFonts w:eastAsia="Times New Roman"/>
                <w:color w:val="000000"/>
                <w:sz w:val="20"/>
                <w:szCs w:val="20"/>
              </w:rPr>
              <w:t>F-12</w:t>
            </w:r>
          </w:p>
        </w:tc>
        <w:tc>
          <w:tcPr>
            <w:tcW w:w="0" w:type="auto"/>
            <w:gridSpan w:val="3"/>
            <w:tcMar>
              <w:top w:w="0" w:type="dxa"/>
              <w:left w:w="20" w:type="dxa"/>
              <w:bottom w:w="0" w:type="dxa"/>
              <w:right w:w="20" w:type="dxa"/>
            </w:tcMar>
            <w:vAlign w:val="center"/>
            <w:hideMark/>
          </w:tcPr>
          <w:p w14:paraId="4C83AB98" w14:textId="77777777" w:rsidR="00000000" w:rsidRDefault="00EE5306">
            <w:pPr>
              <w:spacing w:after="100"/>
              <w:jc w:val="center"/>
              <w:rPr>
                <w:rFonts w:eastAsia="Times New Roman"/>
              </w:rPr>
            </w:pPr>
          </w:p>
        </w:tc>
      </w:tr>
    </w:tbl>
    <w:p w14:paraId="1DE5D85E" w14:textId="77777777" w:rsidR="00000000" w:rsidRDefault="00EE5306">
      <w:pPr>
        <w:rPr>
          <w:rFonts w:eastAsia="Times New Roman"/>
        </w:rPr>
      </w:pPr>
      <w:r>
        <w:rPr>
          <w:rFonts w:eastAsia="Times New Roman"/>
        </w:rPr>
        <w:pict w14:anchorId="0F13F701">
          <v:rect id="_x0000_i1122" style="width:0;height:1.5pt" o:hralign="center" o:hrstd="t" o:hr="t" fillcolor="#a0a0a0" stroked="f"/>
        </w:pict>
      </w:r>
    </w:p>
    <w:p w14:paraId="15AA41ED" w14:textId="77777777" w:rsidR="00000000" w:rsidRDefault="00EE5306">
      <w:pPr>
        <w:jc w:val="center"/>
        <w:divId w:val="754592580"/>
        <w:rPr>
          <w:rFonts w:eastAsia="Times New Roman"/>
        </w:rPr>
      </w:pPr>
    </w:p>
    <w:p w14:paraId="3FAFE848" w14:textId="77777777" w:rsidR="00000000" w:rsidRDefault="00EE5306">
      <w:pPr>
        <w:jc w:val="center"/>
        <w:divId w:val="754592580"/>
        <w:rPr>
          <w:rFonts w:eastAsia="Times New Roman"/>
        </w:rPr>
      </w:pPr>
      <w:r>
        <w:rPr>
          <w:rFonts w:eastAsia="Times New Roman"/>
          <w:b/>
          <w:bCs/>
          <w:color w:val="000000"/>
          <w:sz w:val="20"/>
          <w:szCs w:val="20"/>
        </w:rPr>
        <w:t>RALPH LAUREN CORPORATION</w:t>
      </w:r>
    </w:p>
    <w:p w14:paraId="5A6EDB0F" w14:textId="77777777" w:rsidR="00000000" w:rsidRDefault="00EE5306">
      <w:pPr>
        <w:jc w:val="center"/>
        <w:divId w:val="1342508848"/>
        <w:rPr>
          <w:rFonts w:eastAsia="Times New Roman"/>
        </w:rPr>
      </w:pPr>
      <w:r>
        <w:rPr>
          <w:rFonts w:eastAsia="Times New Roman"/>
          <w:b/>
          <w:bCs/>
          <w:color w:val="000000"/>
          <w:sz w:val="20"/>
          <w:szCs w:val="20"/>
        </w:rPr>
        <w:t>NOTES TO CONSOLIDATED FINANCIAL STATEMENTS (Continued)</w:t>
      </w:r>
    </w:p>
    <w:p w14:paraId="69D6C489" w14:textId="77777777" w:rsidR="00000000" w:rsidRDefault="00EE5306">
      <w:pPr>
        <w:ind w:firstLine="540"/>
        <w:jc w:val="both"/>
        <w:divId w:val="1489908314"/>
        <w:rPr>
          <w:rFonts w:eastAsia="Times New Roman"/>
        </w:rPr>
      </w:pPr>
      <w:r>
        <w:rPr>
          <w:rFonts w:eastAsia="Times New Roman"/>
          <w:color w:val="000000"/>
          <w:sz w:val="20"/>
          <w:szCs w:val="20"/>
        </w:rPr>
        <w:t>The weighted-average number of common shares outstanding used to calculate basic net income (loss) per common share is reconciled to share</w:t>
      </w:r>
      <w:r>
        <w:rPr>
          <w:rFonts w:eastAsia="Times New Roman"/>
          <w:color w:val="000000"/>
          <w:sz w:val="20"/>
          <w:szCs w:val="20"/>
        </w:rPr>
        <w:t>s used to calculate diluted net income (loss) per common share as follows:</w:t>
      </w:r>
    </w:p>
    <w:tbl>
      <w:tblPr>
        <w:tblW w:w="4766" w:type="pct"/>
        <w:tblCellMar>
          <w:top w:w="15" w:type="dxa"/>
          <w:left w:w="15" w:type="dxa"/>
          <w:bottom w:w="15" w:type="dxa"/>
          <w:right w:w="15" w:type="dxa"/>
        </w:tblCellMar>
        <w:tblLook w:val="04A0" w:firstRow="1" w:lastRow="0" w:firstColumn="1" w:lastColumn="0" w:noHBand="0" w:noVBand="1"/>
      </w:tblPr>
      <w:tblGrid>
        <w:gridCol w:w="53"/>
        <w:gridCol w:w="4541"/>
        <w:gridCol w:w="38"/>
        <w:gridCol w:w="36"/>
        <w:gridCol w:w="36"/>
        <w:gridCol w:w="36"/>
        <w:gridCol w:w="42"/>
        <w:gridCol w:w="851"/>
        <w:gridCol w:w="36"/>
        <w:gridCol w:w="37"/>
        <w:gridCol w:w="188"/>
        <w:gridCol w:w="37"/>
        <w:gridCol w:w="53"/>
        <w:gridCol w:w="858"/>
        <w:gridCol w:w="36"/>
        <w:gridCol w:w="36"/>
        <w:gridCol w:w="36"/>
        <w:gridCol w:w="36"/>
        <w:gridCol w:w="42"/>
        <w:gridCol w:w="853"/>
        <w:gridCol w:w="36"/>
      </w:tblGrid>
      <w:tr w:rsidR="00000000" w14:paraId="1BD63A42" w14:textId="77777777">
        <w:trPr>
          <w:divId w:val="1569028528"/>
        </w:trPr>
        <w:tc>
          <w:tcPr>
            <w:tcW w:w="50" w:type="pct"/>
            <w:vAlign w:val="center"/>
            <w:hideMark/>
          </w:tcPr>
          <w:p w14:paraId="6F3E9FCC" w14:textId="77777777" w:rsidR="00000000" w:rsidRDefault="00EE5306">
            <w:pPr>
              <w:ind w:firstLine="540"/>
              <w:jc w:val="both"/>
              <w:rPr>
                <w:rFonts w:eastAsia="Times New Roman"/>
              </w:rPr>
            </w:pPr>
          </w:p>
        </w:tc>
        <w:tc>
          <w:tcPr>
            <w:tcW w:w="2882" w:type="pct"/>
            <w:vAlign w:val="center"/>
            <w:hideMark/>
          </w:tcPr>
          <w:p w14:paraId="508541C1" w14:textId="77777777" w:rsidR="00000000" w:rsidRDefault="00EE5306">
            <w:pPr>
              <w:spacing w:after="100"/>
              <w:rPr>
                <w:rFonts w:eastAsia="Times New Roman"/>
                <w:sz w:val="20"/>
                <w:szCs w:val="20"/>
              </w:rPr>
            </w:pPr>
          </w:p>
        </w:tc>
        <w:tc>
          <w:tcPr>
            <w:tcW w:w="5" w:type="pct"/>
            <w:vAlign w:val="center"/>
            <w:hideMark/>
          </w:tcPr>
          <w:p w14:paraId="233871A4" w14:textId="77777777" w:rsidR="00000000" w:rsidRDefault="00EE5306">
            <w:pPr>
              <w:spacing w:after="100"/>
              <w:rPr>
                <w:rFonts w:eastAsia="Times New Roman"/>
                <w:sz w:val="20"/>
                <w:szCs w:val="20"/>
              </w:rPr>
            </w:pPr>
          </w:p>
        </w:tc>
        <w:tc>
          <w:tcPr>
            <w:tcW w:w="5" w:type="pct"/>
            <w:vAlign w:val="center"/>
            <w:hideMark/>
          </w:tcPr>
          <w:p w14:paraId="476C62F7" w14:textId="77777777" w:rsidR="00000000" w:rsidRDefault="00EE5306">
            <w:pPr>
              <w:spacing w:after="100"/>
              <w:rPr>
                <w:rFonts w:eastAsia="Times New Roman"/>
                <w:sz w:val="20"/>
                <w:szCs w:val="20"/>
              </w:rPr>
            </w:pPr>
          </w:p>
        </w:tc>
        <w:tc>
          <w:tcPr>
            <w:tcW w:w="28" w:type="pct"/>
            <w:vAlign w:val="center"/>
            <w:hideMark/>
          </w:tcPr>
          <w:p w14:paraId="241D7506" w14:textId="77777777" w:rsidR="00000000" w:rsidRDefault="00EE5306">
            <w:pPr>
              <w:spacing w:after="100"/>
              <w:rPr>
                <w:rFonts w:eastAsia="Times New Roman"/>
                <w:sz w:val="20"/>
                <w:szCs w:val="20"/>
              </w:rPr>
            </w:pPr>
          </w:p>
        </w:tc>
        <w:tc>
          <w:tcPr>
            <w:tcW w:w="5" w:type="pct"/>
            <w:vAlign w:val="center"/>
            <w:hideMark/>
          </w:tcPr>
          <w:p w14:paraId="191F321C" w14:textId="77777777" w:rsidR="00000000" w:rsidRDefault="00EE5306">
            <w:pPr>
              <w:spacing w:after="100"/>
              <w:rPr>
                <w:rFonts w:eastAsia="Times New Roman"/>
                <w:sz w:val="20"/>
                <w:szCs w:val="20"/>
              </w:rPr>
            </w:pPr>
          </w:p>
        </w:tc>
        <w:tc>
          <w:tcPr>
            <w:tcW w:w="50" w:type="pct"/>
            <w:vAlign w:val="center"/>
            <w:hideMark/>
          </w:tcPr>
          <w:p w14:paraId="5CD22839" w14:textId="77777777" w:rsidR="00000000" w:rsidRDefault="00EE5306">
            <w:pPr>
              <w:spacing w:after="100"/>
              <w:rPr>
                <w:rFonts w:eastAsia="Times New Roman"/>
                <w:sz w:val="20"/>
                <w:szCs w:val="20"/>
              </w:rPr>
            </w:pPr>
          </w:p>
        </w:tc>
        <w:tc>
          <w:tcPr>
            <w:tcW w:w="558" w:type="pct"/>
            <w:vAlign w:val="center"/>
            <w:hideMark/>
          </w:tcPr>
          <w:p w14:paraId="055DFA90" w14:textId="77777777" w:rsidR="00000000" w:rsidRDefault="00EE5306">
            <w:pPr>
              <w:spacing w:after="100"/>
              <w:rPr>
                <w:rFonts w:eastAsia="Times New Roman"/>
                <w:sz w:val="20"/>
                <w:szCs w:val="20"/>
              </w:rPr>
            </w:pPr>
          </w:p>
        </w:tc>
        <w:tc>
          <w:tcPr>
            <w:tcW w:w="5" w:type="pct"/>
            <w:vAlign w:val="center"/>
            <w:hideMark/>
          </w:tcPr>
          <w:p w14:paraId="0162105A" w14:textId="77777777" w:rsidR="00000000" w:rsidRDefault="00EE5306">
            <w:pPr>
              <w:spacing w:after="100"/>
              <w:rPr>
                <w:rFonts w:eastAsia="Times New Roman"/>
                <w:sz w:val="20"/>
                <w:szCs w:val="20"/>
              </w:rPr>
            </w:pPr>
          </w:p>
        </w:tc>
        <w:tc>
          <w:tcPr>
            <w:tcW w:w="5" w:type="pct"/>
            <w:vAlign w:val="center"/>
            <w:hideMark/>
          </w:tcPr>
          <w:p w14:paraId="2A19FC5A" w14:textId="77777777" w:rsidR="00000000" w:rsidRDefault="00EE5306">
            <w:pPr>
              <w:spacing w:after="100"/>
              <w:rPr>
                <w:rFonts w:eastAsia="Times New Roman"/>
                <w:sz w:val="20"/>
                <w:szCs w:val="20"/>
              </w:rPr>
            </w:pPr>
          </w:p>
        </w:tc>
        <w:tc>
          <w:tcPr>
            <w:tcW w:w="135" w:type="pct"/>
            <w:vAlign w:val="center"/>
            <w:hideMark/>
          </w:tcPr>
          <w:p w14:paraId="41F2D041" w14:textId="77777777" w:rsidR="00000000" w:rsidRDefault="00EE5306">
            <w:pPr>
              <w:spacing w:after="100"/>
              <w:rPr>
                <w:rFonts w:eastAsia="Times New Roman"/>
                <w:sz w:val="20"/>
                <w:szCs w:val="20"/>
              </w:rPr>
            </w:pPr>
          </w:p>
        </w:tc>
        <w:tc>
          <w:tcPr>
            <w:tcW w:w="5" w:type="pct"/>
            <w:vAlign w:val="center"/>
            <w:hideMark/>
          </w:tcPr>
          <w:p w14:paraId="1B2C1E80" w14:textId="77777777" w:rsidR="00000000" w:rsidRDefault="00EE5306">
            <w:pPr>
              <w:spacing w:after="100"/>
              <w:rPr>
                <w:rFonts w:eastAsia="Times New Roman"/>
                <w:sz w:val="20"/>
                <w:szCs w:val="20"/>
              </w:rPr>
            </w:pPr>
          </w:p>
        </w:tc>
        <w:tc>
          <w:tcPr>
            <w:tcW w:w="50" w:type="pct"/>
            <w:vAlign w:val="center"/>
            <w:hideMark/>
          </w:tcPr>
          <w:p w14:paraId="069ADE3C" w14:textId="77777777" w:rsidR="00000000" w:rsidRDefault="00EE5306">
            <w:pPr>
              <w:spacing w:after="100"/>
              <w:rPr>
                <w:rFonts w:eastAsia="Times New Roman"/>
                <w:sz w:val="20"/>
                <w:szCs w:val="20"/>
              </w:rPr>
            </w:pPr>
          </w:p>
        </w:tc>
        <w:tc>
          <w:tcPr>
            <w:tcW w:w="558" w:type="pct"/>
            <w:vAlign w:val="center"/>
            <w:hideMark/>
          </w:tcPr>
          <w:p w14:paraId="7E4C4D14" w14:textId="77777777" w:rsidR="00000000" w:rsidRDefault="00EE5306">
            <w:pPr>
              <w:spacing w:after="100"/>
              <w:rPr>
                <w:rFonts w:eastAsia="Times New Roman"/>
                <w:sz w:val="20"/>
                <w:szCs w:val="20"/>
              </w:rPr>
            </w:pPr>
          </w:p>
        </w:tc>
        <w:tc>
          <w:tcPr>
            <w:tcW w:w="5" w:type="pct"/>
            <w:vAlign w:val="center"/>
            <w:hideMark/>
          </w:tcPr>
          <w:p w14:paraId="5035FBB0" w14:textId="77777777" w:rsidR="00000000" w:rsidRDefault="00EE5306">
            <w:pPr>
              <w:spacing w:after="100"/>
              <w:rPr>
                <w:rFonts w:eastAsia="Times New Roman"/>
                <w:sz w:val="20"/>
                <w:szCs w:val="20"/>
              </w:rPr>
            </w:pPr>
          </w:p>
        </w:tc>
        <w:tc>
          <w:tcPr>
            <w:tcW w:w="5" w:type="pct"/>
            <w:vAlign w:val="center"/>
            <w:hideMark/>
          </w:tcPr>
          <w:p w14:paraId="42057FDB" w14:textId="77777777" w:rsidR="00000000" w:rsidRDefault="00EE5306">
            <w:pPr>
              <w:spacing w:after="100"/>
              <w:rPr>
                <w:rFonts w:eastAsia="Times New Roman"/>
                <w:sz w:val="20"/>
                <w:szCs w:val="20"/>
              </w:rPr>
            </w:pPr>
          </w:p>
        </w:tc>
        <w:tc>
          <w:tcPr>
            <w:tcW w:w="28" w:type="pct"/>
            <w:vAlign w:val="center"/>
            <w:hideMark/>
          </w:tcPr>
          <w:p w14:paraId="6806C421" w14:textId="77777777" w:rsidR="00000000" w:rsidRDefault="00EE5306">
            <w:pPr>
              <w:spacing w:after="100"/>
              <w:rPr>
                <w:rFonts w:eastAsia="Times New Roman"/>
                <w:sz w:val="20"/>
                <w:szCs w:val="20"/>
              </w:rPr>
            </w:pPr>
          </w:p>
        </w:tc>
        <w:tc>
          <w:tcPr>
            <w:tcW w:w="5" w:type="pct"/>
            <w:vAlign w:val="center"/>
            <w:hideMark/>
          </w:tcPr>
          <w:p w14:paraId="669F2271" w14:textId="77777777" w:rsidR="00000000" w:rsidRDefault="00EE5306">
            <w:pPr>
              <w:spacing w:after="100"/>
              <w:rPr>
                <w:rFonts w:eastAsia="Times New Roman"/>
                <w:sz w:val="20"/>
                <w:szCs w:val="20"/>
              </w:rPr>
            </w:pPr>
          </w:p>
        </w:tc>
        <w:tc>
          <w:tcPr>
            <w:tcW w:w="50" w:type="pct"/>
            <w:vAlign w:val="center"/>
            <w:hideMark/>
          </w:tcPr>
          <w:p w14:paraId="01F93DF1" w14:textId="77777777" w:rsidR="00000000" w:rsidRDefault="00EE5306">
            <w:pPr>
              <w:spacing w:after="100"/>
              <w:rPr>
                <w:rFonts w:eastAsia="Times New Roman"/>
                <w:sz w:val="20"/>
                <w:szCs w:val="20"/>
              </w:rPr>
            </w:pPr>
          </w:p>
        </w:tc>
        <w:tc>
          <w:tcPr>
            <w:tcW w:w="558" w:type="pct"/>
            <w:vAlign w:val="center"/>
            <w:hideMark/>
          </w:tcPr>
          <w:p w14:paraId="51CA07D0" w14:textId="77777777" w:rsidR="00000000" w:rsidRDefault="00EE5306">
            <w:pPr>
              <w:spacing w:after="100"/>
              <w:rPr>
                <w:rFonts w:eastAsia="Times New Roman"/>
                <w:sz w:val="20"/>
                <w:szCs w:val="20"/>
              </w:rPr>
            </w:pPr>
          </w:p>
        </w:tc>
        <w:tc>
          <w:tcPr>
            <w:tcW w:w="5" w:type="pct"/>
            <w:vAlign w:val="center"/>
            <w:hideMark/>
          </w:tcPr>
          <w:p w14:paraId="4E9A986C" w14:textId="77777777" w:rsidR="00000000" w:rsidRDefault="00EE5306">
            <w:pPr>
              <w:spacing w:after="100"/>
              <w:rPr>
                <w:rFonts w:eastAsia="Times New Roman"/>
                <w:sz w:val="20"/>
                <w:szCs w:val="20"/>
              </w:rPr>
            </w:pPr>
          </w:p>
        </w:tc>
      </w:tr>
      <w:tr w:rsidR="00000000" w14:paraId="272185A2" w14:textId="77777777">
        <w:trPr>
          <w:divId w:val="1569028528"/>
        </w:trPr>
        <w:tc>
          <w:tcPr>
            <w:tcW w:w="0" w:type="auto"/>
            <w:gridSpan w:val="3"/>
            <w:tcMar>
              <w:top w:w="30" w:type="dxa"/>
              <w:left w:w="20" w:type="dxa"/>
              <w:bottom w:w="30" w:type="dxa"/>
              <w:right w:w="20" w:type="dxa"/>
            </w:tcMar>
            <w:vAlign w:val="bottom"/>
            <w:hideMark/>
          </w:tcPr>
          <w:p w14:paraId="0485B35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83E07BF"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1EBBD686"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12F6050A" w14:textId="77777777">
        <w:trPr>
          <w:divId w:val="1569028528"/>
        </w:trPr>
        <w:tc>
          <w:tcPr>
            <w:tcW w:w="0" w:type="auto"/>
            <w:gridSpan w:val="3"/>
            <w:tcMar>
              <w:top w:w="30" w:type="dxa"/>
              <w:left w:w="20" w:type="dxa"/>
              <w:bottom w:w="30" w:type="dxa"/>
              <w:right w:w="20" w:type="dxa"/>
            </w:tcMar>
            <w:vAlign w:val="bottom"/>
            <w:hideMark/>
          </w:tcPr>
          <w:p w14:paraId="4C105F1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B1D850C"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85E8F7"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A4709C5"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4EB3B2"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0506125"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6ABAC18"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53F41425" w14:textId="77777777">
        <w:trPr>
          <w:divId w:val="1569028528"/>
        </w:trPr>
        <w:tc>
          <w:tcPr>
            <w:tcW w:w="0" w:type="auto"/>
            <w:gridSpan w:val="3"/>
            <w:tcMar>
              <w:top w:w="30" w:type="dxa"/>
              <w:left w:w="20" w:type="dxa"/>
              <w:bottom w:w="30" w:type="dxa"/>
              <w:right w:w="20" w:type="dxa"/>
            </w:tcMar>
            <w:vAlign w:val="bottom"/>
            <w:hideMark/>
          </w:tcPr>
          <w:p w14:paraId="032C0ED4"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C41855A"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8A5993B"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138F5C6C" w14:textId="77777777">
        <w:trPr>
          <w:divId w:val="1569028528"/>
        </w:trPr>
        <w:tc>
          <w:tcPr>
            <w:tcW w:w="0" w:type="auto"/>
            <w:gridSpan w:val="3"/>
            <w:shd w:val="clear" w:color="auto" w:fill="CCEEFF"/>
            <w:tcMar>
              <w:top w:w="30" w:type="dxa"/>
              <w:left w:w="20" w:type="dxa"/>
              <w:bottom w:w="30" w:type="dxa"/>
              <w:right w:w="20" w:type="dxa"/>
            </w:tcMar>
            <w:vAlign w:val="bottom"/>
            <w:hideMark/>
          </w:tcPr>
          <w:p w14:paraId="55B5B39F" w14:textId="77777777" w:rsidR="00000000" w:rsidRDefault="00EE5306">
            <w:pPr>
              <w:spacing w:after="100"/>
              <w:rPr>
                <w:rFonts w:eastAsia="Times New Roman"/>
              </w:rPr>
            </w:pPr>
            <w:r>
              <w:rPr>
                <w:rFonts w:eastAsia="Times New Roman"/>
                <w:color w:val="000000"/>
                <w:sz w:val="20"/>
                <w:szCs w:val="20"/>
              </w:rPr>
              <w:t>Basic shares</w:t>
            </w:r>
          </w:p>
        </w:tc>
        <w:tc>
          <w:tcPr>
            <w:tcW w:w="0" w:type="auto"/>
            <w:gridSpan w:val="3"/>
            <w:shd w:val="clear" w:color="auto" w:fill="CCEEFF"/>
            <w:tcMar>
              <w:top w:w="0" w:type="dxa"/>
              <w:left w:w="20" w:type="dxa"/>
              <w:bottom w:w="0" w:type="dxa"/>
              <w:right w:w="20" w:type="dxa"/>
            </w:tcMar>
            <w:vAlign w:val="center"/>
            <w:hideMark/>
          </w:tcPr>
          <w:p w14:paraId="36B8AEF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1DB351" w14:textId="77777777" w:rsidR="00000000" w:rsidRDefault="00EE5306">
            <w:pPr>
              <w:spacing w:after="100"/>
              <w:jc w:val="right"/>
              <w:rPr>
                <w:rFonts w:eastAsia="Times New Roman"/>
              </w:rPr>
            </w:pPr>
            <w:r>
              <w:rPr>
                <w:rFonts w:eastAsia="Times New Roman"/>
                <w:color w:val="000000"/>
                <w:sz w:val="20"/>
                <w:szCs w:val="20"/>
              </w:rPr>
              <w:t>73.5 </w:t>
            </w:r>
          </w:p>
        </w:tc>
        <w:tc>
          <w:tcPr>
            <w:tcW w:w="0" w:type="auto"/>
            <w:shd w:val="clear" w:color="auto" w:fill="CCEEFF"/>
            <w:tcMar>
              <w:top w:w="30" w:type="dxa"/>
              <w:left w:w="0" w:type="dxa"/>
              <w:bottom w:w="30" w:type="dxa"/>
              <w:right w:w="20" w:type="dxa"/>
            </w:tcMar>
            <w:vAlign w:val="bottom"/>
            <w:hideMark/>
          </w:tcPr>
          <w:p w14:paraId="1C7505F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73936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EA9DBF" w14:textId="77777777" w:rsidR="00000000" w:rsidRDefault="00EE5306">
            <w:pPr>
              <w:spacing w:after="100"/>
              <w:jc w:val="right"/>
              <w:rPr>
                <w:rFonts w:eastAsia="Times New Roman"/>
              </w:rPr>
            </w:pPr>
            <w:r>
              <w:rPr>
                <w:rFonts w:eastAsia="Times New Roman"/>
                <w:color w:val="000000"/>
                <w:sz w:val="20"/>
                <w:szCs w:val="20"/>
              </w:rPr>
              <w:t>75.8 </w:t>
            </w:r>
          </w:p>
        </w:tc>
        <w:tc>
          <w:tcPr>
            <w:tcW w:w="0" w:type="auto"/>
            <w:shd w:val="clear" w:color="auto" w:fill="CCEEFF"/>
            <w:tcMar>
              <w:top w:w="30" w:type="dxa"/>
              <w:left w:w="0" w:type="dxa"/>
              <w:bottom w:w="30" w:type="dxa"/>
              <w:right w:w="20" w:type="dxa"/>
            </w:tcMar>
            <w:vAlign w:val="bottom"/>
            <w:hideMark/>
          </w:tcPr>
          <w:p w14:paraId="4FB2A59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77FC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DBAAD" w14:textId="77777777" w:rsidR="00000000" w:rsidRDefault="00EE5306">
            <w:pPr>
              <w:spacing w:after="100"/>
              <w:jc w:val="right"/>
              <w:rPr>
                <w:rFonts w:eastAsia="Times New Roman"/>
              </w:rPr>
            </w:pPr>
            <w:r>
              <w:rPr>
                <w:rFonts w:eastAsia="Times New Roman"/>
                <w:color w:val="000000"/>
                <w:sz w:val="20"/>
                <w:szCs w:val="20"/>
              </w:rPr>
              <w:t>80.6 </w:t>
            </w:r>
          </w:p>
        </w:tc>
        <w:tc>
          <w:tcPr>
            <w:tcW w:w="0" w:type="auto"/>
            <w:shd w:val="clear" w:color="auto" w:fill="CCEEFF"/>
            <w:tcMar>
              <w:top w:w="30" w:type="dxa"/>
              <w:left w:w="0" w:type="dxa"/>
              <w:bottom w:w="30" w:type="dxa"/>
              <w:right w:w="20" w:type="dxa"/>
            </w:tcMar>
            <w:vAlign w:val="bottom"/>
            <w:hideMark/>
          </w:tcPr>
          <w:p w14:paraId="6B2F6054" w14:textId="77777777" w:rsidR="00000000" w:rsidRDefault="00EE5306">
            <w:pPr>
              <w:spacing w:after="100"/>
              <w:jc w:val="right"/>
              <w:rPr>
                <w:rFonts w:eastAsia="Times New Roman"/>
              </w:rPr>
            </w:pPr>
          </w:p>
        </w:tc>
      </w:tr>
      <w:tr w:rsidR="00000000" w14:paraId="3A7D910D" w14:textId="77777777">
        <w:trPr>
          <w:divId w:val="1569028528"/>
        </w:trPr>
        <w:tc>
          <w:tcPr>
            <w:tcW w:w="0" w:type="auto"/>
            <w:gridSpan w:val="3"/>
            <w:shd w:val="clear" w:color="auto" w:fill="FFFFFF"/>
            <w:tcMar>
              <w:top w:w="30" w:type="dxa"/>
              <w:left w:w="20" w:type="dxa"/>
              <w:bottom w:w="30" w:type="dxa"/>
              <w:right w:w="20" w:type="dxa"/>
            </w:tcMar>
            <w:vAlign w:val="bottom"/>
            <w:hideMark/>
          </w:tcPr>
          <w:p w14:paraId="7DD94FE8" w14:textId="77777777" w:rsidR="00000000" w:rsidRDefault="00EE5306">
            <w:pPr>
              <w:spacing w:after="100"/>
              <w:ind w:hanging="180"/>
              <w:divId w:val="1206604177"/>
              <w:rPr>
                <w:rFonts w:eastAsia="Times New Roman"/>
              </w:rPr>
            </w:pPr>
            <w:r>
              <w:rPr>
                <w:rFonts w:eastAsia="Times New Roman"/>
                <w:color w:val="000000"/>
                <w:sz w:val="20"/>
                <w:szCs w:val="20"/>
              </w:rPr>
              <w:t>Dilutive effect of RSUs and stock options</w:t>
            </w:r>
          </w:p>
        </w:tc>
        <w:tc>
          <w:tcPr>
            <w:tcW w:w="0" w:type="auto"/>
            <w:gridSpan w:val="3"/>
            <w:shd w:val="clear" w:color="auto" w:fill="FFFFFF"/>
            <w:tcMar>
              <w:top w:w="0" w:type="dxa"/>
              <w:left w:w="20" w:type="dxa"/>
              <w:bottom w:w="0" w:type="dxa"/>
              <w:right w:w="20" w:type="dxa"/>
            </w:tcMar>
            <w:vAlign w:val="center"/>
            <w:hideMark/>
          </w:tcPr>
          <w:p w14:paraId="14DB6BB9"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C0562C"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B6B824" w14:textId="77777777" w:rsidR="00000000" w:rsidRDefault="00EE530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5C314F8" w14:textId="77777777" w:rsidR="00000000" w:rsidRDefault="00EE5306">
            <w:pPr>
              <w:spacing w:after="100"/>
              <w:divId w:val="1405300985"/>
              <w:rPr>
                <w:rFonts w:eastAsia="Times New Roman"/>
              </w:rPr>
            </w:pPr>
            <w:r>
              <w:rPr>
                <w:rFonts w:eastAsia="Times New Roman"/>
                <w:b/>
                <w:bCs/>
                <w:color w:val="000000"/>
                <w:sz w:val="13"/>
                <w:szCs w:val="13"/>
              </w:rPr>
              <w:t>(a</w:t>
            </w:r>
            <w:r>
              <w:rPr>
                <w:rFonts w:eastAsia="Times New Roman"/>
                <w:b/>
                <w:bCs/>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8084A68" w14:textId="77777777" w:rsidR="00000000" w:rsidRDefault="00EE5306">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311B493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520E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5CB1F5" w14:textId="77777777" w:rsidR="00000000" w:rsidRDefault="00EE5306">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6C23F511" w14:textId="77777777" w:rsidR="00000000" w:rsidRDefault="00EE5306">
            <w:pPr>
              <w:spacing w:after="100"/>
              <w:jc w:val="right"/>
              <w:rPr>
                <w:rFonts w:eastAsia="Times New Roman"/>
              </w:rPr>
            </w:pPr>
          </w:p>
        </w:tc>
      </w:tr>
      <w:tr w:rsidR="00000000" w14:paraId="21ECAE70" w14:textId="77777777">
        <w:trPr>
          <w:divId w:val="1569028528"/>
        </w:trPr>
        <w:tc>
          <w:tcPr>
            <w:tcW w:w="0" w:type="auto"/>
            <w:gridSpan w:val="3"/>
            <w:shd w:val="clear" w:color="auto" w:fill="CCEEFF"/>
            <w:tcMar>
              <w:top w:w="30" w:type="dxa"/>
              <w:left w:w="245" w:type="dxa"/>
              <w:bottom w:w="30" w:type="dxa"/>
              <w:right w:w="20" w:type="dxa"/>
            </w:tcMar>
            <w:vAlign w:val="bottom"/>
            <w:hideMark/>
          </w:tcPr>
          <w:p w14:paraId="7E326D92" w14:textId="77777777" w:rsidR="00000000" w:rsidRDefault="00EE5306">
            <w:pPr>
              <w:spacing w:after="100"/>
              <w:rPr>
                <w:rFonts w:eastAsia="Times New Roman"/>
              </w:rPr>
            </w:pPr>
            <w:r>
              <w:rPr>
                <w:rFonts w:eastAsia="Times New Roman"/>
                <w:color w:val="000000"/>
                <w:sz w:val="20"/>
                <w:szCs w:val="20"/>
              </w:rPr>
              <w:t>Diluted shares</w:t>
            </w:r>
          </w:p>
        </w:tc>
        <w:tc>
          <w:tcPr>
            <w:tcW w:w="0" w:type="auto"/>
            <w:gridSpan w:val="3"/>
            <w:shd w:val="clear" w:color="auto" w:fill="CCEEFF"/>
            <w:tcMar>
              <w:top w:w="0" w:type="dxa"/>
              <w:left w:w="20" w:type="dxa"/>
              <w:bottom w:w="0" w:type="dxa"/>
              <w:right w:w="20" w:type="dxa"/>
            </w:tcMar>
            <w:vAlign w:val="center"/>
            <w:hideMark/>
          </w:tcPr>
          <w:p w14:paraId="6FA26FAD"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A32094" w14:textId="77777777" w:rsidR="00000000" w:rsidRDefault="00EE5306">
            <w:pPr>
              <w:spacing w:after="100"/>
              <w:jc w:val="right"/>
              <w:rPr>
                <w:rFonts w:eastAsia="Times New Roman"/>
              </w:rPr>
            </w:pPr>
            <w:r>
              <w:rPr>
                <w:rFonts w:eastAsia="Times New Roman"/>
                <w:color w:val="000000"/>
                <w:sz w:val="20"/>
                <w:szCs w:val="20"/>
              </w:rPr>
              <w:t>73.5 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25BAC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B95E0" w14:textId="77777777" w:rsidR="00000000" w:rsidRDefault="00EE530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317896" w14:textId="77777777" w:rsidR="00000000" w:rsidRDefault="00EE5306">
            <w:pPr>
              <w:spacing w:after="100"/>
              <w:jc w:val="right"/>
              <w:rPr>
                <w:rFonts w:eastAsia="Times New Roman"/>
              </w:rPr>
            </w:pPr>
            <w:r>
              <w:rPr>
                <w:rFonts w:eastAsia="Times New Roman"/>
                <w:color w:val="000000"/>
                <w:sz w:val="20"/>
                <w:szCs w:val="20"/>
              </w:rPr>
              <w:t>77.2 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EBCD8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8DFB4" w14:textId="77777777" w:rsidR="00000000" w:rsidRDefault="00EE530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EADB8D" w14:textId="77777777" w:rsidR="00000000" w:rsidRDefault="00EE5306">
            <w:pPr>
              <w:spacing w:after="100"/>
              <w:jc w:val="right"/>
              <w:rPr>
                <w:rFonts w:eastAsia="Times New Roman"/>
              </w:rPr>
            </w:pPr>
            <w:r>
              <w:rPr>
                <w:rFonts w:eastAsia="Times New Roman"/>
                <w:color w:val="000000"/>
                <w:sz w:val="20"/>
                <w:szCs w:val="20"/>
              </w:rPr>
              <w:t>81.7 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F57DEC"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753A2EF9" w14:textId="77777777">
        <w:tc>
          <w:tcPr>
            <w:tcW w:w="50" w:type="pct"/>
            <w:vAlign w:val="center"/>
            <w:hideMark/>
          </w:tcPr>
          <w:p w14:paraId="0FECC127" w14:textId="77777777" w:rsidR="00000000" w:rsidRDefault="00EE5306">
            <w:pPr>
              <w:rPr>
                <w:rFonts w:eastAsia="Times New Roman"/>
              </w:rPr>
            </w:pPr>
          </w:p>
        </w:tc>
        <w:tc>
          <w:tcPr>
            <w:tcW w:w="4945" w:type="pct"/>
            <w:vAlign w:val="center"/>
            <w:hideMark/>
          </w:tcPr>
          <w:p w14:paraId="08BAAD11" w14:textId="77777777" w:rsidR="00000000" w:rsidRDefault="00EE5306">
            <w:pPr>
              <w:spacing w:after="100"/>
              <w:rPr>
                <w:rFonts w:eastAsia="Times New Roman"/>
                <w:sz w:val="20"/>
                <w:szCs w:val="20"/>
              </w:rPr>
            </w:pPr>
          </w:p>
        </w:tc>
        <w:tc>
          <w:tcPr>
            <w:tcW w:w="5" w:type="pct"/>
            <w:vAlign w:val="center"/>
            <w:hideMark/>
          </w:tcPr>
          <w:p w14:paraId="7C8E2BFB" w14:textId="77777777" w:rsidR="00000000" w:rsidRDefault="00EE5306">
            <w:pPr>
              <w:spacing w:after="100"/>
              <w:rPr>
                <w:rFonts w:eastAsia="Times New Roman"/>
                <w:sz w:val="20"/>
                <w:szCs w:val="20"/>
              </w:rPr>
            </w:pPr>
          </w:p>
        </w:tc>
      </w:tr>
      <w:tr w:rsidR="00000000" w14:paraId="40C40340"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5428EAC9" w14:textId="77777777" w:rsidR="00000000" w:rsidRDefault="00EE5306">
            <w:pPr>
              <w:spacing w:after="100"/>
              <w:rPr>
                <w:rFonts w:eastAsia="Times New Roman"/>
                <w:sz w:val="20"/>
                <w:szCs w:val="20"/>
              </w:rPr>
            </w:pPr>
          </w:p>
        </w:tc>
      </w:tr>
    </w:tbl>
    <w:p w14:paraId="3ABD8D1C" w14:textId="77777777" w:rsidR="00000000" w:rsidRDefault="00EE5306">
      <w:pPr>
        <w:ind w:hanging="360"/>
        <w:jc w:val="both"/>
        <w:divId w:val="812647215"/>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Incremental shares of 1.2 </w:t>
      </w:r>
      <w:r>
        <w:rPr>
          <w:rFonts w:eastAsia="Times New Roman"/>
          <w:color w:val="000000"/>
          <w:sz w:val="20"/>
          <w:szCs w:val="20"/>
        </w:rPr>
        <w:t>million attributable to outstanding RSUs were excluded from the computation of diluted shares for Fiscal 2021 as such shares would not be dilutive given the net loss incurred during the fiscal year.</w:t>
      </w:r>
    </w:p>
    <w:p w14:paraId="14DB435E" w14:textId="77777777" w:rsidR="00000000" w:rsidRDefault="00EE5306">
      <w:pPr>
        <w:ind w:firstLine="540"/>
        <w:jc w:val="both"/>
        <w:divId w:val="589702188"/>
        <w:rPr>
          <w:rFonts w:eastAsia="Times New Roman"/>
        </w:rPr>
      </w:pPr>
      <w:r>
        <w:rPr>
          <w:rFonts w:eastAsia="Times New Roman"/>
          <w:color w:val="000000"/>
          <w:sz w:val="20"/>
          <w:szCs w:val="20"/>
        </w:rPr>
        <w:t>All earnings per share amounts have been calculated using</w:t>
      </w:r>
      <w:r>
        <w:rPr>
          <w:rFonts w:eastAsia="Times New Roman"/>
          <w:color w:val="000000"/>
          <w:sz w:val="20"/>
          <w:szCs w:val="20"/>
        </w:rPr>
        <w:t xml:space="preserve"> unrounded numbers. The Company has outstanding performance-based RSUs, which are included in the computation of diluted shares only to the extent that the underlying performance conditions (i) have been satisfied as of the end of the reporting period or (</w:t>
      </w:r>
      <w:r>
        <w:rPr>
          <w:rFonts w:eastAsia="Times New Roman"/>
          <w:color w:val="000000"/>
          <w:sz w:val="20"/>
          <w:szCs w:val="20"/>
        </w:rPr>
        <w:t>ii) would be considered satisfied if the end of the reporting period were the end of the related contingency period and the result would be dilutive. In addition, options to purchase shares of the Company's Class A common stock at an exercise price greater</w:t>
      </w:r>
      <w:r>
        <w:rPr>
          <w:rFonts w:eastAsia="Times New Roman"/>
          <w:color w:val="000000"/>
          <w:sz w:val="20"/>
          <w:szCs w:val="20"/>
        </w:rPr>
        <w:t xml:space="preserve"> than the average market price of such common stock during the reporting period are anti-dilutive and therefore not included in the computation of diluted net income (loss) per common share. As of the end of Fiscal 2021, Fiscal 2020, and Fiscal 2019, there</w:t>
      </w:r>
      <w:r>
        <w:rPr>
          <w:rFonts w:eastAsia="Times New Roman"/>
          <w:color w:val="000000"/>
          <w:sz w:val="20"/>
          <w:szCs w:val="20"/>
        </w:rPr>
        <w:t xml:space="preserve"> were 0.4 million, 0.8 million, and 1.4 million, respectively, of additional shares issuable contingent upon vesting of performance-based RSUs and upon exercise of anti-dilutive stock options that were excluded from the diluted shares calculations.</w:t>
      </w:r>
    </w:p>
    <w:p w14:paraId="3AB4189C" w14:textId="77777777" w:rsidR="00000000" w:rsidRDefault="00EE5306">
      <w:pPr>
        <w:ind w:firstLine="360"/>
        <w:jc w:val="both"/>
        <w:divId w:val="968318662"/>
        <w:rPr>
          <w:rFonts w:eastAsia="Times New Roman"/>
        </w:rPr>
      </w:pPr>
      <w:r>
        <w:rPr>
          <w:rFonts w:eastAsia="Times New Roman"/>
          <w:b/>
          <w:bCs/>
          <w:i/>
          <w:iCs/>
          <w:color w:val="000000"/>
          <w:sz w:val="20"/>
          <w:szCs w:val="20"/>
        </w:rPr>
        <w:t>Stock-B</w:t>
      </w:r>
      <w:r>
        <w:rPr>
          <w:rFonts w:eastAsia="Times New Roman"/>
          <w:b/>
          <w:bCs/>
          <w:i/>
          <w:iCs/>
          <w:color w:val="000000"/>
          <w:sz w:val="20"/>
          <w:szCs w:val="20"/>
        </w:rPr>
        <w:t>ased Compensation</w:t>
      </w:r>
    </w:p>
    <w:p w14:paraId="2A20D9A3" w14:textId="77777777" w:rsidR="00000000" w:rsidRDefault="00EE5306">
      <w:pPr>
        <w:ind w:firstLine="540"/>
        <w:jc w:val="both"/>
        <w:divId w:val="141822143"/>
        <w:rPr>
          <w:rFonts w:eastAsia="Times New Roman"/>
        </w:rPr>
      </w:pPr>
      <w:r>
        <w:rPr>
          <w:rFonts w:eastAsia="Times New Roman"/>
          <w:color w:val="000000"/>
          <w:sz w:val="20"/>
          <w:szCs w:val="20"/>
        </w:rPr>
        <w:t xml:space="preserve">The Company recognizes expense for all stock-based compensation awards granted to employees and non-employee directors based on the grant date fair value of the awards over the requisite service period, adjusted for forfeitures which are </w:t>
      </w:r>
      <w:r>
        <w:rPr>
          <w:rFonts w:eastAsia="Times New Roman"/>
          <w:color w:val="000000"/>
          <w:sz w:val="20"/>
          <w:szCs w:val="20"/>
        </w:rPr>
        <w:t>estimated based on an analysis of historical experience and expected future trends. The grant date fair values of restricted stock awards, service-based RSUs, and performance-based RSUs are determined based on the fair value of the Company's Class A common</w:t>
      </w:r>
      <w:r>
        <w:rPr>
          <w:rFonts w:eastAsia="Times New Roman"/>
          <w:color w:val="000000"/>
          <w:sz w:val="20"/>
          <w:szCs w:val="20"/>
        </w:rPr>
        <w:t xml:space="preserve"> stock on the date of grant, adjusted to reflect the absence of dividends for any awards for which dividend equivalent amounts do not accrue while outstanding and unvested. The grant date fair value of the Company's market-based RSU awards, for which vesti</w:t>
      </w:r>
      <w:r>
        <w:rPr>
          <w:rFonts w:eastAsia="Times New Roman"/>
          <w:color w:val="000000"/>
          <w:sz w:val="20"/>
          <w:szCs w:val="20"/>
        </w:rPr>
        <w:t>ng is dependent upon total shareholder return ("TSR") of its Class A common stock over a three-year performance period relative to that of a pre-established peer group, is estimated using a Monte Carlo simulation model. The Company uses the Black-Scholes v</w:t>
      </w:r>
      <w:r>
        <w:rPr>
          <w:rFonts w:eastAsia="Times New Roman"/>
          <w:color w:val="000000"/>
          <w:sz w:val="20"/>
          <w:szCs w:val="20"/>
        </w:rPr>
        <w:t>aluation model to estimate the grant date fair value of any stock option awards.</w:t>
      </w:r>
    </w:p>
    <w:p w14:paraId="494A0833" w14:textId="77777777" w:rsidR="00000000" w:rsidRDefault="00EE5306">
      <w:pPr>
        <w:ind w:firstLine="540"/>
        <w:jc w:val="both"/>
        <w:divId w:val="473639007"/>
        <w:rPr>
          <w:rFonts w:eastAsia="Times New Roman"/>
        </w:rPr>
      </w:pPr>
      <w:r>
        <w:rPr>
          <w:rFonts w:eastAsia="Times New Roman"/>
          <w:color w:val="000000"/>
          <w:sz w:val="20"/>
          <w:szCs w:val="20"/>
        </w:rPr>
        <w:t>Compensation expense for all performance-based RSUs is recognized over the requisite service period when attainment of the performance goal is deemed probable, net of estimate</w:t>
      </w:r>
      <w:r>
        <w:rPr>
          <w:rFonts w:eastAsia="Times New Roman"/>
          <w:color w:val="000000"/>
          <w:sz w:val="20"/>
          <w:szCs w:val="20"/>
        </w:rPr>
        <w:t>d forfeitures. Compensation expense for market-based RSUs, net of estimated forfeitures, is recognized over the requisite service period regardless of whether, and the extent to which, the market condition is ultimately satisfied. The Company recognizes co</w:t>
      </w:r>
      <w:r>
        <w:rPr>
          <w:rFonts w:eastAsia="Times New Roman"/>
          <w:color w:val="000000"/>
          <w:sz w:val="20"/>
          <w:szCs w:val="20"/>
        </w:rPr>
        <w:t>mpensation expense on an accelerated basis for all awards with graded vesting terms, including restricted stock, certain RSUs, and stock options. For RSU awards with cliff vesting terms, compensation expense is recognized on a straight-line basis. For cert</w:t>
      </w:r>
      <w:r>
        <w:rPr>
          <w:rFonts w:eastAsia="Times New Roman"/>
          <w:color w:val="000000"/>
          <w:sz w:val="20"/>
          <w:szCs w:val="20"/>
        </w:rPr>
        <w:t xml:space="preserve">ain RSU awards granted to retirement-eligible employees, or employees who will become retirement-eligible prior to the end of the awards' respective stated vesting periods, the related compensation expense is recognized on an accelerated basis over a term </w:t>
      </w:r>
      <w:r>
        <w:rPr>
          <w:rFonts w:eastAsia="Times New Roman"/>
          <w:color w:val="000000"/>
          <w:sz w:val="20"/>
          <w:szCs w:val="20"/>
        </w:rPr>
        <w:t>commensurate with the period that the employee is required to provide service in order to vest in the award. See Note 18 for further discussion of the Company's stock-based compensation plans.</w:t>
      </w:r>
    </w:p>
    <w:p w14:paraId="38295908" w14:textId="77777777" w:rsidR="00000000" w:rsidRDefault="00EE5306">
      <w:pPr>
        <w:ind w:firstLine="360"/>
        <w:jc w:val="both"/>
        <w:divId w:val="1779913549"/>
        <w:rPr>
          <w:rFonts w:eastAsia="Times New Roman"/>
        </w:rPr>
      </w:pPr>
      <w:r>
        <w:rPr>
          <w:rFonts w:eastAsia="Times New Roman"/>
          <w:b/>
          <w:bCs/>
          <w:i/>
          <w:iCs/>
          <w:color w:val="000000"/>
          <w:sz w:val="20"/>
          <w:szCs w:val="20"/>
        </w:rPr>
        <w:t>Cash and Cash Equivalents</w:t>
      </w:r>
    </w:p>
    <w:p w14:paraId="25494CD8" w14:textId="77777777" w:rsidR="00000000" w:rsidRDefault="00EE5306">
      <w:pPr>
        <w:ind w:firstLine="540"/>
        <w:jc w:val="both"/>
        <w:divId w:val="1436830294"/>
        <w:rPr>
          <w:rFonts w:eastAsia="Times New Roman"/>
        </w:rPr>
      </w:pPr>
      <w:r>
        <w:rPr>
          <w:rFonts w:eastAsia="Times New Roman"/>
          <w:color w:val="000000"/>
          <w:sz w:val="20"/>
          <w:szCs w:val="20"/>
        </w:rPr>
        <w:t>Cash and cash equivalents include all</w:t>
      </w:r>
      <w:r>
        <w:rPr>
          <w:rFonts w:eastAsia="Times New Roman"/>
          <w:color w:val="000000"/>
          <w:sz w:val="20"/>
          <w:szCs w:val="20"/>
        </w:rPr>
        <w:t xml:space="preserve"> highly liquid investments with original maturities of 90 days or less, including investments in time deposits and debt securities. Investments in debt securities are diversified across high-credit quality issuers in accordance with the Company's risk-mana</w:t>
      </w:r>
      <w:r>
        <w:rPr>
          <w:rFonts w:eastAsia="Times New Roman"/>
          <w:color w:val="000000"/>
          <w:sz w:val="20"/>
          <w:szCs w:val="20"/>
        </w:rPr>
        <w:t>gement policies.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8F6AE77" w14:textId="77777777">
        <w:trPr>
          <w:divId w:val="374279246"/>
          <w:jc w:val="center"/>
        </w:trPr>
        <w:tc>
          <w:tcPr>
            <w:tcW w:w="50" w:type="pct"/>
            <w:vAlign w:val="center"/>
            <w:hideMark/>
          </w:tcPr>
          <w:p w14:paraId="0815B225" w14:textId="77777777" w:rsidR="00000000" w:rsidRDefault="00EE5306">
            <w:pPr>
              <w:ind w:firstLine="540"/>
              <w:jc w:val="both"/>
              <w:rPr>
                <w:rFonts w:eastAsia="Times New Roman"/>
              </w:rPr>
            </w:pPr>
          </w:p>
        </w:tc>
        <w:tc>
          <w:tcPr>
            <w:tcW w:w="1699" w:type="pct"/>
            <w:vAlign w:val="center"/>
            <w:hideMark/>
          </w:tcPr>
          <w:p w14:paraId="435FE758" w14:textId="77777777" w:rsidR="00000000" w:rsidRDefault="00EE5306">
            <w:pPr>
              <w:spacing w:after="100"/>
              <w:rPr>
                <w:rFonts w:eastAsia="Times New Roman"/>
                <w:sz w:val="20"/>
                <w:szCs w:val="20"/>
              </w:rPr>
            </w:pPr>
          </w:p>
        </w:tc>
        <w:tc>
          <w:tcPr>
            <w:tcW w:w="5" w:type="pct"/>
            <w:vAlign w:val="center"/>
            <w:hideMark/>
          </w:tcPr>
          <w:p w14:paraId="513AF3C2" w14:textId="77777777" w:rsidR="00000000" w:rsidRDefault="00EE5306">
            <w:pPr>
              <w:spacing w:after="100"/>
              <w:rPr>
                <w:rFonts w:eastAsia="Times New Roman"/>
                <w:sz w:val="20"/>
                <w:szCs w:val="20"/>
              </w:rPr>
            </w:pPr>
          </w:p>
        </w:tc>
        <w:tc>
          <w:tcPr>
            <w:tcW w:w="50" w:type="pct"/>
            <w:vAlign w:val="center"/>
            <w:hideMark/>
          </w:tcPr>
          <w:p w14:paraId="5DA63CAE" w14:textId="77777777" w:rsidR="00000000" w:rsidRDefault="00EE5306">
            <w:pPr>
              <w:spacing w:after="100"/>
              <w:rPr>
                <w:rFonts w:eastAsia="Times New Roman"/>
                <w:sz w:val="20"/>
                <w:szCs w:val="20"/>
              </w:rPr>
            </w:pPr>
          </w:p>
        </w:tc>
        <w:tc>
          <w:tcPr>
            <w:tcW w:w="1436" w:type="pct"/>
            <w:vAlign w:val="center"/>
            <w:hideMark/>
          </w:tcPr>
          <w:p w14:paraId="4D72CBEE" w14:textId="77777777" w:rsidR="00000000" w:rsidRDefault="00EE5306">
            <w:pPr>
              <w:spacing w:after="100"/>
              <w:rPr>
                <w:rFonts w:eastAsia="Times New Roman"/>
                <w:sz w:val="20"/>
                <w:szCs w:val="20"/>
              </w:rPr>
            </w:pPr>
          </w:p>
        </w:tc>
        <w:tc>
          <w:tcPr>
            <w:tcW w:w="5" w:type="pct"/>
            <w:vAlign w:val="center"/>
            <w:hideMark/>
          </w:tcPr>
          <w:p w14:paraId="480658CE" w14:textId="77777777" w:rsidR="00000000" w:rsidRDefault="00EE5306">
            <w:pPr>
              <w:spacing w:after="100"/>
              <w:rPr>
                <w:rFonts w:eastAsia="Times New Roman"/>
                <w:sz w:val="20"/>
                <w:szCs w:val="20"/>
              </w:rPr>
            </w:pPr>
          </w:p>
        </w:tc>
        <w:tc>
          <w:tcPr>
            <w:tcW w:w="50" w:type="pct"/>
            <w:vAlign w:val="center"/>
            <w:hideMark/>
          </w:tcPr>
          <w:p w14:paraId="3689AD87" w14:textId="77777777" w:rsidR="00000000" w:rsidRDefault="00EE5306">
            <w:pPr>
              <w:spacing w:after="100"/>
              <w:rPr>
                <w:rFonts w:eastAsia="Times New Roman"/>
                <w:sz w:val="20"/>
                <w:szCs w:val="20"/>
              </w:rPr>
            </w:pPr>
          </w:p>
        </w:tc>
        <w:tc>
          <w:tcPr>
            <w:tcW w:w="1699" w:type="pct"/>
            <w:vAlign w:val="center"/>
            <w:hideMark/>
          </w:tcPr>
          <w:p w14:paraId="5AD2F3F3" w14:textId="77777777" w:rsidR="00000000" w:rsidRDefault="00EE5306">
            <w:pPr>
              <w:spacing w:after="100"/>
              <w:rPr>
                <w:rFonts w:eastAsia="Times New Roman"/>
                <w:sz w:val="20"/>
                <w:szCs w:val="20"/>
              </w:rPr>
            </w:pPr>
          </w:p>
        </w:tc>
        <w:tc>
          <w:tcPr>
            <w:tcW w:w="5" w:type="pct"/>
            <w:vAlign w:val="center"/>
            <w:hideMark/>
          </w:tcPr>
          <w:p w14:paraId="69E59E4C" w14:textId="77777777" w:rsidR="00000000" w:rsidRDefault="00EE5306">
            <w:pPr>
              <w:spacing w:after="100"/>
              <w:rPr>
                <w:rFonts w:eastAsia="Times New Roman"/>
                <w:sz w:val="20"/>
                <w:szCs w:val="20"/>
              </w:rPr>
            </w:pPr>
          </w:p>
        </w:tc>
      </w:tr>
      <w:tr w:rsidR="00000000" w14:paraId="0BAEAFD5" w14:textId="77777777">
        <w:trPr>
          <w:divId w:val="374279246"/>
          <w:jc w:val="center"/>
        </w:trPr>
        <w:tc>
          <w:tcPr>
            <w:tcW w:w="0" w:type="auto"/>
            <w:gridSpan w:val="3"/>
            <w:tcMar>
              <w:top w:w="0" w:type="dxa"/>
              <w:left w:w="20" w:type="dxa"/>
              <w:bottom w:w="0" w:type="dxa"/>
              <w:right w:w="20" w:type="dxa"/>
            </w:tcMar>
            <w:vAlign w:val="center"/>
            <w:hideMark/>
          </w:tcPr>
          <w:p w14:paraId="1A8FD171"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A629719" w14:textId="77777777" w:rsidR="00000000" w:rsidRDefault="00EE5306">
            <w:pPr>
              <w:spacing w:after="100"/>
              <w:jc w:val="center"/>
              <w:rPr>
                <w:rFonts w:eastAsia="Times New Roman"/>
              </w:rPr>
            </w:pPr>
            <w:r>
              <w:rPr>
                <w:rFonts w:eastAsia="Times New Roman"/>
                <w:color w:val="000000"/>
                <w:sz w:val="20"/>
                <w:szCs w:val="20"/>
              </w:rPr>
              <w:t>F-13</w:t>
            </w:r>
          </w:p>
        </w:tc>
        <w:tc>
          <w:tcPr>
            <w:tcW w:w="0" w:type="auto"/>
            <w:gridSpan w:val="3"/>
            <w:tcMar>
              <w:top w:w="0" w:type="dxa"/>
              <w:left w:w="20" w:type="dxa"/>
              <w:bottom w:w="0" w:type="dxa"/>
              <w:right w:w="20" w:type="dxa"/>
            </w:tcMar>
            <w:vAlign w:val="center"/>
            <w:hideMark/>
          </w:tcPr>
          <w:p w14:paraId="534B52A7" w14:textId="77777777" w:rsidR="00000000" w:rsidRDefault="00EE5306">
            <w:pPr>
              <w:spacing w:after="100"/>
              <w:jc w:val="center"/>
              <w:rPr>
                <w:rFonts w:eastAsia="Times New Roman"/>
              </w:rPr>
            </w:pPr>
          </w:p>
        </w:tc>
      </w:tr>
    </w:tbl>
    <w:p w14:paraId="479C25B7" w14:textId="77777777" w:rsidR="00000000" w:rsidRDefault="00EE5306">
      <w:pPr>
        <w:rPr>
          <w:rFonts w:eastAsia="Times New Roman"/>
        </w:rPr>
      </w:pPr>
      <w:r>
        <w:rPr>
          <w:rFonts w:eastAsia="Times New Roman"/>
        </w:rPr>
        <w:pict w14:anchorId="0BF78D5A">
          <v:rect id="_x0000_i1123" style="width:0;height:1.5pt" o:hralign="center" o:hrstd="t" o:hr="t" fillcolor="#a0a0a0" stroked="f"/>
        </w:pict>
      </w:r>
    </w:p>
    <w:p w14:paraId="4C5FC52E" w14:textId="77777777" w:rsidR="00000000" w:rsidRDefault="00EE5306">
      <w:pPr>
        <w:jc w:val="center"/>
        <w:divId w:val="1077165499"/>
        <w:rPr>
          <w:rFonts w:eastAsia="Times New Roman"/>
        </w:rPr>
      </w:pPr>
    </w:p>
    <w:p w14:paraId="111C5E8A" w14:textId="77777777" w:rsidR="00000000" w:rsidRDefault="00EE5306">
      <w:pPr>
        <w:jc w:val="center"/>
        <w:divId w:val="1077165499"/>
        <w:rPr>
          <w:rFonts w:eastAsia="Times New Roman"/>
        </w:rPr>
      </w:pPr>
      <w:r>
        <w:rPr>
          <w:rFonts w:eastAsia="Times New Roman"/>
          <w:b/>
          <w:bCs/>
          <w:color w:val="000000"/>
          <w:sz w:val="20"/>
          <w:szCs w:val="20"/>
        </w:rPr>
        <w:t>RALPH LAUREN CORPORATION</w:t>
      </w:r>
    </w:p>
    <w:p w14:paraId="08638C08" w14:textId="77777777" w:rsidR="00000000" w:rsidRDefault="00EE5306">
      <w:pPr>
        <w:jc w:val="center"/>
        <w:divId w:val="911625500"/>
        <w:rPr>
          <w:rFonts w:eastAsia="Times New Roman"/>
        </w:rPr>
      </w:pPr>
      <w:r>
        <w:rPr>
          <w:rFonts w:eastAsia="Times New Roman"/>
          <w:b/>
          <w:bCs/>
          <w:color w:val="000000"/>
          <w:sz w:val="20"/>
          <w:szCs w:val="20"/>
        </w:rPr>
        <w:t>NOTES TO CONSOLIDATED FINANCIAL STATEMENTS (Continued)</w:t>
      </w:r>
    </w:p>
    <w:p w14:paraId="6DFFD5B6" w14:textId="77777777" w:rsidR="00000000" w:rsidRDefault="00EE5306">
      <w:pPr>
        <w:ind w:firstLine="360"/>
        <w:jc w:val="both"/>
        <w:divId w:val="1515605909"/>
        <w:rPr>
          <w:rFonts w:eastAsia="Times New Roman"/>
        </w:rPr>
      </w:pPr>
      <w:r>
        <w:rPr>
          <w:rFonts w:eastAsia="Times New Roman"/>
          <w:b/>
          <w:bCs/>
          <w:i/>
          <w:iCs/>
          <w:color w:val="000000"/>
          <w:sz w:val="20"/>
          <w:szCs w:val="20"/>
        </w:rPr>
        <w:t>Restricted Cash</w:t>
      </w:r>
    </w:p>
    <w:p w14:paraId="0AB699E9" w14:textId="77777777" w:rsidR="00000000" w:rsidRDefault="00EE5306">
      <w:pPr>
        <w:ind w:firstLine="540"/>
        <w:jc w:val="both"/>
        <w:divId w:val="614413294"/>
        <w:rPr>
          <w:rFonts w:eastAsia="Times New Roman"/>
        </w:rPr>
      </w:pPr>
      <w:r>
        <w:rPr>
          <w:rFonts w:eastAsia="Times New Roman"/>
          <w:color w:val="000000"/>
          <w:sz w:val="20"/>
          <w:szCs w:val="20"/>
        </w:rPr>
        <w:t>The Company is periodically required to place cash in escrow with various banks as collateral, primarily to secure guarant</w:t>
      </w:r>
      <w:r>
        <w:rPr>
          <w:rFonts w:eastAsia="Times New Roman"/>
          <w:color w:val="000000"/>
          <w:sz w:val="20"/>
          <w:szCs w:val="20"/>
        </w:rPr>
        <w:t>ees of corresponding amounts made by the banks to international tax authorities on behalf of the Company, such as to secure refunds of value-added tax payments in certain international tax jurisdictions or in the case of certain international tax audits, a</w:t>
      </w:r>
      <w:r>
        <w:rPr>
          <w:rFonts w:eastAsia="Times New Roman"/>
          <w:color w:val="000000"/>
          <w:sz w:val="20"/>
          <w:szCs w:val="20"/>
        </w:rPr>
        <w:t>s well as to secure guarantees related to certain real estate leases. Such cash is classified as restricted cash and reported as a component of either prepaid expenses and other current assets or other non-current assets in the Company's consolidated balan</w:t>
      </w:r>
      <w:r>
        <w:rPr>
          <w:rFonts w:eastAsia="Times New Roman"/>
          <w:color w:val="000000"/>
          <w:sz w:val="20"/>
          <w:szCs w:val="20"/>
        </w:rPr>
        <w:t>ce sheets.</w:t>
      </w:r>
    </w:p>
    <w:p w14:paraId="1A3B3D9D" w14:textId="77777777" w:rsidR="00000000" w:rsidRDefault="00EE5306">
      <w:pPr>
        <w:ind w:firstLine="360"/>
        <w:jc w:val="both"/>
        <w:divId w:val="1464423705"/>
        <w:rPr>
          <w:rFonts w:eastAsia="Times New Roman"/>
        </w:rPr>
      </w:pPr>
      <w:r>
        <w:rPr>
          <w:rFonts w:eastAsia="Times New Roman"/>
          <w:b/>
          <w:bCs/>
          <w:i/>
          <w:iCs/>
          <w:color w:val="000000"/>
          <w:sz w:val="20"/>
          <w:szCs w:val="20"/>
        </w:rPr>
        <w:t>Investments</w:t>
      </w:r>
    </w:p>
    <w:p w14:paraId="6DB76BD3" w14:textId="77777777" w:rsidR="00000000" w:rsidRDefault="00EE5306">
      <w:pPr>
        <w:ind w:firstLine="540"/>
        <w:jc w:val="both"/>
        <w:divId w:val="1377848672"/>
        <w:rPr>
          <w:rFonts w:eastAsia="Times New Roman"/>
        </w:rPr>
      </w:pPr>
      <w:r>
        <w:rPr>
          <w:rFonts w:eastAsia="Times New Roman"/>
          <w:color w:val="000000"/>
          <w:sz w:val="20"/>
          <w:szCs w:val="20"/>
        </w:rPr>
        <w:t>The Company's investment objectives include capital preservation, maintaining adequate liquidity, diversification to minimize liquidity and credit risk, and achievement of maximum returns within the guidelines set forth in the Compan</w:t>
      </w:r>
      <w:r>
        <w:rPr>
          <w:rFonts w:eastAsia="Times New Roman"/>
          <w:color w:val="000000"/>
          <w:sz w:val="20"/>
          <w:szCs w:val="20"/>
        </w:rPr>
        <w:t>y's investment policy.</w:t>
      </w:r>
    </w:p>
    <w:p w14:paraId="30B07BE8" w14:textId="77777777" w:rsidR="00000000" w:rsidRDefault="00EE5306">
      <w:pPr>
        <w:ind w:firstLine="540"/>
        <w:jc w:val="both"/>
        <w:divId w:val="1054338"/>
        <w:rPr>
          <w:rFonts w:eastAsia="Times New Roman"/>
        </w:rPr>
      </w:pPr>
      <w:r>
        <w:rPr>
          <w:rFonts w:eastAsia="Times New Roman"/>
          <w:color w:val="000000"/>
          <w:sz w:val="20"/>
          <w:szCs w:val="20"/>
        </w:rPr>
        <w:t>Short-term investments consist of investments which the Company expects to convert into cash within one year, including any time deposits and debt securities with original maturities greater than 90 days. Non-current investments, whi</w:t>
      </w:r>
      <w:r>
        <w:rPr>
          <w:rFonts w:eastAsia="Times New Roman"/>
          <w:color w:val="000000"/>
          <w:sz w:val="20"/>
          <w:szCs w:val="20"/>
        </w:rPr>
        <w:t>ch are classified within other non-current assets in the consolidated balance sheets, consist of time deposits and debt securities which the Company does not expect to convert into cash within one year. See Note 13 for further information relating to the c</w:t>
      </w:r>
      <w:r>
        <w:rPr>
          <w:rFonts w:eastAsia="Times New Roman"/>
          <w:color w:val="000000"/>
          <w:sz w:val="20"/>
          <w:szCs w:val="20"/>
        </w:rPr>
        <w:t>omposition of the Company's investments.</w:t>
      </w:r>
    </w:p>
    <w:p w14:paraId="7D8E4FAA" w14:textId="77777777" w:rsidR="00000000" w:rsidRDefault="00EE5306">
      <w:pPr>
        <w:ind w:firstLine="540"/>
        <w:jc w:val="both"/>
        <w:divId w:val="2108579773"/>
        <w:rPr>
          <w:rFonts w:eastAsia="Times New Roman"/>
        </w:rPr>
      </w:pPr>
      <w:r>
        <w:rPr>
          <w:rFonts w:eastAsia="Times New Roman"/>
          <w:color w:val="000000"/>
          <w:sz w:val="20"/>
          <w:szCs w:val="20"/>
        </w:rPr>
        <w:t>The Company classifies such investments as available-for-sale. Accordingly, they are recorded at fair value with unrealized gains or losses generally recognized as a component of AOCI in the consolidated balance she</w:t>
      </w:r>
      <w:r>
        <w:rPr>
          <w:rFonts w:eastAsia="Times New Roman"/>
          <w:color w:val="000000"/>
          <w:sz w:val="20"/>
          <w:szCs w:val="20"/>
        </w:rPr>
        <w:t>ets, and related realized gains or losses (or unrealized credit-related impairment losses, if any) recorded within other income (expense), net, in the consolidated statements of operations. Cash inflows and outflows related to the sale and purchase of inve</w:t>
      </w:r>
      <w:r>
        <w:rPr>
          <w:rFonts w:eastAsia="Times New Roman"/>
          <w:color w:val="000000"/>
          <w:sz w:val="20"/>
          <w:szCs w:val="20"/>
        </w:rPr>
        <w:t>stments are classified as investing activities in the Company's consolidated statements of cash flows.</w:t>
      </w:r>
    </w:p>
    <w:p w14:paraId="57932B89" w14:textId="77777777" w:rsidR="00000000" w:rsidRDefault="00EE5306">
      <w:pPr>
        <w:ind w:firstLine="360"/>
        <w:jc w:val="both"/>
        <w:divId w:val="1835145217"/>
        <w:rPr>
          <w:rFonts w:eastAsia="Times New Roman"/>
        </w:rPr>
      </w:pPr>
      <w:r>
        <w:rPr>
          <w:rFonts w:eastAsia="Times New Roman"/>
          <w:i/>
          <w:iCs/>
          <w:color w:val="000000"/>
          <w:sz w:val="20"/>
          <w:szCs w:val="20"/>
        </w:rPr>
        <w:t>Equity-method Investments</w:t>
      </w:r>
    </w:p>
    <w:p w14:paraId="43FA0D7F" w14:textId="77777777" w:rsidR="00000000" w:rsidRDefault="00EE5306">
      <w:pPr>
        <w:ind w:firstLine="540"/>
        <w:jc w:val="both"/>
        <w:divId w:val="1590040834"/>
        <w:rPr>
          <w:rFonts w:eastAsia="Times New Roman"/>
        </w:rPr>
      </w:pPr>
      <w:r>
        <w:rPr>
          <w:rFonts w:eastAsia="Times New Roman"/>
          <w:color w:val="000000"/>
          <w:sz w:val="20"/>
          <w:szCs w:val="20"/>
        </w:rPr>
        <w:t>Ownership interests that provide the Company with significant influence, but less than a controlling interest, over an investee are generally accounted for using the equity method of accounting. Significant influence is generally presumed to exist when the</w:t>
      </w:r>
      <w:r>
        <w:rPr>
          <w:rFonts w:eastAsia="Times New Roman"/>
          <w:color w:val="000000"/>
          <w:sz w:val="20"/>
          <w:szCs w:val="20"/>
        </w:rPr>
        <w:t xml:space="preserve"> Company owns between 20% and 50% of the investee's common stock.</w:t>
      </w:r>
    </w:p>
    <w:p w14:paraId="6AE49C19" w14:textId="77777777" w:rsidR="00000000" w:rsidRDefault="00EE5306">
      <w:pPr>
        <w:ind w:firstLine="540"/>
        <w:jc w:val="both"/>
        <w:divId w:val="2041933914"/>
        <w:rPr>
          <w:rFonts w:eastAsia="Times New Roman"/>
        </w:rPr>
      </w:pPr>
      <w:r>
        <w:rPr>
          <w:rFonts w:eastAsia="Times New Roman"/>
          <w:color w:val="000000"/>
          <w:sz w:val="20"/>
          <w:szCs w:val="20"/>
        </w:rPr>
        <w:t>Under the equity method of accounting, the following amounts are generally recorded in the Company's consolidated financial statements: the Company's original investment, as subsequently adj</w:t>
      </w:r>
      <w:r>
        <w:rPr>
          <w:rFonts w:eastAsia="Times New Roman"/>
          <w:color w:val="000000"/>
          <w:sz w:val="20"/>
          <w:szCs w:val="20"/>
        </w:rPr>
        <w:t>usted for its share of the investee's earnings (losses) and reduced by any dividends received and other-than-temporary impairments recorded, is included in the consolidated balance sheets; the Company's share of the investee's periodic earnings (losses) is</w:t>
      </w:r>
      <w:r>
        <w:rPr>
          <w:rFonts w:eastAsia="Times New Roman"/>
          <w:color w:val="000000"/>
          <w:sz w:val="20"/>
          <w:szCs w:val="20"/>
        </w:rPr>
        <w:t xml:space="preserve"> included in the consolidated statements of operations; and dividends and other cash distributions received from the investee and additional cash investments made in or other cash paid to the investee are included in the consolidated statements of cash flo</w:t>
      </w:r>
      <w:r>
        <w:rPr>
          <w:rFonts w:eastAsia="Times New Roman"/>
          <w:color w:val="000000"/>
          <w:sz w:val="20"/>
          <w:szCs w:val="20"/>
        </w:rPr>
        <w:t>ws.</w:t>
      </w:r>
    </w:p>
    <w:p w14:paraId="5F45588D" w14:textId="77777777" w:rsidR="00000000" w:rsidRDefault="00EE5306">
      <w:pPr>
        <w:ind w:firstLine="540"/>
        <w:jc w:val="both"/>
        <w:divId w:val="1262303012"/>
        <w:rPr>
          <w:rFonts w:eastAsia="Times New Roman"/>
        </w:rPr>
      </w:pPr>
      <w:r>
        <w:rPr>
          <w:rFonts w:eastAsia="Times New Roman"/>
          <w:color w:val="000000"/>
          <w:sz w:val="20"/>
          <w:szCs w:val="20"/>
        </w:rPr>
        <w:t xml:space="preserve">The Company's share of equity-method investee earnings and losses is recognized within other income (expense), net, in the consolidated statements of operations, and reflected a net loss in Fiscal 2021 of $0.1 million and net gains of $0.1 million and </w:t>
      </w:r>
      <w:r>
        <w:rPr>
          <w:rFonts w:eastAsia="Times New Roman"/>
          <w:color w:val="000000"/>
          <w:sz w:val="20"/>
          <w:szCs w:val="20"/>
        </w:rPr>
        <w:t xml:space="preserve">$2.9 million in Fiscal 2020 and Fiscal 2019, respectively. </w:t>
      </w:r>
    </w:p>
    <w:p w14:paraId="0263019A" w14:textId="77777777" w:rsidR="00000000" w:rsidRDefault="00EE5306">
      <w:pPr>
        <w:ind w:firstLine="360"/>
        <w:jc w:val="both"/>
        <w:divId w:val="1751662043"/>
        <w:rPr>
          <w:rFonts w:eastAsia="Times New Roman"/>
        </w:rPr>
      </w:pPr>
      <w:r>
        <w:rPr>
          <w:rFonts w:eastAsia="Times New Roman"/>
          <w:i/>
          <w:iCs/>
          <w:color w:val="000000"/>
          <w:sz w:val="20"/>
          <w:szCs w:val="20"/>
        </w:rPr>
        <w:t>Impairment Assessment</w:t>
      </w:r>
    </w:p>
    <w:p w14:paraId="2B412566" w14:textId="77777777" w:rsidR="00000000" w:rsidRDefault="00EE5306">
      <w:pPr>
        <w:ind w:firstLine="540"/>
        <w:jc w:val="both"/>
        <w:divId w:val="251858307"/>
        <w:rPr>
          <w:rFonts w:eastAsia="Times New Roman"/>
        </w:rPr>
      </w:pPr>
      <w:r>
        <w:rPr>
          <w:rFonts w:eastAsia="Times New Roman"/>
          <w:color w:val="000000"/>
          <w:sz w:val="20"/>
          <w:szCs w:val="20"/>
        </w:rPr>
        <w:t>The Company evaluates the need to recognize impairment charges for its investments that are in unrealized loss positions, if any, and its equity method investments on a quart</w:t>
      </w:r>
      <w:r>
        <w:rPr>
          <w:rFonts w:eastAsia="Times New Roman"/>
          <w:color w:val="000000"/>
          <w:sz w:val="20"/>
          <w:szCs w:val="20"/>
        </w:rPr>
        <w:t>erly basis (see Note 12). Such evaluation involves a variety of considerations, including assessments of the risks and uncertainties associated with general economic conditions and distinct conditions affecting specific issuers or investees. Factors consid</w:t>
      </w:r>
      <w:r>
        <w:rPr>
          <w:rFonts w:eastAsia="Times New Roman"/>
          <w:color w:val="000000"/>
          <w:sz w:val="20"/>
          <w:szCs w:val="20"/>
        </w:rPr>
        <w:t>ered by the Company include (i) the financial condition, creditworthiness, and near-term prospects of the issuer or investee; (ii) future economic conditions and market forecasts; (iii) the length of time to maturity, if applicable, and an assessment of wh</w:t>
      </w:r>
      <w:r>
        <w:rPr>
          <w:rFonts w:eastAsia="Times New Roman"/>
          <w:color w:val="000000"/>
          <w:sz w:val="20"/>
          <w:szCs w:val="20"/>
        </w:rPr>
        <w:t>ether it is more likely than not that the Company will be required to sell its investment before recovery of market value; and (iv) whether events or changes in circumstances indicate that the investment's carrying amount might not be recoverable.</w:t>
      </w:r>
    </w:p>
    <w:p w14:paraId="7D447339" w14:textId="77777777" w:rsidR="00000000" w:rsidRDefault="00EE5306">
      <w:pPr>
        <w:ind w:firstLine="540"/>
        <w:jc w:val="both"/>
        <w:divId w:val="1740251035"/>
        <w:rPr>
          <w:rFonts w:eastAsia="Times New Roman"/>
        </w:rPr>
      </w:pPr>
      <w:r>
        <w:rPr>
          <w:rFonts w:eastAsia="Times New Roman"/>
          <w:color w:val="000000"/>
          <w:sz w:val="20"/>
          <w:szCs w:val="20"/>
        </w:rPr>
        <w:t>During Fiscal 2020, the Company recorded a $7.1 million impairment charge within other income (expense), net in the consolidated statements of operations related to an equity method investment (see Note 8).</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BE26671" w14:textId="77777777">
        <w:trPr>
          <w:divId w:val="241262797"/>
          <w:jc w:val="center"/>
        </w:trPr>
        <w:tc>
          <w:tcPr>
            <w:tcW w:w="50" w:type="pct"/>
            <w:vAlign w:val="center"/>
            <w:hideMark/>
          </w:tcPr>
          <w:p w14:paraId="46055941" w14:textId="77777777" w:rsidR="00000000" w:rsidRDefault="00EE5306">
            <w:pPr>
              <w:ind w:firstLine="540"/>
              <w:jc w:val="both"/>
              <w:rPr>
                <w:rFonts w:eastAsia="Times New Roman"/>
              </w:rPr>
            </w:pPr>
          </w:p>
        </w:tc>
        <w:tc>
          <w:tcPr>
            <w:tcW w:w="1699" w:type="pct"/>
            <w:vAlign w:val="center"/>
            <w:hideMark/>
          </w:tcPr>
          <w:p w14:paraId="563DDCB7" w14:textId="77777777" w:rsidR="00000000" w:rsidRDefault="00EE5306">
            <w:pPr>
              <w:spacing w:after="100"/>
              <w:rPr>
                <w:rFonts w:eastAsia="Times New Roman"/>
                <w:sz w:val="20"/>
                <w:szCs w:val="20"/>
              </w:rPr>
            </w:pPr>
          </w:p>
        </w:tc>
        <w:tc>
          <w:tcPr>
            <w:tcW w:w="5" w:type="pct"/>
            <w:vAlign w:val="center"/>
            <w:hideMark/>
          </w:tcPr>
          <w:p w14:paraId="1E494AF9" w14:textId="77777777" w:rsidR="00000000" w:rsidRDefault="00EE5306">
            <w:pPr>
              <w:spacing w:after="100"/>
              <w:rPr>
                <w:rFonts w:eastAsia="Times New Roman"/>
                <w:sz w:val="20"/>
                <w:szCs w:val="20"/>
              </w:rPr>
            </w:pPr>
          </w:p>
        </w:tc>
        <w:tc>
          <w:tcPr>
            <w:tcW w:w="50" w:type="pct"/>
            <w:vAlign w:val="center"/>
            <w:hideMark/>
          </w:tcPr>
          <w:p w14:paraId="7CCDFAE9" w14:textId="77777777" w:rsidR="00000000" w:rsidRDefault="00EE5306">
            <w:pPr>
              <w:spacing w:after="100"/>
              <w:rPr>
                <w:rFonts w:eastAsia="Times New Roman"/>
                <w:sz w:val="20"/>
                <w:szCs w:val="20"/>
              </w:rPr>
            </w:pPr>
          </w:p>
        </w:tc>
        <w:tc>
          <w:tcPr>
            <w:tcW w:w="1436" w:type="pct"/>
            <w:vAlign w:val="center"/>
            <w:hideMark/>
          </w:tcPr>
          <w:p w14:paraId="051FAF4A" w14:textId="77777777" w:rsidR="00000000" w:rsidRDefault="00EE5306">
            <w:pPr>
              <w:spacing w:after="100"/>
              <w:rPr>
                <w:rFonts w:eastAsia="Times New Roman"/>
                <w:sz w:val="20"/>
                <w:szCs w:val="20"/>
              </w:rPr>
            </w:pPr>
          </w:p>
        </w:tc>
        <w:tc>
          <w:tcPr>
            <w:tcW w:w="5" w:type="pct"/>
            <w:vAlign w:val="center"/>
            <w:hideMark/>
          </w:tcPr>
          <w:p w14:paraId="2B945A10" w14:textId="77777777" w:rsidR="00000000" w:rsidRDefault="00EE5306">
            <w:pPr>
              <w:spacing w:after="100"/>
              <w:rPr>
                <w:rFonts w:eastAsia="Times New Roman"/>
                <w:sz w:val="20"/>
                <w:szCs w:val="20"/>
              </w:rPr>
            </w:pPr>
          </w:p>
        </w:tc>
        <w:tc>
          <w:tcPr>
            <w:tcW w:w="50" w:type="pct"/>
            <w:vAlign w:val="center"/>
            <w:hideMark/>
          </w:tcPr>
          <w:p w14:paraId="754FE9C8" w14:textId="77777777" w:rsidR="00000000" w:rsidRDefault="00EE5306">
            <w:pPr>
              <w:spacing w:after="100"/>
              <w:rPr>
                <w:rFonts w:eastAsia="Times New Roman"/>
                <w:sz w:val="20"/>
                <w:szCs w:val="20"/>
              </w:rPr>
            </w:pPr>
          </w:p>
        </w:tc>
        <w:tc>
          <w:tcPr>
            <w:tcW w:w="1699" w:type="pct"/>
            <w:vAlign w:val="center"/>
            <w:hideMark/>
          </w:tcPr>
          <w:p w14:paraId="15C892EC" w14:textId="77777777" w:rsidR="00000000" w:rsidRDefault="00EE5306">
            <w:pPr>
              <w:spacing w:after="100"/>
              <w:rPr>
                <w:rFonts w:eastAsia="Times New Roman"/>
                <w:sz w:val="20"/>
                <w:szCs w:val="20"/>
              </w:rPr>
            </w:pPr>
          </w:p>
        </w:tc>
        <w:tc>
          <w:tcPr>
            <w:tcW w:w="5" w:type="pct"/>
            <w:vAlign w:val="center"/>
            <w:hideMark/>
          </w:tcPr>
          <w:p w14:paraId="4AB9258D" w14:textId="77777777" w:rsidR="00000000" w:rsidRDefault="00EE5306">
            <w:pPr>
              <w:spacing w:after="100"/>
              <w:rPr>
                <w:rFonts w:eastAsia="Times New Roman"/>
                <w:sz w:val="20"/>
                <w:szCs w:val="20"/>
              </w:rPr>
            </w:pPr>
          </w:p>
        </w:tc>
      </w:tr>
      <w:tr w:rsidR="00000000" w14:paraId="368F9ED4" w14:textId="77777777">
        <w:trPr>
          <w:divId w:val="241262797"/>
          <w:jc w:val="center"/>
        </w:trPr>
        <w:tc>
          <w:tcPr>
            <w:tcW w:w="0" w:type="auto"/>
            <w:gridSpan w:val="3"/>
            <w:tcMar>
              <w:top w:w="0" w:type="dxa"/>
              <w:left w:w="20" w:type="dxa"/>
              <w:bottom w:w="0" w:type="dxa"/>
              <w:right w:w="20" w:type="dxa"/>
            </w:tcMar>
            <w:vAlign w:val="center"/>
            <w:hideMark/>
          </w:tcPr>
          <w:p w14:paraId="7780DD2E"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5B22FA3" w14:textId="77777777" w:rsidR="00000000" w:rsidRDefault="00EE5306">
            <w:pPr>
              <w:spacing w:after="100"/>
              <w:jc w:val="center"/>
              <w:rPr>
                <w:rFonts w:eastAsia="Times New Roman"/>
              </w:rPr>
            </w:pPr>
            <w:r>
              <w:rPr>
                <w:rFonts w:eastAsia="Times New Roman"/>
                <w:color w:val="000000"/>
                <w:sz w:val="20"/>
                <w:szCs w:val="20"/>
              </w:rPr>
              <w:t>F-14</w:t>
            </w:r>
          </w:p>
        </w:tc>
        <w:tc>
          <w:tcPr>
            <w:tcW w:w="0" w:type="auto"/>
            <w:gridSpan w:val="3"/>
            <w:tcMar>
              <w:top w:w="0" w:type="dxa"/>
              <w:left w:w="20" w:type="dxa"/>
              <w:bottom w:w="0" w:type="dxa"/>
              <w:right w:w="20" w:type="dxa"/>
            </w:tcMar>
            <w:vAlign w:val="center"/>
            <w:hideMark/>
          </w:tcPr>
          <w:p w14:paraId="3FDA58DB" w14:textId="77777777" w:rsidR="00000000" w:rsidRDefault="00EE5306">
            <w:pPr>
              <w:spacing w:after="100"/>
              <w:jc w:val="center"/>
              <w:rPr>
                <w:rFonts w:eastAsia="Times New Roman"/>
              </w:rPr>
            </w:pPr>
          </w:p>
        </w:tc>
      </w:tr>
    </w:tbl>
    <w:p w14:paraId="3ECCF99E" w14:textId="77777777" w:rsidR="00000000" w:rsidRDefault="00EE5306">
      <w:pPr>
        <w:rPr>
          <w:rFonts w:eastAsia="Times New Roman"/>
        </w:rPr>
      </w:pPr>
      <w:r>
        <w:rPr>
          <w:rFonts w:eastAsia="Times New Roman"/>
        </w:rPr>
        <w:pict w14:anchorId="32F65AB6">
          <v:rect id="_x0000_i1124" style="width:0;height:1.5pt" o:hralign="center" o:hrstd="t" o:hr="t" fillcolor="#a0a0a0" stroked="f"/>
        </w:pict>
      </w:r>
    </w:p>
    <w:p w14:paraId="5890EAA1" w14:textId="77777777" w:rsidR="00000000" w:rsidRDefault="00EE5306">
      <w:pPr>
        <w:jc w:val="center"/>
        <w:divId w:val="518280712"/>
        <w:rPr>
          <w:rFonts w:eastAsia="Times New Roman"/>
        </w:rPr>
      </w:pPr>
    </w:p>
    <w:p w14:paraId="4A860039" w14:textId="77777777" w:rsidR="00000000" w:rsidRDefault="00EE5306">
      <w:pPr>
        <w:jc w:val="center"/>
        <w:divId w:val="518280712"/>
        <w:rPr>
          <w:rFonts w:eastAsia="Times New Roman"/>
        </w:rPr>
      </w:pPr>
      <w:r>
        <w:rPr>
          <w:rFonts w:eastAsia="Times New Roman"/>
          <w:b/>
          <w:bCs/>
          <w:color w:val="000000"/>
          <w:sz w:val="20"/>
          <w:szCs w:val="20"/>
        </w:rPr>
        <w:t>RALPH LAUREN CORPORATION</w:t>
      </w:r>
    </w:p>
    <w:p w14:paraId="11C36D77" w14:textId="77777777" w:rsidR="00000000" w:rsidRDefault="00EE5306">
      <w:pPr>
        <w:jc w:val="center"/>
        <w:divId w:val="496967109"/>
        <w:rPr>
          <w:rFonts w:eastAsia="Times New Roman"/>
        </w:rPr>
      </w:pPr>
      <w:r>
        <w:rPr>
          <w:rFonts w:eastAsia="Times New Roman"/>
          <w:b/>
          <w:bCs/>
          <w:color w:val="000000"/>
          <w:sz w:val="20"/>
          <w:szCs w:val="20"/>
        </w:rPr>
        <w:t>NOTES TO CONSOLIDATED FINANCIAL STATEMENTS (Continued)</w:t>
      </w:r>
    </w:p>
    <w:p w14:paraId="114B3125" w14:textId="77777777" w:rsidR="00000000" w:rsidRDefault="00EE5306">
      <w:pPr>
        <w:ind w:firstLine="360"/>
        <w:jc w:val="both"/>
        <w:divId w:val="473763406"/>
        <w:rPr>
          <w:rFonts w:eastAsia="Times New Roman"/>
        </w:rPr>
      </w:pPr>
      <w:r>
        <w:rPr>
          <w:rFonts w:eastAsia="Times New Roman"/>
          <w:b/>
          <w:bCs/>
          <w:i/>
          <w:iCs/>
          <w:color w:val="000000"/>
          <w:sz w:val="20"/>
          <w:szCs w:val="20"/>
        </w:rPr>
        <w:t>Accounts Receivable</w:t>
      </w:r>
    </w:p>
    <w:p w14:paraId="0CA913CA" w14:textId="77777777" w:rsidR="00000000" w:rsidRDefault="00EE5306">
      <w:pPr>
        <w:ind w:firstLine="540"/>
        <w:jc w:val="both"/>
        <w:divId w:val="1608390163"/>
        <w:rPr>
          <w:rFonts w:eastAsia="Times New Roman"/>
        </w:rPr>
      </w:pPr>
      <w:r>
        <w:rPr>
          <w:rFonts w:eastAsia="Times New Roman"/>
          <w:color w:val="000000"/>
          <w:sz w:val="20"/>
          <w:szCs w:val="20"/>
        </w:rPr>
        <w:t>In the normal course of business, the Company extends credit to wholesale customers that satisfy defined credit criter</w:t>
      </w:r>
      <w:r>
        <w:rPr>
          <w:rFonts w:eastAsia="Times New Roman"/>
          <w:color w:val="000000"/>
          <w:sz w:val="20"/>
          <w:szCs w:val="20"/>
        </w:rPr>
        <w:t>ia. Payment is generally due within 30 to 120 days and does not include a significant financing component. Accounts receivable is recorded at amortized cost, which approximates fair value, and is presented in the Company's consolidated balance sheets net o</w:t>
      </w:r>
      <w:r>
        <w:rPr>
          <w:rFonts w:eastAsia="Times New Roman"/>
          <w:color w:val="000000"/>
          <w:sz w:val="20"/>
          <w:szCs w:val="20"/>
        </w:rPr>
        <w:t>f certain reserves and allowances. These reserves and allowances consist of (i) reserves for returns, discounts, end-of-season markdowns, operational chargebacks, and certain cooperative advertising allowances (see the "</w:t>
      </w:r>
      <w:r>
        <w:rPr>
          <w:rFonts w:eastAsia="Times New Roman"/>
          <w:i/>
          <w:iCs/>
          <w:color w:val="000000"/>
          <w:sz w:val="20"/>
          <w:szCs w:val="20"/>
        </w:rPr>
        <w:t>Revenue Recognition</w:t>
      </w:r>
      <w:r>
        <w:rPr>
          <w:rFonts w:eastAsia="Times New Roman"/>
          <w:color w:val="000000"/>
          <w:sz w:val="20"/>
          <w:szCs w:val="20"/>
        </w:rPr>
        <w:t>" section above f</w:t>
      </w:r>
      <w:r>
        <w:rPr>
          <w:rFonts w:eastAsia="Times New Roman"/>
          <w:color w:val="000000"/>
          <w:sz w:val="20"/>
          <w:szCs w:val="20"/>
        </w:rPr>
        <w:t>or further discussion of related accounting policies) and (ii) allowances for doubtful accounts.</w:t>
      </w:r>
    </w:p>
    <w:p w14:paraId="4D68DA77" w14:textId="77777777" w:rsidR="00000000" w:rsidRDefault="00EE5306">
      <w:pPr>
        <w:ind w:firstLine="540"/>
        <w:jc w:val="both"/>
        <w:divId w:val="1486165439"/>
        <w:rPr>
          <w:rFonts w:eastAsia="Times New Roman"/>
        </w:rPr>
      </w:pPr>
      <w:r>
        <w:rPr>
          <w:rFonts w:eastAsia="Times New Roman"/>
          <w:color w:val="000000"/>
          <w:sz w:val="20"/>
          <w:szCs w:val="20"/>
        </w:rPr>
        <w:t>A rollforward of the activity in the Company's reserves for returns, discounts, end-of-season markdowns, operational chargebacks, and certain cooperative adver</w:t>
      </w:r>
      <w:r>
        <w:rPr>
          <w:rFonts w:eastAsia="Times New Roman"/>
          <w:color w:val="000000"/>
          <w:sz w:val="20"/>
          <w:szCs w:val="20"/>
        </w:rPr>
        <w:t>tising allowances is presented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4615"/>
        <w:gridCol w:w="37"/>
        <w:gridCol w:w="36"/>
        <w:gridCol w:w="36"/>
        <w:gridCol w:w="36"/>
        <w:gridCol w:w="120"/>
        <w:gridCol w:w="791"/>
        <w:gridCol w:w="36"/>
        <w:gridCol w:w="36"/>
        <w:gridCol w:w="36"/>
        <w:gridCol w:w="36"/>
        <w:gridCol w:w="120"/>
        <w:gridCol w:w="791"/>
        <w:gridCol w:w="36"/>
        <w:gridCol w:w="36"/>
        <w:gridCol w:w="36"/>
        <w:gridCol w:w="36"/>
        <w:gridCol w:w="120"/>
        <w:gridCol w:w="792"/>
        <w:gridCol w:w="36"/>
      </w:tblGrid>
      <w:tr w:rsidR="00000000" w14:paraId="33955B05" w14:textId="77777777">
        <w:trPr>
          <w:divId w:val="1468205844"/>
        </w:trPr>
        <w:tc>
          <w:tcPr>
            <w:tcW w:w="50" w:type="pct"/>
            <w:vAlign w:val="center"/>
            <w:hideMark/>
          </w:tcPr>
          <w:p w14:paraId="4A91D5E8" w14:textId="77777777" w:rsidR="00000000" w:rsidRDefault="00EE5306">
            <w:pPr>
              <w:ind w:firstLine="540"/>
              <w:jc w:val="both"/>
              <w:rPr>
                <w:rFonts w:eastAsia="Times New Roman"/>
              </w:rPr>
            </w:pPr>
          </w:p>
        </w:tc>
        <w:tc>
          <w:tcPr>
            <w:tcW w:w="2974" w:type="pct"/>
            <w:vAlign w:val="center"/>
            <w:hideMark/>
          </w:tcPr>
          <w:p w14:paraId="57C7F47B" w14:textId="77777777" w:rsidR="00000000" w:rsidRDefault="00EE5306">
            <w:pPr>
              <w:spacing w:after="100"/>
              <w:rPr>
                <w:rFonts w:eastAsia="Times New Roman"/>
                <w:sz w:val="20"/>
                <w:szCs w:val="20"/>
              </w:rPr>
            </w:pPr>
          </w:p>
        </w:tc>
        <w:tc>
          <w:tcPr>
            <w:tcW w:w="5" w:type="pct"/>
            <w:vAlign w:val="center"/>
            <w:hideMark/>
          </w:tcPr>
          <w:p w14:paraId="2CFAEC4D" w14:textId="77777777" w:rsidR="00000000" w:rsidRDefault="00EE5306">
            <w:pPr>
              <w:spacing w:after="100"/>
              <w:rPr>
                <w:rFonts w:eastAsia="Times New Roman"/>
                <w:sz w:val="20"/>
                <w:szCs w:val="20"/>
              </w:rPr>
            </w:pPr>
          </w:p>
        </w:tc>
        <w:tc>
          <w:tcPr>
            <w:tcW w:w="5" w:type="pct"/>
            <w:vAlign w:val="center"/>
            <w:hideMark/>
          </w:tcPr>
          <w:p w14:paraId="314802BE" w14:textId="77777777" w:rsidR="00000000" w:rsidRDefault="00EE5306">
            <w:pPr>
              <w:spacing w:after="100"/>
              <w:rPr>
                <w:rFonts w:eastAsia="Times New Roman"/>
                <w:sz w:val="20"/>
                <w:szCs w:val="20"/>
              </w:rPr>
            </w:pPr>
          </w:p>
        </w:tc>
        <w:tc>
          <w:tcPr>
            <w:tcW w:w="28" w:type="pct"/>
            <w:vAlign w:val="center"/>
            <w:hideMark/>
          </w:tcPr>
          <w:p w14:paraId="329DF26A" w14:textId="77777777" w:rsidR="00000000" w:rsidRDefault="00EE5306">
            <w:pPr>
              <w:spacing w:after="100"/>
              <w:rPr>
                <w:rFonts w:eastAsia="Times New Roman"/>
                <w:sz w:val="20"/>
                <w:szCs w:val="20"/>
              </w:rPr>
            </w:pPr>
          </w:p>
        </w:tc>
        <w:tc>
          <w:tcPr>
            <w:tcW w:w="5" w:type="pct"/>
            <w:vAlign w:val="center"/>
            <w:hideMark/>
          </w:tcPr>
          <w:p w14:paraId="7069999B" w14:textId="77777777" w:rsidR="00000000" w:rsidRDefault="00EE5306">
            <w:pPr>
              <w:spacing w:after="100"/>
              <w:rPr>
                <w:rFonts w:eastAsia="Times New Roman"/>
                <w:sz w:val="20"/>
                <w:szCs w:val="20"/>
              </w:rPr>
            </w:pPr>
          </w:p>
        </w:tc>
        <w:tc>
          <w:tcPr>
            <w:tcW w:w="50" w:type="pct"/>
            <w:vAlign w:val="center"/>
            <w:hideMark/>
          </w:tcPr>
          <w:p w14:paraId="1E36CBFE" w14:textId="77777777" w:rsidR="00000000" w:rsidRDefault="00EE5306">
            <w:pPr>
              <w:spacing w:after="100"/>
              <w:rPr>
                <w:rFonts w:eastAsia="Times New Roman"/>
                <w:sz w:val="20"/>
                <w:szCs w:val="20"/>
              </w:rPr>
            </w:pPr>
          </w:p>
        </w:tc>
        <w:tc>
          <w:tcPr>
            <w:tcW w:w="563" w:type="pct"/>
            <w:vAlign w:val="center"/>
            <w:hideMark/>
          </w:tcPr>
          <w:p w14:paraId="373C8C57" w14:textId="77777777" w:rsidR="00000000" w:rsidRDefault="00EE5306">
            <w:pPr>
              <w:spacing w:after="100"/>
              <w:rPr>
                <w:rFonts w:eastAsia="Times New Roman"/>
                <w:sz w:val="20"/>
                <w:szCs w:val="20"/>
              </w:rPr>
            </w:pPr>
          </w:p>
        </w:tc>
        <w:tc>
          <w:tcPr>
            <w:tcW w:w="5" w:type="pct"/>
            <w:vAlign w:val="center"/>
            <w:hideMark/>
          </w:tcPr>
          <w:p w14:paraId="28E0C0DF" w14:textId="77777777" w:rsidR="00000000" w:rsidRDefault="00EE5306">
            <w:pPr>
              <w:spacing w:after="100"/>
              <w:rPr>
                <w:rFonts w:eastAsia="Times New Roman"/>
                <w:sz w:val="20"/>
                <w:szCs w:val="20"/>
              </w:rPr>
            </w:pPr>
          </w:p>
        </w:tc>
        <w:tc>
          <w:tcPr>
            <w:tcW w:w="5" w:type="pct"/>
            <w:vAlign w:val="center"/>
            <w:hideMark/>
          </w:tcPr>
          <w:p w14:paraId="5153E7A1" w14:textId="77777777" w:rsidR="00000000" w:rsidRDefault="00EE5306">
            <w:pPr>
              <w:spacing w:after="100"/>
              <w:rPr>
                <w:rFonts w:eastAsia="Times New Roman"/>
                <w:sz w:val="20"/>
                <w:szCs w:val="20"/>
              </w:rPr>
            </w:pPr>
          </w:p>
        </w:tc>
        <w:tc>
          <w:tcPr>
            <w:tcW w:w="28" w:type="pct"/>
            <w:vAlign w:val="center"/>
            <w:hideMark/>
          </w:tcPr>
          <w:p w14:paraId="1AE9E34F" w14:textId="77777777" w:rsidR="00000000" w:rsidRDefault="00EE5306">
            <w:pPr>
              <w:spacing w:after="100"/>
              <w:rPr>
                <w:rFonts w:eastAsia="Times New Roman"/>
                <w:sz w:val="20"/>
                <w:szCs w:val="20"/>
              </w:rPr>
            </w:pPr>
          </w:p>
        </w:tc>
        <w:tc>
          <w:tcPr>
            <w:tcW w:w="5" w:type="pct"/>
            <w:vAlign w:val="center"/>
            <w:hideMark/>
          </w:tcPr>
          <w:p w14:paraId="19C1FCAF" w14:textId="77777777" w:rsidR="00000000" w:rsidRDefault="00EE5306">
            <w:pPr>
              <w:spacing w:after="100"/>
              <w:rPr>
                <w:rFonts w:eastAsia="Times New Roman"/>
                <w:sz w:val="20"/>
                <w:szCs w:val="20"/>
              </w:rPr>
            </w:pPr>
          </w:p>
        </w:tc>
        <w:tc>
          <w:tcPr>
            <w:tcW w:w="50" w:type="pct"/>
            <w:vAlign w:val="center"/>
            <w:hideMark/>
          </w:tcPr>
          <w:p w14:paraId="420774C7" w14:textId="77777777" w:rsidR="00000000" w:rsidRDefault="00EE5306">
            <w:pPr>
              <w:spacing w:after="100"/>
              <w:rPr>
                <w:rFonts w:eastAsia="Times New Roman"/>
                <w:sz w:val="20"/>
                <w:szCs w:val="20"/>
              </w:rPr>
            </w:pPr>
          </w:p>
        </w:tc>
        <w:tc>
          <w:tcPr>
            <w:tcW w:w="563" w:type="pct"/>
            <w:vAlign w:val="center"/>
            <w:hideMark/>
          </w:tcPr>
          <w:p w14:paraId="3317E0C4" w14:textId="77777777" w:rsidR="00000000" w:rsidRDefault="00EE5306">
            <w:pPr>
              <w:spacing w:after="100"/>
              <w:rPr>
                <w:rFonts w:eastAsia="Times New Roman"/>
                <w:sz w:val="20"/>
                <w:szCs w:val="20"/>
              </w:rPr>
            </w:pPr>
          </w:p>
        </w:tc>
        <w:tc>
          <w:tcPr>
            <w:tcW w:w="5" w:type="pct"/>
            <w:vAlign w:val="center"/>
            <w:hideMark/>
          </w:tcPr>
          <w:p w14:paraId="36169D50" w14:textId="77777777" w:rsidR="00000000" w:rsidRDefault="00EE5306">
            <w:pPr>
              <w:spacing w:after="100"/>
              <w:rPr>
                <w:rFonts w:eastAsia="Times New Roman"/>
                <w:sz w:val="20"/>
                <w:szCs w:val="20"/>
              </w:rPr>
            </w:pPr>
          </w:p>
        </w:tc>
        <w:tc>
          <w:tcPr>
            <w:tcW w:w="5" w:type="pct"/>
            <w:vAlign w:val="center"/>
            <w:hideMark/>
          </w:tcPr>
          <w:p w14:paraId="1C9DE54D" w14:textId="77777777" w:rsidR="00000000" w:rsidRDefault="00EE5306">
            <w:pPr>
              <w:spacing w:after="100"/>
              <w:rPr>
                <w:rFonts w:eastAsia="Times New Roman"/>
                <w:sz w:val="20"/>
                <w:szCs w:val="20"/>
              </w:rPr>
            </w:pPr>
          </w:p>
        </w:tc>
        <w:tc>
          <w:tcPr>
            <w:tcW w:w="28" w:type="pct"/>
            <w:vAlign w:val="center"/>
            <w:hideMark/>
          </w:tcPr>
          <w:p w14:paraId="70726947" w14:textId="77777777" w:rsidR="00000000" w:rsidRDefault="00EE5306">
            <w:pPr>
              <w:spacing w:after="100"/>
              <w:rPr>
                <w:rFonts w:eastAsia="Times New Roman"/>
                <w:sz w:val="20"/>
                <w:szCs w:val="20"/>
              </w:rPr>
            </w:pPr>
          </w:p>
        </w:tc>
        <w:tc>
          <w:tcPr>
            <w:tcW w:w="5" w:type="pct"/>
            <w:vAlign w:val="center"/>
            <w:hideMark/>
          </w:tcPr>
          <w:p w14:paraId="703DAC5F" w14:textId="77777777" w:rsidR="00000000" w:rsidRDefault="00EE5306">
            <w:pPr>
              <w:spacing w:after="100"/>
              <w:rPr>
                <w:rFonts w:eastAsia="Times New Roman"/>
                <w:sz w:val="20"/>
                <w:szCs w:val="20"/>
              </w:rPr>
            </w:pPr>
          </w:p>
        </w:tc>
        <w:tc>
          <w:tcPr>
            <w:tcW w:w="50" w:type="pct"/>
            <w:vAlign w:val="center"/>
            <w:hideMark/>
          </w:tcPr>
          <w:p w14:paraId="090AA1CA" w14:textId="77777777" w:rsidR="00000000" w:rsidRDefault="00EE5306">
            <w:pPr>
              <w:spacing w:after="100"/>
              <w:rPr>
                <w:rFonts w:eastAsia="Times New Roman"/>
                <w:sz w:val="20"/>
                <w:szCs w:val="20"/>
              </w:rPr>
            </w:pPr>
          </w:p>
        </w:tc>
        <w:tc>
          <w:tcPr>
            <w:tcW w:w="563" w:type="pct"/>
            <w:vAlign w:val="center"/>
            <w:hideMark/>
          </w:tcPr>
          <w:p w14:paraId="77ED7DCC" w14:textId="77777777" w:rsidR="00000000" w:rsidRDefault="00EE5306">
            <w:pPr>
              <w:spacing w:after="100"/>
              <w:rPr>
                <w:rFonts w:eastAsia="Times New Roman"/>
                <w:sz w:val="20"/>
                <w:szCs w:val="20"/>
              </w:rPr>
            </w:pPr>
          </w:p>
        </w:tc>
        <w:tc>
          <w:tcPr>
            <w:tcW w:w="5" w:type="pct"/>
            <w:vAlign w:val="center"/>
            <w:hideMark/>
          </w:tcPr>
          <w:p w14:paraId="6CFFFCE2" w14:textId="77777777" w:rsidR="00000000" w:rsidRDefault="00EE5306">
            <w:pPr>
              <w:spacing w:after="100"/>
              <w:rPr>
                <w:rFonts w:eastAsia="Times New Roman"/>
                <w:sz w:val="20"/>
                <w:szCs w:val="20"/>
              </w:rPr>
            </w:pPr>
          </w:p>
        </w:tc>
      </w:tr>
      <w:tr w:rsidR="00000000" w14:paraId="56F62B4E" w14:textId="77777777">
        <w:trPr>
          <w:divId w:val="1468205844"/>
        </w:trPr>
        <w:tc>
          <w:tcPr>
            <w:tcW w:w="0" w:type="auto"/>
            <w:gridSpan w:val="3"/>
            <w:tcMar>
              <w:top w:w="30" w:type="dxa"/>
              <w:left w:w="20" w:type="dxa"/>
              <w:bottom w:w="30" w:type="dxa"/>
              <w:right w:w="20" w:type="dxa"/>
            </w:tcMar>
            <w:vAlign w:val="bottom"/>
            <w:hideMark/>
          </w:tcPr>
          <w:p w14:paraId="03D19E78"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BB9184B"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26E5BFA7"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48F241C1" w14:textId="77777777">
        <w:trPr>
          <w:divId w:val="1468205844"/>
        </w:trPr>
        <w:tc>
          <w:tcPr>
            <w:tcW w:w="0" w:type="auto"/>
            <w:gridSpan w:val="3"/>
            <w:tcMar>
              <w:top w:w="30" w:type="dxa"/>
              <w:left w:w="20" w:type="dxa"/>
              <w:bottom w:w="30" w:type="dxa"/>
              <w:right w:w="20" w:type="dxa"/>
            </w:tcMar>
            <w:vAlign w:val="bottom"/>
            <w:hideMark/>
          </w:tcPr>
          <w:p w14:paraId="3CE82DA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22CED43"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96EBA6"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8DAFDA5"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4418194"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014D984"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E9731F"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68233485" w14:textId="77777777">
        <w:trPr>
          <w:divId w:val="1468205844"/>
        </w:trPr>
        <w:tc>
          <w:tcPr>
            <w:tcW w:w="0" w:type="auto"/>
            <w:gridSpan w:val="3"/>
            <w:tcMar>
              <w:top w:w="30" w:type="dxa"/>
              <w:left w:w="20" w:type="dxa"/>
              <w:bottom w:w="30" w:type="dxa"/>
              <w:right w:w="20" w:type="dxa"/>
            </w:tcMar>
            <w:vAlign w:val="bottom"/>
            <w:hideMark/>
          </w:tcPr>
          <w:p w14:paraId="10D16C9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D40CBA1"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9D0BE59"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786CB6E8" w14:textId="77777777">
        <w:trPr>
          <w:divId w:val="1468205844"/>
        </w:trPr>
        <w:tc>
          <w:tcPr>
            <w:tcW w:w="0" w:type="auto"/>
            <w:gridSpan w:val="3"/>
            <w:shd w:val="clear" w:color="auto" w:fill="CCEEFF"/>
            <w:tcMar>
              <w:top w:w="30" w:type="dxa"/>
              <w:left w:w="20" w:type="dxa"/>
              <w:bottom w:w="30" w:type="dxa"/>
              <w:right w:w="20" w:type="dxa"/>
            </w:tcMar>
            <w:vAlign w:val="bottom"/>
            <w:hideMark/>
          </w:tcPr>
          <w:p w14:paraId="29A2CA81" w14:textId="77777777" w:rsidR="00000000" w:rsidRDefault="00EE5306">
            <w:pPr>
              <w:spacing w:after="100"/>
              <w:rPr>
                <w:rFonts w:eastAsia="Times New Roman"/>
              </w:rPr>
            </w:pPr>
            <w:r>
              <w:rPr>
                <w:rFonts w:eastAsia="Times New Roman"/>
                <w:color w:val="000000"/>
                <w:sz w:val="20"/>
                <w:szCs w:val="20"/>
              </w:rPr>
              <w:t>Beginning reserve balance</w:t>
            </w:r>
          </w:p>
        </w:tc>
        <w:tc>
          <w:tcPr>
            <w:tcW w:w="0" w:type="auto"/>
            <w:gridSpan w:val="3"/>
            <w:shd w:val="clear" w:color="auto" w:fill="CCEEFF"/>
            <w:tcMar>
              <w:top w:w="0" w:type="dxa"/>
              <w:left w:w="20" w:type="dxa"/>
              <w:bottom w:w="0" w:type="dxa"/>
              <w:right w:w="20" w:type="dxa"/>
            </w:tcMar>
            <w:vAlign w:val="center"/>
            <w:hideMark/>
          </w:tcPr>
          <w:p w14:paraId="653F77D3"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EE4C60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8CBA81" w14:textId="77777777" w:rsidR="00000000" w:rsidRDefault="00EE5306">
            <w:pPr>
              <w:spacing w:after="100"/>
              <w:jc w:val="right"/>
              <w:rPr>
                <w:rFonts w:eastAsia="Times New Roman"/>
              </w:rPr>
            </w:pPr>
            <w:r>
              <w:rPr>
                <w:rFonts w:eastAsia="Times New Roman"/>
                <w:color w:val="000000"/>
                <w:sz w:val="20"/>
                <w:szCs w:val="20"/>
              </w:rPr>
              <w:t>204.7 </w:t>
            </w:r>
          </w:p>
        </w:tc>
        <w:tc>
          <w:tcPr>
            <w:tcW w:w="0" w:type="auto"/>
            <w:shd w:val="clear" w:color="auto" w:fill="CCEEFF"/>
            <w:tcMar>
              <w:top w:w="30" w:type="dxa"/>
              <w:left w:w="0" w:type="dxa"/>
              <w:bottom w:w="30" w:type="dxa"/>
              <w:right w:w="20" w:type="dxa"/>
            </w:tcMar>
            <w:vAlign w:val="bottom"/>
            <w:hideMark/>
          </w:tcPr>
          <w:p w14:paraId="66DBABC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A8F26"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3256B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35368C" w14:textId="77777777" w:rsidR="00000000" w:rsidRDefault="00EE5306">
            <w:pPr>
              <w:spacing w:after="100"/>
              <w:jc w:val="right"/>
              <w:rPr>
                <w:rFonts w:eastAsia="Times New Roman"/>
              </w:rPr>
            </w:pPr>
            <w:r>
              <w:rPr>
                <w:rFonts w:eastAsia="Times New Roman"/>
                <w:color w:val="000000"/>
                <w:sz w:val="20"/>
                <w:szCs w:val="20"/>
              </w:rPr>
              <w:t>176.5 </w:t>
            </w:r>
          </w:p>
        </w:tc>
        <w:tc>
          <w:tcPr>
            <w:tcW w:w="0" w:type="auto"/>
            <w:shd w:val="clear" w:color="auto" w:fill="CCEEFF"/>
            <w:tcMar>
              <w:top w:w="30" w:type="dxa"/>
              <w:left w:w="0" w:type="dxa"/>
              <w:bottom w:w="30" w:type="dxa"/>
              <w:right w:w="20" w:type="dxa"/>
            </w:tcMar>
            <w:vAlign w:val="bottom"/>
            <w:hideMark/>
          </w:tcPr>
          <w:p w14:paraId="1B7A55C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9809F"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0818A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A562D3" w14:textId="77777777" w:rsidR="00000000" w:rsidRDefault="00EE5306">
            <w:pPr>
              <w:spacing w:after="100"/>
              <w:jc w:val="right"/>
              <w:rPr>
                <w:rFonts w:eastAsia="Times New Roman"/>
              </w:rPr>
            </w:pPr>
            <w:r>
              <w:rPr>
                <w:rFonts w:eastAsia="Times New Roman"/>
                <w:color w:val="000000"/>
                <w:sz w:val="20"/>
                <w:szCs w:val="20"/>
              </w:rPr>
              <w:t>202.5 </w:t>
            </w:r>
          </w:p>
        </w:tc>
        <w:tc>
          <w:tcPr>
            <w:tcW w:w="0" w:type="auto"/>
            <w:shd w:val="clear" w:color="auto" w:fill="CCEEFF"/>
            <w:tcMar>
              <w:top w:w="30" w:type="dxa"/>
              <w:left w:w="0" w:type="dxa"/>
              <w:bottom w:w="30" w:type="dxa"/>
              <w:right w:w="20" w:type="dxa"/>
            </w:tcMar>
            <w:vAlign w:val="bottom"/>
            <w:hideMark/>
          </w:tcPr>
          <w:p w14:paraId="4CCD3B67" w14:textId="77777777" w:rsidR="00000000" w:rsidRDefault="00EE5306">
            <w:pPr>
              <w:spacing w:after="100"/>
              <w:jc w:val="right"/>
              <w:rPr>
                <w:rFonts w:eastAsia="Times New Roman"/>
              </w:rPr>
            </w:pPr>
          </w:p>
        </w:tc>
      </w:tr>
      <w:tr w:rsidR="00000000" w14:paraId="2B53392E" w14:textId="77777777">
        <w:trPr>
          <w:divId w:val="1468205844"/>
        </w:trPr>
        <w:tc>
          <w:tcPr>
            <w:tcW w:w="0" w:type="auto"/>
            <w:gridSpan w:val="3"/>
            <w:shd w:val="clear" w:color="auto" w:fill="FFFFFF"/>
            <w:tcMar>
              <w:top w:w="30" w:type="dxa"/>
              <w:left w:w="155" w:type="dxa"/>
              <w:bottom w:w="30" w:type="dxa"/>
              <w:right w:w="20" w:type="dxa"/>
            </w:tcMar>
            <w:vAlign w:val="bottom"/>
            <w:hideMark/>
          </w:tcPr>
          <w:p w14:paraId="7DB1CFF9" w14:textId="77777777" w:rsidR="00000000" w:rsidRDefault="00EE5306">
            <w:pPr>
              <w:spacing w:after="100"/>
              <w:rPr>
                <w:rFonts w:eastAsia="Times New Roman"/>
              </w:rPr>
            </w:pPr>
            <w:r>
              <w:rPr>
                <w:rFonts w:eastAsia="Times New Roman"/>
                <w:color w:val="000000"/>
                <w:sz w:val="20"/>
                <w:szCs w:val="20"/>
              </w:rPr>
              <w:t>Amount charged against revenue to increase reserve</w:t>
            </w:r>
          </w:p>
        </w:tc>
        <w:tc>
          <w:tcPr>
            <w:tcW w:w="0" w:type="auto"/>
            <w:gridSpan w:val="3"/>
            <w:shd w:val="clear" w:color="auto" w:fill="FFFFFF"/>
            <w:tcMar>
              <w:top w:w="0" w:type="dxa"/>
              <w:left w:w="20" w:type="dxa"/>
              <w:bottom w:w="0" w:type="dxa"/>
              <w:right w:w="20" w:type="dxa"/>
            </w:tcMar>
            <w:vAlign w:val="center"/>
            <w:hideMark/>
          </w:tcPr>
          <w:p w14:paraId="298480A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48C150" w14:textId="77777777" w:rsidR="00000000" w:rsidRDefault="00EE5306">
            <w:pPr>
              <w:spacing w:after="100"/>
              <w:jc w:val="right"/>
              <w:rPr>
                <w:rFonts w:eastAsia="Times New Roman"/>
              </w:rPr>
            </w:pPr>
            <w:r>
              <w:rPr>
                <w:rFonts w:eastAsia="Times New Roman"/>
                <w:color w:val="000000"/>
                <w:sz w:val="20"/>
                <w:szCs w:val="20"/>
              </w:rPr>
              <w:t>280.1 </w:t>
            </w:r>
          </w:p>
        </w:tc>
        <w:tc>
          <w:tcPr>
            <w:tcW w:w="0" w:type="auto"/>
            <w:shd w:val="clear" w:color="auto" w:fill="FFFFFF"/>
            <w:tcMar>
              <w:top w:w="30" w:type="dxa"/>
              <w:left w:w="0" w:type="dxa"/>
              <w:bottom w:w="30" w:type="dxa"/>
              <w:right w:w="20" w:type="dxa"/>
            </w:tcMar>
            <w:vAlign w:val="bottom"/>
            <w:hideMark/>
          </w:tcPr>
          <w:p w14:paraId="112D05D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4B7A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7741C" w14:textId="77777777" w:rsidR="00000000" w:rsidRDefault="00EE5306">
            <w:pPr>
              <w:spacing w:after="100"/>
              <w:jc w:val="right"/>
              <w:rPr>
                <w:rFonts w:eastAsia="Times New Roman"/>
              </w:rPr>
            </w:pPr>
            <w:r>
              <w:rPr>
                <w:rFonts w:eastAsia="Times New Roman"/>
                <w:color w:val="000000"/>
                <w:sz w:val="20"/>
                <w:szCs w:val="20"/>
              </w:rPr>
              <w:t>580.1 </w:t>
            </w:r>
          </w:p>
        </w:tc>
        <w:tc>
          <w:tcPr>
            <w:tcW w:w="0" w:type="auto"/>
            <w:shd w:val="clear" w:color="auto" w:fill="FFFFFF"/>
            <w:tcMar>
              <w:top w:w="30" w:type="dxa"/>
              <w:left w:w="0" w:type="dxa"/>
              <w:bottom w:w="30" w:type="dxa"/>
              <w:right w:w="20" w:type="dxa"/>
            </w:tcMar>
            <w:vAlign w:val="bottom"/>
            <w:hideMark/>
          </w:tcPr>
          <w:p w14:paraId="3A3E579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2708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4BC5F" w14:textId="77777777" w:rsidR="00000000" w:rsidRDefault="00EE5306">
            <w:pPr>
              <w:spacing w:after="100"/>
              <w:jc w:val="right"/>
              <w:rPr>
                <w:rFonts w:eastAsia="Times New Roman"/>
              </w:rPr>
            </w:pPr>
            <w:r>
              <w:rPr>
                <w:rFonts w:eastAsia="Times New Roman"/>
                <w:color w:val="000000"/>
                <w:sz w:val="20"/>
                <w:szCs w:val="20"/>
              </w:rPr>
              <w:t>543.8 </w:t>
            </w:r>
          </w:p>
        </w:tc>
        <w:tc>
          <w:tcPr>
            <w:tcW w:w="0" w:type="auto"/>
            <w:shd w:val="clear" w:color="auto" w:fill="FFFFFF"/>
            <w:tcMar>
              <w:top w:w="30" w:type="dxa"/>
              <w:left w:w="0" w:type="dxa"/>
              <w:bottom w:w="30" w:type="dxa"/>
              <w:right w:w="20" w:type="dxa"/>
            </w:tcMar>
            <w:vAlign w:val="bottom"/>
            <w:hideMark/>
          </w:tcPr>
          <w:p w14:paraId="010B589D" w14:textId="77777777" w:rsidR="00000000" w:rsidRDefault="00EE5306">
            <w:pPr>
              <w:spacing w:after="100"/>
              <w:jc w:val="right"/>
              <w:rPr>
                <w:rFonts w:eastAsia="Times New Roman"/>
              </w:rPr>
            </w:pPr>
          </w:p>
        </w:tc>
      </w:tr>
      <w:tr w:rsidR="00000000" w14:paraId="7C091FF4" w14:textId="77777777">
        <w:trPr>
          <w:divId w:val="1468205844"/>
        </w:trPr>
        <w:tc>
          <w:tcPr>
            <w:tcW w:w="0" w:type="auto"/>
            <w:gridSpan w:val="3"/>
            <w:shd w:val="clear" w:color="auto" w:fill="CCEEFF"/>
            <w:tcMar>
              <w:top w:w="30" w:type="dxa"/>
              <w:left w:w="20" w:type="dxa"/>
              <w:bottom w:w="30" w:type="dxa"/>
              <w:right w:w="20" w:type="dxa"/>
            </w:tcMar>
            <w:vAlign w:val="bottom"/>
            <w:hideMark/>
          </w:tcPr>
          <w:p w14:paraId="32C571C1" w14:textId="77777777" w:rsidR="00000000" w:rsidRDefault="00EE5306">
            <w:pPr>
              <w:spacing w:after="100"/>
              <w:ind w:hanging="180"/>
              <w:divId w:val="1040086228"/>
              <w:rPr>
                <w:rFonts w:eastAsia="Times New Roman"/>
              </w:rPr>
            </w:pPr>
            <w:r>
              <w:rPr>
                <w:rFonts w:eastAsia="Times New Roman"/>
                <w:color w:val="000000"/>
                <w:sz w:val="20"/>
                <w:szCs w:val="20"/>
              </w:rPr>
              <w:t>Amount credited against customer accounts to decrease reserve</w:t>
            </w:r>
          </w:p>
        </w:tc>
        <w:tc>
          <w:tcPr>
            <w:tcW w:w="0" w:type="auto"/>
            <w:gridSpan w:val="3"/>
            <w:shd w:val="clear" w:color="auto" w:fill="CCEEFF"/>
            <w:tcMar>
              <w:top w:w="0" w:type="dxa"/>
              <w:left w:w="20" w:type="dxa"/>
              <w:bottom w:w="0" w:type="dxa"/>
              <w:right w:w="20" w:type="dxa"/>
            </w:tcMar>
            <w:vAlign w:val="center"/>
            <w:hideMark/>
          </w:tcPr>
          <w:p w14:paraId="5BA9C880"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7DAE5B" w14:textId="77777777" w:rsidR="00000000" w:rsidRDefault="00EE5306">
            <w:pPr>
              <w:spacing w:after="100"/>
              <w:jc w:val="right"/>
              <w:rPr>
                <w:rFonts w:eastAsia="Times New Roman"/>
              </w:rPr>
            </w:pPr>
            <w:r>
              <w:rPr>
                <w:rFonts w:eastAsia="Times New Roman"/>
                <w:color w:val="000000"/>
                <w:sz w:val="20"/>
                <w:szCs w:val="20"/>
              </w:rPr>
              <w:t>(317.4)</w:t>
            </w:r>
          </w:p>
        </w:tc>
        <w:tc>
          <w:tcPr>
            <w:tcW w:w="0" w:type="auto"/>
            <w:shd w:val="clear" w:color="auto" w:fill="CCEEFF"/>
            <w:tcMar>
              <w:top w:w="30" w:type="dxa"/>
              <w:left w:w="0" w:type="dxa"/>
              <w:bottom w:w="30" w:type="dxa"/>
              <w:right w:w="20" w:type="dxa"/>
            </w:tcMar>
            <w:vAlign w:val="bottom"/>
            <w:hideMark/>
          </w:tcPr>
          <w:p w14:paraId="3F969EB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4B60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78CE0" w14:textId="77777777" w:rsidR="00000000" w:rsidRDefault="00EE5306">
            <w:pPr>
              <w:spacing w:after="100"/>
              <w:jc w:val="right"/>
              <w:rPr>
                <w:rFonts w:eastAsia="Times New Roman"/>
              </w:rPr>
            </w:pPr>
            <w:r>
              <w:rPr>
                <w:rFonts w:eastAsia="Times New Roman"/>
                <w:color w:val="000000"/>
                <w:sz w:val="20"/>
                <w:szCs w:val="20"/>
              </w:rPr>
              <w:t>(550.3)</w:t>
            </w:r>
          </w:p>
        </w:tc>
        <w:tc>
          <w:tcPr>
            <w:tcW w:w="0" w:type="auto"/>
            <w:shd w:val="clear" w:color="auto" w:fill="CCEEFF"/>
            <w:tcMar>
              <w:top w:w="30" w:type="dxa"/>
              <w:left w:w="0" w:type="dxa"/>
              <w:bottom w:w="30" w:type="dxa"/>
              <w:right w:w="20" w:type="dxa"/>
            </w:tcMar>
            <w:vAlign w:val="bottom"/>
            <w:hideMark/>
          </w:tcPr>
          <w:p w14:paraId="1444238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4983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202E1A" w14:textId="77777777" w:rsidR="00000000" w:rsidRDefault="00EE5306">
            <w:pPr>
              <w:spacing w:after="100"/>
              <w:jc w:val="right"/>
              <w:rPr>
                <w:rFonts w:eastAsia="Times New Roman"/>
              </w:rPr>
            </w:pPr>
            <w:r>
              <w:rPr>
                <w:rFonts w:eastAsia="Times New Roman"/>
                <w:color w:val="000000"/>
                <w:sz w:val="20"/>
                <w:szCs w:val="20"/>
              </w:rPr>
              <w:t>(563.0)</w:t>
            </w:r>
          </w:p>
        </w:tc>
        <w:tc>
          <w:tcPr>
            <w:tcW w:w="0" w:type="auto"/>
            <w:shd w:val="clear" w:color="auto" w:fill="CCEEFF"/>
            <w:tcMar>
              <w:top w:w="30" w:type="dxa"/>
              <w:left w:w="0" w:type="dxa"/>
              <w:bottom w:w="30" w:type="dxa"/>
              <w:right w:w="20" w:type="dxa"/>
            </w:tcMar>
            <w:vAlign w:val="bottom"/>
            <w:hideMark/>
          </w:tcPr>
          <w:p w14:paraId="37957729" w14:textId="77777777" w:rsidR="00000000" w:rsidRDefault="00EE5306">
            <w:pPr>
              <w:spacing w:after="100"/>
              <w:jc w:val="right"/>
              <w:rPr>
                <w:rFonts w:eastAsia="Times New Roman"/>
              </w:rPr>
            </w:pPr>
          </w:p>
        </w:tc>
      </w:tr>
      <w:tr w:rsidR="00000000" w14:paraId="6AD34744" w14:textId="77777777">
        <w:trPr>
          <w:divId w:val="1468205844"/>
        </w:trPr>
        <w:tc>
          <w:tcPr>
            <w:tcW w:w="0" w:type="auto"/>
            <w:gridSpan w:val="3"/>
            <w:shd w:val="clear" w:color="auto" w:fill="FFFFFF"/>
            <w:tcMar>
              <w:top w:w="30" w:type="dxa"/>
              <w:left w:w="155" w:type="dxa"/>
              <w:bottom w:w="30" w:type="dxa"/>
              <w:right w:w="20" w:type="dxa"/>
            </w:tcMar>
            <w:vAlign w:val="bottom"/>
            <w:hideMark/>
          </w:tcPr>
          <w:p w14:paraId="051BDF76" w14:textId="77777777" w:rsidR="00000000" w:rsidRDefault="00EE5306">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14:paraId="1958633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E43642" w14:textId="77777777" w:rsidR="00000000" w:rsidRDefault="00EE5306">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14:paraId="4402820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4330B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B0C515" w14:textId="77777777" w:rsidR="00000000" w:rsidRDefault="00EE5306">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7B857FF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BB9B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60934C" w14:textId="77777777" w:rsidR="00000000" w:rsidRDefault="00EE5306">
            <w:pPr>
              <w:spacing w:after="100"/>
              <w:jc w:val="right"/>
              <w:rPr>
                <w:rFonts w:eastAsia="Times New Roman"/>
              </w:rPr>
            </w:pPr>
            <w:r>
              <w:rPr>
                <w:rFonts w:eastAsia="Times New Roman"/>
                <w:color w:val="000000"/>
                <w:sz w:val="20"/>
                <w:szCs w:val="20"/>
              </w:rPr>
              <w:t>(6.8)</w:t>
            </w:r>
          </w:p>
        </w:tc>
        <w:tc>
          <w:tcPr>
            <w:tcW w:w="0" w:type="auto"/>
            <w:shd w:val="clear" w:color="auto" w:fill="FFFFFF"/>
            <w:tcMar>
              <w:top w:w="30" w:type="dxa"/>
              <w:left w:w="0" w:type="dxa"/>
              <w:bottom w:w="30" w:type="dxa"/>
              <w:right w:w="20" w:type="dxa"/>
            </w:tcMar>
            <w:vAlign w:val="bottom"/>
            <w:hideMark/>
          </w:tcPr>
          <w:p w14:paraId="75FFA113" w14:textId="77777777" w:rsidR="00000000" w:rsidRDefault="00EE5306">
            <w:pPr>
              <w:spacing w:after="100"/>
              <w:jc w:val="right"/>
              <w:rPr>
                <w:rFonts w:eastAsia="Times New Roman"/>
              </w:rPr>
            </w:pPr>
          </w:p>
        </w:tc>
      </w:tr>
      <w:tr w:rsidR="00000000" w14:paraId="76EC5F92" w14:textId="77777777">
        <w:trPr>
          <w:divId w:val="1468205844"/>
        </w:trPr>
        <w:tc>
          <w:tcPr>
            <w:tcW w:w="0" w:type="auto"/>
            <w:gridSpan w:val="3"/>
            <w:shd w:val="clear" w:color="auto" w:fill="CCEEFF"/>
            <w:tcMar>
              <w:top w:w="30" w:type="dxa"/>
              <w:left w:w="20" w:type="dxa"/>
              <w:bottom w:w="30" w:type="dxa"/>
              <w:right w:w="20" w:type="dxa"/>
            </w:tcMar>
            <w:vAlign w:val="bottom"/>
            <w:hideMark/>
          </w:tcPr>
          <w:p w14:paraId="4661F529" w14:textId="77777777" w:rsidR="00000000" w:rsidRDefault="00EE5306">
            <w:pPr>
              <w:spacing w:after="100"/>
              <w:rPr>
                <w:rFonts w:eastAsia="Times New Roman"/>
              </w:rPr>
            </w:pPr>
            <w:r>
              <w:rPr>
                <w:rFonts w:eastAsia="Times New Roman"/>
                <w:color w:val="000000"/>
                <w:sz w:val="20"/>
                <w:szCs w:val="20"/>
              </w:rPr>
              <w:t>Ending reserve balance</w:t>
            </w:r>
          </w:p>
        </w:tc>
        <w:tc>
          <w:tcPr>
            <w:tcW w:w="0" w:type="auto"/>
            <w:gridSpan w:val="3"/>
            <w:shd w:val="clear" w:color="auto" w:fill="CCEEFF"/>
            <w:tcMar>
              <w:top w:w="0" w:type="dxa"/>
              <w:left w:w="20" w:type="dxa"/>
              <w:bottom w:w="0" w:type="dxa"/>
              <w:right w:w="20" w:type="dxa"/>
            </w:tcMar>
            <w:vAlign w:val="center"/>
            <w:hideMark/>
          </w:tcPr>
          <w:p w14:paraId="370710AB"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1743B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8E9EC7" w14:textId="77777777" w:rsidR="00000000" w:rsidRDefault="00EE5306">
            <w:pPr>
              <w:spacing w:after="100"/>
              <w:jc w:val="right"/>
              <w:rPr>
                <w:rFonts w:eastAsia="Times New Roman"/>
              </w:rPr>
            </w:pPr>
            <w:r>
              <w:rPr>
                <w:rFonts w:eastAsia="Times New Roman"/>
                <w:color w:val="000000"/>
                <w:sz w:val="20"/>
                <w:szCs w:val="20"/>
              </w:rPr>
              <w:t>173.7 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6DE81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DDC94"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B3D6E8"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486484" w14:textId="77777777" w:rsidR="00000000" w:rsidRDefault="00EE5306">
            <w:pPr>
              <w:spacing w:after="100"/>
              <w:jc w:val="right"/>
              <w:rPr>
                <w:rFonts w:eastAsia="Times New Roman"/>
              </w:rPr>
            </w:pPr>
            <w:r>
              <w:rPr>
                <w:rFonts w:eastAsia="Times New Roman"/>
                <w:color w:val="000000"/>
                <w:sz w:val="20"/>
                <w:szCs w:val="20"/>
              </w:rPr>
              <w:t>204.7 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44D47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717F8"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7F56EB"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363655" w14:textId="77777777" w:rsidR="00000000" w:rsidRDefault="00EE5306">
            <w:pPr>
              <w:spacing w:after="100"/>
              <w:jc w:val="right"/>
              <w:rPr>
                <w:rFonts w:eastAsia="Times New Roman"/>
              </w:rPr>
            </w:pPr>
            <w:r>
              <w:rPr>
                <w:rFonts w:eastAsia="Times New Roman"/>
                <w:color w:val="000000"/>
                <w:sz w:val="20"/>
                <w:szCs w:val="20"/>
              </w:rPr>
              <w:t>176.5 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CF473A" w14:textId="77777777" w:rsidR="00000000" w:rsidRDefault="00EE5306">
            <w:pPr>
              <w:spacing w:after="100"/>
              <w:jc w:val="right"/>
              <w:rPr>
                <w:rFonts w:eastAsia="Times New Roman"/>
              </w:rPr>
            </w:pPr>
          </w:p>
        </w:tc>
      </w:tr>
    </w:tbl>
    <w:p w14:paraId="651B6CA2" w14:textId="77777777" w:rsidR="00000000" w:rsidRDefault="00EE5306">
      <w:pPr>
        <w:ind w:firstLine="540"/>
        <w:jc w:val="both"/>
        <w:divId w:val="311562257"/>
        <w:rPr>
          <w:rFonts w:eastAsia="Times New Roman"/>
        </w:rPr>
      </w:pPr>
      <w:r>
        <w:rPr>
          <w:rFonts w:eastAsia="Times New Roman"/>
          <w:color w:val="000000"/>
          <w:sz w:val="20"/>
          <w:szCs w:val="20"/>
        </w:rPr>
        <w:t>An allowance for doubtful accounts is determined through analysis of accounts receivable aging,</w:t>
      </w:r>
      <w:r>
        <w:rPr>
          <w:rFonts w:eastAsia="Times New Roman"/>
          <w:color w:val="000000"/>
          <w:sz w:val="20"/>
          <w:szCs w:val="20"/>
        </w:rPr>
        <w:t xml:space="preserve"> assessments of collectability based on evaluation of historical trends, the financial condition of the Company's customers and their ability to withstand prolonged periods of adverse economic conditions, and evaluation of the impact of current and forecas</w:t>
      </w:r>
      <w:r>
        <w:rPr>
          <w:rFonts w:eastAsia="Times New Roman"/>
          <w:color w:val="000000"/>
          <w:sz w:val="20"/>
          <w:szCs w:val="20"/>
        </w:rPr>
        <w:t>ted economic and market conditions over the related asset's contractual life, among other factors. The Company's allowance for doubtful accounts as of March 27, 2021 and March 28, 2020 reflects estimated impacts associated with COVID-19 business disruption</w:t>
      </w:r>
      <w:r>
        <w:rPr>
          <w:rFonts w:eastAsia="Times New Roman"/>
          <w:color w:val="000000"/>
          <w:sz w:val="20"/>
          <w:szCs w:val="20"/>
        </w:rPr>
        <w:t>s, which include declines in retail traffic, tourism, and consumer spending on discretionary items.</w:t>
      </w:r>
    </w:p>
    <w:p w14:paraId="682361C9" w14:textId="77777777" w:rsidR="00000000" w:rsidRDefault="00EE5306">
      <w:pPr>
        <w:ind w:firstLine="540"/>
        <w:jc w:val="both"/>
        <w:divId w:val="1892694062"/>
        <w:rPr>
          <w:rFonts w:eastAsia="Times New Roman"/>
        </w:rPr>
      </w:pPr>
      <w:r>
        <w:rPr>
          <w:rFonts w:eastAsia="Times New Roman"/>
          <w:color w:val="000000"/>
          <w:sz w:val="20"/>
          <w:szCs w:val="20"/>
        </w:rPr>
        <w:t>A rollforward of the activity in the Company's allowance for doubtful accounts is presented below:</w:t>
      </w:r>
    </w:p>
    <w:tbl>
      <w:tblPr>
        <w:tblW w:w="4729" w:type="pct"/>
        <w:tblCellMar>
          <w:top w:w="15" w:type="dxa"/>
          <w:left w:w="15" w:type="dxa"/>
          <w:bottom w:w="15" w:type="dxa"/>
          <w:right w:w="15" w:type="dxa"/>
        </w:tblCellMar>
        <w:tblLook w:val="04A0" w:firstRow="1" w:lastRow="0" w:firstColumn="1" w:lastColumn="0" w:noHBand="0" w:noVBand="1"/>
      </w:tblPr>
      <w:tblGrid>
        <w:gridCol w:w="38"/>
        <w:gridCol w:w="4615"/>
        <w:gridCol w:w="37"/>
        <w:gridCol w:w="36"/>
        <w:gridCol w:w="36"/>
        <w:gridCol w:w="36"/>
        <w:gridCol w:w="120"/>
        <w:gridCol w:w="791"/>
        <w:gridCol w:w="36"/>
        <w:gridCol w:w="36"/>
        <w:gridCol w:w="36"/>
        <w:gridCol w:w="36"/>
        <w:gridCol w:w="120"/>
        <w:gridCol w:w="791"/>
        <w:gridCol w:w="36"/>
        <w:gridCol w:w="36"/>
        <w:gridCol w:w="36"/>
        <w:gridCol w:w="36"/>
        <w:gridCol w:w="120"/>
        <w:gridCol w:w="792"/>
        <w:gridCol w:w="36"/>
      </w:tblGrid>
      <w:tr w:rsidR="00000000" w14:paraId="19783124" w14:textId="77777777">
        <w:trPr>
          <w:divId w:val="1201741782"/>
        </w:trPr>
        <w:tc>
          <w:tcPr>
            <w:tcW w:w="50" w:type="pct"/>
            <w:vAlign w:val="center"/>
            <w:hideMark/>
          </w:tcPr>
          <w:p w14:paraId="306B3B2E" w14:textId="77777777" w:rsidR="00000000" w:rsidRDefault="00EE5306">
            <w:pPr>
              <w:ind w:firstLine="540"/>
              <w:jc w:val="both"/>
              <w:rPr>
                <w:rFonts w:eastAsia="Times New Roman"/>
              </w:rPr>
            </w:pPr>
          </w:p>
        </w:tc>
        <w:tc>
          <w:tcPr>
            <w:tcW w:w="2974" w:type="pct"/>
            <w:vAlign w:val="center"/>
            <w:hideMark/>
          </w:tcPr>
          <w:p w14:paraId="1CCA216A" w14:textId="77777777" w:rsidR="00000000" w:rsidRDefault="00EE5306">
            <w:pPr>
              <w:spacing w:after="100"/>
              <w:rPr>
                <w:rFonts w:eastAsia="Times New Roman"/>
                <w:sz w:val="20"/>
                <w:szCs w:val="20"/>
              </w:rPr>
            </w:pPr>
          </w:p>
        </w:tc>
        <w:tc>
          <w:tcPr>
            <w:tcW w:w="5" w:type="pct"/>
            <w:vAlign w:val="center"/>
            <w:hideMark/>
          </w:tcPr>
          <w:p w14:paraId="1170A0D9" w14:textId="77777777" w:rsidR="00000000" w:rsidRDefault="00EE5306">
            <w:pPr>
              <w:spacing w:after="100"/>
              <w:rPr>
                <w:rFonts w:eastAsia="Times New Roman"/>
                <w:sz w:val="20"/>
                <w:szCs w:val="20"/>
              </w:rPr>
            </w:pPr>
          </w:p>
        </w:tc>
        <w:tc>
          <w:tcPr>
            <w:tcW w:w="5" w:type="pct"/>
            <w:vAlign w:val="center"/>
            <w:hideMark/>
          </w:tcPr>
          <w:p w14:paraId="28D7674C" w14:textId="77777777" w:rsidR="00000000" w:rsidRDefault="00EE5306">
            <w:pPr>
              <w:spacing w:after="100"/>
              <w:rPr>
                <w:rFonts w:eastAsia="Times New Roman"/>
                <w:sz w:val="20"/>
                <w:szCs w:val="20"/>
              </w:rPr>
            </w:pPr>
          </w:p>
        </w:tc>
        <w:tc>
          <w:tcPr>
            <w:tcW w:w="28" w:type="pct"/>
            <w:vAlign w:val="center"/>
            <w:hideMark/>
          </w:tcPr>
          <w:p w14:paraId="6AA28681" w14:textId="77777777" w:rsidR="00000000" w:rsidRDefault="00EE5306">
            <w:pPr>
              <w:spacing w:after="100"/>
              <w:rPr>
                <w:rFonts w:eastAsia="Times New Roman"/>
                <w:sz w:val="20"/>
                <w:szCs w:val="20"/>
              </w:rPr>
            </w:pPr>
          </w:p>
        </w:tc>
        <w:tc>
          <w:tcPr>
            <w:tcW w:w="5" w:type="pct"/>
            <w:vAlign w:val="center"/>
            <w:hideMark/>
          </w:tcPr>
          <w:p w14:paraId="780EF008" w14:textId="77777777" w:rsidR="00000000" w:rsidRDefault="00EE5306">
            <w:pPr>
              <w:spacing w:after="100"/>
              <w:rPr>
                <w:rFonts w:eastAsia="Times New Roman"/>
                <w:sz w:val="20"/>
                <w:szCs w:val="20"/>
              </w:rPr>
            </w:pPr>
          </w:p>
        </w:tc>
        <w:tc>
          <w:tcPr>
            <w:tcW w:w="50" w:type="pct"/>
            <w:vAlign w:val="center"/>
            <w:hideMark/>
          </w:tcPr>
          <w:p w14:paraId="701B55B2" w14:textId="77777777" w:rsidR="00000000" w:rsidRDefault="00EE5306">
            <w:pPr>
              <w:spacing w:after="100"/>
              <w:rPr>
                <w:rFonts w:eastAsia="Times New Roman"/>
                <w:sz w:val="20"/>
                <w:szCs w:val="20"/>
              </w:rPr>
            </w:pPr>
          </w:p>
        </w:tc>
        <w:tc>
          <w:tcPr>
            <w:tcW w:w="563" w:type="pct"/>
            <w:vAlign w:val="center"/>
            <w:hideMark/>
          </w:tcPr>
          <w:p w14:paraId="63B371FE" w14:textId="77777777" w:rsidR="00000000" w:rsidRDefault="00EE5306">
            <w:pPr>
              <w:spacing w:after="100"/>
              <w:rPr>
                <w:rFonts w:eastAsia="Times New Roman"/>
                <w:sz w:val="20"/>
                <w:szCs w:val="20"/>
              </w:rPr>
            </w:pPr>
          </w:p>
        </w:tc>
        <w:tc>
          <w:tcPr>
            <w:tcW w:w="5" w:type="pct"/>
            <w:vAlign w:val="center"/>
            <w:hideMark/>
          </w:tcPr>
          <w:p w14:paraId="7628FF80" w14:textId="77777777" w:rsidR="00000000" w:rsidRDefault="00EE5306">
            <w:pPr>
              <w:spacing w:after="100"/>
              <w:rPr>
                <w:rFonts w:eastAsia="Times New Roman"/>
                <w:sz w:val="20"/>
                <w:szCs w:val="20"/>
              </w:rPr>
            </w:pPr>
          </w:p>
        </w:tc>
        <w:tc>
          <w:tcPr>
            <w:tcW w:w="5" w:type="pct"/>
            <w:vAlign w:val="center"/>
            <w:hideMark/>
          </w:tcPr>
          <w:p w14:paraId="1DDED6BA" w14:textId="77777777" w:rsidR="00000000" w:rsidRDefault="00EE5306">
            <w:pPr>
              <w:spacing w:after="100"/>
              <w:rPr>
                <w:rFonts w:eastAsia="Times New Roman"/>
                <w:sz w:val="20"/>
                <w:szCs w:val="20"/>
              </w:rPr>
            </w:pPr>
          </w:p>
        </w:tc>
        <w:tc>
          <w:tcPr>
            <w:tcW w:w="28" w:type="pct"/>
            <w:vAlign w:val="center"/>
            <w:hideMark/>
          </w:tcPr>
          <w:p w14:paraId="08E04F8D" w14:textId="77777777" w:rsidR="00000000" w:rsidRDefault="00EE5306">
            <w:pPr>
              <w:spacing w:after="100"/>
              <w:rPr>
                <w:rFonts w:eastAsia="Times New Roman"/>
                <w:sz w:val="20"/>
                <w:szCs w:val="20"/>
              </w:rPr>
            </w:pPr>
          </w:p>
        </w:tc>
        <w:tc>
          <w:tcPr>
            <w:tcW w:w="5" w:type="pct"/>
            <w:vAlign w:val="center"/>
            <w:hideMark/>
          </w:tcPr>
          <w:p w14:paraId="20588D9F" w14:textId="77777777" w:rsidR="00000000" w:rsidRDefault="00EE5306">
            <w:pPr>
              <w:spacing w:after="100"/>
              <w:rPr>
                <w:rFonts w:eastAsia="Times New Roman"/>
                <w:sz w:val="20"/>
                <w:szCs w:val="20"/>
              </w:rPr>
            </w:pPr>
          </w:p>
        </w:tc>
        <w:tc>
          <w:tcPr>
            <w:tcW w:w="50" w:type="pct"/>
            <w:vAlign w:val="center"/>
            <w:hideMark/>
          </w:tcPr>
          <w:p w14:paraId="003DC57D" w14:textId="77777777" w:rsidR="00000000" w:rsidRDefault="00EE5306">
            <w:pPr>
              <w:spacing w:after="100"/>
              <w:rPr>
                <w:rFonts w:eastAsia="Times New Roman"/>
                <w:sz w:val="20"/>
                <w:szCs w:val="20"/>
              </w:rPr>
            </w:pPr>
          </w:p>
        </w:tc>
        <w:tc>
          <w:tcPr>
            <w:tcW w:w="563" w:type="pct"/>
            <w:vAlign w:val="center"/>
            <w:hideMark/>
          </w:tcPr>
          <w:p w14:paraId="5CCDECC7" w14:textId="77777777" w:rsidR="00000000" w:rsidRDefault="00EE5306">
            <w:pPr>
              <w:spacing w:after="100"/>
              <w:rPr>
                <w:rFonts w:eastAsia="Times New Roman"/>
                <w:sz w:val="20"/>
                <w:szCs w:val="20"/>
              </w:rPr>
            </w:pPr>
          </w:p>
        </w:tc>
        <w:tc>
          <w:tcPr>
            <w:tcW w:w="5" w:type="pct"/>
            <w:vAlign w:val="center"/>
            <w:hideMark/>
          </w:tcPr>
          <w:p w14:paraId="63017A1D" w14:textId="77777777" w:rsidR="00000000" w:rsidRDefault="00EE5306">
            <w:pPr>
              <w:spacing w:after="100"/>
              <w:rPr>
                <w:rFonts w:eastAsia="Times New Roman"/>
                <w:sz w:val="20"/>
                <w:szCs w:val="20"/>
              </w:rPr>
            </w:pPr>
          </w:p>
        </w:tc>
        <w:tc>
          <w:tcPr>
            <w:tcW w:w="5" w:type="pct"/>
            <w:vAlign w:val="center"/>
            <w:hideMark/>
          </w:tcPr>
          <w:p w14:paraId="4AB6A15F" w14:textId="77777777" w:rsidR="00000000" w:rsidRDefault="00EE5306">
            <w:pPr>
              <w:spacing w:after="100"/>
              <w:rPr>
                <w:rFonts w:eastAsia="Times New Roman"/>
                <w:sz w:val="20"/>
                <w:szCs w:val="20"/>
              </w:rPr>
            </w:pPr>
          </w:p>
        </w:tc>
        <w:tc>
          <w:tcPr>
            <w:tcW w:w="28" w:type="pct"/>
            <w:vAlign w:val="center"/>
            <w:hideMark/>
          </w:tcPr>
          <w:p w14:paraId="5B59967F" w14:textId="77777777" w:rsidR="00000000" w:rsidRDefault="00EE5306">
            <w:pPr>
              <w:spacing w:after="100"/>
              <w:rPr>
                <w:rFonts w:eastAsia="Times New Roman"/>
                <w:sz w:val="20"/>
                <w:szCs w:val="20"/>
              </w:rPr>
            </w:pPr>
          </w:p>
        </w:tc>
        <w:tc>
          <w:tcPr>
            <w:tcW w:w="5" w:type="pct"/>
            <w:vAlign w:val="center"/>
            <w:hideMark/>
          </w:tcPr>
          <w:p w14:paraId="16EF6FF0" w14:textId="77777777" w:rsidR="00000000" w:rsidRDefault="00EE5306">
            <w:pPr>
              <w:spacing w:after="100"/>
              <w:rPr>
                <w:rFonts w:eastAsia="Times New Roman"/>
                <w:sz w:val="20"/>
                <w:szCs w:val="20"/>
              </w:rPr>
            </w:pPr>
          </w:p>
        </w:tc>
        <w:tc>
          <w:tcPr>
            <w:tcW w:w="50" w:type="pct"/>
            <w:vAlign w:val="center"/>
            <w:hideMark/>
          </w:tcPr>
          <w:p w14:paraId="7AA60FF1" w14:textId="77777777" w:rsidR="00000000" w:rsidRDefault="00EE5306">
            <w:pPr>
              <w:spacing w:after="100"/>
              <w:rPr>
                <w:rFonts w:eastAsia="Times New Roman"/>
                <w:sz w:val="20"/>
                <w:szCs w:val="20"/>
              </w:rPr>
            </w:pPr>
          </w:p>
        </w:tc>
        <w:tc>
          <w:tcPr>
            <w:tcW w:w="563" w:type="pct"/>
            <w:vAlign w:val="center"/>
            <w:hideMark/>
          </w:tcPr>
          <w:p w14:paraId="4FBE94E0" w14:textId="77777777" w:rsidR="00000000" w:rsidRDefault="00EE5306">
            <w:pPr>
              <w:spacing w:after="100"/>
              <w:rPr>
                <w:rFonts w:eastAsia="Times New Roman"/>
                <w:sz w:val="20"/>
                <w:szCs w:val="20"/>
              </w:rPr>
            </w:pPr>
          </w:p>
        </w:tc>
        <w:tc>
          <w:tcPr>
            <w:tcW w:w="5" w:type="pct"/>
            <w:vAlign w:val="center"/>
            <w:hideMark/>
          </w:tcPr>
          <w:p w14:paraId="5D6226D2" w14:textId="77777777" w:rsidR="00000000" w:rsidRDefault="00EE5306">
            <w:pPr>
              <w:spacing w:after="100"/>
              <w:rPr>
                <w:rFonts w:eastAsia="Times New Roman"/>
                <w:sz w:val="20"/>
                <w:szCs w:val="20"/>
              </w:rPr>
            </w:pPr>
          </w:p>
        </w:tc>
      </w:tr>
      <w:tr w:rsidR="00000000" w14:paraId="4D92C97A" w14:textId="77777777">
        <w:trPr>
          <w:divId w:val="1201741782"/>
        </w:trPr>
        <w:tc>
          <w:tcPr>
            <w:tcW w:w="0" w:type="auto"/>
            <w:gridSpan w:val="3"/>
            <w:tcMar>
              <w:top w:w="30" w:type="dxa"/>
              <w:left w:w="20" w:type="dxa"/>
              <w:bottom w:w="30" w:type="dxa"/>
              <w:right w:w="20" w:type="dxa"/>
            </w:tcMar>
            <w:vAlign w:val="bottom"/>
            <w:hideMark/>
          </w:tcPr>
          <w:p w14:paraId="3301E64E"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AED08F6"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227DC246"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517E8E0C" w14:textId="77777777">
        <w:trPr>
          <w:divId w:val="1201741782"/>
        </w:trPr>
        <w:tc>
          <w:tcPr>
            <w:tcW w:w="0" w:type="auto"/>
            <w:gridSpan w:val="3"/>
            <w:tcMar>
              <w:top w:w="30" w:type="dxa"/>
              <w:left w:w="20" w:type="dxa"/>
              <w:bottom w:w="30" w:type="dxa"/>
              <w:right w:w="20" w:type="dxa"/>
            </w:tcMar>
            <w:vAlign w:val="bottom"/>
            <w:hideMark/>
          </w:tcPr>
          <w:p w14:paraId="1348233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17AC86B"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67A4DC"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192C6CA8"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512FB0"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3D9F57C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4F7CCF5"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43164E33" w14:textId="77777777">
        <w:trPr>
          <w:divId w:val="1201741782"/>
        </w:trPr>
        <w:tc>
          <w:tcPr>
            <w:tcW w:w="0" w:type="auto"/>
            <w:gridSpan w:val="3"/>
            <w:tcMar>
              <w:top w:w="30" w:type="dxa"/>
              <w:left w:w="20" w:type="dxa"/>
              <w:bottom w:w="30" w:type="dxa"/>
              <w:right w:w="20" w:type="dxa"/>
            </w:tcMar>
            <w:vAlign w:val="bottom"/>
            <w:hideMark/>
          </w:tcPr>
          <w:p w14:paraId="7F1C414A"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A01B967" w14:textId="77777777" w:rsidR="00000000" w:rsidRDefault="00EE5306">
            <w:pPr>
              <w:spacing w:after="100"/>
              <w:rPr>
                <w:rFonts w:eastAsia="Times New Roman"/>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14:paraId="2F3298A2"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0079E500" w14:textId="77777777">
        <w:trPr>
          <w:divId w:val="1201741782"/>
        </w:trPr>
        <w:tc>
          <w:tcPr>
            <w:tcW w:w="0" w:type="auto"/>
            <w:gridSpan w:val="3"/>
            <w:shd w:val="clear" w:color="auto" w:fill="CCEEFF"/>
            <w:tcMar>
              <w:top w:w="30" w:type="dxa"/>
              <w:left w:w="20" w:type="dxa"/>
              <w:bottom w:w="30" w:type="dxa"/>
              <w:right w:w="20" w:type="dxa"/>
            </w:tcMar>
            <w:vAlign w:val="bottom"/>
            <w:hideMark/>
          </w:tcPr>
          <w:p w14:paraId="49C2E214" w14:textId="77777777" w:rsidR="00000000" w:rsidRDefault="00EE5306">
            <w:pPr>
              <w:spacing w:after="100"/>
              <w:rPr>
                <w:rFonts w:eastAsia="Times New Roman"/>
              </w:rPr>
            </w:pPr>
            <w:r>
              <w:rPr>
                <w:rFonts w:eastAsia="Times New Roman"/>
                <w:color w:val="000000"/>
                <w:sz w:val="20"/>
                <w:szCs w:val="20"/>
              </w:rPr>
              <w:t>Beginning reserve balance</w:t>
            </w:r>
          </w:p>
        </w:tc>
        <w:tc>
          <w:tcPr>
            <w:tcW w:w="0" w:type="auto"/>
            <w:gridSpan w:val="3"/>
            <w:shd w:val="clear" w:color="auto" w:fill="CCEEFF"/>
            <w:tcMar>
              <w:top w:w="0" w:type="dxa"/>
              <w:left w:w="20" w:type="dxa"/>
              <w:bottom w:w="0" w:type="dxa"/>
              <w:right w:w="20" w:type="dxa"/>
            </w:tcMar>
            <w:vAlign w:val="center"/>
            <w:hideMark/>
          </w:tcPr>
          <w:p w14:paraId="5467F427"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30E62A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EC268B" w14:textId="77777777" w:rsidR="00000000" w:rsidRDefault="00EE5306">
            <w:pPr>
              <w:spacing w:after="100"/>
              <w:jc w:val="right"/>
              <w:rPr>
                <w:rFonts w:eastAsia="Times New Roman"/>
              </w:rPr>
            </w:pPr>
            <w:r>
              <w:rPr>
                <w:rFonts w:eastAsia="Times New Roman"/>
                <w:color w:val="000000"/>
                <w:sz w:val="20"/>
                <w:szCs w:val="20"/>
              </w:rPr>
              <w:t>71.5 </w:t>
            </w:r>
          </w:p>
        </w:tc>
        <w:tc>
          <w:tcPr>
            <w:tcW w:w="0" w:type="auto"/>
            <w:shd w:val="clear" w:color="auto" w:fill="CCEEFF"/>
            <w:tcMar>
              <w:top w:w="30" w:type="dxa"/>
              <w:left w:w="0" w:type="dxa"/>
              <w:bottom w:w="30" w:type="dxa"/>
              <w:right w:w="20" w:type="dxa"/>
            </w:tcMar>
            <w:vAlign w:val="bottom"/>
            <w:hideMark/>
          </w:tcPr>
          <w:p w14:paraId="038F75F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D6BE8"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1181B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A9380B" w14:textId="77777777" w:rsidR="00000000" w:rsidRDefault="00EE5306">
            <w:pPr>
              <w:spacing w:after="100"/>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14:paraId="55D7E88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101B9"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ABFF4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6C53C7" w14:textId="77777777" w:rsidR="00000000" w:rsidRDefault="00EE5306">
            <w:pPr>
              <w:spacing w:after="100"/>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14:paraId="4FD6DA1A" w14:textId="77777777" w:rsidR="00000000" w:rsidRDefault="00EE5306">
            <w:pPr>
              <w:spacing w:after="100"/>
              <w:jc w:val="right"/>
              <w:rPr>
                <w:rFonts w:eastAsia="Times New Roman"/>
              </w:rPr>
            </w:pPr>
          </w:p>
        </w:tc>
      </w:tr>
      <w:tr w:rsidR="00000000" w14:paraId="3A496FFE" w14:textId="77777777">
        <w:trPr>
          <w:divId w:val="1201741782"/>
        </w:trPr>
        <w:tc>
          <w:tcPr>
            <w:tcW w:w="0" w:type="auto"/>
            <w:gridSpan w:val="3"/>
            <w:shd w:val="clear" w:color="auto" w:fill="FFFFFF"/>
            <w:tcMar>
              <w:top w:w="30" w:type="dxa"/>
              <w:left w:w="20" w:type="dxa"/>
              <w:bottom w:w="30" w:type="dxa"/>
              <w:right w:w="20" w:type="dxa"/>
            </w:tcMar>
            <w:vAlign w:val="bottom"/>
            <w:hideMark/>
          </w:tcPr>
          <w:p w14:paraId="5F52E466" w14:textId="77777777" w:rsidR="00000000" w:rsidRDefault="00EE5306">
            <w:pPr>
              <w:spacing w:after="100"/>
              <w:divId w:val="1711950541"/>
              <w:rPr>
                <w:rFonts w:eastAsia="Times New Roman"/>
              </w:rPr>
            </w:pPr>
            <w:r>
              <w:rPr>
                <w:rFonts w:eastAsia="Times New Roman"/>
                <w:color w:val="000000"/>
                <w:sz w:val="20"/>
                <w:szCs w:val="20"/>
              </w:rPr>
              <w:t>Amount recorded to expense to increase (decrease) reserv</w:t>
            </w:r>
            <w:r>
              <w:rPr>
                <w:rFonts w:eastAsia="Times New Roman"/>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A110E2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57A43C" w14:textId="77777777" w:rsidR="00000000" w:rsidRDefault="00EE5306">
            <w:pPr>
              <w:spacing w:after="100"/>
              <w:jc w:val="right"/>
              <w:rPr>
                <w:rFonts w:eastAsia="Times New Roman"/>
              </w:rPr>
            </w:pPr>
            <w:r>
              <w:rPr>
                <w:rFonts w:eastAsia="Times New Roman"/>
                <w:color w:val="000000"/>
                <w:sz w:val="20"/>
                <w:szCs w:val="20"/>
              </w:rPr>
              <w:t>(27.6)</w:t>
            </w:r>
          </w:p>
        </w:tc>
        <w:tc>
          <w:tcPr>
            <w:tcW w:w="0" w:type="auto"/>
            <w:shd w:val="clear" w:color="auto" w:fill="FFFFFF"/>
            <w:tcMar>
              <w:top w:w="30" w:type="dxa"/>
              <w:left w:w="0" w:type="dxa"/>
              <w:bottom w:w="30" w:type="dxa"/>
              <w:right w:w="20" w:type="dxa"/>
            </w:tcMar>
            <w:vAlign w:val="bottom"/>
            <w:hideMark/>
          </w:tcPr>
          <w:p w14:paraId="7C447DF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25E3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04BE24" w14:textId="77777777" w:rsidR="00000000" w:rsidRDefault="00EE5306">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bottom"/>
            <w:hideMark/>
          </w:tcPr>
          <w:p w14:paraId="3AFF4F5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934B3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B966EF" w14:textId="77777777" w:rsidR="00000000" w:rsidRDefault="00EE5306">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63AE8C4E" w14:textId="77777777" w:rsidR="00000000" w:rsidRDefault="00EE5306">
            <w:pPr>
              <w:spacing w:after="100"/>
              <w:jc w:val="right"/>
              <w:rPr>
                <w:rFonts w:eastAsia="Times New Roman"/>
              </w:rPr>
            </w:pPr>
          </w:p>
        </w:tc>
      </w:tr>
      <w:tr w:rsidR="00000000" w14:paraId="34A4AD5C" w14:textId="77777777">
        <w:trPr>
          <w:divId w:val="1201741782"/>
        </w:trPr>
        <w:tc>
          <w:tcPr>
            <w:tcW w:w="0" w:type="auto"/>
            <w:gridSpan w:val="3"/>
            <w:shd w:val="clear" w:color="auto" w:fill="CCEEFF"/>
            <w:tcMar>
              <w:top w:w="30" w:type="dxa"/>
              <w:left w:w="20" w:type="dxa"/>
              <w:bottom w:w="30" w:type="dxa"/>
              <w:right w:w="20" w:type="dxa"/>
            </w:tcMar>
            <w:vAlign w:val="bottom"/>
            <w:hideMark/>
          </w:tcPr>
          <w:p w14:paraId="2E5A388B" w14:textId="77777777" w:rsidR="00000000" w:rsidRDefault="00EE5306">
            <w:pPr>
              <w:spacing w:after="100"/>
              <w:ind w:hanging="180"/>
              <w:divId w:val="778914721"/>
              <w:rPr>
                <w:rFonts w:eastAsia="Times New Roman"/>
              </w:rPr>
            </w:pPr>
            <w:r>
              <w:rPr>
                <w:rFonts w:eastAsia="Times New Roman"/>
                <w:color w:val="000000"/>
                <w:sz w:val="20"/>
                <w:szCs w:val="20"/>
              </w:rPr>
              <w:t>Amount written-off against customer accounts to decrease reserve</w:t>
            </w:r>
          </w:p>
        </w:tc>
        <w:tc>
          <w:tcPr>
            <w:tcW w:w="0" w:type="auto"/>
            <w:gridSpan w:val="3"/>
            <w:shd w:val="clear" w:color="auto" w:fill="CCEEFF"/>
            <w:tcMar>
              <w:top w:w="0" w:type="dxa"/>
              <w:left w:w="20" w:type="dxa"/>
              <w:bottom w:w="0" w:type="dxa"/>
              <w:right w:w="20" w:type="dxa"/>
            </w:tcMar>
            <w:vAlign w:val="center"/>
            <w:hideMark/>
          </w:tcPr>
          <w:p w14:paraId="5637FB18"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A8B650" w14:textId="77777777" w:rsidR="00000000" w:rsidRDefault="00EE5306">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14:paraId="2F66F8C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38CD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1FE390" w14:textId="77777777" w:rsidR="00000000" w:rsidRDefault="00EE5306">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14:paraId="0C69C6A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6EF7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4DE9FF" w14:textId="77777777" w:rsidR="00000000" w:rsidRDefault="00EE5306">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14:paraId="4416AAD6" w14:textId="77777777" w:rsidR="00000000" w:rsidRDefault="00EE5306">
            <w:pPr>
              <w:spacing w:after="100"/>
              <w:jc w:val="right"/>
              <w:rPr>
                <w:rFonts w:eastAsia="Times New Roman"/>
              </w:rPr>
            </w:pPr>
          </w:p>
        </w:tc>
      </w:tr>
      <w:tr w:rsidR="00000000" w14:paraId="764CA249" w14:textId="77777777">
        <w:trPr>
          <w:divId w:val="1201741782"/>
        </w:trPr>
        <w:tc>
          <w:tcPr>
            <w:tcW w:w="0" w:type="auto"/>
            <w:gridSpan w:val="3"/>
            <w:shd w:val="clear" w:color="auto" w:fill="FFFFFF"/>
            <w:tcMar>
              <w:top w:w="30" w:type="dxa"/>
              <w:left w:w="155" w:type="dxa"/>
              <w:bottom w:w="30" w:type="dxa"/>
              <w:right w:w="20" w:type="dxa"/>
            </w:tcMar>
            <w:vAlign w:val="bottom"/>
            <w:hideMark/>
          </w:tcPr>
          <w:p w14:paraId="2C9B5F31" w14:textId="77777777" w:rsidR="00000000" w:rsidRDefault="00EE5306">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14:paraId="5F9F9A3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EB16E8" w14:textId="77777777" w:rsidR="00000000" w:rsidRDefault="00EE5306">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3DDA723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D4B3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1BCB56" w14:textId="77777777" w:rsidR="00000000" w:rsidRDefault="00EE5306">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14:paraId="43545ED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8041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52583A" w14:textId="77777777" w:rsidR="00000000" w:rsidRDefault="00EE5306">
            <w:pPr>
              <w:spacing w:after="100"/>
              <w:jc w:val="right"/>
              <w:rPr>
                <w:rFonts w:eastAsia="Times New Roman"/>
              </w:rPr>
            </w:pPr>
            <w:r>
              <w:rPr>
                <w:rFonts w:eastAsia="Times New Roman"/>
                <w:color w:val="000000"/>
                <w:sz w:val="20"/>
                <w:szCs w:val="20"/>
              </w:rPr>
              <w:t>(</w:t>
            </w:r>
            <w:r>
              <w:rPr>
                <w:rFonts w:eastAsia="Times New Roman"/>
                <w:color w:val="000000"/>
                <w:sz w:val="20"/>
                <w:szCs w:val="20"/>
              </w:rPr>
              <w:t>0.9)</w:t>
            </w:r>
          </w:p>
        </w:tc>
        <w:tc>
          <w:tcPr>
            <w:tcW w:w="0" w:type="auto"/>
            <w:shd w:val="clear" w:color="auto" w:fill="FFFFFF"/>
            <w:tcMar>
              <w:top w:w="30" w:type="dxa"/>
              <w:left w:w="0" w:type="dxa"/>
              <w:bottom w:w="30" w:type="dxa"/>
              <w:right w:w="20" w:type="dxa"/>
            </w:tcMar>
            <w:vAlign w:val="bottom"/>
            <w:hideMark/>
          </w:tcPr>
          <w:p w14:paraId="7C0F696E" w14:textId="77777777" w:rsidR="00000000" w:rsidRDefault="00EE5306">
            <w:pPr>
              <w:spacing w:after="100"/>
              <w:jc w:val="right"/>
              <w:rPr>
                <w:rFonts w:eastAsia="Times New Roman"/>
              </w:rPr>
            </w:pPr>
          </w:p>
        </w:tc>
      </w:tr>
      <w:tr w:rsidR="00000000" w14:paraId="2B67509D" w14:textId="77777777">
        <w:trPr>
          <w:divId w:val="1201741782"/>
        </w:trPr>
        <w:tc>
          <w:tcPr>
            <w:tcW w:w="0" w:type="auto"/>
            <w:gridSpan w:val="3"/>
            <w:shd w:val="clear" w:color="auto" w:fill="CCEEFF"/>
            <w:tcMar>
              <w:top w:w="30" w:type="dxa"/>
              <w:left w:w="20" w:type="dxa"/>
              <w:bottom w:w="30" w:type="dxa"/>
              <w:right w:w="20" w:type="dxa"/>
            </w:tcMar>
            <w:vAlign w:val="bottom"/>
            <w:hideMark/>
          </w:tcPr>
          <w:p w14:paraId="74FAB823" w14:textId="77777777" w:rsidR="00000000" w:rsidRDefault="00EE5306">
            <w:pPr>
              <w:spacing w:after="100"/>
              <w:rPr>
                <w:rFonts w:eastAsia="Times New Roman"/>
              </w:rPr>
            </w:pPr>
            <w:r>
              <w:rPr>
                <w:rFonts w:eastAsia="Times New Roman"/>
                <w:color w:val="000000"/>
                <w:sz w:val="20"/>
                <w:szCs w:val="20"/>
              </w:rPr>
              <w:t>Ending reserve balance</w:t>
            </w:r>
          </w:p>
        </w:tc>
        <w:tc>
          <w:tcPr>
            <w:tcW w:w="0" w:type="auto"/>
            <w:gridSpan w:val="3"/>
            <w:shd w:val="clear" w:color="auto" w:fill="CCEEFF"/>
            <w:tcMar>
              <w:top w:w="0" w:type="dxa"/>
              <w:left w:w="20" w:type="dxa"/>
              <w:bottom w:w="0" w:type="dxa"/>
              <w:right w:w="20" w:type="dxa"/>
            </w:tcMar>
            <w:vAlign w:val="center"/>
            <w:hideMark/>
          </w:tcPr>
          <w:p w14:paraId="51770D07"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3B983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4A50B1" w14:textId="77777777" w:rsidR="00000000" w:rsidRDefault="00EE5306">
            <w:pPr>
              <w:spacing w:after="100"/>
              <w:jc w:val="right"/>
              <w:rPr>
                <w:rFonts w:eastAsia="Times New Roman"/>
              </w:rPr>
            </w:pPr>
            <w:r>
              <w:rPr>
                <w:rFonts w:eastAsia="Times New Roman"/>
                <w:color w:val="000000"/>
                <w:sz w:val="20"/>
                <w:szCs w:val="20"/>
              </w:rPr>
              <w:t>40.1 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06555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3D50E"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11184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DD63B6" w14:textId="77777777" w:rsidR="00000000" w:rsidRDefault="00EE5306">
            <w:pPr>
              <w:spacing w:after="100"/>
              <w:jc w:val="right"/>
              <w:rPr>
                <w:rFonts w:eastAsia="Times New Roman"/>
              </w:rPr>
            </w:pPr>
            <w:r>
              <w:rPr>
                <w:rFonts w:eastAsia="Times New Roman"/>
                <w:color w:val="000000"/>
                <w:sz w:val="20"/>
                <w:szCs w:val="20"/>
              </w:rPr>
              <w:t>71.5 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4737D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4FDEE"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FE655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83425A" w14:textId="77777777" w:rsidR="00000000" w:rsidRDefault="00EE5306">
            <w:pPr>
              <w:spacing w:after="100"/>
              <w:jc w:val="right"/>
              <w:rPr>
                <w:rFonts w:eastAsia="Times New Roman"/>
              </w:rPr>
            </w:pPr>
            <w:r>
              <w:rPr>
                <w:rFonts w:eastAsia="Times New Roman"/>
                <w:color w:val="000000"/>
                <w:sz w:val="20"/>
                <w:szCs w:val="20"/>
              </w:rPr>
              <w:t>15.7 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955EED"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6F8C4DDF" w14:textId="77777777">
        <w:tc>
          <w:tcPr>
            <w:tcW w:w="50" w:type="pct"/>
            <w:vAlign w:val="center"/>
            <w:hideMark/>
          </w:tcPr>
          <w:p w14:paraId="358C5873" w14:textId="77777777" w:rsidR="00000000" w:rsidRDefault="00EE5306">
            <w:pPr>
              <w:rPr>
                <w:rFonts w:eastAsia="Times New Roman"/>
              </w:rPr>
            </w:pPr>
          </w:p>
        </w:tc>
        <w:tc>
          <w:tcPr>
            <w:tcW w:w="4945" w:type="pct"/>
            <w:vAlign w:val="center"/>
            <w:hideMark/>
          </w:tcPr>
          <w:p w14:paraId="6429FD35" w14:textId="77777777" w:rsidR="00000000" w:rsidRDefault="00EE5306">
            <w:pPr>
              <w:spacing w:after="100"/>
              <w:rPr>
                <w:rFonts w:eastAsia="Times New Roman"/>
                <w:sz w:val="20"/>
                <w:szCs w:val="20"/>
              </w:rPr>
            </w:pPr>
          </w:p>
        </w:tc>
        <w:tc>
          <w:tcPr>
            <w:tcW w:w="5" w:type="pct"/>
            <w:vAlign w:val="center"/>
            <w:hideMark/>
          </w:tcPr>
          <w:p w14:paraId="39E3B465" w14:textId="77777777" w:rsidR="00000000" w:rsidRDefault="00EE5306">
            <w:pPr>
              <w:spacing w:after="100"/>
              <w:rPr>
                <w:rFonts w:eastAsia="Times New Roman"/>
                <w:sz w:val="20"/>
                <w:szCs w:val="20"/>
              </w:rPr>
            </w:pPr>
          </w:p>
        </w:tc>
      </w:tr>
      <w:tr w:rsidR="00000000" w14:paraId="794BC0F4"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74945347" w14:textId="77777777" w:rsidR="00000000" w:rsidRDefault="00EE5306">
            <w:pPr>
              <w:spacing w:after="100"/>
              <w:rPr>
                <w:rFonts w:eastAsia="Times New Roman"/>
                <w:sz w:val="20"/>
                <w:szCs w:val="20"/>
              </w:rPr>
            </w:pPr>
          </w:p>
        </w:tc>
      </w:tr>
    </w:tbl>
    <w:p w14:paraId="6A363BB6" w14:textId="77777777" w:rsidR="00000000" w:rsidRDefault="00EE5306">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Amounts recorded to bad debt expense are included within SG&amp;A expenses in the consolidated statements of operations. </w:t>
      </w:r>
    </w:p>
    <w:p w14:paraId="3D9DA4B0" w14:textId="77777777" w:rsidR="00000000" w:rsidRDefault="00EE5306">
      <w:pPr>
        <w:ind w:firstLine="360"/>
        <w:jc w:val="both"/>
        <w:divId w:val="427890264"/>
        <w:rPr>
          <w:rFonts w:eastAsia="Times New Roman"/>
        </w:rPr>
      </w:pPr>
      <w:r>
        <w:rPr>
          <w:rFonts w:eastAsia="Times New Roman"/>
          <w:i/>
          <w:iCs/>
          <w:color w:val="000000"/>
          <w:sz w:val="20"/>
          <w:szCs w:val="20"/>
        </w:rPr>
        <w:t>Concentration of Credit Risk</w:t>
      </w:r>
    </w:p>
    <w:p w14:paraId="63C3B92B" w14:textId="77777777" w:rsidR="00000000" w:rsidRDefault="00EE5306">
      <w:pPr>
        <w:ind w:firstLine="540"/>
        <w:jc w:val="both"/>
        <w:divId w:val="1091047331"/>
        <w:rPr>
          <w:rFonts w:eastAsia="Times New Roman"/>
        </w:rPr>
      </w:pPr>
      <w:r>
        <w:rPr>
          <w:rFonts w:eastAsia="Times New Roman"/>
          <w:color w:val="000000"/>
          <w:sz w:val="20"/>
          <w:szCs w:val="20"/>
        </w:rPr>
        <w:t>The Company sells its wholesale merchandise primarily to major department stores, specialty stores, and third</w:t>
      </w:r>
      <w:r>
        <w:rPr>
          <w:rFonts w:eastAsia="Times New Roman"/>
          <w:color w:val="000000"/>
          <w:sz w:val="20"/>
          <w:szCs w:val="20"/>
        </w:rPr>
        <w:t>-party digital partners around the world, and extends credit based on an evaluation of each customer's financial capacity and condition, usually without requiring collateral. In the Company's wholesale business, concentration of credit risk is relatively l</w:t>
      </w:r>
      <w:r>
        <w:rPr>
          <w:rFonts w:eastAsia="Times New Roman"/>
          <w:color w:val="000000"/>
          <w:sz w:val="20"/>
          <w:szCs w:val="20"/>
        </w:rPr>
        <w:t>imited due to the large number of customers and their dispersion across many geographic areas. However, the Company has three key wholesale customers that generate significant sales volume. During Fiscal 2021, the Company's sales to its three largest whole</w:t>
      </w:r>
      <w:r>
        <w:rPr>
          <w:rFonts w:eastAsia="Times New Roman"/>
          <w:color w:val="000000"/>
          <w:sz w:val="20"/>
          <w:szCs w:val="20"/>
        </w:rPr>
        <w:t>sale customers accounted for approximately 14% of total net revenues. Substantially all of the Company's sales to its three largest wholesale customers related to its North America segment. As of March 27, 2021, these three key wholesale customers accounte</w:t>
      </w:r>
      <w:r>
        <w:rPr>
          <w:rFonts w:eastAsia="Times New Roman"/>
          <w:color w:val="000000"/>
          <w:sz w:val="20"/>
          <w:szCs w:val="20"/>
        </w:rPr>
        <w:t>d for approximately 30% of total gross accounts receivable.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8AB45D6" w14:textId="77777777">
        <w:trPr>
          <w:divId w:val="522862518"/>
          <w:jc w:val="center"/>
        </w:trPr>
        <w:tc>
          <w:tcPr>
            <w:tcW w:w="50" w:type="pct"/>
            <w:vAlign w:val="center"/>
            <w:hideMark/>
          </w:tcPr>
          <w:p w14:paraId="66A3A087" w14:textId="77777777" w:rsidR="00000000" w:rsidRDefault="00EE5306">
            <w:pPr>
              <w:ind w:firstLine="540"/>
              <w:jc w:val="both"/>
              <w:rPr>
                <w:rFonts w:eastAsia="Times New Roman"/>
              </w:rPr>
            </w:pPr>
          </w:p>
        </w:tc>
        <w:tc>
          <w:tcPr>
            <w:tcW w:w="1699" w:type="pct"/>
            <w:vAlign w:val="center"/>
            <w:hideMark/>
          </w:tcPr>
          <w:p w14:paraId="2E524930" w14:textId="77777777" w:rsidR="00000000" w:rsidRDefault="00EE5306">
            <w:pPr>
              <w:spacing w:after="100"/>
              <w:rPr>
                <w:rFonts w:eastAsia="Times New Roman"/>
                <w:sz w:val="20"/>
                <w:szCs w:val="20"/>
              </w:rPr>
            </w:pPr>
          </w:p>
        </w:tc>
        <w:tc>
          <w:tcPr>
            <w:tcW w:w="5" w:type="pct"/>
            <w:vAlign w:val="center"/>
            <w:hideMark/>
          </w:tcPr>
          <w:p w14:paraId="25CE90BA" w14:textId="77777777" w:rsidR="00000000" w:rsidRDefault="00EE5306">
            <w:pPr>
              <w:spacing w:after="100"/>
              <w:rPr>
                <w:rFonts w:eastAsia="Times New Roman"/>
                <w:sz w:val="20"/>
                <w:szCs w:val="20"/>
              </w:rPr>
            </w:pPr>
          </w:p>
        </w:tc>
        <w:tc>
          <w:tcPr>
            <w:tcW w:w="50" w:type="pct"/>
            <w:vAlign w:val="center"/>
            <w:hideMark/>
          </w:tcPr>
          <w:p w14:paraId="009304B1" w14:textId="77777777" w:rsidR="00000000" w:rsidRDefault="00EE5306">
            <w:pPr>
              <w:spacing w:after="100"/>
              <w:rPr>
                <w:rFonts w:eastAsia="Times New Roman"/>
                <w:sz w:val="20"/>
                <w:szCs w:val="20"/>
              </w:rPr>
            </w:pPr>
          </w:p>
        </w:tc>
        <w:tc>
          <w:tcPr>
            <w:tcW w:w="1436" w:type="pct"/>
            <w:vAlign w:val="center"/>
            <w:hideMark/>
          </w:tcPr>
          <w:p w14:paraId="2327BAF7" w14:textId="77777777" w:rsidR="00000000" w:rsidRDefault="00EE5306">
            <w:pPr>
              <w:spacing w:after="100"/>
              <w:rPr>
                <w:rFonts w:eastAsia="Times New Roman"/>
                <w:sz w:val="20"/>
                <w:szCs w:val="20"/>
              </w:rPr>
            </w:pPr>
          </w:p>
        </w:tc>
        <w:tc>
          <w:tcPr>
            <w:tcW w:w="5" w:type="pct"/>
            <w:vAlign w:val="center"/>
            <w:hideMark/>
          </w:tcPr>
          <w:p w14:paraId="463C6634" w14:textId="77777777" w:rsidR="00000000" w:rsidRDefault="00EE5306">
            <w:pPr>
              <w:spacing w:after="100"/>
              <w:rPr>
                <w:rFonts w:eastAsia="Times New Roman"/>
                <w:sz w:val="20"/>
                <w:szCs w:val="20"/>
              </w:rPr>
            </w:pPr>
          </w:p>
        </w:tc>
        <w:tc>
          <w:tcPr>
            <w:tcW w:w="50" w:type="pct"/>
            <w:vAlign w:val="center"/>
            <w:hideMark/>
          </w:tcPr>
          <w:p w14:paraId="1629C162" w14:textId="77777777" w:rsidR="00000000" w:rsidRDefault="00EE5306">
            <w:pPr>
              <w:spacing w:after="100"/>
              <w:rPr>
                <w:rFonts w:eastAsia="Times New Roman"/>
                <w:sz w:val="20"/>
                <w:szCs w:val="20"/>
              </w:rPr>
            </w:pPr>
          </w:p>
        </w:tc>
        <w:tc>
          <w:tcPr>
            <w:tcW w:w="1699" w:type="pct"/>
            <w:vAlign w:val="center"/>
            <w:hideMark/>
          </w:tcPr>
          <w:p w14:paraId="5AEC785C" w14:textId="77777777" w:rsidR="00000000" w:rsidRDefault="00EE5306">
            <w:pPr>
              <w:spacing w:after="100"/>
              <w:rPr>
                <w:rFonts w:eastAsia="Times New Roman"/>
                <w:sz w:val="20"/>
                <w:szCs w:val="20"/>
              </w:rPr>
            </w:pPr>
          </w:p>
        </w:tc>
        <w:tc>
          <w:tcPr>
            <w:tcW w:w="5" w:type="pct"/>
            <w:vAlign w:val="center"/>
            <w:hideMark/>
          </w:tcPr>
          <w:p w14:paraId="3CD23E42" w14:textId="77777777" w:rsidR="00000000" w:rsidRDefault="00EE5306">
            <w:pPr>
              <w:spacing w:after="100"/>
              <w:rPr>
                <w:rFonts w:eastAsia="Times New Roman"/>
                <w:sz w:val="20"/>
                <w:szCs w:val="20"/>
              </w:rPr>
            </w:pPr>
          </w:p>
        </w:tc>
      </w:tr>
      <w:tr w:rsidR="00000000" w14:paraId="2A067A4B" w14:textId="77777777">
        <w:trPr>
          <w:divId w:val="522862518"/>
          <w:jc w:val="center"/>
        </w:trPr>
        <w:tc>
          <w:tcPr>
            <w:tcW w:w="0" w:type="auto"/>
            <w:gridSpan w:val="3"/>
            <w:tcMar>
              <w:top w:w="0" w:type="dxa"/>
              <w:left w:w="20" w:type="dxa"/>
              <w:bottom w:w="0" w:type="dxa"/>
              <w:right w:w="20" w:type="dxa"/>
            </w:tcMar>
            <w:vAlign w:val="center"/>
            <w:hideMark/>
          </w:tcPr>
          <w:p w14:paraId="0DA3171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BA4405" w14:textId="77777777" w:rsidR="00000000" w:rsidRDefault="00EE5306">
            <w:pPr>
              <w:spacing w:after="100"/>
              <w:jc w:val="center"/>
              <w:rPr>
                <w:rFonts w:eastAsia="Times New Roman"/>
              </w:rPr>
            </w:pPr>
            <w:r>
              <w:rPr>
                <w:rFonts w:eastAsia="Times New Roman"/>
                <w:color w:val="000000"/>
                <w:sz w:val="20"/>
                <w:szCs w:val="20"/>
              </w:rPr>
              <w:t>F-15</w:t>
            </w:r>
          </w:p>
        </w:tc>
        <w:tc>
          <w:tcPr>
            <w:tcW w:w="0" w:type="auto"/>
            <w:gridSpan w:val="3"/>
            <w:tcMar>
              <w:top w:w="0" w:type="dxa"/>
              <w:left w:w="20" w:type="dxa"/>
              <w:bottom w:w="0" w:type="dxa"/>
              <w:right w:w="20" w:type="dxa"/>
            </w:tcMar>
            <w:vAlign w:val="center"/>
            <w:hideMark/>
          </w:tcPr>
          <w:p w14:paraId="38D04C28" w14:textId="77777777" w:rsidR="00000000" w:rsidRDefault="00EE5306">
            <w:pPr>
              <w:spacing w:after="100"/>
              <w:jc w:val="center"/>
              <w:rPr>
                <w:rFonts w:eastAsia="Times New Roman"/>
              </w:rPr>
            </w:pPr>
          </w:p>
        </w:tc>
      </w:tr>
    </w:tbl>
    <w:p w14:paraId="558E47F7" w14:textId="77777777" w:rsidR="00000000" w:rsidRDefault="00EE5306">
      <w:pPr>
        <w:rPr>
          <w:rFonts w:eastAsia="Times New Roman"/>
        </w:rPr>
      </w:pPr>
      <w:r>
        <w:rPr>
          <w:rFonts w:eastAsia="Times New Roman"/>
        </w:rPr>
        <w:pict w14:anchorId="3002C79E">
          <v:rect id="_x0000_i1125" style="width:0;height:1.5pt" o:hralign="center" o:hrstd="t" o:hr="t" fillcolor="#a0a0a0" stroked="f"/>
        </w:pict>
      </w:r>
    </w:p>
    <w:p w14:paraId="4E6BBBD3" w14:textId="77777777" w:rsidR="00000000" w:rsidRDefault="00EE5306">
      <w:pPr>
        <w:jc w:val="center"/>
        <w:divId w:val="340207341"/>
        <w:rPr>
          <w:rFonts w:eastAsia="Times New Roman"/>
        </w:rPr>
      </w:pPr>
    </w:p>
    <w:p w14:paraId="1611797A" w14:textId="77777777" w:rsidR="00000000" w:rsidRDefault="00EE5306">
      <w:pPr>
        <w:jc w:val="center"/>
        <w:divId w:val="340207341"/>
        <w:rPr>
          <w:rFonts w:eastAsia="Times New Roman"/>
        </w:rPr>
      </w:pPr>
      <w:r>
        <w:rPr>
          <w:rFonts w:eastAsia="Times New Roman"/>
          <w:b/>
          <w:bCs/>
          <w:color w:val="000000"/>
          <w:sz w:val="20"/>
          <w:szCs w:val="20"/>
        </w:rPr>
        <w:t>RALPH LAUREN CORPORATION</w:t>
      </w:r>
    </w:p>
    <w:p w14:paraId="376DFF68" w14:textId="77777777" w:rsidR="00000000" w:rsidRDefault="00EE5306">
      <w:pPr>
        <w:jc w:val="center"/>
        <w:divId w:val="807936540"/>
        <w:rPr>
          <w:rFonts w:eastAsia="Times New Roman"/>
        </w:rPr>
      </w:pPr>
      <w:r>
        <w:rPr>
          <w:rFonts w:eastAsia="Times New Roman"/>
          <w:b/>
          <w:bCs/>
          <w:color w:val="000000"/>
          <w:sz w:val="20"/>
          <w:szCs w:val="20"/>
        </w:rPr>
        <w:t>NOTES TO CONSOLIDATED FINANCIAL STATEMENTS (Continued)</w:t>
      </w:r>
    </w:p>
    <w:p w14:paraId="11EC1A91" w14:textId="77777777" w:rsidR="00000000" w:rsidRDefault="00EE5306">
      <w:pPr>
        <w:ind w:firstLine="360"/>
        <w:jc w:val="both"/>
        <w:divId w:val="1632856527"/>
        <w:rPr>
          <w:rFonts w:eastAsia="Times New Roman"/>
        </w:rPr>
      </w:pPr>
      <w:r>
        <w:rPr>
          <w:rFonts w:eastAsia="Times New Roman"/>
          <w:b/>
          <w:bCs/>
          <w:i/>
          <w:iCs/>
          <w:color w:val="000000"/>
          <w:sz w:val="20"/>
          <w:szCs w:val="20"/>
        </w:rPr>
        <w:t>Inventories</w:t>
      </w:r>
    </w:p>
    <w:p w14:paraId="29C3E1BA" w14:textId="77777777" w:rsidR="00000000" w:rsidRDefault="00EE5306">
      <w:pPr>
        <w:ind w:firstLine="540"/>
        <w:jc w:val="both"/>
        <w:divId w:val="1202789603"/>
        <w:rPr>
          <w:rFonts w:eastAsia="Times New Roman"/>
        </w:rPr>
      </w:pPr>
      <w:r>
        <w:rPr>
          <w:rFonts w:eastAsia="Times New Roman"/>
          <w:color w:val="000000"/>
          <w:sz w:val="20"/>
          <w:szCs w:val="20"/>
        </w:rPr>
        <w:t>The Company holds inventory that is sold in its retail stores and digital commerce sites directly to consumers. The Company al</w:t>
      </w:r>
      <w:r>
        <w:rPr>
          <w:rFonts w:eastAsia="Times New Roman"/>
          <w:color w:val="000000"/>
          <w:sz w:val="20"/>
          <w:szCs w:val="20"/>
        </w:rPr>
        <w:t xml:space="preserve">so holds inventory that is to be sold through wholesale distribution channels to major department stores, specialty stores, and third-party digital partners. Substantially all of the Company's inventories consist of finished goods, which are stated at the </w:t>
      </w:r>
      <w:r>
        <w:rPr>
          <w:rFonts w:eastAsia="Times New Roman"/>
          <w:color w:val="000000"/>
          <w:sz w:val="20"/>
          <w:szCs w:val="20"/>
        </w:rPr>
        <w:t>lower of cost or estimated realizable value, with cost determined on a weighted-average cost basis.</w:t>
      </w:r>
    </w:p>
    <w:p w14:paraId="5AB7671F" w14:textId="77777777" w:rsidR="00000000" w:rsidRDefault="00EE5306">
      <w:pPr>
        <w:ind w:firstLine="540"/>
        <w:jc w:val="both"/>
        <w:divId w:val="1142843635"/>
        <w:rPr>
          <w:rFonts w:eastAsia="Times New Roman"/>
        </w:rPr>
      </w:pPr>
      <w:r>
        <w:rPr>
          <w:rFonts w:eastAsia="Times New Roman"/>
          <w:color w:val="000000"/>
          <w:sz w:val="20"/>
          <w:szCs w:val="20"/>
        </w:rPr>
        <w:t>The estimated realizable value of inventory is determined based on an analysis of historical sales trends of the Company's individual product lines, the imp</w:t>
      </w:r>
      <w:r>
        <w:rPr>
          <w:rFonts w:eastAsia="Times New Roman"/>
          <w:color w:val="000000"/>
          <w:sz w:val="20"/>
          <w:szCs w:val="20"/>
        </w:rPr>
        <w:t>act of market trends and economic conditions (such as those resulting from pandemic diseases and other catastrophic events), and a forecast of future demand, giving consideration to the value of current in-house orders for future sales of inventory, as wel</w:t>
      </w:r>
      <w:r>
        <w:rPr>
          <w:rFonts w:eastAsia="Times New Roman"/>
          <w:color w:val="000000"/>
          <w:sz w:val="20"/>
          <w:szCs w:val="20"/>
        </w:rPr>
        <w:t>l as plans to sell inventory through the Company's factory stores, among other liquidation channels. Actual results may differ from estimates due to the quantity, quality, and mix of products in inventory, consumer and retailer preferences, and actual econ</w:t>
      </w:r>
      <w:r>
        <w:rPr>
          <w:rFonts w:eastAsia="Times New Roman"/>
          <w:color w:val="000000"/>
          <w:sz w:val="20"/>
          <w:szCs w:val="20"/>
        </w:rPr>
        <w:t>omic and market conditions. In addition, reserves for inventory shrinkage, representing the risk of physical loss of inventory, are estimated based on historical experience and are adjusted based upon physical inventory counts. The Company's historical est</w:t>
      </w:r>
      <w:r>
        <w:rPr>
          <w:rFonts w:eastAsia="Times New Roman"/>
          <w:color w:val="000000"/>
          <w:sz w:val="20"/>
          <w:szCs w:val="20"/>
        </w:rPr>
        <w:t>imates of the realizable value of its inventory and its reserves for inventory shrinkage have not differed materially from actual results. However, unforeseen adverse future economic and market conditions could result in the Company's actual results differ</w:t>
      </w:r>
      <w:r>
        <w:rPr>
          <w:rFonts w:eastAsia="Times New Roman"/>
          <w:color w:val="000000"/>
          <w:sz w:val="20"/>
          <w:szCs w:val="20"/>
        </w:rPr>
        <w:t xml:space="preserve">ing materially from its estimates. </w:t>
      </w:r>
    </w:p>
    <w:p w14:paraId="48FC0633" w14:textId="77777777" w:rsidR="00000000" w:rsidRDefault="00EE5306">
      <w:pPr>
        <w:ind w:firstLine="540"/>
        <w:jc w:val="both"/>
        <w:divId w:val="1495681093"/>
        <w:rPr>
          <w:rFonts w:eastAsia="Times New Roman"/>
        </w:rPr>
      </w:pPr>
      <w:r>
        <w:rPr>
          <w:rFonts w:eastAsia="Times New Roman"/>
          <w:color w:val="000000"/>
          <w:sz w:val="20"/>
          <w:szCs w:val="20"/>
        </w:rPr>
        <w:t>The Company's estimated realizable value of its inventory reflects adverse impacts associated with COVID-19 business disruptions, which include temporary closures of the Company's stores and those of its wholesale custom</w:t>
      </w:r>
      <w:r>
        <w:rPr>
          <w:rFonts w:eastAsia="Times New Roman"/>
          <w:color w:val="000000"/>
          <w:sz w:val="20"/>
          <w:szCs w:val="20"/>
        </w:rPr>
        <w:t>ers worldwide, as well as declines in retail traffic, tourism, and consumer spending on discretionary items.</w:t>
      </w:r>
    </w:p>
    <w:p w14:paraId="0786A8A0" w14:textId="77777777" w:rsidR="00000000" w:rsidRDefault="00EE5306">
      <w:pPr>
        <w:ind w:firstLine="360"/>
        <w:jc w:val="both"/>
        <w:divId w:val="211502540"/>
        <w:rPr>
          <w:rFonts w:eastAsia="Times New Roman"/>
        </w:rPr>
      </w:pPr>
      <w:r>
        <w:rPr>
          <w:rFonts w:eastAsia="Times New Roman"/>
          <w:b/>
          <w:bCs/>
          <w:i/>
          <w:iCs/>
          <w:color w:val="000000"/>
          <w:sz w:val="20"/>
          <w:szCs w:val="20"/>
        </w:rPr>
        <w:t>Implementation Costs Incurred in Cloud Computing Arrangements</w:t>
      </w:r>
    </w:p>
    <w:p w14:paraId="53FFAA49" w14:textId="77777777" w:rsidR="00000000" w:rsidRDefault="00EE5306">
      <w:pPr>
        <w:ind w:firstLine="540"/>
        <w:jc w:val="both"/>
        <w:divId w:val="1226991329"/>
        <w:rPr>
          <w:rFonts w:eastAsia="Times New Roman"/>
        </w:rPr>
      </w:pPr>
      <w:r>
        <w:rPr>
          <w:rFonts w:eastAsia="Times New Roman"/>
          <w:color w:val="000000"/>
          <w:sz w:val="20"/>
          <w:szCs w:val="20"/>
        </w:rPr>
        <w:t>For cloud computing arrangements that are a service contract, the Company capitalizes</w:t>
      </w:r>
      <w:r>
        <w:rPr>
          <w:rFonts w:eastAsia="Times New Roman"/>
          <w:color w:val="000000"/>
          <w:sz w:val="20"/>
          <w:szCs w:val="20"/>
        </w:rPr>
        <w:t xml:space="preserve"> certain implementation costs incurred (depending on their nature) during the application development stage of the related project, and expenses costs during the preliminary project and post-implementation stages as they are incurred. Capitalized implement</w:t>
      </w:r>
      <w:r>
        <w:rPr>
          <w:rFonts w:eastAsia="Times New Roman"/>
          <w:color w:val="000000"/>
          <w:sz w:val="20"/>
          <w:szCs w:val="20"/>
        </w:rPr>
        <w:t>ation costs are expensed on a straight-line basis over the reasonably certain term of the hosting arrangement, beginning when the module is ready for its intended use. The Company's cloud computing arrangements relate to various areas, including certain re</w:t>
      </w:r>
      <w:r>
        <w:rPr>
          <w:rFonts w:eastAsia="Times New Roman"/>
          <w:color w:val="000000"/>
          <w:sz w:val="20"/>
          <w:szCs w:val="20"/>
        </w:rPr>
        <w:t>tail store and digital commerce operations, and corporate and administrative functions. Capitalized amounts related to such arrangements are recorded within prepaid expenses and other current assets and within other non-current assets in the consolidated b</w:t>
      </w:r>
      <w:r>
        <w:rPr>
          <w:rFonts w:eastAsia="Times New Roman"/>
          <w:color w:val="000000"/>
          <w:sz w:val="20"/>
          <w:szCs w:val="20"/>
        </w:rPr>
        <w:t xml:space="preserve">alance sheets (see Note 7). Capitalized implementation costs expensed were $8.4 million and $4.3 million during Fiscal 2021 and Fiscal 2020, respectively, and were recorded in SG&amp;A expenses in the consolidated statements of operations. The Company did not </w:t>
      </w:r>
      <w:r>
        <w:rPr>
          <w:rFonts w:eastAsia="Times New Roman"/>
          <w:color w:val="000000"/>
          <w:sz w:val="20"/>
          <w:szCs w:val="20"/>
        </w:rPr>
        <w:t xml:space="preserve">incur any capitalized implementation costs during Fiscal 2019. </w:t>
      </w:r>
    </w:p>
    <w:p w14:paraId="12349A26" w14:textId="77777777" w:rsidR="00000000" w:rsidRDefault="00EE5306">
      <w:pPr>
        <w:ind w:firstLine="540"/>
        <w:jc w:val="both"/>
        <w:divId w:val="1833566451"/>
        <w:rPr>
          <w:rFonts w:eastAsia="Times New Roman"/>
        </w:rPr>
      </w:pPr>
      <w:r>
        <w:rPr>
          <w:rFonts w:eastAsia="Times New Roman"/>
          <w:color w:val="000000"/>
          <w:sz w:val="20"/>
          <w:szCs w:val="20"/>
        </w:rPr>
        <w:t>See Note 4 for discussion of the Company's adoption of a new accounting standard related to implementation costs incurred in connection with cloud computing arrangements that are a service con</w:t>
      </w:r>
      <w:r>
        <w:rPr>
          <w:rFonts w:eastAsia="Times New Roman"/>
          <w:color w:val="000000"/>
          <w:sz w:val="20"/>
          <w:szCs w:val="20"/>
        </w:rPr>
        <w:t>tract as of the beginning of Fiscal 2021.</w:t>
      </w:r>
    </w:p>
    <w:p w14:paraId="070A5F4D" w14:textId="77777777" w:rsidR="00000000" w:rsidRDefault="00EE5306">
      <w:pPr>
        <w:ind w:firstLine="360"/>
        <w:jc w:val="both"/>
        <w:divId w:val="7415713"/>
        <w:rPr>
          <w:rFonts w:eastAsia="Times New Roman"/>
        </w:rPr>
      </w:pPr>
      <w:r>
        <w:rPr>
          <w:rFonts w:eastAsia="Times New Roman"/>
          <w:b/>
          <w:bCs/>
          <w:i/>
          <w:iCs/>
          <w:color w:val="000000"/>
          <w:sz w:val="20"/>
          <w:szCs w:val="20"/>
        </w:rPr>
        <w:t>Property and Equipment, Net</w:t>
      </w:r>
    </w:p>
    <w:p w14:paraId="33F6C8FE" w14:textId="77777777" w:rsidR="00000000" w:rsidRDefault="00EE5306">
      <w:pPr>
        <w:ind w:firstLine="540"/>
        <w:jc w:val="both"/>
        <w:divId w:val="1723208864"/>
        <w:rPr>
          <w:rFonts w:eastAsia="Times New Roman"/>
        </w:rPr>
      </w:pPr>
      <w:r>
        <w:rPr>
          <w:rFonts w:eastAsia="Times New Roman"/>
          <w:color w:val="000000"/>
          <w:sz w:val="20"/>
          <w:szCs w:val="20"/>
        </w:rPr>
        <w:t>Property and equipment, net is stated at cost less accumulated depreciation. Depreciation is calculated on a straight-line basis, based upon the estimated useful lives of depreciable ass</w:t>
      </w:r>
      <w:r>
        <w:rPr>
          <w:rFonts w:eastAsia="Times New Roman"/>
          <w:color w:val="000000"/>
          <w:sz w:val="20"/>
          <w:szCs w:val="20"/>
        </w:rPr>
        <w:t>ets, which range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seven years for furniture and fixtures, machinery and equipment, and capitalized software; and from</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to forty years for buildings and improvements. Leasehold improvements are depreciated over the shorter of the estimated u</w:t>
      </w:r>
      <w:r>
        <w:rPr>
          <w:rFonts w:eastAsia="Times New Roman"/>
          <w:color w:val="000000"/>
          <w:sz w:val="20"/>
          <w:szCs w:val="20"/>
        </w:rPr>
        <w:t>seful lives of the respective assets or the term of the related lease.</w:t>
      </w:r>
    </w:p>
    <w:p w14:paraId="1D897EB5" w14:textId="77777777" w:rsidR="00000000" w:rsidRDefault="00EE5306">
      <w:pPr>
        <w:ind w:firstLine="540"/>
        <w:jc w:val="both"/>
        <w:divId w:val="1146319067"/>
        <w:rPr>
          <w:rFonts w:eastAsia="Times New Roman"/>
        </w:rPr>
      </w:pPr>
      <w:r>
        <w:rPr>
          <w:rFonts w:eastAsia="Times New Roman"/>
          <w:color w:val="000000"/>
          <w:sz w:val="20"/>
          <w:szCs w:val="20"/>
        </w:rPr>
        <w:t>Property and equipment, along with other long-lived assets, are evaluated for impairment periodically whenever events or changes in circumstances indicate that their related carrying va</w:t>
      </w:r>
      <w:r>
        <w:rPr>
          <w:rFonts w:eastAsia="Times New Roman"/>
          <w:color w:val="000000"/>
          <w:sz w:val="20"/>
          <w:szCs w:val="20"/>
        </w:rPr>
        <w:t>lues may not be fully recoverable (see Note 12). In evaluating long-lived assets for recoverability, including finite-lived intangibles as described below, the Company uses its best estimate of future cash flows expected to result from its use of the asset</w:t>
      </w:r>
      <w:r>
        <w:rPr>
          <w:rFonts w:eastAsia="Times New Roman"/>
          <w:color w:val="000000"/>
          <w:sz w:val="20"/>
          <w:szCs w:val="20"/>
        </w:rPr>
        <w:t xml:space="preserve"> and its eventual disposition, where applicable. If such estimated future undiscounted net cash flows attributable to the asset are less than its carrying value, an impairment loss is recognized to the extent that such asset's carrying value exceeds its fa</w:t>
      </w:r>
      <w:r>
        <w:rPr>
          <w:rFonts w:eastAsia="Times New Roman"/>
          <w:color w:val="000000"/>
          <w:sz w:val="20"/>
          <w:szCs w:val="20"/>
        </w:rPr>
        <w:t>ir value, as estimated considering external market participant assumptions and discounted cash flows. Assets to be disposed of and for which there is a committed plan of disposal (commonly referred to as assets held-for-sale) are reported at the lower of c</w:t>
      </w:r>
      <w:r>
        <w:rPr>
          <w:rFonts w:eastAsia="Times New Roman"/>
          <w:color w:val="000000"/>
          <w:sz w:val="20"/>
          <w:szCs w:val="20"/>
        </w:rPr>
        <w:t>arrying value or fair value, less costs to sell.</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9AA6A61" w14:textId="77777777">
        <w:trPr>
          <w:divId w:val="1833908346"/>
          <w:jc w:val="center"/>
        </w:trPr>
        <w:tc>
          <w:tcPr>
            <w:tcW w:w="50" w:type="pct"/>
            <w:vAlign w:val="center"/>
            <w:hideMark/>
          </w:tcPr>
          <w:p w14:paraId="3ECEB5B4" w14:textId="77777777" w:rsidR="00000000" w:rsidRDefault="00EE5306">
            <w:pPr>
              <w:ind w:firstLine="540"/>
              <w:jc w:val="both"/>
              <w:rPr>
                <w:rFonts w:eastAsia="Times New Roman"/>
              </w:rPr>
            </w:pPr>
          </w:p>
        </w:tc>
        <w:tc>
          <w:tcPr>
            <w:tcW w:w="1699" w:type="pct"/>
            <w:vAlign w:val="center"/>
            <w:hideMark/>
          </w:tcPr>
          <w:p w14:paraId="1B1D8CF7" w14:textId="77777777" w:rsidR="00000000" w:rsidRDefault="00EE5306">
            <w:pPr>
              <w:spacing w:after="100"/>
              <w:rPr>
                <w:rFonts w:eastAsia="Times New Roman"/>
                <w:sz w:val="20"/>
                <w:szCs w:val="20"/>
              </w:rPr>
            </w:pPr>
          </w:p>
        </w:tc>
        <w:tc>
          <w:tcPr>
            <w:tcW w:w="5" w:type="pct"/>
            <w:vAlign w:val="center"/>
            <w:hideMark/>
          </w:tcPr>
          <w:p w14:paraId="57B599A6" w14:textId="77777777" w:rsidR="00000000" w:rsidRDefault="00EE5306">
            <w:pPr>
              <w:spacing w:after="100"/>
              <w:rPr>
                <w:rFonts w:eastAsia="Times New Roman"/>
                <w:sz w:val="20"/>
                <w:szCs w:val="20"/>
              </w:rPr>
            </w:pPr>
          </w:p>
        </w:tc>
        <w:tc>
          <w:tcPr>
            <w:tcW w:w="50" w:type="pct"/>
            <w:vAlign w:val="center"/>
            <w:hideMark/>
          </w:tcPr>
          <w:p w14:paraId="6CD45ECD" w14:textId="77777777" w:rsidR="00000000" w:rsidRDefault="00EE5306">
            <w:pPr>
              <w:spacing w:after="100"/>
              <w:rPr>
                <w:rFonts w:eastAsia="Times New Roman"/>
                <w:sz w:val="20"/>
                <w:szCs w:val="20"/>
              </w:rPr>
            </w:pPr>
          </w:p>
        </w:tc>
        <w:tc>
          <w:tcPr>
            <w:tcW w:w="1436" w:type="pct"/>
            <w:vAlign w:val="center"/>
            <w:hideMark/>
          </w:tcPr>
          <w:p w14:paraId="2A45D516" w14:textId="77777777" w:rsidR="00000000" w:rsidRDefault="00EE5306">
            <w:pPr>
              <w:spacing w:after="100"/>
              <w:rPr>
                <w:rFonts w:eastAsia="Times New Roman"/>
                <w:sz w:val="20"/>
                <w:szCs w:val="20"/>
              </w:rPr>
            </w:pPr>
          </w:p>
        </w:tc>
        <w:tc>
          <w:tcPr>
            <w:tcW w:w="5" w:type="pct"/>
            <w:vAlign w:val="center"/>
            <w:hideMark/>
          </w:tcPr>
          <w:p w14:paraId="540C7526" w14:textId="77777777" w:rsidR="00000000" w:rsidRDefault="00EE5306">
            <w:pPr>
              <w:spacing w:after="100"/>
              <w:rPr>
                <w:rFonts w:eastAsia="Times New Roman"/>
                <w:sz w:val="20"/>
                <w:szCs w:val="20"/>
              </w:rPr>
            </w:pPr>
          </w:p>
        </w:tc>
        <w:tc>
          <w:tcPr>
            <w:tcW w:w="50" w:type="pct"/>
            <w:vAlign w:val="center"/>
            <w:hideMark/>
          </w:tcPr>
          <w:p w14:paraId="7CF70991" w14:textId="77777777" w:rsidR="00000000" w:rsidRDefault="00EE5306">
            <w:pPr>
              <w:spacing w:after="100"/>
              <w:rPr>
                <w:rFonts w:eastAsia="Times New Roman"/>
                <w:sz w:val="20"/>
                <w:szCs w:val="20"/>
              </w:rPr>
            </w:pPr>
          </w:p>
        </w:tc>
        <w:tc>
          <w:tcPr>
            <w:tcW w:w="1699" w:type="pct"/>
            <w:vAlign w:val="center"/>
            <w:hideMark/>
          </w:tcPr>
          <w:p w14:paraId="2C370CEB" w14:textId="77777777" w:rsidR="00000000" w:rsidRDefault="00EE5306">
            <w:pPr>
              <w:spacing w:after="100"/>
              <w:rPr>
                <w:rFonts w:eastAsia="Times New Roman"/>
                <w:sz w:val="20"/>
                <w:szCs w:val="20"/>
              </w:rPr>
            </w:pPr>
          </w:p>
        </w:tc>
        <w:tc>
          <w:tcPr>
            <w:tcW w:w="5" w:type="pct"/>
            <w:vAlign w:val="center"/>
            <w:hideMark/>
          </w:tcPr>
          <w:p w14:paraId="56F755FB" w14:textId="77777777" w:rsidR="00000000" w:rsidRDefault="00EE5306">
            <w:pPr>
              <w:spacing w:after="100"/>
              <w:rPr>
                <w:rFonts w:eastAsia="Times New Roman"/>
                <w:sz w:val="20"/>
                <w:szCs w:val="20"/>
              </w:rPr>
            </w:pPr>
          </w:p>
        </w:tc>
      </w:tr>
      <w:tr w:rsidR="00000000" w14:paraId="597EB300" w14:textId="77777777">
        <w:trPr>
          <w:divId w:val="1833908346"/>
          <w:jc w:val="center"/>
        </w:trPr>
        <w:tc>
          <w:tcPr>
            <w:tcW w:w="0" w:type="auto"/>
            <w:gridSpan w:val="3"/>
            <w:tcMar>
              <w:top w:w="0" w:type="dxa"/>
              <w:left w:w="20" w:type="dxa"/>
              <w:bottom w:w="0" w:type="dxa"/>
              <w:right w:w="20" w:type="dxa"/>
            </w:tcMar>
            <w:vAlign w:val="center"/>
            <w:hideMark/>
          </w:tcPr>
          <w:p w14:paraId="49BFF02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36D6ECC" w14:textId="77777777" w:rsidR="00000000" w:rsidRDefault="00EE5306">
            <w:pPr>
              <w:spacing w:after="100"/>
              <w:jc w:val="center"/>
              <w:rPr>
                <w:rFonts w:eastAsia="Times New Roman"/>
              </w:rPr>
            </w:pPr>
            <w:r>
              <w:rPr>
                <w:rFonts w:eastAsia="Times New Roman"/>
                <w:color w:val="000000"/>
                <w:sz w:val="20"/>
                <w:szCs w:val="20"/>
              </w:rPr>
              <w:t>F-16</w:t>
            </w:r>
          </w:p>
        </w:tc>
        <w:tc>
          <w:tcPr>
            <w:tcW w:w="0" w:type="auto"/>
            <w:gridSpan w:val="3"/>
            <w:tcMar>
              <w:top w:w="0" w:type="dxa"/>
              <w:left w:w="20" w:type="dxa"/>
              <w:bottom w:w="0" w:type="dxa"/>
              <w:right w:w="20" w:type="dxa"/>
            </w:tcMar>
            <w:vAlign w:val="center"/>
            <w:hideMark/>
          </w:tcPr>
          <w:p w14:paraId="78406564" w14:textId="77777777" w:rsidR="00000000" w:rsidRDefault="00EE5306">
            <w:pPr>
              <w:spacing w:after="100"/>
              <w:jc w:val="center"/>
              <w:rPr>
                <w:rFonts w:eastAsia="Times New Roman"/>
              </w:rPr>
            </w:pPr>
          </w:p>
        </w:tc>
      </w:tr>
    </w:tbl>
    <w:p w14:paraId="6CA5E2A3" w14:textId="77777777" w:rsidR="00000000" w:rsidRDefault="00EE5306">
      <w:pPr>
        <w:rPr>
          <w:rFonts w:eastAsia="Times New Roman"/>
        </w:rPr>
      </w:pPr>
      <w:r>
        <w:rPr>
          <w:rFonts w:eastAsia="Times New Roman"/>
        </w:rPr>
        <w:pict w14:anchorId="75B0C785">
          <v:rect id="_x0000_i1126" style="width:0;height:1.5pt" o:hralign="center" o:hrstd="t" o:hr="t" fillcolor="#a0a0a0" stroked="f"/>
        </w:pict>
      </w:r>
    </w:p>
    <w:p w14:paraId="32F466AD" w14:textId="77777777" w:rsidR="00000000" w:rsidRDefault="00EE5306">
      <w:pPr>
        <w:jc w:val="center"/>
        <w:divId w:val="2105105187"/>
        <w:rPr>
          <w:rFonts w:eastAsia="Times New Roman"/>
        </w:rPr>
      </w:pPr>
    </w:p>
    <w:p w14:paraId="6513BE35" w14:textId="77777777" w:rsidR="00000000" w:rsidRDefault="00EE5306">
      <w:pPr>
        <w:jc w:val="center"/>
        <w:divId w:val="2105105187"/>
        <w:rPr>
          <w:rFonts w:eastAsia="Times New Roman"/>
        </w:rPr>
      </w:pPr>
      <w:r>
        <w:rPr>
          <w:rFonts w:eastAsia="Times New Roman"/>
          <w:b/>
          <w:bCs/>
          <w:color w:val="000000"/>
          <w:sz w:val="20"/>
          <w:szCs w:val="20"/>
        </w:rPr>
        <w:t>RALPH LAUREN CORPORATION</w:t>
      </w:r>
    </w:p>
    <w:p w14:paraId="4174DC68" w14:textId="77777777" w:rsidR="00000000" w:rsidRDefault="00EE5306">
      <w:pPr>
        <w:jc w:val="center"/>
        <w:divId w:val="1026098233"/>
        <w:rPr>
          <w:rFonts w:eastAsia="Times New Roman"/>
        </w:rPr>
      </w:pPr>
      <w:r>
        <w:rPr>
          <w:rFonts w:eastAsia="Times New Roman"/>
          <w:b/>
          <w:bCs/>
          <w:color w:val="000000"/>
          <w:sz w:val="20"/>
          <w:szCs w:val="20"/>
        </w:rPr>
        <w:t>NOTES TO CONSOLIDATED FINANCIAL STATEMENTS (Continued)</w:t>
      </w:r>
    </w:p>
    <w:p w14:paraId="3B3863DD" w14:textId="77777777" w:rsidR="00000000" w:rsidRDefault="00EE5306">
      <w:pPr>
        <w:ind w:firstLine="360"/>
        <w:jc w:val="both"/>
        <w:divId w:val="2017998796"/>
        <w:rPr>
          <w:rFonts w:eastAsia="Times New Roman"/>
        </w:rPr>
      </w:pPr>
      <w:r>
        <w:rPr>
          <w:rFonts w:eastAsia="Times New Roman"/>
          <w:b/>
          <w:bCs/>
          <w:i/>
          <w:iCs/>
          <w:color w:val="000000"/>
          <w:sz w:val="20"/>
          <w:szCs w:val="20"/>
        </w:rPr>
        <w:t>Leases</w:t>
      </w:r>
    </w:p>
    <w:p w14:paraId="7D5BE634" w14:textId="77777777" w:rsidR="00000000" w:rsidRDefault="00EE5306">
      <w:pPr>
        <w:ind w:firstLine="540"/>
        <w:jc w:val="both"/>
        <w:divId w:val="881937409"/>
        <w:rPr>
          <w:rFonts w:eastAsia="Times New Roman"/>
        </w:rPr>
      </w:pPr>
      <w:r>
        <w:rPr>
          <w:rFonts w:eastAsia="Times New Roman"/>
          <w:color w:val="000000"/>
          <w:sz w:val="20"/>
          <w:szCs w:val="20"/>
        </w:rPr>
        <w:t xml:space="preserve">The Company's lease arrangements primarily relate to real estate, including its retail stores, concession-based shop-within-shops, </w:t>
      </w:r>
      <w:r>
        <w:rPr>
          <w:rFonts w:eastAsia="Times New Roman"/>
          <w:color w:val="000000"/>
          <w:sz w:val="20"/>
          <w:szCs w:val="20"/>
        </w:rPr>
        <w:t>corporate offices, and warehouse facilities and, to a lesser extent, certain equipment and other assets. The Company's leases generally have initial terms ranging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fifteen years and may include renewal or early-termination options, rent escala</w:t>
      </w:r>
      <w:r>
        <w:rPr>
          <w:rFonts w:eastAsia="Times New Roman"/>
          <w:color w:val="000000"/>
          <w:sz w:val="20"/>
          <w:szCs w:val="20"/>
        </w:rPr>
        <w:t>tion clauses, and/or lease incentives in the form of construction allowances and rent abatements. The Company is typically required to make fixed minimum rent payments, variable rent payments based on performance (e.g., percentage-of-sales-based payments),</w:t>
      </w:r>
      <w:r>
        <w:rPr>
          <w:rFonts w:eastAsia="Times New Roman"/>
          <w:color w:val="000000"/>
          <w:sz w:val="20"/>
          <w:szCs w:val="20"/>
        </w:rPr>
        <w:t xml:space="preserve"> or a combination thereof, relating to its right to use an underlying leased asset. The Company is also often required to pay for certain other costs that do not relate specifically to its right to use an underlying leased asset, but that are associated wi</w:t>
      </w:r>
      <w:r>
        <w:rPr>
          <w:rFonts w:eastAsia="Times New Roman"/>
          <w:color w:val="000000"/>
          <w:sz w:val="20"/>
          <w:szCs w:val="20"/>
        </w:rPr>
        <w:t>th the asset, including real estate taxes, insurance, common area maintenance fees, and/or certain other costs (referred to collectively herein as "non-lease components"), which may be fixed or variable in amount, depending on the terms of the respective l</w:t>
      </w:r>
      <w:r>
        <w:rPr>
          <w:rFonts w:eastAsia="Times New Roman"/>
          <w:color w:val="000000"/>
          <w:sz w:val="20"/>
          <w:szCs w:val="20"/>
        </w:rPr>
        <w:t>ease agreement. The Company's leases do not contain significantly restrictive covenants or residual value guarantees.</w:t>
      </w:r>
    </w:p>
    <w:p w14:paraId="499B5FB0" w14:textId="77777777" w:rsidR="00000000" w:rsidRDefault="00EE5306">
      <w:pPr>
        <w:ind w:firstLine="540"/>
        <w:jc w:val="both"/>
        <w:divId w:val="1907907870"/>
        <w:rPr>
          <w:rFonts w:eastAsia="Times New Roman"/>
        </w:rPr>
      </w:pPr>
      <w:r>
        <w:rPr>
          <w:rFonts w:eastAsia="Times New Roman"/>
          <w:color w:val="000000"/>
          <w:sz w:val="20"/>
          <w:szCs w:val="20"/>
        </w:rPr>
        <w:t>The Company determines whether an arrangement contains a lease at the arrangement's inception. If a lease is determined to exist, its related term is assessed at the lease commencement date, once the underlying asset is made available by the lessor for the</w:t>
      </w:r>
      <w:r>
        <w:rPr>
          <w:rFonts w:eastAsia="Times New Roman"/>
          <w:color w:val="000000"/>
          <w:sz w:val="20"/>
          <w:szCs w:val="20"/>
        </w:rPr>
        <w:t xml:space="preserve"> Company's use. The Company's assessment of the lease term reflects the non-cancellable period of the lease, inclusive of any rent-free periods, plus any periods covered by early-termination options for which the Company is not considered reasonably certai</w:t>
      </w:r>
      <w:r>
        <w:rPr>
          <w:rFonts w:eastAsia="Times New Roman"/>
          <w:color w:val="000000"/>
          <w:sz w:val="20"/>
          <w:szCs w:val="20"/>
        </w:rPr>
        <w:t xml:space="preserve">n of exercising, as well as periods covered by renewal options for which it is considered reasonably certain of exercising. The Company also determines lease classification as either </w:t>
      </w:r>
      <w:r>
        <w:rPr>
          <w:rFonts w:eastAsia="Times New Roman"/>
          <w:i/>
          <w:iCs/>
          <w:color w:val="000000"/>
          <w:sz w:val="20"/>
          <w:szCs w:val="20"/>
        </w:rPr>
        <w:t>operating</w:t>
      </w:r>
      <w:r>
        <w:rPr>
          <w:rFonts w:eastAsia="Times New Roman"/>
          <w:color w:val="000000"/>
          <w:sz w:val="20"/>
          <w:szCs w:val="20"/>
        </w:rPr>
        <w:t xml:space="preserve"> or </w:t>
      </w:r>
      <w:r>
        <w:rPr>
          <w:rFonts w:eastAsia="Times New Roman"/>
          <w:i/>
          <w:iCs/>
          <w:color w:val="000000"/>
          <w:sz w:val="20"/>
          <w:szCs w:val="20"/>
        </w:rPr>
        <w:t>finance</w:t>
      </w:r>
      <w:r>
        <w:rPr>
          <w:rFonts w:eastAsia="Times New Roman"/>
          <w:color w:val="000000"/>
          <w:sz w:val="20"/>
          <w:szCs w:val="20"/>
        </w:rPr>
        <w:t xml:space="preserve"> at lease commencement, which governs the pattern of </w:t>
      </w:r>
      <w:r>
        <w:rPr>
          <w:rFonts w:eastAsia="Times New Roman"/>
          <w:color w:val="000000"/>
          <w:sz w:val="20"/>
          <w:szCs w:val="20"/>
        </w:rPr>
        <w:t>expense recognition and the presentation thereof in the consolidated statements of operations over the lease term.</w:t>
      </w:r>
    </w:p>
    <w:p w14:paraId="68B2B415" w14:textId="77777777" w:rsidR="00000000" w:rsidRDefault="00EE5306">
      <w:pPr>
        <w:ind w:firstLine="540"/>
        <w:jc w:val="both"/>
        <w:divId w:val="2045858889"/>
        <w:rPr>
          <w:rFonts w:eastAsia="Times New Roman"/>
        </w:rPr>
      </w:pPr>
      <w:r>
        <w:rPr>
          <w:rFonts w:eastAsia="Times New Roman"/>
          <w:color w:val="000000"/>
          <w:sz w:val="20"/>
          <w:szCs w:val="20"/>
        </w:rPr>
        <w:t>For leases with a lease term exceeding 12 months, a liability is recorded on the Company's consolidated balance sheet at the lease commenceme</w:t>
      </w:r>
      <w:r>
        <w:rPr>
          <w:rFonts w:eastAsia="Times New Roman"/>
          <w:color w:val="000000"/>
          <w:sz w:val="20"/>
          <w:szCs w:val="20"/>
        </w:rPr>
        <w:t>nt date reflecting the present value of its related fixed payment obligations over such term. A corresponding right-of-use ("ROU") asset equal to the initial lease liability is also recorded, increased by any prepaid rent and/or initial direct costs incurr</w:t>
      </w:r>
      <w:r>
        <w:rPr>
          <w:rFonts w:eastAsia="Times New Roman"/>
          <w:color w:val="000000"/>
          <w:sz w:val="20"/>
          <w:szCs w:val="20"/>
        </w:rPr>
        <w:t>ed in connection with execution of the lease, and reduced by any incentives provided by the lessor. The Company also includes fixed payment obligations related to non-lease components in the measurement of its ROU assets and lease liabilities, given its el</w:t>
      </w:r>
      <w:r>
        <w:rPr>
          <w:rFonts w:eastAsia="Times New Roman"/>
          <w:color w:val="000000"/>
          <w:sz w:val="20"/>
          <w:szCs w:val="20"/>
        </w:rPr>
        <w:t>ection to account for lease and non-lease components together as a single lease component. Variable lease payments are not included in the measurement of ROU assets and lease liabilities. ROU assets associated with finance leases are presented separately f</w:t>
      </w:r>
      <w:r>
        <w:rPr>
          <w:rFonts w:eastAsia="Times New Roman"/>
          <w:color w:val="000000"/>
          <w:sz w:val="20"/>
          <w:szCs w:val="20"/>
        </w:rPr>
        <w:t>rom those associated with operating leases, and are included within property and equipment, net on the Company's consolidated balance sheet. For purposes of measuring the present value of its fixed payment obligations for a given lease, the Company uses it</w:t>
      </w:r>
      <w:r>
        <w:rPr>
          <w:rFonts w:eastAsia="Times New Roman"/>
          <w:color w:val="000000"/>
          <w:sz w:val="20"/>
          <w:szCs w:val="20"/>
        </w:rPr>
        <w:t>s incremental borrowing rate, determined based on information available at lease commencement, given that rates implicit in its leasing arrangements are not readily determinable. The Company's incremental borrowing rate reflects the rate it would pay to bo</w:t>
      </w:r>
      <w:r>
        <w:rPr>
          <w:rFonts w:eastAsia="Times New Roman"/>
          <w:color w:val="000000"/>
          <w:sz w:val="20"/>
          <w:szCs w:val="20"/>
        </w:rPr>
        <w:t>rrow on a secured basis an amount equal to the lease payments and incorporates the term and economic environment of the lease.</w:t>
      </w:r>
    </w:p>
    <w:p w14:paraId="2AB37EF8" w14:textId="77777777" w:rsidR="00000000" w:rsidRDefault="00EE5306">
      <w:pPr>
        <w:ind w:firstLine="540"/>
        <w:jc w:val="both"/>
        <w:divId w:val="45029791"/>
        <w:rPr>
          <w:rFonts w:eastAsia="Times New Roman"/>
        </w:rPr>
      </w:pPr>
      <w:r>
        <w:rPr>
          <w:rFonts w:eastAsia="Times New Roman"/>
          <w:color w:val="000000"/>
          <w:sz w:val="20"/>
          <w:szCs w:val="20"/>
        </w:rPr>
        <w:t>For operating leases, fixed lease payments are recognized as operating lease cost on a straight-line basis over the lease term. F</w:t>
      </w:r>
      <w:r>
        <w:rPr>
          <w:rFonts w:eastAsia="Times New Roman"/>
          <w:color w:val="000000"/>
          <w:sz w:val="20"/>
          <w:szCs w:val="20"/>
        </w:rPr>
        <w:t>or finance leases, the initial ROU asset is depreciated on a straight-line basis over the lease term, along with recognition of interest expense associated with accretion of the remaining lease liability, which is ultimately reduced by the related fixed pa</w:t>
      </w:r>
      <w:r>
        <w:rPr>
          <w:rFonts w:eastAsia="Times New Roman"/>
          <w:color w:val="000000"/>
          <w:sz w:val="20"/>
          <w:szCs w:val="20"/>
        </w:rPr>
        <w:t xml:space="preserve">yments as they are made. For leases with a lease term of 12 months or less (referred to as a "short-term lease"), any fixed lease payments are recognized on a straight-line basis over such term and are not recognized on the consolidated balance sheet. For </w:t>
      </w:r>
      <w:r>
        <w:rPr>
          <w:rFonts w:eastAsia="Times New Roman"/>
          <w:color w:val="000000"/>
          <w:sz w:val="20"/>
          <w:szCs w:val="20"/>
        </w:rPr>
        <w:t>all leases, variable lease cost, if any, is recognized as incurred.</w:t>
      </w:r>
    </w:p>
    <w:p w14:paraId="431AB4CE" w14:textId="77777777" w:rsidR="00000000" w:rsidRDefault="00EE5306">
      <w:pPr>
        <w:ind w:firstLine="540"/>
        <w:jc w:val="both"/>
        <w:divId w:val="2003315185"/>
        <w:rPr>
          <w:rFonts w:eastAsia="Times New Roman"/>
        </w:rPr>
      </w:pPr>
      <w:r>
        <w:rPr>
          <w:rFonts w:eastAsia="Times New Roman"/>
          <w:color w:val="000000"/>
          <w:sz w:val="20"/>
          <w:szCs w:val="20"/>
        </w:rPr>
        <w:t>ROU assets, along with any related long-lived assets, are periodically evaluated for impairment whenever events or circumstances indicate that their carrying values may not be fully recove</w:t>
      </w:r>
      <w:r>
        <w:rPr>
          <w:rFonts w:eastAsia="Times New Roman"/>
          <w:color w:val="000000"/>
          <w:sz w:val="20"/>
          <w:szCs w:val="20"/>
        </w:rPr>
        <w:t>rable (see Note 12). To the extent that such assets are ultimately determined to be impaired, they are written down accordingly on a relative carrying amount basis, with the ROU asset written down to an amount no lower than its estimated fair value. Subseq</w:t>
      </w:r>
      <w:r>
        <w:rPr>
          <w:rFonts w:eastAsia="Times New Roman"/>
          <w:color w:val="000000"/>
          <w:sz w:val="20"/>
          <w:szCs w:val="20"/>
        </w:rPr>
        <w:t>uent to the recognition of any such impairment, total remaining lease cost is recognized on a front-loaded basis over the remaining lease term.</w:t>
      </w:r>
    </w:p>
    <w:p w14:paraId="72970BF7" w14:textId="77777777" w:rsidR="00000000" w:rsidRDefault="00EE5306">
      <w:pPr>
        <w:ind w:firstLine="540"/>
        <w:jc w:val="both"/>
        <w:divId w:val="444813871"/>
        <w:rPr>
          <w:rFonts w:eastAsia="Times New Roman"/>
        </w:rPr>
      </w:pPr>
      <w:r>
        <w:rPr>
          <w:rFonts w:eastAsia="Times New Roman"/>
          <w:color w:val="000000"/>
          <w:sz w:val="20"/>
          <w:szCs w:val="20"/>
        </w:rPr>
        <w:t>See Note 14 for further discussion of the Company's leases.</w:t>
      </w:r>
    </w:p>
    <w:p w14:paraId="27B2E75C" w14:textId="77777777" w:rsidR="00000000" w:rsidRDefault="00EE5306">
      <w:pPr>
        <w:ind w:firstLine="360"/>
        <w:jc w:val="both"/>
        <w:divId w:val="2058704601"/>
        <w:rPr>
          <w:rFonts w:eastAsia="Times New Roman"/>
        </w:rPr>
      </w:pPr>
      <w:r>
        <w:rPr>
          <w:rFonts w:eastAsia="Times New Roman"/>
          <w:b/>
          <w:bCs/>
          <w:i/>
          <w:iCs/>
          <w:color w:val="000000"/>
          <w:sz w:val="20"/>
          <w:szCs w:val="20"/>
        </w:rPr>
        <w:t>Goodwill and Other Intangible Assets</w:t>
      </w:r>
    </w:p>
    <w:p w14:paraId="15628C2A" w14:textId="77777777" w:rsidR="00000000" w:rsidRDefault="00EE5306">
      <w:pPr>
        <w:ind w:firstLine="540"/>
        <w:jc w:val="both"/>
        <w:divId w:val="1774741291"/>
        <w:rPr>
          <w:rFonts w:eastAsia="Times New Roman"/>
        </w:rPr>
      </w:pPr>
      <w:r>
        <w:rPr>
          <w:rFonts w:eastAsia="Times New Roman"/>
          <w:color w:val="000000"/>
          <w:sz w:val="20"/>
          <w:szCs w:val="20"/>
        </w:rPr>
        <w:t>At acquisition,</w:t>
      </w:r>
      <w:r>
        <w:rPr>
          <w:rFonts w:eastAsia="Times New Roman"/>
          <w:color w:val="000000"/>
          <w:sz w:val="20"/>
          <w:szCs w:val="20"/>
        </w:rPr>
        <w:t xml:space="preserve"> the Company estimates and records the fair value of purchased intangible assets, which typically consist of reacquired license agreements, customer relationships, non-compete agreements, and/or order backlog. The fair values of these intangible assets are</w:t>
      </w:r>
      <w:r>
        <w:rPr>
          <w:rFonts w:eastAsia="Times New Roman"/>
          <w:color w:val="000000"/>
          <w:sz w:val="20"/>
          <w:szCs w:val="20"/>
        </w:rPr>
        <w:t xml:space="preserve"> estimated based on management's assessment, considering independent third-party appraisals when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1AA58C7" w14:textId="77777777">
        <w:trPr>
          <w:divId w:val="1217014546"/>
          <w:jc w:val="center"/>
        </w:trPr>
        <w:tc>
          <w:tcPr>
            <w:tcW w:w="50" w:type="pct"/>
            <w:vAlign w:val="center"/>
            <w:hideMark/>
          </w:tcPr>
          <w:p w14:paraId="00A7F5A3" w14:textId="77777777" w:rsidR="00000000" w:rsidRDefault="00EE5306">
            <w:pPr>
              <w:ind w:firstLine="540"/>
              <w:jc w:val="both"/>
              <w:rPr>
                <w:rFonts w:eastAsia="Times New Roman"/>
              </w:rPr>
            </w:pPr>
          </w:p>
        </w:tc>
        <w:tc>
          <w:tcPr>
            <w:tcW w:w="1699" w:type="pct"/>
            <w:vAlign w:val="center"/>
            <w:hideMark/>
          </w:tcPr>
          <w:p w14:paraId="4687218A" w14:textId="77777777" w:rsidR="00000000" w:rsidRDefault="00EE5306">
            <w:pPr>
              <w:spacing w:after="100"/>
              <w:rPr>
                <w:rFonts w:eastAsia="Times New Roman"/>
                <w:sz w:val="20"/>
                <w:szCs w:val="20"/>
              </w:rPr>
            </w:pPr>
          </w:p>
        </w:tc>
        <w:tc>
          <w:tcPr>
            <w:tcW w:w="5" w:type="pct"/>
            <w:vAlign w:val="center"/>
            <w:hideMark/>
          </w:tcPr>
          <w:p w14:paraId="491E953B" w14:textId="77777777" w:rsidR="00000000" w:rsidRDefault="00EE5306">
            <w:pPr>
              <w:spacing w:after="100"/>
              <w:rPr>
                <w:rFonts w:eastAsia="Times New Roman"/>
                <w:sz w:val="20"/>
                <w:szCs w:val="20"/>
              </w:rPr>
            </w:pPr>
          </w:p>
        </w:tc>
        <w:tc>
          <w:tcPr>
            <w:tcW w:w="50" w:type="pct"/>
            <w:vAlign w:val="center"/>
            <w:hideMark/>
          </w:tcPr>
          <w:p w14:paraId="354FE588" w14:textId="77777777" w:rsidR="00000000" w:rsidRDefault="00EE5306">
            <w:pPr>
              <w:spacing w:after="100"/>
              <w:rPr>
                <w:rFonts w:eastAsia="Times New Roman"/>
                <w:sz w:val="20"/>
                <w:szCs w:val="20"/>
              </w:rPr>
            </w:pPr>
          </w:p>
        </w:tc>
        <w:tc>
          <w:tcPr>
            <w:tcW w:w="1436" w:type="pct"/>
            <w:vAlign w:val="center"/>
            <w:hideMark/>
          </w:tcPr>
          <w:p w14:paraId="552557DD" w14:textId="77777777" w:rsidR="00000000" w:rsidRDefault="00EE5306">
            <w:pPr>
              <w:spacing w:after="100"/>
              <w:rPr>
                <w:rFonts w:eastAsia="Times New Roman"/>
                <w:sz w:val="20"/>
                <w:szCs w:val="20"/>
              </w:rPr>
            </w:pPr>
          </w:p>
        </w:tc>
        <w:tc>
          <w:tcPr>
            <w:tcW w:w="5" w:type="pct"/>
            <w:vAlign w:val="center"/>
            <w:hideMark/>
          </w:tcPr>
          <w:p w14:paraId="14A8A1BD" w14:textId="77777777" w:rsidR="00000000" w:rsidRDefault="00EE5306">
            <w:pPr>
              <w:spacing w:after="100"/>
              <w:rPr>
                <w:rFonts w:eastAsia="Times New Roman"/>
                <w:sz w:val="20"/>
                <w:szCs w:val="20"/>
              </w:rPr>
            </w:pPr>
          </w:p>
        </w:tc>
        <w:tc>
          <w:tcPr>
            <w:tcW w:w="50" w:type="pct"/>
            <w:vAlign w:val="center"/>
            <w:hideMark/>
          </w:tcPr>
          <w:p w14:paraId="24518B15" w14:textId="77777777" w:rsidR="00000000" w:rsidRDefault="00EE5306">
            <w:pPr>
              <w:spacing w:after="100"/>
              <w:rPr>
                <w:rFonts w:eastAsia="Times New Roman"/>
                <w:sz w:val="20"/>
                <w:szCs w:val="20"/>
              </w:rPr>
            </w:pPr>
          </w:p>
        </w:tc>
        <w:tc>
          <w:tcPr>
            <w:tcW w:w="1699" w:type="pct"/>
            <w:vAlign w:val="center"/>
            <w:hideMark/>
          </w:tcPr>
          <w:p w14:paraId="675159AD" w14:textId="77777777" w:rsidR="00000000" w:rsidRDefault="00EE5306">
            <w:pPr>
              <w:spacing w:after="100"/>
              <w:rPr>
                <w:rFonts w:eastAsia="Times New Roman"/>
                <w:sz w:val="20"/>
                <w:szCs w:val="20"/>
              </w:rPr>
            </w:pPr>
          </w:p>
        </w:tc>
        <w:tc>
          <w:tcPr>
            <w:tcW w:w="5" w:type="pct"/>
            <w:vAlign w:val="center"/>
            <w:hideMark/>
          </w:tcPr>
          <w:p w14:paraId="36EA32C4" w14:textId="77777777" w:rsidR="00000000" w:rsidRDefault="00EE5306">
            <w:pPr>
              <w:spacing w:after="100"/>
              <w:rPr>
                <w:rFonts w:eastAsia="Times New Roman"/>
                <w:sz w:val="20"/>
                <w:szCs w:val="20"/>
              </w:rPr>
            </w:pPr>
          </w:p>
        </w:tc>
      </w:tr>
      <w:tr w:rsidR="00000000" w14:paraId="3D155620" w14:textId="77777777">
        <w:trPr>
          <w:divId w:val="1217014546"/>
          <w:jc w:val="center"/>
        </w:trPr>
        <w:tc>
          <w:tcPr>
            <w:tcW w:w="0" w:type="auto"/>
            <w:gridSpan w:val="3"/>
            <w:tcMar>
              <w:top w:w="0" w:type="dxa"/>
              <w:left w:w="20" w:type="dxa"/>
              <w:bottom w:w="0" w:type="dxa"/>
              <w:right w:w="20" w:type="dxa"/>
            </w:tcMar>
            <w:vAlign w:val="center"/>
            <w:hideMark/>
          </w:tcPr>
          <w:p w14:paraId="0F1CA06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41C47D" w14:textId="77777777" w:rsidR="00000000" w:rsidRDefault="00EE5306">
            <w:pPr>
              <w:spacing w:after="100"/>
              <w:jc w:val="center"/>
              <w:rPr>
                <w:rFonts w:eastAsia="Times New Roman"/>
              </w:rPr>
            </w:pPr>
            <w:r>
              <w:rPr>
                <w:rFonts w:eastAsia="Times New Roman"/>
                <w:color w:val="000000"/>
                <w:sz w:val="20"/>
                <w:szCs w:val="20"/>
              </w:rPr>
              <w:t>F-17</w:t>
            </w:r>
          </w:p>
        </w:tc>
        <w:tc>
          <w:tcPr>
            <w:tcW w:w="0" w:type="auto"/>
            <w:gridSpan w:val="3"/>
            <w:tcMar>
              <w:top w:w="0" w:type="dxa"/>
              <w:left w:w="20" w:type="dxa"/>
              <w:bottom w:w="0" w:type="dxa"/>
              <w:right w:w="20" w:type="dxa"/>
            </w:tcMar>
            <w:vAlign w:val="center"/>
            <w:hideMark/>
          </w:tcPr>
          <w:p w14:paraId="6E1BD709" w14:textId="77777777" w:rsidR="00000000" w:rsidRDefault="00EE5306">
            <w:pPr>
              <w:spacing w:after="100"/>
              <w:jc w:val="center"/>
              <w:rPr>
                <w:rFonts w:eastAsia="Times New Roman"/>
              </w:rPr>
            </w:pPr>
          </w:p>
        </w:tc>
      </w:tr>
    </w:tbl>
    <w:p w14:paraId="7695EC27" w14:textId="77777777" w:rsidR="00000000" w:rsidRDefault="00EE5306">
      <w:pPr>
        <w:rPr>
          <w:rFonts w:eastAsia="Times New Roman"/>
        </w:rPr>
      </w:pPr>
      <w:r>
        <w:rPr>
          <w:rFonts w:eastAsia="Times New Roman"/>
        </w:rPr>
        <w:pict w14:anchorId="19E33254">
          <v:rect id="_x0000_i1127" style="width:0;height:1.5pt" o:hralign="center" o:hrstd="t" o:hr="t" fillcolor="#a0a0a0" stroked="f"/>
        </w:pict>
      </w:r>
    </w:p>
    <w:p w14:paraId="70918EE6" w14:textId="77777777" w:rsidR="00000000" w:rsidRDefault="00EE5306">
      <w:pPr>
        <w:jc w:val="center"/>
        <w:divId w:val="85813902"/>
        <w:rPr>
          <w:rFonts w:eastAsia="Times New Roman"/>
        </w:rPr>
      </w:pPr>
    </w:p>
    <w:p w14:paraId="1B23FBC7" w14:textId="77777777" w:rsidR="00000000" w:rsidRDefault="00EE5306">
      <w:pPr>
        <w:jc w:val="center"/>
        <w:divId w:val="85813902"/>
        <w:rPr>
          <w:rFonts w:eastAsia="Times New Roman"/>
        </w:rPr>
      </w:pPr>
      <w:r>
        <w:rPr>
          <w:rFonts w:eastAsia="Times New Roman"/>
          <w:b/>
          <w:bCs/>
          <w:color w:val="000000"/>
          <w:sz w:val="20"/>
          <w:szCs w:val="20"/>
        </w:rPr>
        <w:t>RALPH LAUREN CORPORATION</w:t>
      </w:r>
    </w:p>
    <w:p w14:paraId="4E7EBC43" w14:textId="77777777" w:rsidR="00000000" w:rsidRDefault="00EE5306">
      <w:pPr>
        <w:jc w:val="center"/>
        <w:divId w:val="200702855"/>
        <w:rPr>
          <w:rFonts w:eastAsia="Times New Roman"/>
        </w:rPr>
      </w:pPr>
      <w:r>
        <w:rPr>
          <w:rFonts w:eastAsia="Times New Roman"/>
          <w:b/>
          <w:bCs/>
          <w:color w:val="000000"/>
          <w:sz w:val="20"/>
          <w:szCs w:val="20"/>
        </w:rPr>
        <w:t>NOTES TO CONSOLIDATED FINANCIAL STATEMENTS (Continued)</w:t>
      </w:r>
    </w:p>
    <w:p w14:paraId="6F092E4E" w14:textId="77777777" w:rsidR="00000000" w:rsidRDefault="00EE5306">
      <w:pPr>
        <w:jc w:val="both"/>
        <w:divId w:val="2026133155"/>
        <w:rPr>
          <w:rFonts w:eastAsia="Times New Roman"/>
        </w:rPr>
      </w:pPr>
      <w:r>
        <w:rPr>
          <w:rFonts w:eastAsia="Times New Roman"/>
          <w:color w:val="000000"/>
          <w:sz w:val="20"/>
          <w:szCs w:val="20"/>
        </w:rPr>
        <w:t xml:space="preserve">necessary. The excess of the purchase consideration over the fair value of net assets acquired, both tangible and intangible, is recorded </w:t>
      </w:r>
      <w:r>
        <w:rPr>
          <w:rFonts w:eastAsia="Times New Roman"/>
          <w:color w:val="000000"/>
          <w:sz w:val="20"/>
          <w:szCs w:val="20"/>
        </w:rPr>
        <w:t>as goodwill. Goodwill and certain other intangible assets deemed to have indefinite useful lives are not amortized. Rather, goodwill and such indefinite-lived intangible assets are assessed for impairment at least annually. The Company generally performs i</w:t>
      </w:r>
      <w:r>
        <w:rPr>
          <w:rFonts w:eastAsia="Times New Roman"/>
          <w:color w:val="000000"/>
          <w:sz w:val="20"/>
          <w:szCs w:val="20"/>
        </w:rPr>
        <w:t xml:space="preserve">ts annual goodwill and indefinite-lived intangible assets impairment analyses using a qualitative approach to determine whether it is more likely than not that the fair values of such assets are less than their respective carrying values. If, based on the </w:t>
      </w:r>
      <w:r>
        <w:rPr>
          <w:rFonts w:eastAsia="Times New Roman"/>
          <w:color w:val="000000"/>
          <w:sz w:val="20"/>
          <w:szCs w:val="20"/>
        </w:rPr>
        <w:t>results of the qualitative assessment, it is concluded that it is not more likely than not that the fair value of the asset exceeds its carrying value, a quantitative test is performed. Under the quantitative test, if the carrying value of the asset exceed</w:t>
      </w:r>
      <w:r>
        <w:rPr>
          <w:rFonts w:eastAsia="Times New Roman"/>
          <w:color w:val="000000"/>
          <w:sz w:val="20"/>
          <w:szCs w:val="20"/>
        </w:rPr>
        <w:t xml:space="preserve">s its fair value, an impairment loss is recognized in the amount of the excess. The Company also periodically performs a quantitative test to assess its goodwill for impairment in lieu of using the qualitative approach in order to reassess the fair values </w:t>
      </w:r>
      <w:r>
        <w:rPr>
          <w:rFonts w:eastAsia="Times New Roman"/>
          <w:color w:val="000000"/>
          <w:sz w:val="20"/>
          <w:szCs w:val="20"/>
        </w:rPr>
        <w:t xml:space="preserve">of its reporting units. </w:t>
      </w:r>
    </w:p>
    <w:p w14:paraId="4E42499E" w14:textId="77777777" w:rsidR="00000000" w:rsidRDefault="00EE5306">
      <w:pPr>
        <w:ind w:firstLine="540"/>
        <w:jc w:val="both"/>
        <w:divId w:val="1087074413"/>
        <w:rPr>
          <w:rFonts w:eastAsia="Times New Roman"/>
        </w:rPr>
      </w:pPr>
      <w:r>
        <w:rPr>
          <w:rFonts w:eastAsia="Times New Roman"/>
          <w:color w:val="000000"/>
          <w:sz w:val="20"/>
          <w:szCs w:val="20"/>
        </w:rPr>
        <w:t>Finite-lived intangible assets are amortized over their respective estimated useful lives and, along with other long-lived assets as noted above, are evaluated for impairment periodically whenever events or changes in circumstances</w:t>
      </w:r>
      <w:r>
        <w:rPr>
          <w:rFonts w:eastAsia="Times New Roman"/>
          <w:color w:val="000000"/>
          <w:sz w:val="20"/>
          <w:szCs w:val="20"/>
        </w:rPr>
        <w:t xml:space="preserve"> indicate that their related carrying values may not be fully recoverable. See discussion of the Company's accounting policy for long-lived asset impairment as previously described under the caption "</w:t>
      </w:r>
      <w:r>
        <w:rPr>
          <w:rFonts w:eastAsia="Times New Roman"/>
          <w:i/>
          <w:iCs/>
          <w:color w:val="000000"/>
          <w:sz w:val="20"/>
          <w:szCs w:val="20"/>
        </w:rPr>
        <w:t>Property and Equipment, Net.</w:t>
      </w:r>
      <w:r>
        <w:rPr>
          <w:rFonts w:eastAsia="Times New Roman"/>
          <w:color w:val="000000"/>
          <w:sz w:val="20"/>
          <w:szCs w:val="20"/>
        </w:rPr>
        <w:t>"</w:t>
      </w:r>
    </w:p>
    <w:p w14:paraId="600EFFCC" w14:textId="77777777" w:rsidR="00000000" w:rsidRDefault="00EE5306">
      <w:pPr>
        <w:ind w:firstLine="360"/>
        <w:jc w:val="both"/>
        <w:divId w:val="1100757065"/>
        <w:rPr>
          <w:rFonts w:eastAsia="Times New Roman"/>
        </w:rPr>
      </w:pPr>
      <w:r>
        <w:rPr>
          <w:rFonts w:eastAsia="Times New Roman"/>
          <w:b/>
          <w:bCs/>
          <w:i/>
          <w:iCs/>
          <w:color w:val="000000"/>
          <w:sz w:val="20"/>
          <w:szCs w:val="20"/>
        </w:rPr>
        <w:t xml:space="preserve">Income Taxes </w:t>
      </w:r>
    </w:p>
    <w:p w14:paraId="3A78274D" w14:textId="77777777" w:rsidR="00000000" w:rsidRDefault="00EE5306">
      <w:pPr>
        <w:ind w:firstLine="540"/>
        <w:jc w:val="both"/>
        <w:divId w:val="1667047853"/>
        <w:rPr>
          <w:rFonts w:eastAsia="Times New Roman"/>
        </w:rPr>
      </w:pPr>
      <w:r>
        <w:rPr>
          <w:rFonts w:eastAsia="Times New Roman"/>
          <w:color w:val="000000"/>
          <w:sz w:val="20"/>
          <w:szCs w:val="20"/>
        </w:rPr>
        <w:t>Income taxes</w:t>
      </w:r>
      <w:r>
        <w:rPr>
          <w:rFonts w:eastAsia="Times New Roman"/>
          <w:color w:val="000000"/>
          <w:sz w:val="20"/>
          <w:szCs w:val="20"/>
        </w:rPr>
        <w:t xml:space="preserve"> are provided using the asset and liability method. Under this method, income taxes (i.e., deferred tax assets and liabilities, current taxes payable/refunds receivable, and tax expense) are recorded based on amounts refundable or payable in the current ye</w:t>
      </w:r>
      <w:r>
        <w:rPr>
          <w:rFonts w:eastAsia="Times New Roman"/>
          <w:color w:val="000000"/>
          <w:sz w:val="20"/>
          <w:szCs w:val="20"/>
        </w:rPr>
        <w:t>ar and include the results of any difference between U.S. GAAP and tax reporting. Deferred income taxes reflect the tax effect of certain net operating losses, capital losses, general business credit carryforwards, and the net tax effects of temporary diff</w:t>
      </w:r>
      <w:r>
        <w:rPr>
          <w:rFonts w:eastAsia="Times New Roman"/>
          <w:color w:val="000000"/>
          <w:sz w:val="20"/>
          <w:szCs w:val="20"/>
        </w:rPr>
        <w:t>erences between the carrying amount of assets and liabilities for financial statement and income tax purposes, as determined under enacted tax laws and rates. The Company accounts for the financial effect of changes in tax laws or rates in the period of en</w:t>
      </w:r>
      <w:r>
        <w:rPr>
          <w:rFonts w:eastAsia="Times New Roman"/>
          <w:color w:val="000000"/>
          <w:sz w:val="20"/>
          <w:szCs w:val="20"/>
        </w:rPr>
        <w:t>actment.</w:t>
      </w:r>
    </w:p>
    <w:p w14:paraId="2E8887EB" w14:textId="77777777" w:rsidR="00000000" w:rsidRDefault="00EE5306">
      <w:pPr>
        <w:ind w:firstLine="540"/>
        <w:jc w:val="both"/>
        <w:divId w:val="1929121493"/>
        <w:rPr>
          <w:rFonts w:eastAsia="Times New Roman"/>
        </w:rPr>
      </w:pPr>
      <w:r>
        <w:rPr>
          <w:rFonts w:eastAsia="Times New Roman"/>
          <w:color w:val="000000"/>
          <w:sz w:val="20"/>
          <w:szCs w:val="20"/>
        </w:rPr>
        <w:t xml:space="preserve">In addition, valuation allowances are established when management determines that it is more likely than not that some portion or all of a deferred tax asset will not be realized. Tax valuation allowances are analyzed periodically and adjusted as </w:t>
      </w:r>
      <w:r>
        <w:rPr>
          <w:rFonts w:eastAsia="Times New Roman"/>
          <w:color w:val="000000"/>
          <w:sz w:val="20"/>
          <w:szCs w:val="20"/>
        </w:rPr>
        <w:t>events occur or circumstances change that warrant adjustments.</w:t>
      </w:r>
    </w:p>
    <w:p w14:paraId="46D31F22" w14:textId="77777777" w:rsidR="00000000" w:rsidRDefault="00EE5306">
      <w:pPr>
        <w:ind w:firstLine="540"/>
        <w:jc w:val="both"/>
        <w:divId w:val="150339780"/>
        <w:rPr>
          <w:rFonts w:eastAsia="Times New Roman"/>
        </w:rPr>
      </w:pPr>
      <w:r>
        <w:rPr>
          <w:rFonts w:eastAsia="Times New Roman"/>
          <w:color w:val="000000"/>
          <w:sz w:val="20"/>
          <w:szCs w:val="20"/>
        </w:rPr>
        <w:t>In determining the income tax benefit (provision) for financial reporting purposes, the Company establishes a reserve for uncertain tax positions. If the Company considers that a tax position i</w:t>
      </w:r>
      <w:r>
        <w:rPr>
          <w:rFonts w:eastAsia="Times New Roman"/>
          <w:color w:val="000000"/>
          <w:sz w:val="20"/>
          <w:szCs w:val="20"/>
        </w:rPr>
        <w:t>s more likely than not of being sustained upon audit, based solely on the technical merits of the position, it recognizes the tax benefit. The Company measures the tax benefit by determining the largest amount that is greater than 50% likely of being reali</w:t>
      </w:r>
      <w:r>
        <w:rPr>
          <w:rFonts w:eastAsia="Times New Roman"/>
          <w:color w:val="000000"/>
          <w:sz w:val="20"/>
          <w:szCs w:val="20"/>
        </w:rPr>
        <w:t>zed upon settlement, presuming that the tax position is examined by the appropriate taxing authority that has full knowledge of all relevant information. These assessments can be complex and the Company often obtains assistance from external advisors. To t</w:t>
      </w:r>
      <w:r>
        <w:rPr>
          <w:rFonts w:eastAsia="Times New Roman"/>
          <w:color w:val="000000"/>
          <w:sz w:val="20"/>
          <w:szCs w:val="20"/>
        </w:rPr>
        <w:t>he extent that the Company's estimates change or the final tax outcome of these matters is different than the amounts recorded, such differences will impact the income tax benefit (provision) in the period in which such determinations are made. If the init</w:t>
      </w:r>
      <w:r>
        <w:rPr>
          <w:rFonts w:eastAsia="Times New Roman"/>
          <w:color w:val="000000"/>
          <w:sz w:val="20"/>
          <w:szCs w:val="20"/>
        </w:rPr>
        <w:t xml:space="preserve">ial assessment fails to result in the recognition of a tax benefit, the Company regularly monitors its position and subsequently recognizes the tax benefit if (i) there are changes in tax law or analogous case law that sufficiently raise the likelihood of </w:t>
      </w:r>
      <w:r>
        <w:rPr>
          <w:rFonts w:eastAsia="Times New Roman"/>
          <w:color w:val="000000"/>
          <w:sz w:val="20"/>
          <w:szCs w:val="20"/>
        </w:rPr>
        <w:t xml:space="preserve">prevailing on the technical merits of the position to more likely than not; (ii) the statute of limitations expires; or (iii) there is a completion of an audit resulting in a settlement of that tax year with the appropriate agency. Uncertain tax positions </w:t>
      </w:r>
      <w:r>
        <w:rPr>
          <w:rFonts w:eastAsia="Times New Roman"/>
          <w:color w:val="000000"/>
          <w:sz w:val="20"/>
          <w:szCs w:val="20"/>
        </w:rPr>
        <w:t>are classified as current only when the Company expects to pay cash within the next twelve months. Interest and penalties are recorded within the income tax benefit (provision) in the Company's consolidated statements of operations and are classified on th</w:t>
      </w:r>
      <w:r>
        <w:rPr>
          <w:rFonts w:eastAsia="Times New Roman"/>
          <w:color w:val="000000"/>
          <w:sz w:val="20"/>
          <w:szCs w:val="20"/>
        </w:rPr>
        <w:t>e consolidated balance sheets together with the related liability for unrecognized tax benefits.</w:t>
      </w:r>
    </w:p>
    <w:p w14:paraId="2C5E303F" w14:textId="77777777" w:rsidR="00000000" w:rsidRDefault="00EE5306">
      <w:pPr>
        <w:ind w:firstLine="540"/>
        <w:jc w:val="both"/>
        <w:divId w:val="1901860043"/>
        <w:rPr>
          <w:rFonts w:eastAsia="Times New Roman"/>
        </w:rPr>
      </w:pPr>
      <w:r>
        <w:rPr>
          <w:rFonts w:eastAsia="Times New Roman"/>
          <w:color w:val="000000"/>
          <w:sz w:val="20"/>
          <w:szCs w:val="20"/>
        </w:rPr>
        <w:t>See Note 10 for further discussion of the Company's income taxes.</w:t>
      </w:r>
    </w:p>
    <w:p w14:paraId="346DB302" w14:textId="77777777" w:rsidR="00000000" w:rsidRDefault="00EE5306">
      <w:pPr>
        <w:ind w:firstLine="360"/>
        <w:jc w:val="both"/>
        <w:divId w:val="1328971267"/>
        <w:rPr>
          <w:rFonts w:eastAsia="Times New Roman"/>
        </w:rPr>
      </w:pPr>
      <w:r>
        <w:rPr>
          <w:rFonts w:eastAsia="Times New Roman"/>
          <w:b/>
          <w:bCs/>
          <w:i/>
          <w:iCs/>
          <w:color w:val="000000"/>
          <w:sz w:val="20"/>
          <w:szCs w:val="20"/>
        </w:rPr>
        <w:t>Derivative Financial Instruments</w:t>
      </w:r>
    </w:p>
    <w:p w14:paraId="6F79308F" w14:textId="77777777" w:rsidR="00000000" w:rsidRDefault="00EE5306">
      <w:pPr>
        <w:ind w:firstLine="540"/>
        <w:jc w:val="both"/>
        <w:divId w:val="1825314862"/>
        <w:rPr>
          <w:rFonts w:eastAsia="Times New Roman"/>
        </w:rPr>
      </w:pPr>
      <w:r>
        <w:rPr>
          <w:rFonts w:eastAsia="Times New Roman"/>
          <w:color w:val="000000"/>
          <w:sz w:val="20"/>
          <w:szCs w:val="20"/>
        </w:rPr>
        <w:t xml:space="preserve">The Company records derivative financial instruments on its </w:t>
      </w:r>
      <w:r>
        <w:rPr>
          <w:rFonts w:eastAsia="Times New Roman"/>
          <w:color w:val="000000"/>
          <w:sz w:val="20"/>
          <w:szCs w:val="20"/>
        </w:rPr>
        <w:t>consolidated balance sheets at fair value. Changes in the fair value of derivative instruments that are designated and qualify for hedge accounting are either (i) offset through earnings against the changes in fair value of the related hedged assets, liabi</w:t>
      </w:r>
      <w:r>
        <w:rPr>
          <w:rFonts w:eastAsia="Times New Roman"/>
          <w:color w:val="000000"/>
          <w:sz w:val="20"/>
          <w:szCs w:val="20"/>
        </w:rPr>
        <w:t>lities, or firm commitments or (ii) recognized in equity as a component of AOCI until the hedged item is recognized in earnings, depending on whether the instrument is hedging against changes in fair value or cash flows and net investments,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16F5227" w14:textId="77777777">
        <w:trPr>
          <w:divId w:val="1687100679"/>
          <w:jc w:val="center"/>
        </w:trPr>
        <w:tc>
          <w:tcPr>
            <w:tcW w:w="50" w:type="pct"/>
            <w:vAlign w:val="center"/>
            <w:hideMark/>
          </w:tcPr>
          <w:p w14:paraId="1748E02D" w14:textId="77777777" w:rsidR="00000000" w:rsidRDefault="00EE5306">
            <w:pPr>
              <w:ind w:firstLine="540"/>
              <w:jc w:val="both"/>
              <w:rPr>
                <w:rFonts w:eastAsia="Times New Roman"/>
              </w:rPr>
            </w:pPr>
          </w:p>
        </w:tc>
        <w:tc>
          <w:tcPr>
            <w:tcW w:w="1699" w:type="pct"/>
            <w:vAlign w:val="center"/>
            <w:hideMark/>
          </w:tcPr>
          <w:p w14:paraId="61CCEC7F" w14:textId="77777777" w:rsidR="00000000" w:rsidRDefault="00EE5306">
            <w:pPr>
              <w:spacing w:after="100"/>
              <w:rPr>
                <w:rFonts w:eastAsia="Times New Roman"/>
                <w:sz w:val="20"/>
                <w:szCs w:val="20"/>
              </w:rPr>
            </w:pPr>
          </w:p>
        </w:tc>
        <w:tc>
          <w:tcPr>
            <w:tcW w:w="5" w:type="pct"/>
            <w:vAlign w:val="center"/>
            <w:hideMark/>
          </w:tcPr>
          <w:p w14:paraId="0D99AF4A" w14:textId="77777777" w:rsidR="00000000" w:rsidRDefault="00EE5306">
            <w:pPr>
              <w:spacing w:after="100"/>
              <w:rPr>
                <w:rFonts w:eastAsia="Times New Roman"/>
                <w:sz w:val="20"/>
                <w:szCs w:val="20"/>
              </w:rPr>
            </w:pPr>
          </w:p>
        </w:tc>
        <w:tc>
          <w:tcPr>
            <w:tcW w:w="50" w:type="pct"/>
            <w:vAlign w:val="center"/>
            <w:hideMark/>
          </w:tcPr>
          <w:p w14:paraId="5BE6539E" w14:textId="77777777" w:rsidR="00000000" w:rsidRDefault="00EE5306">
            <w:pPr>
              <w:spacing w:after="100"/>
              <w:rPr>
                <w:rFonts w:eastAsia="Times New Roman"/>
                <w:sz w:val="20"/>
                <w:szCs w:val="20"/>
              </w:rPr>
            </w:pPr>
          </w:p>
        </w:tc>
        <w:tc>
          <w:tcPr>
            <w:tcW w:w="1436" w:type="pct"/>
            <w:vAlign w:val="center"/>
            <w:hideMark/>
          </w:tcPr>
          <w:p w14:paraId="2E22B4E8" w14:textId="77777777" w:rsidR="00000000" w:rsidRDefault="00EE5306">
            <w:pPr>
              <w:spacing w:after="100"/>
              <w:rPr>
                <w:rFonts w:eastAsia="Times New Roman"/>
                <w:sz w:val="20"/>
                <w:szCs w:val="20"/>
              </w:rPr>
            </w:pPr>
          </w:p>
        </w:tc>
        <w:tc>
          <w:tcPr>
            <w:tcW w:w="5" w:type="pct"/>
            <w:vAlign w:val="center"/>
            <w:hideMark/>
          </w:tcPr>
          <w:p w14:paraId="04830053" w14:textId="77777777" w:rsidR="00000000" w:rsidRDefault="00EE5306">
            <w:pPr>
              <w:spacing w:after="100"/>
              <w:rPr>
                <w:rFonts w:eastAsia="Times New Roman"/>
                <w:sz w:val="20"/>
                <w:szCs w:val="20"/>
              </w:rPr>
            </w:pPr>
          </w:p>
        </w:tc>
        <w:tc>
          <w:tcPr>
            <w:tcW w:w="50" w:type="pct"/>
            <w:vAlign w:val="center"/>
            <w:hideMark/>
          </w:tcPr>
          <w:p w14:paraId="30B0340A" w14:textId="77777777" w:rsidR="00000000" w:rsidRDefault="00EE5306">
            <w:pPr>
              <w:spacing w:after="100"/>
              <w:rPr>
                <w:rFonts w:eastAsia="Times New Roman"/>
                <w:sz w:val="20"/>
                <w:szCs w:val="20"/>
              </w:rPr>
            </w:pPr>
          </w:p>
        </w:tc>
        <w:tc>
          <w:tcPr>
            <w:tcW w:w="1699" w:type="pct"/>
            <w:vAlign w:val="center"/>
            <w:hideMark/>
          </w:tcPr>
          <w:p w14:paraId="72C92CD6" w14:textId="77777777" w:rsidR="00000000" w:rsidRDefault="00EE5306">
            <w:pPr>
              <w:spacing w:after="100"/>
              <w:rPr>
                <w:rFonts w:eastAsia="Times New Roman"/>
                <w:sz w:val="20"/>
                <w:szCs w:val="20"/>
              </w:rPr>
            </w:pPr>
          </w:p>
        </w:tc>
        <w:tc>
          <w:tcPr>
            <w:tcW w:w="5" w:type="pct"/>
            <w:vAlign w:val="center"/>
            <w:hideMark/>
          </w:tcPr>
          <w:p w14:paraId="2AC9F957" w14:textId="77777777" w:rsidR="00000000" w:rsidRDefault="00EE5306">
            <w:pPr>
              <w:spacing w:after="100"/>
              <w:rPr>
                <w:rFonts w:eastAsia="Times New Roman"/>
                <w:sz w:val="20"/>
                <w:szCs w:val="20"/>
              </w:rPr>
            </w:pPr>
          </w:p>
        </w:tc>
      </w:tr>
      <w:tr w:rsidR="00000000" w14:paraId="034AB6C7" w14:textId="77777777">
        <w:trPr>
          <w:divId w:val="1687100679"/>
          <w:jc w:val="center"/>
        </w:trPr>
        <w:tc>
          <w:tcPr>
            <w:tcW w:w="0" w:type="auto"/>
            <w:gridSpan w:val="3"/>
            <w:tcMar>
              <w:top w:w="0" w:type="dxa"/>
              <w:left w:w="20" w:type="dxa"/>
              <w:bottom w:w="0" w:type="dxa"/>
              <w:right w:w="20" w:type="dxa"/>
            </w:tcMar>
            <w:vAlign w:val="center"/>
            <w:hideMark/>
          </w:tcPr>
          <w:p w14:paraId="46AF69F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2806991" w14:textId="77777777" w:rsidR="00000000" w:rsidRDefault="00EE5306">
            <w:pPr>
              <w:spacing w:after="100"/>
              <w:jc w:val="center"/>
              <w:rPr>
                <w:rFonts w:eastAsia="Times New Roman"/>
              </w:rPr>
            </w:pPr>
            <w:r>
              <w:rPr>
                <w:rFonts w:eastAsia="Times New Roman"/>
                <w:color w:val="000000"/>
                <w:sz w:val="20"/>
                <w:szCs w:val="20"/>
              </w:rPr>
              <w:t>F-18</w:t>
            </w:r>
          </w:p>
        </w:tc>
        <w:tc>
          <w:tcPr>
            <w:tcW w:w="0" w:type="auto"/>
            <w:gridSpan w:val="3"/>
            <w:tcMar>
              <w:top w:w="0" w:type="dxa"/>
              <w:left w:w="20" w:type="dxa"/>
              <w:bottom w:w="0" w:type="dxa"/>
              <w:right w:w="20" w:type="dxa"/>
            </w:tcMar>
            <w:vAlign w:val="center"/>
            <w:hideMark/>
          </w:tcPr>
          <w:p w14:paraId="235EB4CC" w14:textId="77777777" w:rsidR="00000000" w:rsidRDefault="00EE5306">
            <w:pPr>
              <w:spacing w:after="100"/>
              <w:jc w:val="center"/>
              <w:rPr>
                <w:rFonts w:eastAsia="Times New Roman"/>
              </w:rPr>
            </w:pPr>
          </w:p>
        </w:tc>
      </w:tr>
    </w:tbl>
    <w:p w14:paraId="64529A67" w14:textId="77777777" w:rsidR="00000000" w:rsidRDefault="00EE5306">
      <w:pPr>
        <w:rPr>
          <w:rFonts w:eastAsia="Times New Roman"/>
        </w:rPr>
      </w:pPr>
      <w:r>
        <w:rPr>
          <w:rFonts w:eastAsia="Times New Roman"/>
        </w:rPr>
        <w:pict w14:anchorId="3C0E817B">
          <v:rect id="_x0000_i1128" style="width:0;height:1.5pt" o:hralign="center" o:hrstd="t" o:hr="t" fillcolor="#a0a0a0" stroked="f"/>
        </w:pict>
      </w:r>
    </w:p>
    <w:p w14:paraId="4FFA3E68" w14:textId="77777777" w:rsidR="00000000" w:rsidRDefault="00EE5306">
      <w:pPr>
        <w:jc w:val="center"/>
        <w:divId w:val="432164662"/>
        <w:rPr>
          <w:rFonts w:eastAsia="Times New Roman"/>
        </w:rPr>
      </w:pPr>
    </w:p>
    <w:p w14:paraId="4E38F638" w14:textId="77777777" w:rsidR="00000000" w:rsidRDefault="00EE5306">
      <w:pPr>
        <w:jc w:val="center"/>
        <w:divId w:val="432164662"/>
        <w:rPr>
          <w:rFonts w:eastAsia="Times New Roman"/>
        </w:rPr>
      </w:pPr>
      <w:r>
        <w:rPr>
          <w:rFonts w:eastAsia="Times New Roman"/>
          <w:b/>
          <w:bCs/>
          <w:color w:val="000000"/>
          <w:sz w:val="20"/>
          <w:szCs w:val="20"/>
        </w:rPr>
        <w:t>RALPH LAUREN CORPORATION</w:t>
      </w:r>
    </w:p>
    <w:p w14:paraId="7A4AA565" w14:textId="77777777" w:rsidR="00000000" w:rsidRDefault="00EE5306">
      <w:pPr>
        <w:jc w:val="center"/>
        <w:divId w:val="511844371"/>
        <w:rPr>
          <w:rFonts w:eastAsia="Times New Roman"/>
        </w:rPr>
      </w:pPr>
      <w:r>
        <w:rPr>
          <w:rFonts w:eastAsia="Times New Roman"/>
          <w:b/>
          <w:bCs/>
          <w:color w:val="000000"/>
          <w:sz w:val="20"/>
          <w:szCs w:val="20"/>
        </w:rPr>
        <w:t>NOTES TO CONSOLIDATED FINANCIAL STATEMENTS (Continued)</w:t>
      </w:r>
    </w:p>
    <w:p w14:paraId="1CB818D7" w14:textId="77777777" w:rsidR="00000000" w:rsidRDefault="00EE5306">
      <w:pPr>
        <w:ind w:firstLine="540"/>
        <w:jc w:val="both"/>
        <w:divId w:val="1601526216"/>
        <w:rPr>
          <w:rFonts w:eastAsia="Times New Roman"/>
        </w:rPr>
      </w:pPr>
      <w:r>
        <w:rPr>
          <w:rFonts w:eastAsia="Times New Roman"/>
          <w:color w:val="000000"/>
          <w:sz w:val="20"/>
          <w:szCs w:val="20"/>
        </w:rPr>
        <w:t>Each derivative instrument that qualifies for hedge accounting is expected to be highly effective in offsetting the risk associated with t</w:t>
      </w:r>
      <w:r>
        <w:rPr>
          <w:rFonts w:eastAsia="Times New Roman"/>
          <w:color w:val="000000"/>
          <w:sz w:val="20"/>
          <w:szCs w:val="20"/>
        </w:rPr>
        <w:t>he related exposure. For each instrument that is designated as a hedge, the Company documents the related risk management objective and strategy, including identification of the hedging instrument, the hedged item, and the risk exposure, as well as how hed</w:t>
      </w:r>
      <w:r>
        <w:rPr>
          <w:rFonts w:eastAsia="Times New Roman"/>
          <w:color w:val="000000"/>
          <w:sz w:val="20"/>
          <w:szCs w:val="20"/>
        </w:rPr>
        <w:t>ge effectiveness will be assessed over the instrument's term. To assess hedge effectiveness at the inception of a hedging relationship, the Company generally uses regression analysis, a statistical method, to evaluate how changes in the fair value of the d</w:t>
      </w:r>
      <w:r>
        <w:rPr>
          <w:rFonts w:eastAsia="Times New Roman"/>
          <w:color w:val="000000"/>
          <w:sz w:val="20"/>
          <w:szCs w:val="20"/>
        </w:rPr>
        <w:t>erivative instrument are expected to offset changes in the fair value or cash flows of the related hedged item. The extent to which a hedging instrument has been and is expected to remain highly effective in achieving offsetting changes in fair value or ca</w:t>
      </w:r>
      <w:r>
        <w:rPr>
          <w:rFonts w:eastAsia="Times New Roman"/>
          <w:color w:val="000000"/>
          <w:sz w:val="20"/>
          <w:szCs w:val="20"/>
        </w:rPr>
        <w:t>sh flows is assessed by the Company on at least a quarterly basis.</w:t>
      </w:r>
    </w:p>
    <w:p w14:paraId="5D9DC167" w14:textId="77777777" w:rsidR="00000000" w:rsidRDefault="00EE5306">
      <w:pPr>
        <w:ind w:firstLine="540"/>
        <w:jc w:val="both"/>
        <w:divId w:val="1766729075"/>
        <w:rPr>
          <w:rFonts w:eastAsia="Times New Roman"/>
        </w:rPr>
      </w:pPr>
      <w:r>
        <w:rPr>
          <w:rFonts w:eastAsia="Times New Roman"/>
          <w:color w:val="000000"/>
          <w:sz w:val="20"/>
          <w:szCs w:val="20"/>
        </w:rPr>
        <w:t>Given its use of derivative instruments, the Company is exposed to the risk that counterparties to such contracts will fail to meet their contractual obligations. To mitigate such counterpa</w:t>
      </w:r>
      <w:r>
        <w:rPr>
          <w:rFonts w:eastAsia="Times New Roman"/>
          <w:color w:val="000000"/>
          <w:sz w:val="20"/>
          <w:szCs w:val="20"/>
        </w:rPr>
        <w:t>rty credit risk, the Company has a policy of only entering into contracts with carefully selected financial institutions based upon an evaluation of their credit ratings and certain other factors, adhering to established limits for credit exposure. The Com</w:t>
      </w:r>
      <w:r>
        <w:rPr>
          <w:rFonts w:eastAsia="Times New Roman"/>
          <w:color w:val="000000"/>
          <w:sz w:val="20"/>
          <w:szCs w:val="20"/>
        </w:rPr>
        <w:t xml:space="preserve">pany's established policies and procedures for mitigating credit risk from derivative transactions include ongoing review and assessment of its counterparties' creditworthiness. The Company also enters into master netting arrangements with counterparties, </w:t>
      </w:r>
      <w:r>
        <w:rPr>
          <w:rFonts w:eastAsia="Times New Roman"/>
          <w:color w:val="000000"/>
          <w:sz w:val="20"/>
          <w:szCs w:val="20"/>
        </w:rPr>
        <w:t>when possible, to further mitigate credit risk. In the event of default or termination (as such terms are defined within the respective master netting arrangement), these arrangements allow the Company to net-settle amounts payable and receivable related t</w:t>
      </w:r>
      <w:r>
        <w:rPr>
          <w:rFonts w:eastAsia="Times New Roman"/>
          <w:color w:val="000000"/>
          <w:sz w:val="20"/>
          <w:szCs w:val="20"/>
        </w:rPr>
        <w:t>o multiple derivative transactions with the same counterparty. The master netting arrangements specify a number of events of default and termination, including the failure to make timely payments.</w:t>
      </w:r>
    </w:p>
    <w:p w14:paraId="08116955" w14:textId="77777777" w:rsidR="00000000" w:rsidRDefault="00EE5306">
      <w:pPr>
        <w:ind w:firstLine="540"/>
        <w:jc w:val="both"/>
        <w:divId w:val="1380863441"/>
        <w:rPr>
          <w:rFonts w:eastAsia="Times New Roman"/>
        </w:rPr>
      </w:pPr>
      <w:r>
        <w:rPr>
          <w:rFonts w:eastAsia="Times New Roman"/>
          <w:color w:val="000000"/>
          <w:sz w:val="20"/>
          <w:szCs w:val="20"/>
        </w:rPr>
        <w:t>The fair values of the Company's derivative instruments are</w:t>
      </w:r>
      <w:r>
        <w:rPr>
          <w:rFonts w:eastAsia="Times New Roman"/>
          <w:color w:val="000000"/>
          <w:sz w:val="20"/>
          <w:szCs w:val="20"/>
        </w:rPr>
        <w:t xml:space="preserve"> recorded on its consolidated balance sheets on a gross basis. For cash flow reporting purposes, proceeds received or amounts paid upon the settlement of a derivative instrument are classified in the same manner as the related item being hedged, primarily </w:t>
      </w:r>
      <w:r>
        <w:rPr>
          <w:rFonts w:eastAsia="Times New Roman"/>
          <w:color w:val="000000"/>
          <w:sz w:val="20"/>
          <w:szCs w:val="20"/>
        </w:rPr>
        <w:t>within cash flows from operating activities for its forward foreign exchange contracts and within cash flows from investing activities for its cross-currency swap contracts, both as discussed below.</w:t>
      </w:r>
    </w:p>
    <w:p w14:paraId="1F029E59" w14:textId="77777777" w:rsidR="00000000" w:rsidRDefault="00EE5306">
      <w:pPr>
        <w:ind w:firstLine="360"/>
        <w:jc w:val="both"/>
        <w:divId w:val="1601180660"/>
        <w:rPr>
          <w:rFonts w:eastAsia="Times New Roman"/>
        </w:rPr>
      </w:pPr>
      <w:r>
        <w:rPr>
          <w:rFonts w:eastAsia="Times New Roman"/>
          <w:i/>
          <w:iCs/>
          <w:color w:val="000000"/>
          <w:sz w:val="20"/>
          <w:szCs w:val="20"/>
        </w:rPr>
        <w:t>Cash Flow Hedges</w:t>
      </w:r>
    </w:p>
    <w:p w14:paraId="42818636" w14:textId="77777777" w:rsidR="00000000" w:rsidRDefault="00EE5306">
      <w:pPr>
        <w:ind w:firstLine="540"/>
        <w:jc w:val="both"/>
        <w:divId w:val="4526246"/>
        <w:rPr>
          <w:rFonts w:eastAsia="Times New Roman"/>
        </w:rPr>
      </w:pPr>
      <w:r>
        <w:rPr>
          <w:rFonts w:eastAsia="Times New Roman"/>
          <w:color w:val="000000"/>
          <w:sz w:val="20"/>
          <w:szCs w:val="20"/>
        </w:rPr>
        <w:t>The Company uses forward foreign currenc</w:t>
      </w:r>
      <w:r>
        <w:rPr>
          <w:rFonts w:eastAsia="Times New Roman"/>
          <w:color w:val="000000"/>
          <w:sz w:val="20"/>
          <w:szCs w:val="20"/>
        </w:rPr>
        <w:t>y exchange contracts to mitigate its risk related to exchange rate fluctuations on inventory transactions made in an entity's non-functional currency. To the extent designated as cash flow hedges, related gains or losses on such instruments are initially d</w:t>
      </w:r>
      <w:r>
        <w:rPr>
          <w:rFonts w:eastAsia="Times New Roman"/>
          <w:color w:val="000000"/>
          <w:sz w:val="20"/>
          <w:szCs w:val="20"/>
        </w:rPr>
        <w:t>eferred in equity as a component of AOCI and are subsequently recognized within cost of goods sold in the consolidated statements of operations when the related inventory is sold.</w:t>
      </w:r>
    </w:p>
    <w:p w14:paraId="7E06A333" w14:textId="77777777" w:rsidR="00000000" w:rsidRDefault="00EE5306">
      <w:pPr>
        <w:ind w:firstLine="540"/>
        <w:jc w:val="both"/>
        <w:divId w:val="883368621"/>
        <w:rPr>
          <w:rFonts w:eastAsia="Times New Roman"/>
        </w:rPr>
      </w:pPr>
      <w:r>
        <w:rPr>
          <w:rFonts w:eastAsia="Times New Roman"/>
          <w:color w:val="000000"/>
          <w:sz w:val="20"/>
          <w:szCs w:val="20"/>
        </w:rPr>
        <w:t>If a derivative instrument is dedesignated or if hedge accounting is discont</w:t>
      </w:r>
      <w:r>
        <w:rPr>
          <w:rFonts w:eastAsia="Times New Roman"/>
          <w:color w:val="000000"/>
          <w:sz w:val="20"/>
          <w:szCs w:val="20"/>
        </w:rPr>
        <w:t>inued because the instrument is not expected to be highly effective in hedging the designated exposure, any further gains (losses) are recognized in earnings each period within other income (expense), net. Upon discontinuance of hedge accounting, the cumul</w:t>
      </w:r>
      <w:r>
        <w:rPr>
          <w:rFonts w:eastAsia="Times New Roman"/>
          <w:color w:val="000000"/>
          <w:sz w:val="20"/>
          <w:szCs w:val="20"/>
        </w:rPr>
        <w:t xml:space="preserve">ative change in fair value of the derivative instrument recorded in AOCI is recognized in earnings when the related hedged item affects earnings, consistent with the hedging strategy, unless the related forecasted transaction is probable of not occurring, </w:t>
      </w:r>
      <w:r>
        <w:rPr>
          <w:rFonts w:eastAsia="Times New Roman"/>
          <w:color w:val="000000"/>
          <w:sz w:val="20"/>
          <w:szCs w:val="20"/>
        </w:rPr>
        <w:t>in which case the accumulated amount is immediately recognized within other income (expense), net.</w:t>
      </w:r>
    </w:p>
    <w:p w14:paraId="5FAFD6B5" w14:textId="77777777" w:rsidR="00000000" w:rsidRDefault="00EE5306">
      <w:pPr>
        <w:ind w:firstLine="360"/>
        <w:jc w:val="both"/>
        <w:divId w:val="1626931339"/>
        <w:rPr>
          <w:rFonts w:eastAsia="Times New Roman"/>
        </w:rPr>
      </w:pPr>
      <w:r>
        <w:rPr>
          <w:rFonts w:eastAsia="Times New Roman"/>
          <w:i/>
          <w:iCs/>
          <w:color w:val="000000"/>
          <w:sz w:val="20"/>
          <w:szCs w:val="20"/>
        </w:rPr>
        <w:t>Hedges of Net Investments in Foreign Operations</w:t>
      </w:r>
    </w:p>
    <w:p w14:paraId="77CCCF44" w14:textId="77777777" w:rsidR="00000000" w:rsidRDefault="00EE5306">
      <w:pPr>
        <w:ind w:firstLine="540"/>
        <w:jc w:val="both"/>
        <w:divId w:val="1252156155"/>
        <w:rPr>
          <w:rFonts w:eastAsia="Times New Roman"/>
        </w:rPr>
      </w:pPr>
      <w:r>
        <w:rPr>
          <w:rFonts w:eastAsia="Times New Roman"/>
          <w:color w:val="000000"/>
          <w:sz w:val="20"/>
          <w:szCs w:val="20"/>
        </w:rPr>
        <w:t>The Company periodically uses cross-currency swap contracts to reduce risk associated with exchange rate fluctuations on certain of its net investments in foreign subsidiaries. Changes in the fair values of such derivative instruments that are designated a</w:t>
      </w:r>
      <w:r>
        <w:rPr>
          <w:rFonts w:eastAsia="Times New Roman"/>
          <w:color w:val="000000"/>
          <w:sz w:val="20"/>
          <w:szCs w:val="20"/>
        </w:rPr>
        <w:t>s hedges of net investments in foreign operations are recorded in equity as a component of AOCI in the same manner as foreign currency translation adjustments. In assessing the effectiveness of such hedges, the Company uses a method based on changes in spo</w:t>
      </w:r>
      <w:r>
        <w:rPr>
          <w:rFonts w:eastAsia="Times New Roman"/>
          <w:color w:val="000000"/>
          <w:sz w:val="20"/>
          <w:szCs w:val="20"/>
        </w:rPr>
        <w:t>t rates to measure the impact of foreign currency exchange rate fluctuations on both its foreign subsidiary net investment and the related hedging instrument. Under this method, changes in the fair value of the hedging instrument other than those due to ch</w:t>
      </w:r>
      <w:r>
        <w:rPr>
          <w:rFonts w:eastAsia="Times New Roman"/>
          <w:color w:val="000000"/>
          <w:sz w:val="20"/>
          <w:szCs w:val="20"/>
        </w:rPr>
        <w:t>anges in the spot rate are initially recorded in AOCI as a translation adjustment and are amortized into earnings as interest expense using a systematic and rational method over the instrument's term. Changes in fair value associated with the effective por</w:t>
      </w:r>
      <w:r>
        <w:rPr>
          <w:rFonts w:eastAsia="Times New Roman"/>
          <w:color w:val="000000"/>
          <w:sz w:val="20"/>
          <w:szCs w:val="20"/>
        </w:rPr>
        <w:t>tion (i.e., those due to changes in the spot rate) are recorded in AOCI as a translation adjustment and are released and recognized in earnings only upon the sale or liquidation of the hedged net investment.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03B89B8" w14:textId="77777777">
        <w:trPr>
          <w:divId w:val="1133786991"/>
          <w:jc w:val="center"/>
        </w:trPr>
        <w:tc>
          <w:tcPr>
            <w:tcW w:w="50" w:type="pct"/>
            <w:vAlign w:val="center"/>
            <w:hideMark/>
          </w:tcPr>
          <w:p w14:paraId="07386B07" w14:textId="77777777" w:rsidR="00000000" w:rsidRDefault="00EE5306">
            <w:pPr>
              <w:ind w:firstLine="540"/>
              <w:jc w:val="both"/>
              <w:rPr>
                <w:rFonts w:eastAsia="Times New Roman"/>
              </w:rPr>
            </w:pPr>
          </w:p>
        </w:tc>
        <w:tc>
          <w:tcPr>
            <w:tcW w:w="1699" w:type="pct"/>
            <w:vAlign w:val="center"/>
            <w:hideMark/>
          </w:tcPr>
          <w:p w14:paraId="1A6EA0D2" w14:textId="77777777" w:rsidR="00000000" w:rsidRDefault="00EE5306">
            <w:pPr>
              <w:spacing w:after="100"/>
              <w:rPr>
                <w:rFonts w:eastAsia="Times New Roman"/>
                <w:sz w:val="20"/>
                <w:szCs w:val="20"/>
              </w:rPr>
            </w:pPr>
          </w:p>
        </w:tc>
        <w:tc>
          <w:tcPr>
            <w:tcW w:w="5" w:type="pct"/>
            <w:vAlign w:val="center"/>
            <w:hideMark/>
          </w:tcPr>
          <w:p w14:paraId="211C5163" w14:textId="77777777" w:rsidR="00000000" w:rsidRDefault="00EE5306">
            <w:pPr>
              <w:spacing w:after="100"/>
              <w:rPr>
                <w:rFonts w:eastAsia="Times New Roman"/>
                <w:sz w:val="20"/>
                <w:szCs w:val="20"/>
              </w:rPr>
            </w:pPr>
          </w:p>
        </w:tc>
        <w:tc>
          <w:tcPr>
            <w:tcW w:w="50" w:type="pct"/>
            <w:vAlign w:val="center"/>
            <w:hideMark/>
          </w:tcPr>
          <w:p w14:paraId="566B062D" w14:textId="77777777" w:rsidR="00000000" w:rsidRDefault="00EE5306">
            <w:pPr>
              <w:spacing w:after="100"/>
              <w:rPr>
                <w:rFonts w:eastAsia="Times New Roman"/>
                <w:sz w:val="20"/>
                <w:szCs w:val="20"/>
              </w:rPr>
            </w:pPr>
          </w:p>
        </w:tc>
        <w:tc>
          <w:tcPr>
            <w:tcW w:w="1436" w:type="pct"/>
            <w:vAlign w:val="center"/>
            <w:hideMark/>
          </w:tcPr>
          <w:p w14:paraId="62D8C390" w14:textId="77777777" w:rsidR="00000000" w:rsidRDefault="00EE5306">
            <w:pPr>
              <w:spacing w:after="100"/>
              <w:rPr>
                <w:rFonts w:eastAsia="Times New Roman"/>
                <w:sz w:val="20"/>
                <w:szCs w:val="20"/>
              </w:rPr>
            </w:pPr>
          </w:p>
        </w:tc>
        <w:tc>
          <w:tcPr>
            <w:tcW w:w="5" w:type="pct"/>
            <w:vAlign w:val="center"/>
            <w:hideMark/>
          </w:tcPr>
          <w:p w14:paraId="30D355A3" w14:textId="77777777" w:rsidR="00000000" w:rsidRDefault="00EE5306">
            <w:pPr>
              <w:spacing w:after="100"/>
              <w:rPr>
                <w:rFonts w:eastAsia="Times New Roman"/>
                <w:sz w:val="20"/>
                <w:szCs w:val="20"/>
              </w:rPr>
            </w:pPr>
          </w:p>
        </w:tc>
        <w:tc>
          <w:tcPr>
            <w:tcW w:w="50" w:type="pct"/>
            <w:vAlign w:val="center"/>
            <w:hideMark/>
          </w:tcPr>
          <w:p w14:paraId="36891E64" w14:textId="77777777" w:rsidR="00000000" w:rsidRDefault="00EE5306">
            <w:pPr>
              <w:spacing w:after="100"/>
              <w:rPr>
                <w:rFonts w:eastAsia="Times New Roman"/>
                <w:sz w:val="20"/>
                <w:szCs w:val="20"/>
              </w:rPr>
            </w:pPr>
          </w:p>
        </w:tc>
        <w:tc>
          <w:tcPr>
            <w:tcW w:w="1699" w:type="pct"/>
            <w:vAlign w:val="center"/>
            <w:hideMark/>
          </w:tcPr>
          <w:p w14:paraId="455FA371" w14:textId="77777777" w:rsidR="00000000" w:rsidRDefault="00EE5306">
            <w:pPr>
              <w:spacing w:after="100"/>
              <w:rPr>
                <w:rFonts w:eastAsia="Times New Roman"/>
                <w:sz w:val="20"/>
                <w:szCs w:val="20"/>
              </w:rPr>
            </w:pPr>
          </w:p>
        </w:tc>
        <w:tc>
          <w:tcPr>
            <w:tcW w:w="5" w:type="pct"/>
            <w:vAlign w:val="center"/>
            <w:hideMark/>
          </w:tcPr>
          <w:p w14:paraId="010DF9FA" w14:textId="77777777" w:rsidR="00000000" w:rsidRDefault="00EE5306">
            <w:pPr>
              <w:spacing w:after="100"/>
              <w:rPr>
                <w:rFonts w:eastAsia="Times New Roman"/>
                <w:sz w:val="20"/>
                <w:szCs w:val="20"/>
              </w:rPr>
            </w:pPr>
          </w:p>
        </w:tc>
      </w:tr>
      <w:tr w:rsidR="00000000" w14:paraId="37E093A0" w14:textId="77777777">
        <w:trPr>
          <w:divId w:val="1133786991"/>
          <w:jc w:val="center"/>
        </w:trPr>
        <w:tc>
          <w:tcPr>
            <w:tcW w:w="0" w:type="auto"/>
            <w:gridSpan w:val="3"/>
            <w:tcMar>
              <w:top w:w="0" w:type="dxa"/>
              <w:left w:w="20" w:type="dxa"/>
              <w:bottom w:w="0" w:type="dxa"/>
              <w:right w:w="20" w:type="dxa"/>
            </w:tcMar>
            <w:vAlign w:val="center"/>
            <w:hideMark/>
          </w:tcPr>
          <w:p w14:paraId="571F1D8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FBCA689" w14:textId="77777777" w:rsidR="00000000" w:rsidRDefault="00EE5306">
            <w:pPr>
              <w:spacing w:after="100"/>
              <w:jc w:val="center"/>
              <w:rPr>
                <w:rFonts w:eastAsia="Times New Roman"/>
              </w:rPr>
            </w:pPr>
            <w:r>
              <w:rPr>
                <w:rFonts w:eastAsia="Times New Roman"/>
                <w:color w:val="000000"/>
                <w:sz w:val="20"/>
                <w:szCs w:val="20"/>
              </w:rPr>
              <w:t>F-19</w:t>
            </w:r>
          </w:p>
        </w:tc>
        <w:tc>
          <w:tcPr>
            <w:tcW w:w="0" w:type="auto"/>
            <w:gridSpan w:val="3"/>
            <w:tcMar>
              <w:top w:w="0" w:type="dxa"/>
              <w:left w:w="20" w:type="dxa"/>
              <w:bottom w:w="0" w:type="dxa"/>
              <w:right w:w="20" w:type="dxa"/>
            </w:tcMar>
            <w:vAlign w:val="center"/>
            <w:hideMark/>
          </w:tcPr>
          <w:p w14:paraId="634DB9DF" w14:textId="77777777" w:rsidR="00000000" w:rsidRDefault="00EE5306">
            <w:pPr>
              <w:spacing w:after="100"/>
              <w:jc w:val="center"/>
              <w:rPr>
                <w:rFonts w:eastAsia="Times New Roman"/>
              </w:rPr>
            </w:pPr>
          </w:p>
        </w:tc>
      </w:tr>
    </w:tbl>
    <w:p w14:paraId="3D8C4561" w14:textId="77777777" w:rsidR="00000000" w:rsidRDefault="00EE5306">
      <w:pPr>
        <w:rPr>
          <w:rFonts w:eastAsia="Times New Roman"/>
        </w:rPr>
      </w:pPr>
      <w:r>
        <w:rPr>
          <w:rFonts w:eastAsia="Times New Roman"/>
        </w:rPr>
        <w:pict w14:anchorId="138A11AB">
          <v:rect id="_x0000_i1129" style="width:0;height:1.5pt" o:hralign="center" o:hrstd="t" o:hr="t" fillcolor="#a0a0a0" stroked="f"/>
        </w:pict>
      </w:r>
    </w:p>
    <w:p w14:paraId="494E756D" w14:textId="77777777" w:rsidR="00000000" w:rsidRDefault="00EE5306">
      <w:pPr>
        <w:jc w:val="center"/>
        <w:divId w:val="2055810220"/>
        <w:rPr>
          <w:rFonts w:eastAsia="Times New Roman"/>
        </w:rPr>
      </w:pPr>
    </w:p>
    <w:p w14:paraId="61FBB29C" w14:textId="77777777" w:rsidR="00000000" w:rsidRDefault="00EE5306">
      <w:pPr>
        <w:jc w:val="center"/>
        <w:divId w:val="2055810220"/>
        <w:rPr>
          <w:rFonts w:eastAsia="Times New Roman"/>
        </w:rPr>
      </w:pPr>
      <w:r>
        <w:rPr>
          <w:rFonts w:eastAsia="Times New Roman"/>
          <w:b/>
          <w:bCs/>
          <w:color w:val="000000"/>
          <w:sz w:val="20"/>
          <w:szCs w:val="20"/>
        </w:rPr>
        <w:t>RALPH LAUREN CORPORATION</w:t>
      </w:r>
    </w:p>
    <w:p w14:paraId="0FFFE69D" w14:textId="77777777" w:rsidR="00000000" w:rsidRDefault="00EE5306">
      <w:pPr>
        <w:jc w:val="center"/>
        <w:divId w:val="1651789753"/>
        <w:rPr>
          <w:rFonts w:eastAsia="Times New Roman"/>
        </w:rPr>
      </w:pPr>
      <w:r>
        <w:rPr>
          <w:rFonts w:eastAsia="Times New Roman"/>
          <w:b/>
          <w:bCs/>
          <w:color w:val="000000"/>
          <w:sz w:val="20"/>
          <w:szCs w:val="20"/>
        </w:rPr>
        <w:t>NOTES TO CONSOLIDATED FINANCIAL STATEMENTS (Continued)</w:t>
      </w:r>
    </w:p>
    <w:p w14:paraId="673EC3A3" w14:textId="77777777" w:rsidR="00000000" w:rsidRDefault="00EE5306">
      <w:pPr>
        <w:ind w:firstLine="360"/>
        <w:jc w:val="both"/>
        <w:divId w:val="1354771351"/>
        <w:rPr>
          <w:rFonts w:eastAsia="Times New Roman"/>
        </w:rPr>
      </w:pPr>
      <w:r>
        <w:rPr>
          <w:rFonts w:eastAsia="Times New Roman"/>
          <w:i/>
          <w:iCs/>
          <w:color w:val="000000"/>
          <w:sz w:val="20"/>
          <w:szCs w:val="20"/>
        </w:rPr>
        <w:t>Fair Value Hedges</w:t>
      </w:r>
    </w:p>
    <w:p w14:paraId="6DE443AA" w14:textId="77777777" w:rsidR="00000000" w:rsidRDefault="00EE5306">
      <w:pPr>
        <w:ind w:firstLine="540"/>
        <w:jc w:val="both"/>
        <w:divId w:val="1300262191"/>
        <w:rPr>
          <w:rFonts w:eastAsia="Times New Roman"/>
        </w:rPr>
      </w:pPr>
      <w:r>
        <w:rPr>
          <w:rFonts w:eastAsia="Times New Roman"/>
          <w:color w:val="000000"/>
          <w:sz w:val="20"/>
          <w:szCs w:val="20"/>
        </w:rPr>
        <w:t>Changes in the fair value of a derivative instrument that is designated as a fair value hedge, along with offsetting cha</w:t>
      </w:r>
      <w:r>
        <w:rPr>
          <w:rFonts w:eastAsia="Times New Roman"/>
          <w:color w:val="000000"/>
          <w:sz w:val="20"/>
          <w:szCs w:val="20"/>
        </w:rPr>
        <w:t>nges in the fair value of the related hedged item attributable to the hedged risk, are recorded in earnings. To the extent that the change in the fair value of the hedged item does not fully offset the change in the fair value of the hedging instrument, th</w:t>
      </w:r>
      <w:r>
        <w:rPr>
          <w:rFonts w:eastAsia="Times New Roman"/>
          <w:color w:val="000000"/>
          <w:sz w:val="20"/>
          <w:szCs w:val="20"/>
        </w:rPr>
        <w:t>e resulting net impact is reflected in earnings within the income statement line item associated with the hedged item.</w:t>
      </w:r>
    </w:p>
    <w:p w14:paraId="6904CFD6" w14:textId="77777777" w:rsidR="00000000" w:rsidRDefault="00EE5306">
      <w:pPr>
        <w:ind w:firstLine="360"/>
        <w:jc w:val="both"/>
        <w:divId w:val="1419863599"/>
        <w:rPr>
          <w:rFonts w:eastAsia="Times New Roman"/>
        </w:rPr>
      </w:pPr>
      <w:r>
        <w:rPr>
          <w:rFonts w:eastAsia="Times New Roman"/>
          <w:i/>
          <w:iCs/>
          <w:color w:val="000000"/>
          <w:sz w:val="20"/>
          <w:szCs w:val="20"/>
        </w:rPr>
        <w:t>Undesignated Hedges</w:t>
      </w:r>
    </w:p>
    <w:p w14:paraId="78A620FA" w14:textId="77777777" w:rsidR="00000000" w:rsidRDefault="00EE5306">
      <w:pPr>
        <w:ind w:firstLine="540"/>
        <w:jc w:val="both"/>
        <w:divId w:val="1048383796"/>
        <w:rPr>
          <w:rFonts w:eastAsia="Times New Roman"/>
        </w:rPr>
      </w:pPr>
      <w:r>
        <w:rPr>
          <w:rFonts w:eastAsia="Times New Roman"/>
          <w:color w:val="000000"/>
          <w:sz w:val="20"/>
          <w:szCs w:val="20"/>
        </w:rPr>
        <w:t>The Company uses undesignated hedges primarily to hedge foreign currency exchange rate risk related to third-party an</w:t>
      </w:r>
      <w:r>
        <w:rPr>
          <w:rFonts w:eastAsia="Times New Roman"/>
          <w:color w:val="000000"/>
          <w:sz w:val="20"/>
          <w:szCs w:val="20"/>
        </w:rPr>
        <w:t>d intercompany balances and exposures. Changes in the fair value of undesignated derivative instruments are recognized in earnings each period within other income (expense), net.</w:t>
      </w:r>
    </w:p>
    <w:p w14:paraId="184C07AA" w14:textId="77777777" w:rsidR="00000000" w:rsidRDefault="00EE5306">
      <w:pPr>
        <w:ind w:firstLine="540"/>
        <w:jc w:val="both"/>
        <w:divId w:val="2014337391"/>
        <w:rPr>
          <w:rFonts w:eastAsia="Times New Roman"/>
        </w:rPr>
      </w:pPr>
      <w:r>
        <w:rPr>
          <w:rFonts w:eastAsia="Times New Roman"/>
          <w:color w:val="000000"/>
          <w:sz w:val="20"/>
          <w:szCs w:val="20"/>
        </w:rPr>
        <w:t>See Note 13 for further discussion of the Company's derivative financial inst</w:t>
      </w:r>
      <w:r>
        <w:rPr>
          <w:rFonts w:eastAsia="Times New Roman"/>
          <w:color w:val="000000"/>
          <w:sz w:val="20"/>
          <w:szCs w:val="20"/>
        </w:rPr>
        <w:t>ruments.</w:t>
      </w:r>
    </w:p>
    <w:p w14:paraId="37CECD84" w14:textId="77777777" w:rsidR="00000000" w:rsidRDefault="00EE5306">
      <w:pPr>
        <w:ind w:hanging="540"/>
        <w:divId w:val="409040091"/>
        <w:rPr>
          <w:rFonts w:eastAsia="Times New Roman"/>
        </w:rPr>
      </w:pPr>
      <w:r>
        <w:rPr>
          <w:rFonts w:eastAsia="Times New Roman"/>
          <w:b/>
          <w:bCs/>
          <w:color w:val="000000"/>
          <w:sz w:val="20"/>
          <w:szCs w:val="20"/>
        </w:rPr>
        <w:t>4.    Recently Issued Accounting Standards</w:t>
      </w:r>
    </w:p>
    <w:p w14:paraId="13AF02BE" w14:textId="77777777" w:rsidR="00000000" w:rsidRDefault="00EE5306">
      <w:pPr>
        <w:ind w:firstLine="360"/>
        <w:jc w:val="both"/>
        <w:divId w:val="376975130"/>
        <w:rPr>
          <w:rFonts w:eastAsia="Times New Roman"/>
        </w:rPr>
      </w:pPr>
      <w:r>
        <w:rPr>
          <w:rFonts w:eastAsia="Times New Roman"/>
          <w:b/>
          <w:bCs/>
          <w:i/>
          <w:iCs/>
          <w:color w:val="000000"/>
          <w:sz w:val="20"/>
          <w:szCs w:val="20"/>
        </w:rPr>
        <w:t>Reference Rate Reform</w:t>
      </w:r>
    </w:p>
    <w:p w14:paraId="3C08F8EF" w14:textId="77777777" w:rsidR="00000000" w:rsidRDefault="00EE5306">
      <w:pPr>
        <w:ind w:firstLine="540"/>
        <w:jc w:val="both"/>
        <w:divId w:val="121045189"/>
        <w:rPr>
          <w:rFonts w:eastAsia="Times New Roman"/>
        </w:rPr>
      </w:pPr>
      <w:r>
        <w:rPr>
          <w:rFonts w:eastAsia="Times New Roman"/>
          <w:color w:val="000000"/>
          <w:sz w:val="20"/>
          <w:szCs w:val="20"/>
        </w:rPr>
        <w:t>In March 2020 and January 2021, the Financial Accounting Standards Board ("FASB") issued Accounting Standards Update ("ASU") No. 2020-04, "Facilitation of the Effects of Reference Ra</w:t>
      </w:r>
      <w:r>
        <w:rPr>
          <w:rFonts w:eastAsia="Times New Roman"/>
          <w:color w:val="000000"/>
          <w:sz w:val="20"/>
          <w:szCs w:val="20"/>
        </w:rPr>
        <w:t>te Reform on Financial Reporting" ("ASU 2020-04") and ASU No. 2021-01, "Reference Rate Reform: Scope" ("ASU 2021-01"), respectively. Together, ASU 2020-04 and ASU 2021-01 provide temporary optional expedients and exceptions for the application of U.S. GAAP</w:t>
      </w:r>
      <w:r>
        <w:rPr>
          <w:rFonts w:eastAsia="Times New Roman"/>
          <w:color w:val="000000"/>
          <w:sz w:val="20"/>
          <w:szCs w:val="20"/>
        </w:rPr>
        <w:t>, if certain criteria are met, to contract modifications, hedging relationships, and other arrangements that are expected to be impacted by the global transition away from certain reference rates, such as the London Interbank Offered Rate ("LIBOR") and oth</w:t>
      </w:r>
      <w:r>
        <w:rPr>
          <w:rFonts w:eastAsia="Times New Roman"/>
          <w:color w:val="000000"/>
          <w:sz w:val="20"/>
          <w:szCs w:val="20"/>
        </w:rPr>
        <w:t>er interbank offered rates, towards new reference rates, such as the Secured Overnight Financing Rate ("SOFR"). The guidance in ASU 2020-04 and ASU 2021-01 was effective upon issuance and, once adopted, may be applied prospectively to contract modification</w:t>
      </w:r>
      <w:r>
        <w:rPr>
          <w:rFonts w:eastAsia="Times New Roman"/>
          <w:color w:val="000000"/>
          <w:sz w:val="20"/>
          <w:szCs w:val="20"/>
        </w:rPr>
        <w:t>s and hedging relationships through December 31, 2022. The Company is evaluating the impact that the guidance will have on its consolidated financial statements and related disclosures, if adopted, and currently does not expect that it would be material.</w:t>
      </w:r>
    </w:p>
    <w:p w14:paraId="3F42AE5C" w14:textId="77777777" w:rsidR="00000000" w:rsidRDefault="00EE5306">
      <w:pPr>
        <w:ind w:firstLine="360"/>
        <w:jc w:val="both"/>
        <w:divId w:val="47995044"/>
        <w:rPr>
          <w:rFonts w:eastAsia="Times New Roman"/>
        </w:rPr>
      </w:pPr>
      <w:r>
        <w:rPr>
          <w:rFonts w:eastAsia="Times New Roman"/>
          <w:b/>
          <w:bCs/>
          <w:i/>
          <w:iCs/>
          <w:color w:val="000000"/>
          <w:sz w:val="20"/>
          <w:szCs w:val="20"/>
        </w:rPr>
        <w:t>I</w:t>
      </w:r>
      <w:r>
        <w:rPr>
          <w:rFonts w:eastAsia="Times New Roman"/>
          <w:b/>
          <w:bCs/>
          <w:i/>
          <w:iCs/>
          <w:color w:val="000000"/>
          <w:sz w:val="20"/>
          <w:szCs w:val="20"/>
        </w:rPr>
        <w:t>mplementation Costs Incurred in Cloud Computing Arrangements</w:t>
      </w:r>
    </w:p>
    <w:p w14:paraId="7C27C879" w14:textId="77777777" w:rsidR="00000000" w:rsidRDefault="00EE5306">
      <w:pPr>
        <w:ind w:firstLine="540"/>
        <w:jc w:val="both"/>
        <w:divId w:val="548493670"/>
        <w:rPr>
          <w:rFonts w:eastAsia="Times New Roman"/>
        </w:rPr>
      </w:pPr>
      <w:r>
        <w:rPr>
          <w:rFonts w:eastAsia="Times New Roman"/>
          <w:color w:val="000000"/>
          <w:sz w:val="20"/>
          <w:szCs w:val="20"/>
        </w:rPr>
        <w:t>In August 2018, the FASB issued ASU No. 2018-15, "Customer's Accounting for Implementation Costs Incurred in a Cloud Computing Arrangement That Is a Service Contract" ("ASU 2018-15"). ASU 2018-15</w:t>
      </w:r>
      <w:r>
        <w:rPr>
          <w:rFonts w:eastAsia="Times New Roman"/>
          <w:color w:val="000000"/>
          <w:sz w:val="20"/>
          <w:szCs w:val="20"/>
        </w:rPr>
        <w:t xml:space="preserve"> addresses diversity in practice surrounding the accounting for costs incurred to implement a cloud computing hosting arrangement that is a service contract by establishing a model for capitalizing or expensing such costs, depending on their nature and the</w:t>
      </w:r>
      <w:r>
        <w:rPr>
          <w:rFonts w:eastAsia="Times New Roman"/>
          <w:color w:val="000000"/>
          <w:sz w:val="20"/>
          <w:szCs w:val="20"/>
        </w:rPr>
        <w:t xml:space="preserve"> stage of the related project during which they are incurred. Any capitalized costs are to be expensed over the reasonably certain term of the hosting arrangement and presented in the same line within the statement of operations as the expense for the arra</w:t>
      </w:r>
      <w:r>
        <w:rPr>
          <w:rFonts w:eastAsia="Times New Roman"/>
          <w:color w:val="000000"/>
          <w:sz w:val="20"/>
          <w:szCs w:val="20"/>
        </w:rPr>
        <w:t xml:space="preserve">ngement's fees. ASU 2018-15 also requires enhanced qualitative and quantitative disclosures surrounding hosting arrangements that are service contracts. </w:t>
      </w:r>
    </w:p>
    <w:p w14:paraId="1D42CDFC" w14:textId="77777777" w:rsidR="00000000" w:rsidRDefault="00EE5306">
      <w:pPr>
        <w:ind w:firstLine="540"/>
        <w:jc w:val="both"/>
        <w:divId w:val="1049186255"/>
        <w:rPr>
          <w:rFonts w:eastAsia="Times New Roman"/>
        </w:rPr>
      </w:pPr>
      <w:r>
        <w:rPr>
          <w:rFonts w:eastAsia="Times New Roman"/>
          <w:color w:val="000000"/>
          <w:sz w:val="20"/>
          <w:szCs w:val="20"/>
        </w:rPr>
        <w:t>The Company adopted ASU 2018-15 as of the beginning of Fiscal 2021. Prior to adoption, the Company had</w:t>
      </w:r>
      <w:r>
        <w:rPr>
          <w:rFonts w:eastAsia="Times New Roman"/>
          <w:color w:val="000000"/>
          <w:sz w:val="20"/>
          <w:szCs w:val="20"/>
        </w:rPr>
        <w:t xml:space="preserve"> already generally accounted for implementation costs incurred in connection with cloud computing arrangements in a manner consistent with the new standard. Therefore, other than the new disclosure requirements, the adoption of ASU 2018-15 did not have an </w:t>
      </w:r>
      <w:r>
        <w:rPr>
          <w:rFonts w:eastAsia="Times New Roman"/>
          <w:color w:val="000000"/>
          <w:sz w:val="20"/>
          <w:szCs w:val="20"/>
        </w:rPr>
        <w:t>impact on the Company's consolidated financial statements. See Note 3 for further discussion of the Company's accounting for cloud computing arrangements.</w:t>
      </w:r>
    </w:p>
    <w:p w14:paraId="26E4F21F" w14:textId="77777777" w:rsidR="00000000" w:rsidRDefault="00EE5306">
      <w:pPr>
        <w:ind w:firstLine="360"/>
        <w:jc w:val="both"/>
        <w:divId w:val="1219829343"/>
        <w:rPr>
          <w:rFonts w:eastAsia="Times New Roman"/>
        </w:rPr>
      </w:pPr>
      <w:r>
        <w:rPr>
          <w:rFonts w:eastAsia="Times New Roman"/>
          <w:b/>
          <w:bCs/>
          <w:i/>
          <w:iCs/>
          <w:color w:val="000000"/>
          <w:sz w:val="20"/>
          <w:szCs w:val="20"/>
        </w:rPr>
        <w:t>Measurement of Credit Losses on Financial Instruments</w:t>
      </w:r>
    </w:p>
    <w:p w14:paraId="3829643B" w14:textId="77777777" w:rsidR="00000000" w:rsidRDefault="00EE5306">
      <w:pPr>
        <w:ind w:firstLine="540"/>
        <w:jc w:val="both"/>
        <w:divId w:val="1125659270"/>
        <w:rPr>
          <w:rFonts w:eastAsia="Times New Roman"/>
        </w:rPr>
      </w:pPr>
      <w:r>
        <w:rPr>
          <w:rFonts w:eastAsia="Times New Roman"/>
          <w:color w:val="000000"/>
          <w:sz w:val="20"/>
          <w:szCs w:val="20"/>
        </w:rPr>
        <w:t>In June 2016, the FASB issued ASU No. 2016-13, "Measurement of Credit Losses on Financial Instruments" ("ASU 2016-13"). ASU 2016-13, which was further updated and clarified by the FASB through issuance of additional related ASUs, amends the guidance surrou</w:t>
      </w:r>
      <w:r>
        <w:rPr>
          <w:rFonts w:eastAsia="Times New Roman"/>
          <w:color w:val="000000"/>
          <w:sz w:val="20"/>
          <w:szCs w:val="20"/>
        </w:rPr>
        <w:t>nding measurement and recognition of credit losses on financial assets measured at amortized cost, including trade receivables and investments in certain debt securities, by requiring upfront recognition of an allowance for credit losses expected to be inc</w:t>
      </w:r>
      <w:r>
        <w:rPr>
          <w:rFonts w:eastAsia="Times New Roman"/>
          <w:color w:val="000000"/>
          <w:sz w:val="20"/>
          <w:szCs w:val="20"/>
        </w:rPr>
        <w:t xml:space="preserve">urred over an asset's contractual life based on relevant information about past events, current conditions, and supportable forecasts impacting its ultimate collectability. Application of this "expected loss" model results in earlier recognition of credit </w:t>
      </w:r>
      <w:r>
        <w:rPr>
          <w:rFonts w:eastAsia="Times New Roman"/>
          <w:color w:val="000000"/>
          <w:sz w:val="20"/>
          <w:szCs w:val="20"/>
        </w:rPr>
        <w:t xml:space="preserve">losses than the historical "as incurred" model, under which losses were recognized only upon occurrence of an event that gave rise to the incurrence of a probable loss. While the Company's historical bad debt write-off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C2A8B76" w14:textId="77777777">
        <w:trPr>
          <w:divId w:val="380712760"/>
          <w:jc w:val="center"/>
        </w:trPr>
        <w:tc>
          <w:tcPr>
            <w:tcW w:w="50" w:type="pct"/>
            <w:vAlign w:val="center"/>
            <w:hideMark/>
          </w:tcPr>
          <w:p w14:paraId="26F70486" w14:textId="77777777" w:rsidR="00000000" w:rsidRDefault="00EE5306">
            <w:pPr>
              <w:ind w:firstLine="540"/>
              <w:jc w:val="both"/>
              <w:rPr>
                <w:rFonts w:eastAsia="Times New Roman"/>
              </w:rPr>
            </w:pPr>
          </w:p>
        </w:tc>
        <w:tc>
          <w:tcPr>
            <w:tcW w:w="1699" w:type="pct"/>
            <w:vAlign w:val="center"/>
            <w:hideMark/>
          </w:tcPr>
          <w:p w14:paraId="6D756164" w14:textId="77777777" w:rsidR="00000000" w:rsidRDefault="00EE5306">
            <w:pPr>
              <w:spacing w:after="100"/>
              <w:rPr>
                <w:rFonts w:eastAsia="Times New Roman"/>
                <w:sz w:val="20"/>
                <w:szCs w:val="20"/>
              </w:rPr>
            </w:pPr>
          </w:p>
        </w:tc>
        <w:tc>
          <w:tcPr>
            <w:tcW w:w="5" w:type="pct"/>
            <w:vAlign w:val="center"/>
            <w:hideMark/>
          </w:tcPr>
          <w:p w14:paraId="4B263BEE" w14:textId="77777777" w:rsidR="00000000" w:rsidRDefault="00EE5306">
            <w:pPr>
              <w:spacing w:after="100"/>
              <w:rPr>
                <w:rFonts w:eastAsia="Times New Roman"/>
                <w:sz w:val="20"/>
                <w:szCs w:val="20"/>
              </w:rPr>
            </w:pPr>
          </w:p>
        </w:tc>
        <w:tc>
          <w:tcPr>
            <w:tcW w:w="50" w:type="pct"/>
            <w:vAlign w:val="center"/>
            <w:hideMark/>
          </w:tcPr>
          <w:p w14:paraId="14D5E404" w14:textId="77777777" w:rsidR="00000000" w:rsidRDefault="00EE5306">
            <w:pPr>
              <w:spacing w:after="100"/>
              <w:rPr>
                <w:rFonts w:eastAsia="Times New Roman"/>
                <w:sz w:val="20"/>
                <w:szCs w:val="20"/>
              </w:rPr>
            </w:pPr>
          </w:p>
        </w:tc>
        <w:tc>
          <w:tcPr>
            <w:tcW w:w="1436" w:type="pct"/>
            <w:vAlign w:val="center"/>
            <w:hideMark/>
          </w:tcPr>
          <w:p w14:paraId="6C993D06" w14:textId="77777777" w:rsidR="00000000" w:rsidRDefault="00EE5306">
            <w:pPr>
              <w:spacing w:after="100"/>
              <w:rPr>
                <w:rFonts w:eastAsia="Times New Roman"/>
                <w:sz w:val="20"/>
                <w:szCs w:val="20"/>
              </w:rPr>
            </w:pPr>
          </w:p>
        </w:tc>
        <w:tc>
          <w:tcPr>
            <w:tcW w:w="5" w:type="pct"/>
            <w:vAlign w:val="center"/>
            <w:hideMark/>
          </w:tcPr>
          <w:p w14:paraId="4DC70BA3" w14:textId="77777777" w:rsidR="00000000" w:rsidRDefault="00EE5306">
            <w:pPr>
              <w:spacing w:after="100"/>
              <w:rPr>
                <w:rFonts w:eastAsia="Times New Roman"/>
                <w:sz w:val="20"/>
                <w:szCs w:val="20"/>
              </w:rPr>
            </w:pPr>
          </w:p>
        </w:tc>
        <w:tc>
          <w:tcPr>
            <w:tcW w:w="50" w:type="pct"/>
            <w:vAlign w:val="center"/>
            <w:hideMark/>
          </w:tcPr>
          <w:p w14:paraId="68163AD0" w14:textId="77777777" w:rsidR="00000000" w:rsidRDefault="00EE5306">
            <w:pPr>
              <w:spacing w:after="100"/>
              <w:rPr>
                <w:rFonts w:eastAsia="Times New Roman"/>
                <w:sz w:val="20"/>
                <w:szCs w:val="20"/>
              </w:rPr>
            </w:pPr>
          </w:p>
        </w:tc>
        <w:tc>
          <w:tcPr>
            <w:tcW w:w="1699" w:type="pct"/>
            <w:vAlign w:val="center"/>
            <w:hideMark/>
          </w:tcPr>
          <w:p w14:paraId="37DB2C28" w14:textId="77777777" w:rsidR="00000000" w:rsidRDefault="00EE5306">
            <w:pPr>
              <w:spacing w:after="100"/>
              <w:rPr>
                <w:rFonts w:eastAsia="Times New Roman"/>
                <w:sz w:val="20"/>
                <w:szCs w:val="20"/>
              </w:rPr>
            </w:pPr>
          </w:p>
        </w:tc>
        <w:tc>
          <w:tcPr>
            <w:tcW w:w="5" w:type="pct"/>
            <w:vAlign w:val="center"/>
            <w:hideMark/>
          </w:tcPr>
          <w:p w14:paraId="6E39D844" w14:textId="77777777" w:rsidR="00000000" w:rsidRDefault="00EE5306">
            <w:pPr>
              <w:spacing w:after="100"/>
              <w:rPr>
                <w:rFonts w:eastAsia="Times New Roman"/>
                <w:sz w:val="20"/>
                <w:szCs w:val="20"/>
              </w:rPr>
            </w:pPr>
          </w:p>
        </w:tc>
      </w:tr>
      <w:tr w:rsidR="00000000" w14:paraId="13CB8C7F" w14:textId="77777777">
        <w:trPr>
          <w:divId w:val="380712760"/>
          <w:jc w:val="center"/>
        </w:trPr>
        <w:tc>
          <w:tcPr>
            <w:tcW w:w="0" w:type="auto"/>
            <w:gridSpan w:val="3"/>
            <w:tcMar>
              <w:top w:w="0" w:type="dxa"/>
              <w:left w:w="20" w:type="dxa"/>
              <w:bottom w:w="0" w:type="dxa"/>
              <w:right w:w="20" w:type="dxa"/>
            </w:tcMar>
            <w:vAlign w:val="center"/>
            <w:hideMark/>
          </w:tcPr>
          <w:p w14:paraId="4734F0EE"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0BA3BD" w14:textId="77777777" w:rsidR="00000000" w:rsidRDefault="00EE5306">
            <w:pPr>
              <w:spacing w:after="100"/>
              <w:jc w:val="center"/>
              <w:rPr>
                <w:rFonts w:eastAsia="Times New Roman"/>
              </w:rPr>
            </w:pPr>
            <w:r>
              <w:rPr>
                <w:rFonts w:eastAsia="Times New Roman"/>
                <w:color w:val="000000"/>
                <w:sz w:val="20"/>
                <w:szCs w:val="20"/>
              </w:rPr>
              <w:t>F-20</w:t>
            </w:r>
          </w:p>
        </w:tc>
        <w:tc>
          <w:tcPr>
            <w:tcW w:w="0" w:type="auto"/>
            <w:gridSpan w:val="3"/>
            <w:tcMar>
              <w:top w:w="0" w:type="dxa"/>
              <w:left w:w="20" w:type="dxa"/>
              <w:bottom w:w="0" w:type="dxa"/>
              <w:right w:w="20" w:type="dxa"/>
            </w:tcMar>
            <w:vAlign w:val="center"/>
            <w:hideMark/>
          </w:tcPr>
          <w:p w14:paraId="3A957C3A" w14:textId="77777777" w:rsidR="00000000" w:rsidRDefault="00EE5306">
            <w:pPr>
              <w:spacing w:after="100"/>
              <w:jc w:val="center"/>
              <w:rPr>
                <w:rFonts w:eastAsia="Times New Roman"/>
              </w:rPr>
            </w:pPr>
          </w:p>
        </w:tc>
      </w:tr>
    </w:tbl>
    <w:p w14:paraId="02D9AC4C" w14:textId="77777777" w:rsidR="00000000" w:rsidRDefault="00EE5306">
      <w:pPr>
        <w:rPr>
          <w:rFonts w:eastAsia="Times New Roman"/>
        </w:rPr>
      </w:pPr>
      <w:r>
        <w:rPr>
          <w:rFonts w:eastAsia="Times New Roman"/>
        </w:rPr>
        <w:pict w14:anchorId="32D499A0">
          <v:rect id="_x0000_i1130" style="width:0;height:1.5pt" o:hralign="center" o:hrstd="t" o:hr="t" fillcolor="#a0a0a0" stroked="f"/>
        </w:pict>
      </w:r>
    </w:p>
    <w:p w14:paraId="73B39003" w14:textId="77777777" w:rsidR="00000000" w:rsidRDefault="00EE5306">
      <w:pPr>
        <w:jc w:val="center"/>
        <w:divId w:val="896474345"/>
        <w:rPr>
          <w:rFonts w:eastAsia="Times New Roman"/>
        </w:rPr>
      </w:pPr>
    </w:p>
    <w:p w14:paraId="4AA8A9F8" w14:textId="77777777" w:rsidR="00000000" w:rsidRDefault="00EE5306">
      <w:pPr>
        <w:jc w:val="center"/>
        <w:divId w:val="896474345"/>
        <w:rPr>
          <w:rFonts w:eastAsia="Times New Roman"/>
        </w:rPr>
      </w:pPr>
      <w:r>
        <w:rPr>
          <w:rFonts w:eastAsia="Times New Roman"/>
          <w:b/>
          <w:bCs/>
          <w:color w:val="000000"/>
          <w:sz w:val="20"/>
          <w:szCs w:val="20"/>
        </w:rPr>
        <w:t>RALPH LAUREN CORPORATION</w:t>
      </w:r>
    </w:p>
    <w:p w14:paraId="438D68A2" w14:textId="77777777" w:rsidR="00000000" w:rsidRDefault="00EE5306">
      <w:pPr>
        <w:jc w:val="center"/>
        <w:divId w:val="329020906"/>
        <w:rPr>
          <w:rFonts w:eastAsia="Times New Roman"/>
        </w:rPr>
      </w:pPr>
      <w:r>
        <w:rPr>
          <w:rFonts w:eastAsia="Times New Roman"/>
          <w:b/>
          <w:bCs/>
          <w:color w:val="000000"/>
          <w:sz w:val="20"/>
          <w:szCs w:val="20"/>
        </w:rPr>
        <w:t>NOTES TO CONSOLIDATED FINANCIAL STATEMENTS (Continued)</w:t>
      </w:r>
    </w:p>
    <w:p w14:paraId="22F3EB04" w14:textId="77777777" w:rsidR="00000000" w:rsidRDefault="00EE5306">
      <w:pPr>
        <w:jc w:val="both"/>
        <w:divId w:val="965893458"/>
        <w:rPr>
          <w:rFonts w:eastAsia="Times New Roman"/>
        </w:rPr>
      </w:pPr>
      <w:r>
        <w:rPr>
          <w:rFonts w:eastAsia="Times New Roman"/>
          <w:color w:val="000000"/>
          <w:sz w:val="20"/>
          <w:szCs w:val="20"/>
        </w:rPr>
        <w:t>activity has generally been insignificant, the extent of credit losses ultimately recognized and reflected in its allowance for doubtful a</w:t>
      </w:r>
      <w:r>
        <w:rPr>
          <w:rFonts w:eastAsia="Times New Roman"/>
          <w:color w:val="000000"/>
          <w:sz w:val="20"/>
          <w:szCs w:val="20"/>
        </w:rPr>
        <w:t>ccounts under the ASU 2016-13 framework will depend on prevailing conditions and ongoing consideration of information and forecasts that inform the Company's assessments of collectability, similar to past practice. The Company adopted ASU 2016-13 as of the</w:t>
      </w:r>
      <w:r>
        <w:rPr>
          <w:rFonts w:eastAsia="Times New Roman"/>
          <w:color w:val="000000"/>
          <w:sz w:val="20"/>
          <w:szCs w:val="20"/>
        </w:rPr>
        <w:t xml:space="preserve"> beginning of Fiscal 2021 using the modified retrospective basis. Overall, the adoption of ASU 2016-13 did not have a material impact on the Company's consolidated financial statements.</w:t>
      </w:r>
    </w:p>
    <w:p w14:paraId="028BBBF8" w14:textId="77777777" w:rsidR="00000000" w:rsidRDefault="00EE5306">
      <w:pPr>
        <w:ind w:hanging="540"/>
        <w:divId w:val="1181774043"/>
        <w:rPr>
          <w:rFonts w:eastAsia="Times New Roman"/>
        </w:rPr>
      </w:pPr>
      <w:r>
        <w:rPr>
          <w:rFonts w:eastAsia="Times New Roman"/>
          <w:b/>
          <w:bCs/>
          <w:color w:val="000000"/>
          <w:sz w:val="20"/>
          <w:szCs w:val="20"/>
        </w:rPr>
        <w:t>5.    Property and Equipment</w:t>
      </w:r>
    </w:p>
    <w:p w14:paraId="45B6BF75" w14:textId="77777777" w:rsidR="00000000" w:rsidRDefault="00EE5306">
      <w:pPr>
        <w:ind w:firstLine="540"/>
        <w:jc w:val="both"/>
        <w:divId w:val="476996433"/>
        <w:rPr>
          <w:rFonts w:eastAsia="Times New Roman"/>
        </w:rPr>
      </w:pPr>
      <w:r>
        <w:rPr>
          <w:rFonts w:eastAsia="Times New Roman"/>
          <w:color w:val="000000"/>
          <w:sz w:val="20"/>
          <w:szCs w:val="20"/>
        </w:rPr>
        <w:t>Property and equipment, net consists of t</w:t>
      </w:r>
      <w:r>
        <w:rPr>
          <w:rFonts w:eastAsia="Times New Roman"/>
          <w:color w:val="000000"/>
          <w:sz w:val="20"/>
          <w:szCs w:val="20"/>
        </w:rPr>
        <w:t>he following:</w:t>
      </w:r>
    </w:p>
    <w:tbl>
      <w:tblPr>
        <w:tblW w:w="4700" w:type="pct"/>
        <w:tblCellMar>
          <w:top w:w="15" w:type="dxa"/>
          <w:left w:w="15" w:type="dxa"/>
          <w:bottom w:w="15" w:type="dxa"/>
          <w:right w:w="15" w:type="dxa"/>
        </w:tblCellMar>
        <w:tblLook w:val="04A0" w:firstRow="1" w:lastRow="0" w:firstColumn="1" w:lastColumn="0" w:noHBand="0" w:noVBand="1"/>
      </w:tblPr>
      <w:tblGrid>
        <w:gridCol w:w="37"/>
        <w:gridCol w:w="5122"/>
        <w:gridCol w:w="36"/>
        <w:gridCol w:w="36"/>
        <w:gridCol w:w="36"/>
        <w:gridCol w:w="36"/>
        <w:gridCol w:w="120"/>
        <w:gridCol w:w="1041"/>
        <w:gridCol w:w="36"/>
        <w:gridCol w:w="36"/>
        <w:gridCol w:w="36"/>
        <w:gridCol w:w="36"/>
        <w:gridCol w:w="122"/>
        <w:gridCol w:w="1042"/>
        <w:gridCol w:w="36"/>
      </w:tblGrid>
      <w:tr w:rsidR="00000000" w14:paraId="62506FDB" w14:textId="77777777">
        <w:trPr>
          <w:divId w:val="267742949"/>
        </w:trPr>
        <w:tc>
          <w:tcPr>
            <w:tcW w:w="50" w:type="pct"/>
            <w:vAlign w:val="center"/>
            <w:hideMark/>
          </w:tcPr>
          <w:p w14:paraId="0EDBC559" w14:textId="77777777" w:rsidR="00000000" w:rsidRDefault="00EE5306">
            <w:pPr>
              <w:ind w:firstLine="540"/>
              <w:jc w:val="both"/>
              <w:rPr>
                <w:rFonts w:eastAsia="Times New Roman"/>
              </w:rPr>
            </w:pPr>
          </w:p>
        </w:tc>
        <w:tc>
          <w:tcPr>
            <w:tcW w:w="3312" w:type="pct"/>
            <w:vAlign w:val="center"/>
            <w:hideMark/>
          </w:tcPr>
          <w:p w14:paraId="202EA9A5" w14:textId="77777777" w:rsidR="00000000" w:rsidRDefault="00EE5306">
            <w:pPr>
              <w:spacing w:after="100"/>
              <w:rPr>
                <w:rFonts w:eastAsia="Times New Roman"/>
                <w:sz w:val="20"/>
                <w:szCs w:val="20"/>
              </w:rPr>
            </w:pPr>
          </w:p>
        </w:tc>
        <w:tc>
          <w:tcPr>
            <w:tcW w:w="5" w:type="pct"/>
            <w:vAlign w:val="center"/>
            <w:hideMark/>
          </w:tcPr>
          <w:p w14:paraId="392EEF44" w14:textId="77777777" w:rsidR="00000000" w:rsidRDefault="00EE5306">
            <w:pPr>
              <w:spacing w:after="100"/>
              <w:rPr>
                <w:rFonts w:eastAsia="Times New Roman"/>
                <w:sz w:val="20"/>
                <w:szCs w:val="20"/>
              </w:rPr>
            </w:pPr>
          </w:p>
        </w:tc>
        <w:tc>
          <w:tcPr>
            <w:tcW w:w="5" w:type="pct"/>
            <w:vAlign w:val="center"/>
            <w:hideMark/>
          </w:tcPr>
          <w:p w14:paraId="589DD2C0" w14:textId="77777777" w:rsidR="00000000" w:rsidRDefault="00EE5306">
            <w:pPr>
              <w:spacing w:after="100"/>
              <w:rPr>
                <w:rFonts w:eastAsia="Times New Roman"/>
                <w:sz w:val="20"/>
                <w:szCs w:val="20"/>
              </w:rPr>
            </w:pPr>
          </w:p>
        </w:tc>
        <w:tc>
          <w:tcPr>
            <w:tcW w:w="28" w:type="pct"/>
            <w:vAlign w:val="center"/>
            <w:hideMark/>
          </w:tcPr>
          <w:p w14:paraId="39AB01CB" w14:textId="77777777" w:rsidR="00000000" w:rsidRDefault="00EE5306">
            <w:pPr>
              <w:spacing w:after="100"/>
              <w:rPr>
                <w:rFonts w:eastAsia="Times New Roman"/>
                <w:sz w:val="20"/>
                <w:szCs w:val="20"/>
              </w:rPr>
            </w:pPr>
          </w:p>
        </w:tc>
        <w:tc>
          <w:tcPr>
            <w:tcW w:w="5" w:type="pct"/>
            <w:vAlign w:val="center"/>
            <w:hideMark/>
          </w:tcPr>
          <w:p w14:paraId="70708DC1" w14:textId="77777777" w:rsidR="00000000" w:rsidRDefault="00EE5306">
            <w:pPr>
              <w:spacing w:after="100"/>
              <w:rPr>
                <w:rFonts w:eastAsia="Times New Roman"/>
                <w:sz w:val="20"/>
                <w:szCs w:val="20"/>
              </w:rPr>
            </w:pPr>
          </w:p>
        </w:tc>
        <w:tc>
          <w:tcPr>
            <w:tcW w:w="50" w:type="pct"/>
            <w:vAlign w:val="center"/>
            <w:hideMark/>
          </w:tcPr>
          <w:p w14:paraId="28FB0A1E" w14:textId="77777777" w:rsidR="00000000" w:rsidRDefault="00EE5306">
            <w:pPr>
              <w:spacing w:after="100"/>
              <w:rPr>
                <w:rFonts w:eastAsia="Times New Roman"/>
                <w:sz w:val="20"/>
                <w:szCs w:val="20"/>
              </w:rPr>
            </w:pPr>
          </w:p>
        </w:tc>
        <w:tc>
          <w:tcPr>
            <w:tcW w:w="722" w:type="pct"/>
            <w:vAlign w:val="center"/>
            <w:hideMark/>
          </w:tcPr>
          <w:p w14:paraId="41BFF50B" w14:textId="77777777" w:rsidR="00000000" w:rsidRDefault="00EE5306">
            <w:pPr>
              <w:spacing w:after="100"/>
              <w:rPr>
                <w:rFonts w:eastAsia="Times New Roman"/>
                <w:sz w:val="20"/>
                <w:szCs w:val="20"/>
              </w:rPr>
            </w:pPr>
          </w:p>
        </w:tc>
        <w:tc>
          <w:tcPr>
            <w:tcW w:w="5" w:type="pct"/>
            <w:vAlign w:val="center"/>
            <w:hideMark/>
          </w:tcPr>
          <w:p w14:paraId="7C288028" w14:textId="77777777" w:rsidR="00000000" w:rsidRDefault="00EE5306">
            <w:pPr>
              <w:spacing w:after="100"/>
              <w:rPr>
                <w:rFonts w:eastAsia="Times New Roman"/>
                <w:sz w:val="20"/>
                <w:szCs w:val="20"/>
              </w:rPr>
            </w:pPr>
          </w:p>
        </w:tc>
        <w:tc>
          <w:tcPr>
            <w:tcW w:w="5" w:type="pct"/>
            <w:vAlign w:val="center"/>
            <w:hideMark/>
          </w:tcPr>
          <w:p w14:paraId="38C98494" w14:textId="77777777" w:rsidR="00000000" w:rsidRDefault="00EE5306">
            <w:pPr>
              <w:spacing w:after="100"/>
              <w:rPr>
                <w:rFonts w:eastAsia="Times New Roman"/>
                <w:sz w:val="20"/>
                <w:szCs w:val="20"/>
              </w:rPr>
            </w:pPr>
          </w:p>
        </w:tc>
        <w:tc>
          <w:tcPr>
            <w:tcW w:w="28" w:type="pct"/>
            <w:vAlign w:val="center"/>
            <w:hideMark/>
          </w:tcPr>
          <w:p w14:paraId="25EFF9F5" w14:textId="77777777" w:rsidR="00000000" w:rsidRDefault="00EE5306">
            <w:pPr>
              <w:spacing w:after="100"/>
              <w:rPr>
                <w:rFonts w:eastAsia="Times New Roman"/>
                <w:sz w:val="20"/>
                <w:szCs w:val="20"/>
              </w:rPr>
            </w:pPr>
          </w:p>
        </w:tc>
        <w:tc>
          <w:tcPr>
            <w:tcW w:w="5" w:type="pct"/>
            <w:vAlign w:val="center"/>
            <w:hideMark/>
          </w:tcPr>
          <w:p w14:paraId="0254FDD4" w14:textId="77777777" w:rsidR="00000000" w:rsidRDefault="00EE5306">
            <w:pPr>
              <w:spacing w:after="100"/>
              <w:rPr>
                <w:rFonts w:eastAsia="Times New Roman"/>
                <w:sz w:val="20"/>
                <w:szCs w:val="20"/>
              </w:rPr>
            </w:pPr>
          </w:p>
        </w:tc>
        <w:tc>
          <w:tcPr>
            <w:tcW w:w="50" w:type="pct"/>
            <w:vAlign w:val="center"/>
            <w:hideMark/>
          </w:tcPr>
          <w:p w14:paraId="119A6EFB" w14:textId="77777777" w:rsidR="00000000" w:rsidRDefault="00EE5306">
            <w:pPr>
              <w:spacing w:after="100"/>
              <w:rPr>
                <w:rFonts w:eastAsia="Times New Roman"/>
                <w:sz w:val="20"/>
                <w:szCs w:val="20"/>
              </w:rPr>
            </w:pPr>
          </w:p>
        </w:tc>
        <w:tc>
          <w:tcPr>
            <w:tcW w:w="722" w:type="pct"/>
            <w:vAlign w:val="center"/>
            <w:hideMark/>
          </w:tcPr>
          <w:p w14:paraId="6CA0592B" w14:textId="77777777" w:rsidR="00000000" w:rsidRDefault="00EE5306">
            <w:pPr>
              <w:spacing w:after="100"/>
              <w:rPr>
                <w:rFonts w:eastAsia="Times New Roman"/>
                <w:sz w:val="20"/>
                <w:szCs w:val="20"/>
              </w:rPr>
            </w:pPr>
          </w:p>
        </w:tc>
        <w:tc>
          <w:tcPr>
            <w:tcW w:w="5" w:type="pct"/>
            <w:vAlign w:val="center"/>
            <w:hideMark/>
          </w:tcPr>
          <w:p w14:paraId="5E89AA20" w14:textId="77777777" w:rsidR="00000000" w:rsidRDefault="00EE5306">
            <w:pPr>
              <w:spacing w:after="100"/>
              <w:rPr>
                <w:rFonts w:eastAsia="Times New Roman"/>
                <w:sz w:val="20"/>
                <w:szCs w:val="20"/>
              </w:rPr>
            </w:pPr>
          </w:p>
        </w:tc>
      </w:tr>
      <w:tr w:rsidR="00000000" w14:paraId="07A4E452" w14:textId="77777777">
        <w:trPr>
          <w:divId w:val="267742949"/>
        </w:trPr>
        <w:tc>
          <w:tcPr>
            <w:tcW w:w="0" w:type="auto"/>
            <w:gridSpan w:val="3"/>
            <w:tcMar>
              <w:top w:w="0" w:type="dxa"/>
              <w:left w:w="20" w:type="dxa"/>
              <w:bottom w:w="0" w:type="dxa"/>
              <w:right w:w="20" w:type="dxa"/>
            </w:tcMar>
            <w:vAlign w:val="center"/>
            <w:hideMark/>
          </w:tcPr>
          <w:p w14:paraId="42E0036B"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EFF810"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F0C4FA2"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657E12D"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46667B2"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35344F13" w14:textId="77777777">
        <w:trPr>
          <w:divId w:val="267742949"/>
        </w:trPr>
        <w:tc>
          <w:tcPr>
            <w:tcW w:w="0" w:type="auto"/>
            <w:gridSpan w:val="3"/>
            <w:tcMar>
              <w:top w:w="30" w:type="dxa"/>
              <w:left w:w="20" w:type="dxa"/>
              <w:bottom w:w="30" w:type="dxa"/>
              <w:right w:w="20" w:type="dxa"/>
            </w:tcMar>
            <w:vAlign w:val="bottom"/>
            <w:hideMark/>
          </w:tcPr>
          <w:p w14:paraId="5BD7CA4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0789B68" w14:textId="77777777" w:rsidR="00000000" w:rsidRDefault="00EE530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DEE976F"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7F9C98D3" w14:textId="77777777">
        <w:trPr>
          <w:divId w:val="267742949"/>
        </w:trPr>
        <w:tc>
          <w:tcPr>
            <w:tcW w:w="0" w:type="auto"/>
            <w:gridSpan w:val="3"/>
            <w:shd w:val="clear" w:color="auto" w:fill="CCEEFF"/>
            <w:tcMar>
              <w:top w:w="30" w:type="dxa"/>
              <w:left w:w="20" w:type="dxa"/>
              <w:bottom w:w="30" w:type="dxa"/>
              <w:right w:w="20" w:type="dxa"/>
            </w:tcMar>
            <w:vAlign w:val="bottom"/>
            <w:hideMark/>
          </w:tcPr>
          <w:p w14:paraId="32CA5166" w14:textId="77777777" w:rsidR="00000000" w:rsidRDefault="00EE5306">
            <w:pPr>
              <w:spacing w:after="100"/>
              <w:rPr>
                <w:rFonts w:eastAsia="Times New Roman"/>
              </w:rPr>
            </w:pPr>
            <w:r>
              <w:rPr>
                <w:rFonts w:eastAsia="Times New Roman"/>
                <w:color w:val="000000"/>
                <w:sz w:val="20"/>
                <w:szCs w:val="20"/>
              </w:rPr>
              <w:t>Land and improvements</w:t>
            </w:r>
          </w:p>
        </w:tc>
        <w:tc>
          <w:tcPr>
            <w:tcW w:w="0" w:type="auto"/>
            <w:gridSpan w:val="3"/>
            <w:shd w:val="clear" w:color="auto" w:fill="CCEEFF"/>
            <w:tcMar>
              <w:top w:w="0" w:type="dxa"/>
              <w:left w:w="20" w:type="dxa"/>
              <w:bottom w:w="0" w:type="dxa"/>
              <w:right w:w="20" w:type="dxa"/>
            </w:tcMar>
            <w:vAlign w:val="center"/>
            <w:hideMark/>
          </w:tcPr>
          <w:p w14:paraId="16A18ECF"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EF067B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C89942" w14:textId="77777777" w:rsidR="00000000" w:rsidRDefault="00EE5306">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14:paraId="65AC682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528BE"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98C2D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766B79" w14:textId="77777777" w:rsidR="00000000" w:rsidRDefault="00EE5306">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14:paraId="3305C67E" w14:textId="77777777" w:rsidR="00000000" w:rsidRDefault="00EE5306">
            <w:pPr>
              <w:spacing w:after="100"/>
              <w:jc w:val="right"/>
              <w:rPr>
                <w:rFonts w:eastAsia="Times New Roman"/>
              </w:rPr>
            </w:pPr>
          </w:p>
        </w:tc>
      </w:tr>
      <w:tr w:rsidR="00000000" w14:paraId="016FA5F7" w14:textId="77777777">
        <w:trPr>
          <w:divId w:val="267742949"/>
        </w:trPr>
        <w:tc>
          <w:tcPr>
            <w:tcW w:w="0" w:type="auto"/>
            <w:gridSpan w:val="3"/>
            <w:shd w:val="clear" w:color="auto" w:fill="FFFFFF"/>
            <w:tcMar>
              <w:top w:w="30" w:type="dxa"/>
              <w:left w:w="20" w:type="dxa"/>
              <w:bottom w:w="30" w:type="dxa"/>
              <w:right w:w="20" w:type="dxa"/>
            </w:tcMar>
            <w:vAlign w:val="bottom"/>
            <w:hideMark/>
          </w:tcPr>
          <w:p w14:paraId="359FDAAD" w14:textId="77777777" w:rsidR="00000000" w:rsidRDefault="00EE5306">
            <w:pPr>
              <w:spacing w:after="100"/>
              <w:rPr>
                <w:rFonts w:eastAsia="Times New Roman"/>
              </w:rPr>
            </w:pPr>
            <w:r>
              <w:rPr>
                <w:rFonts w:eastAsia="Times New Roman"/>
                <w:color w:val="000000"/>
                <w:sz w:val="20"/>
                <w:szCs w:val="20"/>
              </w:rPr>
              <w:t>Buildings and improvements</w:t>
            </w:r>
          </w:p>
        </w:tc>
        <w:tc>
          <w:tcPr>
            <w:tcW w:w="0" w:type="auto"/>
            <w:gridSpan w:val="3"/>
            <w:shd w:val="clear" w:color="auto" w:fill="FFFFFF"/>
            <w:tcMar>
              <w:top w:w="0" w:type="dxa"/>
              <w:left w:w="20" w:type="dxa"/>
              <w:bottom w:w="0" w:type="dxa"/>
              <w:right w:w="20" w:type="dxa"/>
            </w:tcMar>
            <w:vAlign w:val="center"/>
            <w:hideMark/>
          </w:tcPr>
          <w:p w14:paraId="5094FAC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65C5FC" w14:textId="77777777" w:rsidR="00000000" w:rsidRDefault="00EE5306">
            <w:pPr>
              <w:spacing w:after="100"/>
              <w:jc w:val="right"/>
              <w:rPr>
                <w:rFonts w:eastAsia="Times New Roman"/>
              </w:rPr>
            </w:pPr>
            <w:r>
              <w:rPr>
                <w:rFonts w:eastAsia="Times New Roman"/>
                <w:color w:val="000000"/>
                <w:sz w:val="20"/>
                <w:szCs w:val="20"/>
              </w:rPr>
              <w:t>492.8 </w:t>
            </w:r>
          </w:p>
        </w:tc>
        <w:tc>
          <w:tcPr>
            <w:tcW w:w="0" w:type="auto"/>
            <w:shd w:val="clear" w:color="auto" w:fill="FFFFFF"/>
            <w:tcMar>
              <w:top w:w="30" w:type="dxa"/>
              <w:left w:w="0" w:type="dxa"/>
              <w:bottom w:w="30" w:type="dxa"/>
              <w:right w:w="20" w:type="dxa"/>
            </w:tcMar>
            <w:vAlign w:val="bottom"/>
            <w:hideMark/>
          </w:tcPr>
          <w:p w14:paraId="2169540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85CC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9C9498" w14:textId="77777777" w:rsidR="00000000" w:rsidRDefault="00EE5306">
            <w:pPr>
              <w:spacing w:after="100"/>
              <w:jc w:val="right"/>
              <w:rPr>
                <w:rFonts w:eastAsia="Times New Roman"/>
              </w:rPr>
            </w:pPr>
            <w:r>
              <w:rPr>
                <w:rFonts w:eastAsia="Times New Roman"/>
                <w:color w:val="000000"/>
                <w:sz w:val="20"/>
                <w:szCs w:val="20"/>
              </w:rPr>
              <w:t>309.0 </w:t>
            </w:r>
          </w:p>
        </w:tc>
        <w:tc>
          <w:tcPr>
            <w:tcW w:w="0" w:type="auto"/>
            <w:shd w:val="clear" w:color="auto" w:fill="FFFFFF"/>
            <w:tcMar>
              <w:top w:w="30" w:type="dxa"/>
              <w:left w:w="0" w:type="dxa"/>
              <w:bottom w:w="30" w:type="dxa"/>
              <w:right w:w="20" w:type="dxa"/>
            </w:tcMar>
            <w:vAlign w:val="bottom"/>
            <w:hideMark/>
          </w:tcPr>
          <w:p w14:paraId="6EFD2B36" w14:textId="77777777" w:rsidR="00000000" w:rsidRDefault="00EE5306">
            <w:pPr>
              <w:spacing w:after="100"/>
              <w:jc w:val="right"/>
              <w:rPr>
                <w:rFonts w:eastAsia="Times New Roman"/>
              </w:rPr>
            </w:pPr>
          </w:p>
        </w:tc>
      </w:tr>
      <w:tr w:rsidR="00000000" w14:paraId="72CC4F3A" w14:textId="77777777">
        <w:trPr>
          <w:divId w:val="267742949"/>
        </w:trPr>
        <w:tc>
          <w:tcPr>
            <w:tcW w:w="0" w:type="auto"/>
            <w:gridSpan w:val="3"/>
            <w:shd w:val="clear" w:color="auto" w:fill="CCEEFF"/>
            <w:tcMar>
              <w:top w:w="30" w:type="dxa"/>
              <w:left w:w="20" w:type="dxa"/>
              <w:bottom w:w="30" w:type="dxa"/>
              <w:right w:w="20" w:type="dxa"/>
            </w:tcMar>
            <w:vAlign w:val="bottom"/>
            <w:hideMark/>
          </w:tcPr>
          <w:p w14:paraId="333EB099" w14:textId="77777777" w:rsidR="00000000" w:rsidRDefault="00EE5306">
            <w:pPr>
              <w:spacing w:after="100"/>
              <w:rPr>
                <w:rFonts w:eastAsia="Times New Roman"/>
              </w:rPr>
            </w:pPr>
            <w:r>
              <w:rPr>
                <w:rFonts w:eastAsia="Times New Roman"/>
                <w:color w:val="000000"/>
                <w:sz w:val="20"/>
                <w:szCs w:val="20"/>
              </w:rPr>
              <w:t>Furniture and fixtures</w:t>
            </w:r>
          </w:p>
        </w:tc>
        <w:tc>
          <w:tcPr>
            <w:tcW w:w="0" w:type="auto"/>
            <w:gridSpan w:val="3"/>
            <w:shd w:val="clear" w:color="auto" w:fill="CCEEFF"/>
            <w:tcMar>
              <w:top w:w="0" w:type="dxa"/>
              <w:left w:w="20" w:type="dxa"/>
              <w:bottom w:w="0" w:type="dxa"/>
              <w:right w:w="20" w:type="dxa"/>
            </w:tcMar>
            <w:vAlign w:val="center"/>
            <w:hideMark/>
          </w:tcPr>
          <w:p w14:paraId="0709BC7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8F1EBF" w14:textId="77777777" w:rsidR="00000000" w:rsidRDefault="00EE5306">
            <w:pPr>
              <w:spacing w:after="100"/>
              <w:jc w:val="right"/>
              <w:rPr>
                <w:rFonts w:eastAsia="Times New Roman"/>
              </w:rPr>
            </w:pPr>
            <w:r>
              <w:rPr>
                <w:rFonts w:eastAsia="Times New Roman"/>
                <w:color w:val="000000"/>
                <w:sz w:val="20"/>
                <w:szCs w:val="20"/>
              </w:rPr>
              <w:t>608.9 </w:t>
            </w:r>
          </w:p>
        </w:tc>
        <w:tc>
          <w:tcPr>
            <w:tcW w:w="0" w:type="auto"/>
            <w:shd w:val="clear" w:color="auto" w:fill="CCEEFF"/>
            <w:tcMar>
              <w:top w:w="30" w:type="dxa"/>
              <w:left w:w="0" w:type="dxa"/>
              <w:bottom w:w="30" w:type="dxa"/>
              <w:right w:w="20" w:type="dxa"/>
            </w:tcMar>
            <w:vAlign w:val="bottom"/>
            <w:hideMark/>
          </w:tcPr>
          <w:p w14:paraId="5C9B3F7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FAC8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E9F6C2" w14:textId="77777777" w:rsidR="00000000" w:rsidRDefault="00EE5306">
            <w:pPr>
              <w:spacing w:after="100"/>
              <w:jc w:val="right"/>
              <w:rPr>
                <w:rFonts w:eastAsia="Times New Roman"/>
              </w:rPr>
            </w:pPr>
            <w:r>
              <w:rPr>
                <w:rFonts w:eastAsia="Times New Roman"/>
                <w:color w:val="000000"/>
                <w:sz w:val="20"/>
                <w:szCs w:val="20"/>
              </w:rPr>
              <w:t>629.5 </w:t>
            </w:r>
          </w:p>
        </w:tc>
        <w:tc>
          <w:tcPr>
            <w:tcW w:w="0" w:type="auto"/>
            <w:shd w:val="clear" w:color="auto" w:fill="CCEEFF"/>
            <w:tcMar>
              <w:top w:w="30" w:type="dxa"/>
              <w:left w:w="0" w:type="dxa"/>
              <w:bottom w:w="30" w:type="dxa"/>
              <w:right w:w="20" w:type="dxa"/>
            </w:tcMar>
            <w:vAlign w:val="bottom"/>
            <w:hideMark/>
          </w:tcPr>
          <w:p w14:paraId="07AC29CD" w14:textId="77777777" w:rsidR="00000000" w:rsidRDefault="00EE5306">
            <w:pPr>
              <w:spacing w:after="100"/>
              <w:jc w:val="right"/>
              <w:rPr>
                <w:rFonts w:eastAsia="Times New Roman"/>
              </w:rPr>
            </w:pPr>
          </w:p>
        </w:tc>
      </w:tr>
      <w:tr w:rsidR="00000000" w14:paraId="786531EC" w14:textId="77777777">
        <w:trPr>
          <w:divId w:val="267742949"/>
        </w:trPr>
        <w:tc>
          <w:tcPr>
            <w:tcW w:w="0" w:type="auto"/>
            <w:gridSpan w:val="3"/>
            <w:shd w:val="clear" w:color="auto" w:fill="FFFFFF"/>
            <w:tcMar>
              <w:top w:w="30" w:type="dxa"/>
              <w:left w:w="20" w:type="dxa"/>
              <w:bottom w:w="30" w:type="dxa"/>
              <w:right w:w="20" w:type="dxa"/>
            </w:tcMar>
            <w:vAlign w:val="bottom"/>
            <w:hideMark/>
          </w:tcPr>
          <w:p w14:paraId="230845EB" w14:textId="77777777" w:rsidR="00000000" w:rsidRDefault="00EE5306">
            <w:pPr>
              <w:spacing w:after="100"/>
              <w:rPr>
                <w:rFonts w:eastAsia="Times New Roman"/>
              </w:rPr>
            </w:pPr>
            <w:r>
              <w:rPr>
                <w:rFonts w:eastAsia="Times New Roman"/>
                <w:color w:val="000000"/>
                <w:sz w:val="20"/>
                <w:szCs w:val="20"/>
              </w:rPr>
              <w:t>Machinery and equipment</w:t>
            </w:r>
          </w:p>
        </w:tc>
        <w:tc>
          <w:tcPr>
            <w:tcW w:w="0" w:type="auto"/>
            <w:gridSpan w:val="3"/>
            <w:shd w:val="clear" w:color="auto" w:fill="FFFFFF"/>
            <w:tcMar>
              <w:top w:w="0" w:type="dxa"/>
              <w:left w:w="20" w:type="dxa"/>
              <w:bottom w:w="0" w:type="dxa"/>
              <w:right w:w="20" w:type="dxa"/>
            </w:tcMar>
            <w:vAlign w:val="center"/>
            <w:hideMark/>
          </w:tcPr>
          <w:p w14:paraId="0F6F1B9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834EAC" w14:textId="77777777" w:rsidR="00000000" w:rsidRDefault="00EE5306">
            <w:pPr>
              <w:spacing w:after="100"/>
              <w:jc w:val="right"/>
              <w:rPr>
                <w:rFonts w:eastAsia="Times New Roman"/>
              </w:rPr>
            </w:pPr>
            <w:r>
              <w:rPr>
                <w:rFonts w:eastAsia="Times New Roman"/>
                <w:color w:val="000000"/>
                <w:sz w:val="20"/>
                <w:szCs w:val="20"/>
              </w:rPr>
              <w:t>391.8 </w:t>
            </w:r>
          </w:p>
        </w:tc>
        <w:tc>
          <w:tcPr>
            <w:tcW w:w="0" w:type="auto"/>
            <w:shd w:val="clear" w:color="auto" w:fill="FFFFFF"/>
            <w:tcMar>
              <w:top w:w="30" w:type="dxa"/>
              <w:left w:w="0" w:type="dxa"/>
              <w:bottom w:w="30" w:type="dxa"/>
              <w:right w:w="20" w:type="dxa"/>
            </w:tcMar>
            <w:vAlign w:val="bottom"/>
            <w:hideMark/>
          </w:tcPr>
          <w:p w14:paraId="2C6DE0E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5984D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48EE51" w14:textId="77777777" w:rsidR="00000000" w:rsidRDefault="00EE5306">
            <w:pPr>
              <w:spacing w:after="100"/>
              <w:jc w:val="right"/>
              <w:rPr>
                <w:rFonts w:eastAsia="Times New Roman"/>
              </w:rPr>
            </w:pPr>
            <w:r>
              <w:rPr>
                <w:rFonts w:eastAsia="Times New Roman"/>
                <w:color w:val="000000"/>
                <w:sz w:val="20"/>
                <w:szCs w:val="20"/>
              </w:rPr>
              <w:t>378.8 </w:t>
            </w:r>
          </w:p>
        </w:tc>
        <w:tc>
          <w:tcPr>
            <w:tcW w:w="0" w:type="auto"/>
            <w:shd w:val="clear" w:color="auto" w:fill="FFFFFF"/>
            <w:tcMar>
              <w:top w:w="30" w:type="dxa"/>
              <w:left w:w="0" w:type="dxa"/>
              <w:bottom w:w="30" w:type="dxa"/>
              <w:right w:w="20" w:type="dxa"/>
            </w:tcMar>
            <w:vAlign w:val="bottom"/>
            <w:hideMark/>
          </w:tcPr>
          <w:p w14:paraId="57EB493B" w14:textId="77777777" w:rsidR="00000000" w:rsidRDefault="00EE5306">
            <w:pPr>
              <w:spacing w:after="100"/>
              <w:jc w:val="right"/>
              <w:rPr>
                <w:rFonts w:eastAsia="Times New Roman"/>
              </w:rPr>
            </w:pPr>
          </w:p>
        </w:tc>
      </w:tr>
      <w:tr w:rsidR="00000000" w14:paraId="6C0894E9" w14:textId="77777777">
        <w:trPr>
          <w:divId w:val="267742949"/>
        </w:trPr>
        <w:tc>
          <w:tcPr>
            <w:tcW w:w="0" w:type="auto"/>
            <w:gridSpan w:val="3"/>
            <w:shd w:val="clear" w:color="auto" w:fill="CCEEFF"/>
            <w:tcMar>
              <w:top w:w="30" w:type="dxa"/>
              <w:left w:w="20" w:type="dxa"/>
              <w:bottom w:w="30" w:type="dxa"/>
              <w:right w:w="20" w:type="dxa"/>
            </w:tcMar>
            <w:vAlign w:val="bottom"/>
            <w:hideMark/>
          </w:tcPr>
          <w:p w14:paraId="5D39349A" w14:textId="77777777" w:rsidR="00000000" w:rsidRDefault="00EE5306">
            <w:pPr>
              <w:spacing w:after="100"/>
              <w:rPr>
                <w:rFonts w:eastAsia="Times New Roman"/>
              </w:rPr>
            </w:pPr>
            <w:r>
              <w:rPr>
                <w:rFonts w:eastAsia="Times New Roman"/>
                <w:color w:val="000000"/>
                <w:sz w:val="20"/>
                <w:szCs w:val="20"/>
              </w:rPr>
              <w:t>Capitalized software</w:t>
            </w:r>
          </w:p>
        </w:tc>
        <w:tc>
          <w:tcPr>
            <w:tcW w:w="0" w:type="auto"/>
            <w:gridSpan w:val="3"/>
            <w:shd w:val="clear" w:color="auto" w:fill="CCEEFF"/>
            <w:tcMar>
              <w:top w:w="0" w:type="dxa"/>
              <w:left w:w="20" w:type="dxa"/>
              <w:bottom w:w="0" w:type="dxa"/>
              <w:right w:w="20" w:type="dxa"/>
            </w:tcMar>
            <w:vAlign w:val="center"/>
            <w:hideMark/>
          </w:tcPr>
          <w:p w14:paraId="76A3DA2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F5CF36" w14:textId="77777777" w:rsidR="00000000" w:rsidRDefault="00EE5306">
            <w:pPr>
              <w:spacing w:after="100"/>
              <w:jc w:val="right"/>
              <w:rPr>
                <w:rFonts w:eastAsia="Times New Roman"/>
              </w:rPr>
            </w:pPr>
            <w:r>
              <w:rPr>
                <w:rFonts w:eastAsia="Times New Roman"/>
                <w:color w:val="000000"/>
                <w:sz w:val="20"/>
                <w:szCs w:val="20"/>
              </w:rPr>
              <w:t>555.2 </w:t>
            </w:r>
          </w:p>
        </w:tc>
        <w:tc>
          <w:tcPr>
            <w:tcW w:w="0" w:type="auto"/>
            <w:shd w:val="clear" w:color="auto" w:fill="CCEEFF"/>
            <w:tcMar>
              <w:top w:w="30" w:type="dxa"/>
              <w:left w:w="0" w:type="dxa"/>
              <w:bottom w:w="30" w:type="dxa"/>
              <w:right w:w="20" w:type="dxa"/>
            </w:tcMar>
            <w:vAlign w:val="bottom"/>
            <w:hideMark/>
          </w:tcPr>
          <w:p w14:paraId="1F1AFC9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5932F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057FE8" w14:textId="77777777" w:rsidR="00000000" w:rsidRDefault="00EE5306">
            <w:pPr>
              <w:spacing w:after="100"/>
              <w:jc w:val="right"/>
              <w:rPr>
                <w:rFonts w:eastAsia="Times New Roman"/>
              </w:rPr>
            </w:pPr>
            <w:r>
              <w:rPr>
                <w:rFonts w:eastAsia="Times New Roman"/>
                <w:color w:val="000000"/>
                <w:sz w:val="20"/>
                <w:szCs w:val="20"/>
              </w:rPr>
              <w:t>543.3 </w:t>
            </w:r>
          </w:p>
        </w:tc>
        <w:tc>
          <w:tcPr>
            <w:tcW w:w="0" w:type="auto"/>
            <w:shd w:val="clear" w:color="auto" w:fill="CCEEFF"/>
            <w:tcMar>
              <w:top w:w="30" w:type="dxa"/>
              <w:left w:w="0" w:type="dxa"/>
              <w:bottom w:w="30" w:type="dxa"/>
              <w:right w:w="20" w:type="dxa"/>
            </w:tcMar>
            <w:vAlign w:val="bottom"/>
            <w:hideMark/>
          </w:tcPr>
          <w:p w14:paraId="5408AE03" w14:textId="77777777" w:rsidR="00000000" w:rsidRDefault="00EE5306">
            <w:pPr>
              <w:spacing w:after="100"/>
              <w:jc w:val="right"/>
              <w:rPr>
                <w:rFonts w:eastAsia="Times New Roman"/>
              </w:rPr>
            </w:pPr>
          </w:p>
        </w:tc>
      </w:tr>
      <w:tr w:rsidR="00000000" w14:paraId="31DFBBC3" w14:textId="77777777">
        <w:trPr>
          <w:divId w:val="267742949"/>
        </w:trPr>
        <w:tc>
          <w:tcPr>
            <w:tcW w:w="0" w:type="auto"/>
            <w:gridSpan w:val="3"/>
            <w:shd w:val="clear" w:color="auto" w:fill="FFFFFF"/>
            <w:tcMar>
              <w:top w:w="30" w:type="dxa"/>
              <w:left w:w="20" w:type="dxa"/>
              <w:bottom w:w="30" w:type="dxa"/>
              <w:right w:w="20" w:type="dxa"/>
            </w:tcMar>
            <w:vAlign w:val="bottom"/>
            <w:hideMark/>
          </w:tcPr>
          <w:p w14:paraId="20459719" w14:textId="77777777" w:rsidR="00000000" w:rsidRDefault="00EE5306">
            <w:pPr>
              <w:spacing w:after="100"/>
              <w:rPr>
                <w:rFonts w:eastAsia="Times New Roman"/>
              </w:rPr>
            </w:pPr>
            <w:r>
              <w:rPr>
                <w:rFonts w:eastAsia="Times New Roman"/>
                <w:color w:val="000000"/>
                <w:sz w:val="20"/>
                <w:szCs w:val="20"/>
              </w:rPr>
              <w:t>Leasehold improvements</w:t>
            </w:r>
          </w:p>
        </w:tc>
        <w:tc>
          <w:tcPr>
            <w:tcW w:w="0" w:type="auto"/>
            <w:gridSpan w:val="3"/>
            <w:shd w:val="clear" w:color="auto" w:fill="FFFFFF"/>
            <w:tcMar>
              <w:top w:w="0" w:type="dxa"/>
              <w:left w:w="20" w:type="dxa"/>
              <w:bottom w:w="0" w:type="dxa"/>
              <w:right w:w="20" w:type="dxa"/>
            </w:tcMar>
            <w:vAlign w:val="center"/>
            <w:hideMark/>
          </w:tcPr>
          <w:p w14:paraId="28C255A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5CAAA7" w14:textId="77777777" w:rsidR="00000000" w:rsidRDefault="00EE5306">
            <w:pPr>
              <w:spacing w:after="100"/>
              <w:jc w:val="right"/>
              <w:rPr>
                <w:rFonts w:eastAsia="Times New Roman"/>
              </w:rPr>
            </w:pPr>
            <w:r>
              <w:rPr>
                <w:rFonts w:eastAsia="Times New Roman"/>
                <w:color w:val="000000"/>
                <w:sz w:val="20"/>
                <w:szCs w:val="20"/>
              </w:rPr>
              <w:t>1,207.2 </w:t>
            </w:r>
          </w:p>
        </w:tc>
        <w:tc>
          <w:tcPr>
            <w:tcW w:w="0" w:type="auto"/>
            <w:shd w:val="clear" w:color="auto" w:fill="FFFFFF"/>
            <w:tcMar>
              <w:top w:w="30" w:type="dxa"/>
              <w:left w:w="0" w:type="dxa"/>
              <w:bottom w:w="30" w:type="dxa"/>
              <w:right w:w="20" w:type="dxa"/>
            </w:tcMar>
            <w:vAlign w:val="bottom"/>
            <w:hideMark/>
          </w:tcPr>
          <w:p w14:paraId="780BB15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F4D4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65054C" w14:textId="77777777" w:rsidR="00000000" w:rsidRDefault="00EE5306">
            <w:pPr>
              <w:spacing w:after="100"/>
              <w:jc w:val="right"/>
              <w:rPr>
                <w:rFonts w:eastAsia="Times New Roman"/>
              </w:rPr>
            </w:pPr>
            <w:r>
              <w:rPr>
                <w:rFonts w:eastAsia="Times New Roman"/>
                <w:color w:val="000000"/>
                <w:sz w:val="20"/>
                <w:szCs w:val="20"/>
              </w:rPr>
              <w:t>1,194.5 </w:t>
            </w:r>
          </w:p>
        </w:tc>
        <w:tc>
          <w:tcPr>
            <w:tcW w:w="0" w:type="auto"/>
            <w:shd w:val="clear" w:color="auto" w:fill="FFFFFF"/>
            <w:tcMar>
              <w:top w:w="30" w:type="dxa"/>
              <w:left w:w="0" w:type="dxa"/>
              <w:bottom w:w="30" w:type="dxa"/>
              <w:right w:w="20" w:type="dxa"/>
            </w:tcMar>
            <w:vAlign w:val="bottom"/>
            <w:hideMark/>
          </w:tcPr>
          <w:p w14:paraId="5B89005C" w14:textId="77777777" w:rsidR="00000000" w:rsidRDefault="00EE5306">
            <w:pPr>
              <w:spacing w:after="100"/>
              <w:jc w:val="right"/>
              <w:rPr>
                <w:rFonts w:eastAsia="Times New Roman"/>
              </w:rPr>
            </w:pPr>
          </w:p>
        </w:tc>
      </w:tr>
      <w:tr w:rsidR="00000000" w14:paraId="01FE21DC" w14:textId="77777777">
        <w:trPr>
          <w:divId w:val="267742949"/>
        </w:trPr>
        <w:tc>
          <w:tcPr>
            <w:tcW w:w="0" w:type="auto"/>
            <w:gridSpan w:val="3"/>
            <w:shd w:val="clear" w:color="auto" w:fill="CCEEFF"/>
            <w:tcMar>
              <w:top w:w="30" w:type="dxa"/>
              <w:left w:w="20" w:type="dxa"/>
              <w:bottom w:w="30" w:type="dxa"/>
              <w:right w:w="20" w:type="dxa"/>
            </w:tcMar>
            <w:vAlign w:val="bottom"/>
            <w:hideMark/>
          </w:tcPr>
          <w:p w14:paraId="6F3308B8" w14:textId="77777777" w:rsidR="00000000" w:rsidRDefault="00EE5306">
            <w:pPr>
              <w:spacing w:after="100"/>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14:paraId="13E275B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CB3636" w14:textId="77777777" w:rsidR="00000000" w:rsidRDefault="00EE5306">
            <w:pPr>
              <w:spacing w:after="100"/>
              <w:jc w:val="right"/>
              <w:rPr>
                <w:rFonts w:eastAsia="Times New Roman"/>
              </w:rPr>
            </w:pPr>
            <w:r>
              <w:rPr>
                <w:rFonts w:eastAsia="Times New Roman"/>
                <w:color w:val="000000"/>
                <w:sz w:val="20"/>
                <w:szCs w:val="20"/>
              </w:rPr>
              <w:t>34.5 </w:t>
            </w:r>
          </w:p>
        </w:tc>
        <w:tc>
          <w:tcPr>
            <w:tcW w:w="0" w:type="auto"/>
            <w:shd w:val="clear" w:color="auto" w:fill="CCEEFF"/>
            <w:tcMar>
              <w:top w:w="30" w:type="dxa"/>
              <w:left w:w="0" w:type="dxa"/>
              <w:bottom w:w="30" w:type="dxa"/>
              <w:right w:w="20" w:type="dxa"/>
            </w:tcMar>
            <w:vAlign w:val="bottom"/>
            <w:hideMark/>
          </w:tcPr>
          <w:p w14:paraId="1BEBA71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4C49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A69C0A" w14:textId="77777777" w:rsidR="00000000" w:rsidRDefault="00EE5306">
            <w:pPr>
              <w:spacing w:after="100"/>
              <w:jc w:val="right"/>
              <w:rPr>
                <w:rFonts w:eastAsia="Times New Roman"/>
              </w:rPr>
            </w:pPr>
            <w:r>
              <w:rPr>
                <w:rFonts w:eastAsia="Times New Roman"/>
                <w:color w:val="000000"/>
                <w:sz w:val="20"/>
                <w:szCs w:val="20"/>
              </w:rPr>
              <w:t>37.5 </w:t>
            </w:r>
          </w:p>
        </w:tc>
        <w:tc>
          <w:tcPr>
            <w:tcW w:w="0" w:type="auto"/>
            <w:shd w:val="clear" w:color="auto" w:fill="CCEEFF"/>
            <w:tcMar>
              <w:top w:w="30" w:type="dxa"/>
              <w:left w:w="0" w:type="dxa"/>
              <w:bottom w:w="30" w:type="dxa"/>
              <w:right w:w="20" w:type="dxa"/>
            </w:tcMar>
            <w:vAlign w:val="bottom"/>
            <w:hideMark/>
          </w:tcPr>
          <w:p w14:paraId="0EBCF48B" w14:textId="77777777" w:rsidR="00000000" w:rsidRDefault="00EE5306">
            <w:pPr>
              <w:spacing w:after="100"/>
              <w:jc w:val="right"/>
              <w:rPr>
                <w:rFonts w:eastAsia="Times New Roman"/>
              </w:rPr>
            </w:pPr>
          </w:p>
        </w:tc>
      </w:tr>
      <w:tr w:rsidR="00000000" w14:paraId="0E349199" w14:textId="77777777">
        <w:trPr>
          <w:divId w:val="267742949"/>
        </w:trPr>
        <w:tc>
          <w:tcPr>
            <w:tcW w:w="0" w:type="auto"/>
            <w:gridSpan w:val="3"/>
            <w:shd w:val="clear" w:color="auto" w:fill="FFFFFF"/>
            <w:tcMar>
              <w:top w:w="0" w:type="dxa"/>
              <w:left w:w="20" w:type="dxa"/>
              <w:bottom w:w="0" w:type="dxa"/>
              <w:right w:w="20" w:type="dxa"/>
            </w:tcMar>
            <w:vAlign w:val="center"/>
            <w:hideMark/>
          </w:tcPr>
          <w:p w14:paraId="0D65B297"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811125"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7B6B18" w14:textId="77777777" w:rsidR="00000000" w:rsidRDefault="00EE5306">
            <w:pPr>
              <w:spacing w:after="100"/>
              <w:jc w:val="right"/>
              <w:rPr>
                <w:rFonts w:eastAsia="Times New Roman"/>
              </w:rPr>
            </w:pPr>
            <w:r>
              <w:rPr>
                <w:rFonts w:eastAsia="Times New Roman"/>
                <w:color w:val="000000"/>
                <w:sz w:val="20"/>
                <w:szCs w:val="20"/>
              </w:rPr>
              <w:t>3,305.7 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C8497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73A98"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4F7CF6" w14:textId="77777777" w:rsidR="00000000" w:rsidRDefault="00EE5306">
            <w:pPr>
              <w:spacing w:after="100"/>
              <w:jc w:val="right"/>
              <w:rPr>
                <w:rFonts w:eastAsia="Times New Roman"/>
              </w:rPr>
            </w:pPr>
            <w:r>
              <w:rPr>
                <w:rFonts w:eastAsia="Times New Roman"/>
                <w:color w:val="000000"/>
                <w:sz w:val="20"/>
                <w:szCs w:val="20"/>
              </w:rPr>
              <w:t>3,107.9 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79B57F" w14:textId="77777777" w:rsidR="00000000" w:rsidRDefault="00EE5306">
            <w:pPr>
              <w:spacing w:after="100"/>
              <w:jc w:val="right"/>
              <w:rPr>
                <w:rFonts w:eastAsia="Times New Roman"/>
              </w:rPr>
            </w:pPr>
          </w:p>
        </w:tc>
      </w:tr>
      <w:tr w:rsidR="00000000" w14:paraId="2161F28F" w14:textId="77777777">
        <w:trPr>
          <w:divId w:val="267742949"/>
        </w:trPr>
        <w:tc>
          <w:tcPr>
            <w:tcW w:w="0" w:type="auto"/>
            <w:gridSpan w:val="3"/>
            <w:shd w:val="clear" w:color="auto" w:fill="CCEEFF"/>
            <w:tcMar>
              <w:top w:w="30" w:type="dxa"/>
              <w:left w:w="20" w:type="dxa"/>
              <w:bottom w:w="30" w:type="dxa"/>
              <w:right w:w="20" w:type="dxa"/>
            </w:tcMar>
            <w:vAlign w:val="bottom"/>
            <w:hideMark/>
          </w:tcPr>
          <w:p w14:paraId="11C24080" w14:textId="77777777" w:rsidR="00000000" w:rsidRDefault="00EE5306">
            <w:pPr>
              <w:spacing w:after="100"/>
              <w:rPr>
                <w:rFonts w:eastAsia="Times New Roman"/>
              </w:rPr>
            </w:pPr>
            <w:r>
              <w:rPr>
                <w:rFonts w:eastAsia="Times New Roman"/>
                <w:color w:val="000000"/>
                <w:sz w:val="20"/>
                <w:szCs w:val="20"/>
              </w:rPr>
              <w:t>Less: accumulated depreciation</w:t>
            </w:r>
          </w:p>
        </w:tc>
        <w:tc>
          <w:tcPr>
            <w:tcW w:w="0" w:type="auto"/>
            <w:gridSpan w:val="3"/>
            <w:shd w:val="clear" w:color="auto" w:fill="CCEEFF"/>
            <w:tcMar>
              <w:top w:w="0" w:type="dxa"/>
              <w:left w:w="20" w:type="dxa"/>
              <w:bottom w:w="0" w:type="dxa"/>
              <w:right w:w="20" w:type="dxa"/>
            </w:tcMar>
            <w:vAlign w:val="center"/>
            <w:hideMark/>
          </w:tcPr>
          <w:p w14:paraId="64311E8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6D0B71" w14:textId="77777777" w:rsidR="00000000" w:rsidRDefault="00EE5306">
            <w:pPr>
              <w:spacing w:after="100"/>
              <w:jc w:val="right"/>
              <w:rPr>
                <w:rFonts w:eastAsia="Times New Roman"/>
              </w:rPr>
            </w:pPr>
            <w:r>
              <w:rPr>
                <w:rFonts w:eastAsia="Times New Roman"/>
                <w:color w:val="000000"/>
                <w:sz w:val="20"/>
                <w:szCs w:val="20"/>
              </w:rPr>
              <w:t>(2,291.7)</w:t>
            </w:r>
          </w:p>
        </w:tc>
        <w:tc>
          <w:tcPr>
            <w:tcW w:w="0" w:type="auto"/>
            <w:shd w:val="clear" w:color="auto" w:fill="CCEEFF"/>
            <w:tcMar>
              <w:top w:w="30" w:type="dxa"/>
              <w:left w:w="0" w:type="dxa"/>
              <w:bottom w:w="30" w:type="dxa"/>
              <w:right w:w="20" w:type="dxa"/>
            </w:tcMar>
            <w:vAlign w:val="bottom"/>
            <w:hideMark/>
          </w:tcPr>
          <w:p w14:paraId="315CC53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5CC2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75EED4" w14:textId="77777777" w:rsidR="00000000" w:rsidRDefault="00EE5306">
            <w:pPr>
              <w:spacing w:after="100"/>
              <w:jc w:val="right"/>
              <w:rPr>
                <w:rFonts w:eastAsia="Times New Roman"/>
              </w:rPr>
            </w:pPr>
            <w:r>
              <w:rPr>
                <w:rFonts w:eastAsia="Times New Roman"/>
                <w:color w:val="000000"/>
                <w:sz w:val="20"/>
                <w:szCs w:val="20"/>
              </w:rPr>
              <w:t>(2,128.4)</w:t>
            </w:r>
          </w:p>
        </w:tc>
        <w:tc>
          <w:tcPr>
            <w:tcW w:w="0" w:type="auto"/>
            <w:shd w:val="clear" w:color="auto" w:fill="CCEEFF"/>
            <w:tcMar>
              <w:top w:w="30" w:type="dxa"/>
              <w:left w:w="0" w:type="dxa"/>
              <w:bottom w:w="30" w:type="dxa"/>
              <w:right w:w="20" w:type="dxa"/>
            </w:tcMar>
            <w:vAlign w:val="bottom"/>
            <w:hideMark/>
          </w:tcPr>
          <w:p w14:paraId="4357FBC1" w14:textId="77777777" w:rsidR="00000000" w:rsidRDefault="00EE5306">
            <w:pPr>
              <w:spacing w:after="100"/>
              <w:jc w:val="right"/>
              <w:rPr>
                <w:rFonts w:eastAsia="Times New Roman"/>
              </w:rPr>
            </w:pPr>
          </w:p>
        </w:tc>
      </w:tr>
      <w:tr w:rsidR="00000000" w14:paraId="4ED338DD" w14:textId="77777777">
        <w:trPr>
          <w:divId w:val="267742949"/>
        </w:trPr>
        <w:tc>
          <w:tcPr>
            <w:tcW w:w="0" w:type="auto"/>
            <w:gridSpan w:val="3"/>
            <w:shd w:val="clear" w:color="auto" w:fill="FFFFFF"/>
            <w:tcMar>
              <w:top w:w="30" w:type="dxa"/>
              <w:left w:w="245" w:type="dxa"/>
              <w:bottom w:w="30" w:type="dxa"/>
              <w:right w:w="20" w:type="dxa"/>
            </w:tcMar>
            <w:vAlign w:val="bottom"/>
            <w:hideMark/>
          </w:tcPr>
          <w:p w14:paraId="45A30A73" w14:textId="77777777" w:rsidR="00000000" w:rsidRDefault="00EE5306">
            <w:pPr>
              <w:spacing w:after="100"/>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14:paraId="1AD4C7F4"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079DE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408A17" w14:textId="77777777" w:rsidR="00000000" w:rsidRDefault="00EE5306">
            <w:pPr>
              <w:spacing w:after="100"/>
              <w:jc w:val="right"/>
              <w:rPr>
                <w:rFonts w:eastAsia="Times New Roman"/>
              </w:rPr>
            </w:pPr>
            <w:r>
              <w:rPr>
                <w:rFonts w:eastAsia="Times New Roman"/>
                <w:color w:val="000000"/>
                <w:sz w:val="20"/>
                <w:szCs w:val="20"/>
              </w:rPr>
              <w:t>1,014.0 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FE8DF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90F13"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E43DA4"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1DB271" w14:textId="77777777" w:rsidR="00000000" w:rsidRDefault="00EE5306">
            <w:pPr>
              <w:spacing w:after="100"/>
              <w:jc w:val="right"/>
              <w:rPr>
                <w:rFonts w:eastAsia="Times New Roman"/>
              </w:rPr>
            </w:pPr>
            <w:r>
              <w:rPr>
                <w:rFonts w:eastAsia="Times New Roman"/>
                <w:color w:val="000000"/>
                <w:sz w:val="20"/>
                <w:szCs w:val="20"/>
              </w:rPr>
              <w:t>979.5 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536840" w14:textId="77777777" w:rsidR="00000000" w:rsidRDefault="00EE5306">
            <w:pPr>
              <w:spacing w:after="100"/>
              <w:jc w:val="right"/>
              <w:rPr>
                <w:rFonts w:eastAsia="Times New Roman"/>
              </w:rPr>
            </w:pPr>
          </w:p>
        </w:tc>
      </w:tr>
    </w:tbl>
    <w:p w14:paraId="1839596B" w14:textId="77777777" w:rsidR="00000000" w:rsidRDefault="00EE5306">
      <w:pPr>
        <w:ind w:firstLine="540"/>
        <w:jc w:val="both"/>
        <w:divId w:val="2086026310"/>
        <w:rPr>
          <w:rFonts w:eastAsia="Times New Roman"/>
        </w:rPr>
      </w:pPr>
      <w:r>
        <w:rPr>
          <w:rFonts w:eastAsia="Times New Roman"/>
          <w:color w:val="000000"/>
          <w:sz w:val="20"/>
          <w:szCs w:val="20"/>
        </w:rPr>
        <w:t>Property and equipment, net includes finance lease ROU assets, which are reflected in the table above based on their nature.</w:t>
      </w:r>
    </w:p>
    <w:p w14:paraId="6B281D42" w14:textId="77777777" w:rsidR="00000000" w:rsidRDefault="00EE5306">
      <w:pPr>
        <w:ind w:firstLine="540"/>
        <w:jc w:val="both"/>
        <w:divId w:val="1905216579"/>
        <w:rPr>
          <w:rFonts w:eastAsia="Times New Roman"/>
        </w:rPr>
      </w:pPr>
      <w:r>
        <w:rPr>
          <w:rFonts w:eastAsia="Times New Roman"/>
          <w:color w:val="000000"/>
          <w:sz w:val="20"/>
          <w:szCs w:val="20"/>
        </w:rPr>
        <w:t>Depreciation expense was $227.4 million, $246.6 million, and $257.8 million during Fiscal 2021, Fiscal 2020, and Fiscal 2019, resp</w:t>
      </w:r>
      <w:r>
        <w:rPr>
          <w:rFonts w:eastAsia="Times New Roman"/>
          <w:color w:val="000000"/>
          <w:sz w:val="20"/>
          <w:szCs w:val="20"/>
        </w:rPr>
        <w:t>ectively, and is recorded primarily within SG&amp;A expenses in the consolidated statements of operations.</w:t>
      </w:r>
    </w:p>
    <w:p w14:paraId="7CF76070" w14:textId="77777777" w:rsidR="00000000" w:rsidRDefault="00EE5306">
      <w:pPr>
        <w:ind w:hanging="540"/>
        <w:divId w:val="1444037990"/>
        <w:rPr>
          <w:rFonts w:eastAsia="Times New Roman"/>
        </w:rPr>
      </w:pPr>
      <w:r>
        <w:rPr>
          <w:rFonts w:eastAsia="Times New Roman"/>
          <w:b/>
          <w:bCs/>
          <w:color w:val="000000"/>
          <w:sz w:val="20"/>
          <w:szCs w:val="20"/>
        </w:rPr>
        <w:t>6.    Goodwill and Other Intangible Assets</w:t>
      </w:r>
    </w:p>
    <w:p w14:paraId="393BA572" w14:textId="77777777" w:rsidR="00000000" w:rsidRDefault="00EE5306">
      <w:pPr>
        <w:ind w:firstLine="360"/>
        <w:divId w:val="2024358602"/>
        <w:rPr>
          <w:rFonts w:eastAsia="Times New Roman"/>
        </w:rPr>
      </w:pPr>
      <w:r>
        <w:rPr>
          <w:rFonts w:eastAsia="Times New Roman"/>
          <w:b/>
          <w:bCs/>
          <w:i/>
          <w:iCs/>
          <w:color w:val="000000"/>
          <w:sz w:val="20"/>
          <w:szCs w:val="20"/>
        </w:rPr>
        <w:t>Goodwill</w:t>
      </w:r>
    </w:p>
    <w:p w14:paraId="4046CA86" w14:textId="77777777" w:rsidR="00000000" w:rsidRDefault="00EE5306">
      <w:pPr>
        <w:ind w:firstLine="540"/>
        <w:jc w:val="both"/>
        <w:divId w:val="1833911006"/>
        <w:rPr>
          <w:rFonts w:eastAsia="Times New Roman"/>
        </w:rPr>
      </w:pPr>
      <w:r>
        <w:rPr>
          <w:rFonts w:eastAsia="Times New Roman"/>
          <w:color w:val="000000"/>
          <w:sz w:val="20"/>
          <w:szCs w:val="20"/>
        </w:rPr>
        <w:t xml:space="preserve">The following table details the changes in goodwill for each of the Company's segments during Fiscal 2021 and Fiscal 2020: </w:t>
      </w:r>
    </w:p>
    <w:tbl>
      <w:tblPr>
        <w:tblW w:w="4700" w:type="pct"/>
        <w:tblCellMar>
          <w:top w:w="15" w:type="dxa"/>
          <w:left w:w="15" w:type="dxa"/>
          <w:bottom w:w="15" w:type="dxa"/>
          <w:right w:w="15" w:type="dxa"/>
        </w:tblCellMar>
        <w:tblLook w:val="04A0" w:firstRow="1" w:lastRow="0" w:firstColumn="1" w:lastColumn="0" w:noHBand="0" w:noVBand="1"/>
      </w:tblPr>
      <w:tblGrid>
        <w:gridCol w:w="38"/>
        <w:gridCol w:w="3620"/>
        <w:gridCol w:w="37"/>
        <w:gridCol w:w="36"/>
        <w:gridCol w:w="36"/>
        <w:gridCol w:w="36"/>
        <w:gridCol w:w="120"/>
        <w:gridCol w:w="526"/>
        <w:gridCol w:w="36"/>
        <w:gridCol w:w="36"/>
        <w:gridCol w:w="36"/>
        <w:gridCol w:w="36"/>
        <w:gridCol w:w="120"/>
        <w:gridCol w:w="526"/>
        <w:gridCol w:w="36"/>
        <w:gridCol w:w="36"/>
        <w:gridCol w:w="36"/>
        <w:gridCol w:w="36"/>
        <w:gridCol w:w="120"/>
        <w:gridCol w:w="528"/>
        <w:gridCol w:w="36"/>
        <w:gridCol w:w="36"/>
        <w:gridCol w:w="36"/>
        <w:gridCol w:w="36"/>
        <w:gridCol w:w="121"/>
        <w:gridCol w:w="712"/>
        <w:gridCol w:w="36"/>
        <w:gridCol w:w="36"/>
        <w:gridCol w:w="36"/>
        <w:gridCol w:w="36"/>
        <w:gridCol w:w="120"/>
        <w:gridCol w:w="500"/>
        <w:gridCol w:w="36"/>
      </w:tblGrid>
      <w:tr w:rsidR="00000000" w14:paraId="7197DEA2" w14:textId="77777777">
        <w:trPr>
          <w:divId w:val="1594625630"/>
        </w:trPr>
        <w:tc>
          <w:tcPr>
            <w:tcW w:w="50" w:type="pct"/>
            <w:vAlign w:val="center"/>
            <w:hideMark/>
          </w:tcPr>
          <w:p w14:paraId="76D454C9" w14:textId="77777777" w:rsidR="00000000" w:rsidRDefault="00EE5306">
            <w:pPr>
              <w:ind w:firstLine="540"/>
              <w:jc w:val="both"/>
              <w:rPr>
                <w:rFonts w:eastAsia="Times New Roman"/>
              </w:rPr>
            </w:pPr>
          </w:p>
        </w:tc>
        <w:tc>
          <w:tcPr>
            <w:tcW w:w="2378" w:type="pct"/>
            <w:vAlign w:val="center"/>
            <w:hideMark/>
          </w:tcPr>
          <w:p w14:paraId="4AC5A89E" w14:textId="77777777" w:rsidR="00000000" w:rsidRDefault="00EE5306">
            <w:pPr>
              <w:spacing w:after="100"/>
              <w:rPr>
                <w:rFonts w:eastAsia="Times New Roman"/>
                <w:sz w:val="20"/>
                <w:szCs w:val="20"/>
              </w:rPr>
            </w:pPr>
          </w:p>
        </w:tc>
        <w:tc>
          <w:tcPr>
            <w:tcW w:w="5" w:type="pct"/>
            <w:vAlign w:val="center"/>
            <w:hideMark/>
          </w:tcPr>
          <w:p w14:paraId="1BE28A25" w14:textId="77777777" w:rsidR="00000000" w:rsidRDefault="00EE5306">
            <w:pPr>
              <w:spacing w:after="100"/>
              <w:rPr>
                <w:rFonts w:eastAsia="Times New Roman"/>
                <w:sz w:val="20"/>
                <w:szCs w:val="20"/>
              </w:rPr>
            </w:pPr>
          </w:p>
        </w:tc>
        <w:tc>
          <w:tcPr>
            <w:tcW w:w="5" w:type="pct"/>
            <w:vAlign w:val="center"/>
            <w:hideMark/>
          </w:tcPr>
          <w:p w14:paraId="5CDA71A0" w14:textId="77777777" w:rsidR="00000000" w:rsidRDefault="00EE5306">
            <w:pPr>
              <w:spacing w:after="100"/>
              <w:rPr>
                <w:rFonts w:eastAsia="Times New Roman"/>
                <w:sz w:val="20"/>
                <w:szCs w:val="20"/>
              </w:rPr>
            </w:pPr>
          </w:p>
        </w:tc>
        <w:tc>
          <w:tcPr>
            <w:tcW w:w="28" w:type="pct"/>
            <w:vAlign w:val="center"/>
            <w:hideMark/>
          </w:tcPr>
          <w:p w14:paraId="4345EC34" w14:textId="77777777" w:rsidR="00000000" w:rsidRDefault="00EE5306">
            <w:pPr>
              <w:spacing w:after="100"/>
              <w:rPr>
                <w:rFonts w:eastAsia="Times New Roman"/>
                <w:sz w:val="20"/>
                <w:szCs w:val="20"/>
              </w:rPr>
            </w:pPr>
          </w:p>
        </w:tc>
        <w:tc>
          <w:tcPr>
            <w:tcW w:w="5" w:type="pct"/>
            <w:vAlign w:val="center"/>
            <w:hideMark/>
          </w:tcPr>
          <w:p w14:paraId="6C836200" w14:textId="77777777" w:rsidR="00000000" w:rsidRDefault="00EE5306">
            <w:pPr>
              <w:spacing w:after="100"/>
              <w:rPr>
                <w:rFonts w:eastAsia="Times New Roman"/>
                <w:sz w:val="20"/>
                <w:szCs w:val="20"/>
              </w:rPr>
            </w:pPr>
          </w:p>
        </w:tc>
        <w:tc>
          <w:tcPr>
            <w:tcW w:w="50" w:type="pct"/>
            <w:vAlign w:val="center"/>
            <w:hideMark/>
          </w:tcPr>
          <w:p w14:paraId="07539569" w14:textId="77777777" w:rsidR="00000000" w:rsidRDefault="00EE5306">
            <w:pPr>
              <w:spacing w:after="100"/>
              <w:rPr>
                <w:rFonts w:eastAsia="Times New Roman"/>
                <w:sz w:val="20"/>
                <w:szCs w:val="20"/>
              </w:rPr>
            </w:pPr>
          </w:p>
        </w:tc>
        <w:tc>
          <w:tcPr>
            <w:tcW w:w="419" w:type="pct"/>
            <w:vAlign w:val="center"/>
            <w:hideMark/>
          </w:tcPr>
          <w:p w14:paraId="2C9796EA" w14:textId="77777777" w:rsidR="00000000" w:rsidRDefault="00EE5306">
            <w:pPr>
              <w:spacing w:after="100"/>
              <w:rPr>
                <w:rFonts w:eastAsia="Times New Roman"/>
                <w:sz w:val="20"/>
                <w:szCs w:val="20"/>
              </w:rPr>
            </w:pPr>
          </w:p>
        </w:tc>
        <w:tc>
          <w:tcPr>
            <w:tcW w:w="5" w:type="pct"/>
            <w:vAlign w:val="center"/>
            <w:hideMark/>
          </w:tcPr>
          <w:p w14:paraId="4E856A92" w14:textId="77777777" w:rsidR="00000000" w:rsidRDefault="00EE5306">
            <w:pPr>
              <w:spacing w:after="100"/>
              <w:rPr>
                <w:rFonts w:eastAsia="Times New Roman"/>
                <w:sz w:val="20"/>
                <w:szCs w:val="20"/>
              </w:rPr>
            </w:pPr>
          </w:p>
        </w:tc>
        <w:tc>
          <w:tcPr>
            <w:tcW w:w="5" w:type="pct"/>
            <w:vAlign w:val="center"/>
            <w:hideMark/>
          </w:tcPr>
          <w:p w14:paraId="6F563B87" w14:textId="77777777" w:rsidR="00000000" w:rsidRDefault="00EE5306">
            <w:pPr>
              <w:spacing w:after="100"/>
              <w:rPr>
                <w:rFonts w:eastAsia="Times New Roman"/>
                <w:sz w:val="20"/>
                <w:szCs w:val="20"/>
              </w:rPr>
            </w:pPr>
          </w:p>
        </w:tc>
        <w:tc>
          <w:tcPr>
            <w:tcW w:w="28" w:type="pct"/>
            <w:vAlign w:val="center"/>
            <w:hideMark/>
          </w:tcPr>
          <w:p w14:paraId="5A3697BD" w14:textId="77777777" w:rsidR="00000000" w:rsidRDefault="00EE5306">
            <w:pPr>
              <w:spacing w:after="100"/>
              <w:rPr>
                <w:rFonts w:eastAsia="Times New Roman"/>
                <w:sz w:val="20"/>
                <w:szCs w:val="20"/>
              </w:rPr>
            </w:pPr>
          </w:p>
        </w:tc>
        <w:tc>
          <w:tcPr>
            <w:tcW w:w="5" w:type="pct"/>
            <w:vAlign w:val="center"/>
            <w:hideMark/>
          </w:tcPr>
          <w:p w14:paraId="7B680480" w14:textId="77777777" w:rsidR="00000000" w:rsidRDefault="00EE5306">
            <w:pPr>
              <w:spacing w:after="100"/>
              <w:rPr>
                <w:rFonts w:eastAsia="Times New Roman"/>
                <w:sz w:val="20"/>
                <w:szCs w:val="20"/>
              </w:rPr>
            </w:pPr>
          </w:p>
        </w:tc>
        <w:tc>
          <w:tcPr>
            <w:tcW w:w="50" w:type="pct"/>
            <w:vAlign w:val="center"/>
            <w:hideMark/>
          </w:tcPr>
          <w:p w14:paraId="60819058" w14:textId="77777777" w:rsidR="00000000" w:rsidRDefault="00EE5306">
            <w:pPr>
              <w:spacing w:after="100"/>
              <w:rPr>
                <w:rFonts w:eastAsia="Times New Roman"/>
                <w:sz w:val="20"/>
                <w:szCs w:val="20"/>
              </w:rPr>
            </w:pPr>
          </w:p>
        </w:tc>
        <w:tc>
          <w:tcPr>
            <w:tcW w:w="419" w:type="pct"/>
            <w:vAlign w:val="center"/>
            <w:hideMark/>
          </w:tcPr>
          <w:p w14:paraId="658B64E5" w14:textId="77777777" w:rsidR="00000000" w:rsidRDefault="00EE5306">
            <w:pPr>
              <w:spacing w:after="100"/>
              <w:rPr>
                <w:rFonts w:eastAsia="Times New Roman"/>
                <w:sz w:val="20"/>
                <w:szCs w:val="20"/>
              </w:rPr>
            </w:pPr>
          </w:p>
        </w:tc>
        <w:tc>
          <w:tcPr>
            <w:tcW w:w="5" w:type="pct"/>
            <w:vAlign w:val="center"/>
            <w:hideMark/>
          </w:tcPr>
          <w:p w14:paraId="2FAA98BB" w14:textId="77777777" w:rsidR="00000000" w:rsidRDefault="00EE5306">
            <w:pPr>
              <w:spacing w:after="100"/>
              <w:rPr>
                <w:rFonts w:eastAsia="Times New Roman"/>
                <w:sz w:val="20"/>
                <w:szCs w:val="20"/>
              </w:rPr>
            </w:pPr>
          </w:p>
        </w:tc>
        <w:tc>
          <w:tcPr>
            <w:tcW w:w="5" w:type="pct"/>
            <w:vAlign w:val="center"/>
            <w:hideMark/>
          </w:tcPr>
          <w:p w14:paraId="3EB21B38" w14:textId="77777777" w:rsidR="00000000" w:rsidRDefault="00EE5306">
            <w:pPr>
              <w:spacing w:after="100"/>
              <w:rPr>
                <w:rFonts w:eastAsia="Times New Roman"/>
                <w:sz w:val="20"/>
                <w:szCs w:val="20"/>
              </w:rPr>
            </w:pPr>
          </w:p>
        </w:tc>
        <w:tc>
          <w:tcPr>
            <w:tcW w:w="28" w:type="pct"/>
            <w:vAlign w:val="center"/>
            <w:hideMark/>
          </w:tcPr>
          <w:p w14:paraId="51CB12A7" w14:textId="77777777" w:rsidR="00000000" w:rsidRDefault="00EE5306">
            <w:pPr>
              <w:spacing w:after="100"/>
              <w:rPr>
                <w:rFonts w:eastAsia="Times New Roman"/>
                <w:sz w:val="20"/>
                <w:szCs w:val="20"/>
              </w:rPr>
            </w:pPr>
          </w:p>
        </w:tc>
        <w:tc>
          <w:tcPr>
            <w:tcW w:w="5" w:type="pct"/>
            <w:vAlign w:val="center"/>
            <w:hideMark/>
          </w:tcPr>
          <w:p w14:paraId="76976C4D" w14:textId="77777777" w:rsidR="00000000" w:rsidRDefault="00EE5306">
            <w:pPr>
              <w:spacing w:after="100"/>
              <w:rPr>
                <w:rFonts w:eastAsia="Times New Roman"/>
                <w:sz w:val="20"/>
                <w:szCs w:val="20"/>
              </w:rPr>
            </w:pPr>
          </w:p>
        </w:tc>
        <w:tc>
          <w:tcPr>
            <w:tcW w:w="50" w:type="pct"/>
            <w:vAlign w:val="center"/>
            <w:hideMark/>
          </w:tcPr>
          <w:p w14:paraId="2A22CBCC" w14:textId="77777777" w:rsidR="00000000" w:rsidRDefault="00EE5306">
            <w:pPr>
              <w:spacing w:after="100"/>
              <w:rPr>
                <w:rFonts w:eastAsia="Times New Roman"/>
                <w:sz w:val="20"/>
                <w:szCs w:val="20"/>
              </w:rPr>
            </w:pPr>
          </w:p>
        </w:tc>
        <w:tc>
          <w:tcPr>
            <w:tcW w:w="419" w:type="pct"/>
            <w:vAlign w:val="center"/>
            <w:hideMark/>
          </w:tcPr>
          <w:p w14:paraId="13F11479" w14:textId="77777777" w:rsidR="00000000" w:rsidRDefault="00EE5306">
            <w:pPr>
              <w:spacing w:after="100"/>
              <w:rPr>
                <w:rFonts w:eastAsia="Times New Roman"/>
                <w:sz w:val="20"/>
                <w:szCs w:val="20"/>
              </w:rPr>
            </w:pPr>
          </w:p>
        </w:tc>
        <w:tc>
          <w:tcPr>
            <w:tcW w:w="5" w:type="pct"/>
            <w:vAlign w:val="center"/>
            <w:hideMark/>
          </w:tcPr>
          <w:p w14:paraId="22AB24C0" w14:textId="77777777" w:rsidR="00000000" w:rsidRDefault="00EE5306">
            <w:pPr>
              <w:spacing w:after="100"/>
              <w:rPr>
                <w:rFonts w:eastAsia="Times New Roman"/>
                <w:sz w:val="20"/>
                <w:szCs w:val="20"/>
              </w:rPr>
            </w:pPr>
          </w:p>
        </w:tc>
        <w:tc>
          <w:tcPr>
            <w:tcW w:w="5" w:type="pct"/>
            <w:vAlign w:val="center"/>
            <w:hideMark/>
          </w:tcPr>
          <w:p w14:paraId="1AAD9578" w14:textId="77777777" w:rsidR="00000000" w:rsidRDefault="00EE5306">
            <w:pPr>
              <w:spacing w:after="100"/>
              <w:rPr>
                <w:rFonts w:eastAsia="Times New Roman"/>
                <w:sz w:val="20"/>
                <w:szCs w:val="20"/>
              </w:rPr>
            </w:pPr>
          </w:p>
        </w:tc>
        <w:tc>
          <w:tcPr>
            <w:tcW w:w="28" w:type="pct"/>
            <w:vAlign w:val="center"/>
            <w:hideMark/>
          </w:tcPr>
          <w:p w14:paraId="104BED85" w14:textId="77777777" w:rsidR="00000000" w:rsidRDefault="00EE5306">
            <w:pPr>
              <w:spacing w:after="100"/>
              <w:rPr>
                <w:rFonts w:eastAsia="Times New Roman"/>
                <w:sz w:val="20"/>
                <w:szCs w:val="20"/>
              </w:rPr>
            </w:pPr>
          </w:p>
        </w:tc>
        <w:tc>
          <w:tcPr>
            <w:tcW w:w="5" w:type="pct"/>
            <w:vAlign w:val="center"/>
            <w:hideMark/>
          </w:tcPr>
          <w:p w14:paraId="4BE3C163" w14:textId="77777777" w:rsidR="00000000" w:rsidRDefault="00EE5306">
            <w:pPr>
              <w:spacing w:after="100"/>
              <w:rPr>
                <w:rFonts w:eastAsia="Times New Roman"/>
                <w:sz w:val="20"/>
                <w:szCs w:val="20"/>
              </w:rPr>
            </w:pPr>
          </w:p>
        </w:tc>
        <w:tc>
          <w:tcPr>
            <w:tcW w:w="50" w:type="pct"/>
            <w:vAlign w:val="center"/>
            <w:hideMark/>
          </w:tcPr>
          <w:p w14:paraId="7B7EC409" w14:textId="77777777" w:rsidR="00000000" w:rsidRDefault="00EE5306">
            <w:pPr>
              <w:spacing w:after="100"/>
              <w:rPr>
                <w:rFonts w:eastAsia="Times New Roman"/>
                <w:sz w:val="20"/>
                <w:szCs w:val="20"/>
              </w:rPr>
            </w:pPr>
          </w:p>
        </w:tc>
        <w:tc>
          <w:tcPr>
            <w:tcW w:w="419" w:type="pct"/>
            <w:vAlign w:val="center"/>
            <w:hideMark/>
          </w:tcPr>
          <w:p w14:paraId="49337BA4" w14:textId="77777777" w:rsidR="00000000" w:rsidRDefault="00EE5306">
            <w:pPr>
              <w:spacing w:after="100"/>
              <w:rPr>
                <w:rFonts w:eastAsia="Times New Roman"/>
                <w:sz w:val="20"/>
                <w:szCs w:val="20"/>
              </w:rPr>
            </w:pPr>
          </w:p>
        </w:tc>
        <w:tc>
          <w:tcPr>
            <w:tcW w:w="5" w:type="pct"/>
            <w:vAlign w:val="center"/>
            <w:hideMark/>
          </w:tcPr>
          <w:p w14:paraId="571B0B7B" w14:textId="77777777" w:rsidR="00000000" w:rsidRDefault="00EE5306">
            <w:pPr>
              <w:spacing w:after="100"/>
              <w:rPr>
                <w:rFonts w:eastAsia="Times New Roman"/>
                <w:sz w:val="20"/>
                <w:szCs w:val="20"/>
              </w:rPr>
            </w:pPr>
          </w:p>
        </w:tc>
        <w:tc>
          <w:tcPr>
            <w:tcW w:w="5" w:type="pct"/>
            <w:vAlign w:val="center"/>
            <w:hideMark/>
          </w:tcPr>
          <w:p w14:paraId="439463C5" w14:textId="77777777" w:rsidR="00000000" w:rsidRDefault="00EE5306">
            <w:pPr>
              <w:spacing w:after="100"/>
              <w:rPr>
                <w:rFonts w:eastAsia="Times New Roman"/>
                <w:sz w:val="20"/>
                <w:szCs w:val="20"/>
              </w:rPr>
            </w:pPr>
          </w:p>
        </w:tc>
        <w:tc>
          <w:tcPr>
            <w:tcW w:w="28" w:type="pct"/>
            <w:vAlign w:val="center"/>
            <w:hideMark/>
          </w:tcPr>
          <w:p w14:paraId="2EC46099" w14:textId="77777777" w:rsidR="00000000" w:rsidRDefault="00EE5306">
            <w:pPr>
              <w:spacing w:after="100"/>
              <w:rPr>
                <w:rFonts w:eastAsia="Times New Roman"/>
                <w:sz w:val="20"/>
                <w:szCs w:val="20"/>
              </w:rPr>
            </w:pPr>
          </w:p>
        </w:tc>
        <w:tc>
          <w:tcPr>
            <w:tcW w:w="5" w:type="pct"/>
            <w:vAlign w:val="center"/>
            <w:hideMark/>
          </w:tcPr>
          <w:p w14:paraId="3EBA93DD" w14:textId="77777777" w:rsidR="00000000" w:rsidRDefault="00EE5306">
            <w:pPr>
              <w:spacing w:after="100"/>
              <w:rPr>
                <w:rFonts w:eastAsia="Times New Roman"/>
                <w:sz w:val="20"/>
                <w:szCs w:val="20"/>
              </w:rPr>
            </w:pPr>
          </w:p>
        </w:tc>
        <w:tc>
          <w:tcPr>
            <w:tcW w:w="50" w:type="pct"/>
            <w:vAlign w:val="center"/>
            <w:hideMark/>
          </w:tcPr>
          <w:p w14:paraId="16C76DAA" w14:textId="77777777" w:rsidR="00000000" w:rsidRDefault="00EE5306">
            <w:pPr>
              <w:spacing w:after="100"/>
              <w:rPr>
                <w:rFonts w:eastAsia="Times New Roman"/>
                <w:sz w:val="20"/>
                <w:szCs w:val="20"/>
              </w:rPr>
            </w:pPr>
          </w:p>
        </w:tc>
        <w:tc>
          <w:tcPr>
            <w:tcW w:w="419" w:type="pct"/>
            <w:vAlign w:val="center"/>
            <w:hideMark/>
          </w:tcPr>
          <w:p w14:paraId="7BC6C734" w14:textId="77777777" w:rsidR="00000000" w:rsidRDefault="00EE5306">
            <w:pPr>
              <w:spacing w:after="100"/>
              <w:rPr>
                <w:rFonts w:eastAsia="Times New Roman"/>
                <w:sz w:val="20"/>
                <w:szCs w:val="20"/>
              </w:rPr>
            </w:pPr>
          </w:p>
        </w:tc>
        <w:tc>
          <w:tcPr>
            <w:tcW w:w="5" w:type="pct"/>
            <w:vAlign w:val="center"/>
            <w:hideMark/>
          </w:tcPr>
          <w:p w14:paraId="13D51BCA" w14:textId="77777777" w:rsidR="00000000" w:rsidRDefault="00EE5306">
            <w:pPr>
              <w:spacing w:after="100"/>
              <w:rPr>
                <w:rFonts w:eastAsia="Times New Roman"/>
                <w:sz w:val="20"/>
                <w:szCs w:val="20"/>
              </w:rPr>
            </w:pPr>
          </w:p>
        </w:tc>
      </w:tr>
      <w:tr w:rsidR="00000000" w14:paraId="29D838FA" w14:textId="77777777">
        <w:trPr>
          <w:divId w:val="1594625630"/>
        </w:trPr>
        <w:tc>
          <w:tcPr>
            <w:tcW w:w="0" w:type="auto"/>
            <w:gridSpan w:val="3"/>
            <w:tcMar>
              <w:top w:w="0" w:type="dxa"/>
              <w:left w:w="20" w:type="dxa"/>
              <w:bottom w:w="0" w:type="dxa"/>
              <w:right w:w="20" w:type="dxa"/>
            </w:tcMar>
            <w:vAlign w:val="center"/>
            <w:hideMark/>
          </w:tcPr>
          <w:p w14:paraId="6A44ED47"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4FA38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7410048" w14:textId="77777777" w:rsidR="00000000" w:rsidRDefault="00EE5306">
            <w:pPr>
              <w:spacing w:after="100"/>
              <w:jc w:val="center"/>
              <w:rPr>
                <w:rFonts w:eastAsia="Times New Roman"/>
              </w:rPr>
            </w:pPr>
            <w:r>
              <w:rPr>
                <w:rFonts w:eastAsia="Times New Roman"/>
                <w:b/>
                <w:bCs/>
                <w:color w:val="000000"/>
                <w:sz w:val="16"/>
                <w:szCs w:val="16"/>
              </w:rPr>
              <w:t>North America</w:t>
            </w:r>
          </w:p>
        </w:tc>
        <w:tc>
          <w:tcPr>
            <w:tcW w:w="0" w:type="auto"/>
            <w:gridSpan w:val="3"/>
            <w:tcMar>
              <w:top w:w="0" w:type="dxa"/>
              <w:left w:w="20" w:type="dxa"/>
              <w:bottom w:w="0" w:type="dxa"/>
              <w:right w:w="20" w:type="dxa"/>
            </w:tcMar>
            <w:vAlign w:val="center"/>
            <w:hideMark/>
          </w:tcPr>
          <w:p w14:paraId="33B4916A"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13B5F62" w14:textId="77777777" w:rsidR="00000000" w:rsidRDefault="00EE5306">
            <w:pPr>
              <w:spacing w:after="100"/>
              <w:jc w:val="center"/>
              <w:rPr>
                <w:rFonts w:eastAsia="Times New Roman"/>
              </w:rPr>
            </w:pPr>
            <w:r>
              <w:rPr>
                <w:rFonts w:eastAsia="Times New Roman"/>
                <w:b/>
                <w:bCs/>
                <w:color w:val="000000"/>
                <w:sz w:val="16"/>
                <w:szCs w:val="16"/>
              </w:rPr>
              <w:t>Europe</w:t>
            </w:r>
          </w:p>
        </w:tc>
        <w:tc>
          <w:tcPr>
            <w:tcW w:w="0" w:type="auto"/>
            <w:gridSpan w:val="3"/>
            <w:tcMar>
              <w:top w:w="0" w:type="dxa"/>
              <w:left w:w="20" w:type="dxa"/>
              <w:bottom w:w="0" w:type="dxa"/>
              <w:right w:w="20" w:type="dxa"/>
            </w:tcMar>
            <w:vAlign w:val="center"/>
            <w:hideMark/>
          </w:tcPr>
          <w:p w14:paraId="4DC6FE34"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612F54B" w14:textId="77777777" w:rsidR="00000000" w:rsidRDefault="00EE5306">
            <w:pPr>
              <w:spacing w:after="100"/>
              <w:jc w:val="center"/>
              <w:rPr>
                <w:rFonts w:eastAsia="Times New Roman"/>
              </w:rPr>
            </w:pPr>
            <w:r>
              <w:rPr>
                <w:rFonts w:eastAsia="Times New Roman"/>
                <w:b/>
                <w:bCs/>
                <w:color w:val="000000"/>
                <w:sz w:val="16"/>
                <w:szCs w:val="16"/>
              </w:rPr>
              <w:t>Asia</w:t>
            </w:r>
          </w:p>
        </w:tc>
        <w:tc>
          <w:tcPr>
            <w:tcW w:w="0" w:type="auto"/>
            <w:gridSpan w:val="3"/>
            <w:tcMar>
              <w:top w:w="0" w:type="dxa"/>
              <w:left w:w="20" w:type="dxa"/>
              <w:bottom w:w="0" w:type="dxa"/>
              <w:right w:w="20" w:type="dxa"/>
            </w:tcMar>
            <w:vAlign w:val="center"/>
            <w:hideMark/>
          </w:tcPr>
          <w:p w14:paraId="00592760"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7483B47" w14:textId="77777777" w:rsidR="00000000" w:rsidRDefault="00EE5306">
            <w:pPr>
              <w:spacing w:after="100"/>
              <w:jc w:val="center"/>
              <w:rPr>
                <w:rFonts w:eastAsia="Times New Roman"/>
              </w:rPr>
            </w:pPr>
            <w:r>
              <w:rPr>
                <w:rFonts w:eastAsia="Times New Roman"/>
                <w:b/>
                <w:bCs/>
                <w:color w:val="000000"/>
                <w:sz w:val="16"/>
                <w:szCs w:val="16"/>
              </w:rPr>
              <w:t>Other Non-reportable Segment</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291715D9"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5ADDBDA" w14:textId="77777777" w:rsidR="00000000" w:rsidRDefault="00EE5306">
            <w:pPr>
              <w:spacing w:after="100"/>
              <w:jc w:val="center"/>
              <w:rPr>
                <w:rFonts w:eastAsia="Times New Roman"/>
              </w:rPr>
            </w:pPr>
            <w:r>
              <w:rPr>
                <w:rFonts w:eastAsia="Times New Roman"/>
                <w:b/>
                <w:bCs/>
                <w:color w:val="000000"/>
                <w:sz w:val="16"/>
                <w:szCs w:val="16"/>
              </w:rPr>
              <w:t>Tota</w:t>
            </w:r>
            <w:r>
              <w:rPr>
                <w:rFonts w:eastAsia="Times New Roman"/>
                <w:b/>
                <w:bCs/>
                <w:color w:val="000000"/>
                <w:sz w:val="16"/>
                <w:szCs w:val="16"/>
              </w:rPr>
              <w:t>l</w:t>
            </w:r>
            <w:r>
              <w:rPr>
                <w:rFonts w:eastAsia="Times New Roman"/>
                <w:b/>
                <w:bCs/>
                <w:color w:val="000000"/>
                <w:sz w:val="10"/>
                <w:szCs w:val="10"/>
              </w:rPr>
              <w:t>(a</w:t>
            </w:r>
            <w:r>
              <w:rPr>
                <w:rFonts w:eastAsia="Times New Roman"/>
                <w:b/>
                <w:bCs/>
                <w:color w:val="000000"/>
                <w:sz w:val="10"/>
                <w:szCs w:val="10"/>
              </w:rPr>
              <w:t>)</w:t>
            </w:r>
          </w:p>
        </w:tc>
      </w:tr>
      <w:tr w:rsidR="00000000" w14:paraId="5B2B09F6" w14:textId="77777777">
        <w:trPr>
          <w:divId w:val="1594625630"/>
        </w:trPr>
        <w:tc>
          <w:tcPr>
            <w:tcW w:w="0" w:type="auto"/>
            <w:gridSpan w:val="3"/>
            <w:tcMar>
              <w:top w:w="0" w:type="dxa"/>
              <w:left w:w="20" w:type="dxa"/>
              <w:bottom w:w="0" w:type="dxa"/>
              <w:right w:w="20" w:type="dxa"/>
            </w:tcMar>
            <w:vAlign w:val="center"/>
            <w:hideMark/>
          </w:tcPr>
          <w:p w14:paraId="670E8F2F"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497D90A" w14:textId="77777777" w:rsidR="00000000" w:rsidRDefault="00EE5306">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406E1BBD"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6E557DBA" w14:textId="77777777">
        <w:trPr>
          <w:divId w:val="1594625630"/>
        </w:trPr>
        <w:tc>
          <w:tcPr>
            <w:tcW w:w="0" w:type="auto"/>
            <w:gridSpan w:val="3"/>
            <w:shd w:val="clear" w:color="auto" w:fill="CCEEFF"/>
            <w:tcMar>
              <w:top w:w="30" w:type="dxa"/>
              <w:left w:w="20" w:type="dxa"/>
              <w:bottom w:w="30" w:type="dxa"/>
              <w:right w:w="20" w:type="dxa"/>
            </w:tcMar>
            <w:vAlign w:val="bottom"/>
            <w:hideMark/>
          </w:tcPr>
          <w:p w14:paraId="1D29F637" w14:textId="77777777" w:rsidR="00000000" w:rsidRDefault="00EE5306">
            <w:pPr>
              <w:spacing w:after="100"/>
              <w:rPr>
                <w:rFonts w:eastAsia="Times New Roman"/>
              </w:rPr>
            </w:pPr>
            <w:r>
              <w:rPr>
                <w:rFonts w:eastAsia="Times New Roman"/>
                <w:color w:val="000000"/>
                <w:sz w:val="20"/>
                <w:szCs w:val="20"/>
              </w:rPr>
              <w:t>Balance at March 30, 2019</w:t>
            </w:r>
          </w:p>
        </w:tc>
        <w:tc>
          <w:tcPr>
            <w:tcW w:w="0" w:type="auto"/>
            <w:gridSpan w:val="3"/>
            <w:shd w:val="clear" w:color="auto" w:fill="CCEEFF"/>
            <w:tcMar>
              <w:top w:w="0" w:type="dxa"/>
              <w:left w:w="20" w:type="dxa"/>
              <w:bottom w:w="0" w:type="dxa"/>
              <w:right w:w="20" w:type="dxa"/>
            </w:tcMar>
            <w:vAlign w:val="center"/>
            <w:hideMark/>
          </w:tcPr>
          <w:p w14:paraId="6DD75945"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9889C3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DE807E" w14:textId="77777777" w:rsidR="00000000" w:rsidRDefault="00EE5306">
            <w:pPr>
              <w:spacing w:after="100"/>
              <w:jc w:val="right"/>
              <w:rPr>
                <w:rFonts w:eastAsia="Times New Roman"/>
              </w:rPr>
            </w:pPr>
            <w:r>
              <w:rPr>
                <w:rFonts w:eastAsia="Times New Roman"/>
                <w:color w:val="000000"/>
                <w:sz w:val="20"/>
                <w:szCs w:val="20"/>
              </w:rPr>
              <w:t>421.8 </w:t>
            </w:r>
          </w:p>
        </w:tc>
        <w:tc>
          <w:tcPr>
            <w:tcW w:w="0" w:type="auto"/>
            <w:shd w:val="clear" w:color="auto" w:fill="CCEEFF"/>
            <w:tcMar>
              <w:top w:w="30" w:type="dxa"/>
              <w:left w:w="0" w:type="dxa"/>
              <w:bottom w:w="30" w:type="dxa"/>
              <w:right w:w="20" w:type="dxa"/>
            </w:tcMar>
            <w:vAlign w:val="bottom"/>
            <w:hideMark/>
          </w:tcPr>
          <w:p w14:paraId="5AF41B6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BBF51"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77672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BD567A" w14:textId="77777777" w:rsidR="00000000" w:rsidRDefault="00EE5306">
            <w:pPr>
              <w:spacing w:after="100"/>
              <w:jc w:val="right"/>
              <w:rPr>
                <w:rFonts w:eastAsia="Times New Roman"/>
              </w:rPr>
            </w:pPr>
            <w:r>
              <w:rPr>
                <w:rFonts w:eastAsia="Times New Roman"/>
                <w:color w:val="000000"/>
                <w:sz w:val="20"/>
                <w:szCs w:val="20"/>
              </w:rPr>
              <w:t>290.0 </w:t>
            </w:r>
          </w:p>
        </w:tc>
        <w:tc>
          <w:tcPr>
            <w:tcW w:w="0" w:type="auto"/>
            <w:shd w:val="clear" w:color="auto" w:fill="CCEEFF"/>
            <w:tcMar>
              <w:top w:w="30" w:type="dxa"/>
              <w:left w:w="0" w:type="dxa"/>
              <w:bottom w:w="30" w:type="dxa"/>
              <w:right w:w="20" w:type="dxa"/>
            </w:tcMar>
            <w:vAlign w:val="bottom"/>
            <w:hideMark/>
          </w:tcPr>
          <w:p w14:paraId="7DAB643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00F95"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D2A82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8A0F5B" w14:textId="77777777" w:rsidR="00000000" w:rsidRDefault="00EE5306">
            <w:pPr>
              <w:spacing w:after="100"/>
              <w:jc w:val="right"/>
              <w:rPr>
                <w:rFonts w:eastAsia="Times New Roman"/>
              </w:rPr>
            </w:pPr>
            <w:r>
              <w:rPr>
                <w:rFonts w:eastAsia="Times New Roman"/>
                <w:color w:val="000000"/>
                <w:sz w:val="20"/>
                <w:szCs w:val="20"/>
              </w:rPr>
              <w:t>75.8 </w:t>
            </w:r>
          </w:p>
        </w:tc>
        <w:tc>
          <w:tcPr>
            <w:tcW w:w="0" w:type="auto"/>
            <w:shd w:val="clear" w:color="auto" w:fill="CCEEFF"/>
            <w:tcMar>
              <w:top w:w="30" w:type="dxa"/>
              <w:left w:w="0" w:type="dxa"/>
              <w:bottom w:w="30" w:type="dxa"/>
              <w:right w:w="20" w:type="dxa"/>
            </w:tcMar>
            <w:vAlign w:val="bottom"/>
            <w:hideMark/>
          </w:tcPr>
          <w:p w14:paraId="047BBD1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233E9"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5E449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7A319F" w14:textId="77777777" w:rsidR="00000000" w:rsidRDefault="00EE5306">
            <w:pPr>
              <w:spacing w:after="100"/>
              <w:jc w:val="right"/>
              <w:rPr>
                <w:rFonts w:eastAsia="Times New Roman"/>
              </w:rPr>
            </w:pPr>
            <w:r>
              <w:rPr>
                <w:rFonts w:eastAsia="Times New Roman"/>
                <w:color w:val="000000"/>
                <w:sz w:val="20"/>
                <w:szCs w:val="20"/>
              </w:rPr>
              <w:t>132.0 </w:t>
            </w:r>
          </w:p>
        </w:tc>
        <w:tc>
          <w:tcPr>
            <w:tcW w:w="0" w:type="auto"/>
            <w:shd w:val="clear" w:color="auto" w:fill="CCEEFF"/>
            <w:tcMar>
              <w:top w:w="30" w:type="dxa"/>
              <w:left w:w="0" w:type="dxa"/>
              <w:bottom w:w="30" w:type="dxa"/>
              <w:right w:w="20" w:type="dxa"/>
            </w:tcMar>
            <w:vAlign w:val="bottom"/>
            <w:hideMark/>
          </w:tcPr>
          <w:p w14:paraId="18CE4F4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4C25E"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616CF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9EDB68" w14:textId="77777777" w:rsidR="00000000" w:rsidRDefault="00EE5306">
            <w:pPr>
              <w:spacing w:after="100"/>
              <w:jc w:val="right"/>
              <w:rPr>
                <w:rFonts w:eastAsia="Times New Roman"/>
              </w:rPr>
            </w:pPr>
            <w:r>
              <w:rPr>
                <w:rFonts w:eastAsia="Times New Roman"/>
                <w:color w:val="000000"/>
                <w:sz w:val="20"/>
                <w:szCs w:val="20"/>
              </w:rPr>
              <w:t>919.6 </w:t>
            </w:r>
          </w:p>
        </w:tc>
        <w:tc>
          <w:tcPr>
            <w:tcW w:w="0" w:type="auto"/>
            <w:shd w:val="clear" w:color="auto" w:fill="CCEEFF"/>
            <w:tcMar>
              <w:top w:w="30" w:type="dxa"/>
              <w:left w:w="0" w:type="dxa"/>
              <w:bottom w:w="30" w:type="dxa"/>
              <w:right w:w="20" w:type="dxa"/>
            </w:tcMar>
            <w:vAlign w:val="bottom"/>
            <w:hideMark/>
          </w:tcPr>
          <w:p w14:paraId="0D541926" w14:textId="77777777" w:rsidR="00000000" w:rsidRDefault="00EE5306">
            <w:pPr>
              <w:spacing w:after="100"/>
              <w:jc w:val="right"/>
              <w:rPr>
                <w:rFonts w:eastAsia="Times New Roman"/>
              </w:rPr>
            </w:pPr>
          </w:p>
        </w:tc>
      </w:tr>
      <w:tr w:rsidR="00000000" w14:paraId="3D66F931" w14:textId="77777777">
        <w:trPr>
          <w:divId w:val="1594625630"/>
        </w:trPr>
        <w:tc>
          <w:tcPr>
            <w:tcW w:w="0" w:type="auto"/>
            <w:gridSpan w:val="3"/>
            <w:shd w:val="clear" w:color="auto" w:fill="FFFFFF"/>
            <w:tcMar>
              <w:top w:w="30" w:type="dxa"/>
              <w:left w:w="155" w:type="dxa"/>
              <w:bottom w:w="30" w:type="dxa"/>
              <w:right w:w="20" w:type="dxa"/>
            </w:tcMar>
            <w:vAlign w:val="bottom"/>
            <w:hideMark/>
          </w:tcPr>
          <w:p w14:paraId="60C527E1" w14:textId="77777777" w:rsidR="00000000" w:rsidRDefault="00EE5306">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14:paraId="0697BE61"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6F4856"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36CE7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9B0F5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A90061" w14:textId="77777777" w:rsidR="00000000" w:rsidRDefault="00EE5306">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14:paraId="70807FC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2B66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C87C7" w14:textId="77777777" w:rsidR="00000000" w:rsidRDefault="00EE5306">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14:paraId="5EC1A88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6ADE3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CC7E5"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ED47B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5728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6680BA" w14:textId="77777777" w:rsidR="00000000" w:rsidRDefault="00EE5306">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14:paraId="4D652C72" w14:textId="77777777" w:rsidR="00000000" w:rsidRDefault="00EE5306">
            <w:pPr>
              <w:spacing w:after="100"/>
              <w:jc w:val="right"/>
              <w:rPr>
                <w:rFonts w:eastAsia="Times New Roman"/>
              </w:rPr>
            </w:pPr>
          </w:p>
        </w:tc>
      </w:tr>
      <w:tr w:rsidR="00000000" w14:paraId="3FE75362" w14:textId="77777777">
        <w:trPr>
          <w:divId w:val="1594625630"/>
        </w:trPr>
        <w:tc>
          <w:tcPr>
            <w:tcW w:w="0" w:type="auto"/>
            <w:gridSpan w:val="3"/>
            <w:shd w:val="clear" w:color="auto" w:fill="CCEEFF"/>
            <w:tcMar>
              <w:top w:w="30" w:type="dxa"/>
              <w:left w:w="20" w:type="dxa"/>
              <w:bottom w:w="30" w:type="dxa"/>
              <w:right w:w="20" w:type="dxa"/>
            </w:tcMar>
            <w:vAlign w:val="bottom"/>
            <w:hideMark/>
          </w:tcPr>
          <w:p w14:paraId="3272963B" w14:textId="77777777" w:rsidR="00000000" w:rsidRDefault="00EE5306">
            <w:pPr>
              <w:spacing w:after="100"/>
              <w:rPr>
                <w:rFonts w:eastAsia="Times New Roman"/>
              </w:rPr>
            </w:pPr>
            <w:r>
              <w:rPr>
                <w:rFonts w:eastAsia="Times New Roman"/>
                <w:color w:val="000000"/>
                <w:sz w:val="20"/>
                <w:szCs w:val="20"/>
              </w:rPr>
              <w:t>Balance at March 28, 2020</w:t>
            </w:r>
          </w:p>
        </w:tc>
        <w:tc>
          <w:tcPr>
            <w:tcW w:w="0" w:type="auto"/>
            <w:gridSpan w:val="3"/>
            <w:shd w:val="clear" w:color="auto" w:fill="CCEEFF"/>
            <w:tcMar>
              <w:top w:w="0" w:type="dxa"/>
              <w:left w:w="20" w:type="dxa"/>
              <w:bottom w:w="0" w:type="dxa"/>
              <w:right w:w="20" w:type="dxa"/>
            </w:tcMar>
            <w:vAlign w:val="center"/>
            <w:hideMark/>
          </w:tcPr>
          <w:p w14:paraId="70FA2F92"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FFE196" w14:textId="77777777" w:rsidR="00000000" w:rsidRDefault="00EE5306">
            <w:pPr>
              <w:spacing w:after="100"/>
              <w:jc w:val="right"/>
              <w:rPr>
                <w:rFonts w:eastAsia="Times New Roman"/>
              </w:rPr>
            </w:pPr>
            <w:r>
              <w:rPr>
                <w:rFonts w:eastAsia="Times New Roman"/>
                <w:color w:val="000000"/>
                <w:sz w:val="20"/>
                <w:szCs w:val="20"/>
              </w:rPr>
              <w:t>421.8 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7E008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7D885"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6A421B" w14:textId="77777777" w:rsidR="00000000" w:rsidRDefault="00EE5306">
            <w:pPr>
              <w:spacing w:after="100"/>
              <w:jc w:val="right"/>
              <w:rPr>
                <w:rFonts w:eastAsia="Times New Roman"/>
              </w:rPr>
            </w:pPr>
            <w:r>
              <w:rPr>
                <w:rFonts w:eastAsia="Times New Roman"/>
                <w:color w:val="000000"/>
                <w:sz w:val="20"/>
                <w:szCs w:val="20"/>
              </w:rPr>
              <w:t>285.1 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76CCD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D3570"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17E1A7" w14:textId="77777777" w:rsidR="00000000" w:rsidRDefault="00EE5306">
            <w:pPr>
              <w:spacing w:after="100"/>
              <w:jc w:val="right"/>
              <w:rPr>
                <w:rFonts w:eastAsia="Times New Roman"/>
              </w:rPr>
            </w:pPr>
            <w:r>
              <w:rPr>
                <w:rFonts w:eastAsia="Times New Roman"/>
                <w:color w:val="000000"/>
                <w:sz w:val="20"/>
                <w:szCs w:val="20"/>
              </w:rPr>
              <w:t>76.6 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38A6F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9859B"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37502C" w14:textId="77777777" w:rsidR="00000000" w:rsidRDefault="00EE5306">
            <w:pPr>
              <w:spacing w:after="100"/>
              <w:jc w:val="right"/>
              <w:rPr>
                <w:rFonts w:eastAsia="Times New Roman"/>
              </w:rPr>
            </w:pPr>
            <w:r>
              <w:rPr>
                <w:rFonts w:eastAsia="Times New Roman"/>
                <w:color w:val="000000"/>
                <w:sz w:val="20"/>
                <w:szCs w:val="20"/>
              </w:rPr>
              <w:t>132.0 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0B58B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563454"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222C92" w14:textId="77777777" w:rsidR="00000000" w:rsidRDefault="00EE5306">
            <w:pPr>
              <w:spacing w:after="100"/>
              <w:jc w:val="right"/>
              <w:rPr>
                <w:rFonts w:eastAsia="Times New Roman"/>
              </w:rPr>
            </w:pPr>
            <w:r>
              <w:rPr>
                <w:rFonts w:eastAsia="Times New Roman"/>
                <w:color w:val="000000"/>
                <w:sz w:val="20"/>
                <w:szCs w:val="20"/>
              </w:rPr>
              <w:t>915.5 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149D67" w14:textId="77777777" w:rsidR="00000000" w:rsidRDefault="00EE5306">
            <w:pPr>
              <w:spacing w:after="100"/>
              <w:jc w:val="right"/>
              <w:rPr>
                <w:rFonts w:eastAsia="Times New Roman"/>
              </w:rPr>
            </w:pPr>
          </w:p>
        </w:tc>
      </w:tr>
      <w:tr w:rsidR="00000000" w14:paraId="0275F525" w14:textId="77777777">
        <w:trPr>
          <w:divId w:val="1594625630"/>
        </w:trPr>
        <w:tc>
          <w:tcPr>
            <w:tcW w:w="0" w:type="auto"/>
            <w:gridSpan w:val="3"/>
            <w:shd w:val="clear" w:color="auto" w:fill="FFFFFF"/>
            <w:tcMar>
              <w:top w:w="30" w:type="dxa"/>
              <w:left w:w="155" w:type="dxa"/>
              <w:bottom w:w="30" w:type="dxa"/>
              <w:right w:w="20" w:type="dxa"/>
            </w:tcMar>
            <w:vAlign w:val="bottom"/>
            <w:hideMark/>
          </w:tcPr>
          <w:p w14:paraId="28769DB6" w14:textId="77777777" w:rsidR="00000000" w:rsidRDefault="00EE5306">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14:paraId="698D110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D419EE"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F3A31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57FB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C0F301" w14:textId="77777777" w:rsidR="00000000" w:rsidRDefault="00EE5306">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14:paraId="13376CA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0A6E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1FAA09" w14:textId="77777777" w:rsidR="00000000" w:rsidRDefault="00EE5306">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76CAE4F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000A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5BD71"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A1696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6381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B38F3E" w14:textId="77777777" w:rsidR="00000000" w:rsidRDefault="00EE5306">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14:paraId="7C8B2E23" w14:textId="77777777" w:rsidR="00000000" w:rsidRDefault="00EE5306">
            <w:pPr>
              <w:spacing w:after="100"/>
              <w:jc w:val="right"/>
              <w:rPr>
                <w:rFonts w:eastAsia="Times New Roman"/>
              </w:rPr>
            </w:pPr>
          </w:p>
        </w:tc>
      </w:tr>
      <w:tr w:rsidR="00000000" w14:paraId="7B5A1C48" w14:textId="77777777">
        <w:trPr>
          <w:divId w:val="1594625630"/>
        </w:trPr>
        <w:tc>
          <w:tcPr>
            <w:tcW w:w="0" w:type="auto"/>
            <w:gridSpan w:val="3"/>
            <w:shd w:val="clear" w:color="auto" w:fill="CCEEFF"/>
            <w:tcMar>
              <w:top w:w="30" w:type="dxa"/>
              <w:left w:w="20" w:type="dxa"/>
              <w:bottom w:w="30" w:type="dxa"/>
              <w:right w:w="20" w:type="dxa"/>
            </w:tcMar>
            <w:vAlign w:val="bottom"/>
            <w:hideMark/>
          </w:tcPr>
          <w:p w14:paraId="024A4CCF" w14:textId="77777777" w:rsidR="00000000" w:rsidRDefault="00EE5306">
            <w:pPr>
              <w:spacing w:after="100"/>
              <w:rPr>
                <w:rFonts w:eastAsia="Times New Roman"/>
              </w:rPr>
            </w:pPr>
            <w:r>
              <w:rPr>
                <w:rFonts w:eastAsia="Times New Roman"/>
                <w:color w:val="000000"/>
                <w:sz w:val="20"/>
                <w:szCs w:val="20"/>
              </w:rPr>
              <w:t>Balance at March 27, 2021</w:t>
            </w:r>
          </w:p>
        </w:tc>
        <w:tc>
          <w:tcPr>
            <w:tcW w:w="0" w:type="auto"/>
            <w:gridSpan w:val="3"/>
            <w:shd w:val="clear" w:color="auto" w:fill="CCEEFF"/>
            <w:tcMar>
              <w:top w:w="0" w:type="dxa"/>
              <w:left w:w="20" w:type="dxa"/>
              <w:bottom w:w="0" w:type="dxa"/>
              <w:right w:w="20" w:type="dxa"/>
            </w:tcMar>
            <w:vAlign w:val="center"/>
            <w:hideMark/>
          </w:tcPr>
          <w:p w14:paraId="777155CC"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F57794"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F94082" w14:textId="77777777" w:rsidR="00000000" w:rsidRDefault="00EE5306">
            <w:pPr>
              <w:spacing w:after="100"/>
              <w:jc w:val="right"/>
              <w:rPr>
                <w:rFonts w:eastAsia="Times New Roman"/>
              </w:rPr>
            </w:pPr>
            <w:r>
              <w:rPr>
                <w:rFonts w:eastAsia="Times New Roman"/>
                <w:color w:val="000000"/>
                <w:sz w:val="20"/>
                <w:szCs w:val="20"/>
              </w:rPr>
              <w:t>421.8 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2C899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7B2A3"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7CDAF2"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E87DE8" w14:textId="77777777" w:rsidR="00000000" w:rsidRDefault="00EE5306">
            <w:pPr>
              <w:spacing w:after="100"/>
              <w:jc w:val="right"/>
              <w:rPr>
                <w:rFonts w:eastAsia="Times New Roman"/>
              </w:rPr>
            </w:pPr>
            <w:r>
              <w:rPr>
                <w:rFonts w:eastAsia="Times New Roman"/>
                <w:color w:val="000000"/>
                <w:sz w:val="20"/>
                <w:szCs w:val="20"/>
              </w:rPr>
              <w:t>304.0 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33213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D5501"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02D90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F4D07A8" w14:textId="77777777" w:rsidR="00000000" w:rsidRDefault="00EE5306">
            <w:pPr>
              <w:spacing w:after="100"/>
              <w:jc w:val="right"/>
              <w:rPr>
                <w:rFonts w:eastAsia="Times New Roman"/>
              </w:rPr>
            </w:pPr>
            <w:r>
              <w:rPr>
                <w:rFonts w:eastAsia="Times New Roman"/>
                <w:color w:val="000000"/>
                <w:sz w:val="20"/>
                <w:szCs w:val="20"/>
              </w:rPr>
              <w:t>76.8 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2BAC9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A1B85"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4E62E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362557" w14:textId="77777777" w:rsidR="00000000" w:rsidRDefault="00EE5306">
            <w:pPr>
              <w:spacing w:after="100"/>
              <w:jc w:val="right"/>
              <w:rPr>
                <w:rFonts w:eastAsia="Times New Roman"/>
              </w:rPr>
            </w:pPr>
            <w:r>
              <w:rPr>
                <w:rFonts w:eastAsia="Times New Roman"/>
                <w:color w:val="000000"/>
                <w:sz w:val="20"/>
                <w:szCs w:val="20"/>
              </w:rPr>
              <w:t>132.0 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43757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F120E"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646E2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E31B3E" w14:textId="77777777" w:rsidR="00000000" w:rsidRDefault="00EE5306">
            <w:pPr>
              <w:spacing w:after="100"/>
              <w:jc w:val="right"/>
              <w:rPr>
                <w:rFonts w:eastAsia="Times New Roman"/>
              </w:rPr>
            </w:pPr>
            <w:r>
              <w:rPr>
                <w:rFonts w:eastAsia="Times New Roman"/>
                <w:color w:val="000000"/>
                <w:sz w:val="20"/>
                <w:szCs w:val="20"/>
              </w:rPr>
              <w:t>934.6 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991F7F"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01B851C8" w14:textId="77777777">
        <w:tc>
          <w:tcPr>
            <w:tcW w:w="50" w:type="pct"/>
            <w:vAlign w:val="center"/>
            <w:hideMark/>
          </w:tcPr>
          <w:p w14:paraId="4AFBEB7E" w14:textId="77777777" w:rsidR="00000000" w:rsidRDefault="00EE5306">
            <w:pPr>
              <w:rPr>
                <w:rFonts w:eastAsia="Times New Roman"/>
              </w:rPr>
            </w:pPr>
          </w:p>
        </w:tc>
        <w:tc>
          <w:tcPr>
            <w:tcW w:w="4945" w:type="pct"/>
            <w:vAlign w:val="center"/>
            <w:hideMark/>
          </w:tcPr>
          <w:p w14:paraId="3D862BFF" w14:textId="77777777" w:rsidR="00000000" w:rsidRDefault="00EE5306">
            <w:pPr>
              <w:spacing w:after="100"/>
              <w:rPr>
                <w:rFonts w:eastAsia="Times New Roman"/>
                <w:sz w:val="20"/>
                <w:szCs w:val="20"/>
              </w:rPr>
            </w:pPr>
          </w:p>
        </w:tc>
        <w:tc>
          <w:tcPr>
            <w:tcW w:w="5" w:type="pct"/>
            <w:vAlign w:val="center"/>
            <w:hideMark/>
          </w:tcPr>
          <w:p w14:paraId="5F52ACB4" w14:textId="77777777" w:rsidR="00000000" w:rsidRDefault="00EE5306">
            <w:pPr>
              <w:spacing w:after="100"/>
              <w:rPr>
                <w:rFonts w:eastAsia="Times New Roman"/>
                <w:sz w:val="20"/>
                <w:szCs w:val="20"/>
              </w:rPr>
            </w:pPr>
          </w:p>
        </w:tc>
      </w:tr>
      <w:tr w:rsidR="00000000" w14:paraId="2B68617C"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172617B6" w14:textId="77777777" w:rsidR="00000000" w:rsidRDefault="00EE5306">
            <w:pPr>
              <w:spacing w:after="100"/>
              <w:rPr>
                <w:rFonts w:eastAsia="Times New Roman"/>
                <w:sz w:val="20"/>
                <w:szCs w:val="20"/>
              </w:rPr>
            </w:pPr>
          </w:p>
        </w:tc>
      </w:tr>
    </w:tbl>
    <w:p w14:paraId="5E709DA6" w14:textId="77777777" w:rsidR="00000000" w:rsidRDefault="00EE5306">
      <w:pPr>
        <w:ind w:hanging="360"/>
        <w:jc w:val="both"/>
        <w:divId w:val="1608082665"/>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The goodwill balance for each period presented is net of accumulated impairment charges of $5.2 million related to the Company's other non-reportable segments.</w:t>
      </w:r>
    </w:p>
    <w:p w14:paraId="215CCDB6" w14:textId="77777777" w:rsidR="00000000" w:rsidRDefault="00EE5306">
      <w:pPr>
        <w:ind w:firstLine="540"/>
        <w:jc w:val="both"/>
        <w:divId w:val="1670013828"/>
        <w:rPr>
          <w:rFonts w:eastAsia="Times New Roman"/>
        </w:rPr>
      </w:pPr>
      <w:r>
        <w:rPr>
          <w:rFonts w:eastAsia="Times New Roman"/>
          <w:color w:val="000000"/>
          <w:sz w:val="20"/>
          <w:szCs w:val="20"/>
        </w:rPr>
        <w:t>Based on the results of the Company's goodwill impairment testing in Fiscal 2021, Fiscal 2020, a</w:t>
      </w:r>
      <w:r>
        <w:rPr>
          <w:rFonts w:eastAsia="Times New Roman"/>
          <w:color w:val="000000"/>
          <w:sz w:val="20"/>
          <w:szCs w:val="20"/>
        </w:rPr>
        <w:t>nd Fiscal 2019, no goodwill impairment charges were recorded. See Note 12 for further discussion of the Company's goodwill impairment testing.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4100F3B" w14:textId="77777777">
        <w:trPr>
          <w:divId w:val="1287586521"/>
          <w:jc w:val="center"/>
        </w:trPr>
        <w:tc>
          <w:tcPr>
            <w:tcW w:w="50" w:type="pct"/>
            <w:vAlign w:val="center"/>
            <w:hideMark/>
          </w:tcPr>
          <w:p w14:paraId="004C81E2" w14:textId="77777777" w:rsidR="00000000" w:rsidRDefault="00EE5306">
            <w:pPr>
              <w:ind w:firstLine="540"/>
              <w:jc w:val="both"/>
              <w:rPr>
                <w:rFonts w:eastAsia="Times New Roman"/>
              </w:rPr>
            </w:pPr>
          </w:p>
        </w:tc>
        <w:tc>
          <w:tcPr>
            <w:tcW w:w="1699" w:type="pct"/>
            <w:vAlign w:val="center"/>
            <w:hideMark/>
          </w:tcPr>
          <w:p w14:paraId="121F6883" w14:textId="77777777" w:rsidR="00000000" w:rsidRDefault="00EE5306">
            <w:pPr>
              <w:spacing w:after="100"/>
              <w:rPr>
                <w:rFonts w:eastAsia="Times New Roman"/>
                <w:sz w:val="20"/>
                <w:szCs w:val="20"/>
              </w:rPr>
            </w:pPr>
          </w:p>
        </w:tc>
        <w:tc>
          <w:tcPr>
            <w:tcW w:w="5" w:type="pct"/>
            <w:vAlign w:val="center"/>
            <w:hideMark/>
          </w:tcPr>
          <w:p w14:paraId="59F91FEA" w14:textId="77777777" w:rsidR="00000000" w:rsidRDefault="00EE5306">
            <w:pPr>
              <w:spacing w:after="100"/>
              <w:rPr>
                <w:rFonts w:eastAsia="Times New Roman"/>
                <w:sz w:val="20"/>
                <w:szCs w:val="20"/>
              </w:rPr>
            </w:pPr>
          </w:p>
        </w:tc>
        <w:tc>
          <w:tcPr>
            <w:tcW w:w="50" w:type="pct"/>
            <w:vAlign w:val="center"/>
            <w:hideMark/>
          </w:tcPr>
          <w:p w14:paraId="454A304D" w14:textId="77777777" w:rsidR="00000000" w:rsidRDefault="00EE5306">
            <w:pPr>
              <w:spacing w:after="100"/>
              <w:rPr>
                <w:rFonts w:eastAsia="Times New Roman"/>
                <w:sz w:val="20"/>
                <w:szCs w:val="20"/>
              </w:rPr>
            </w:pPr>
          </w:p>
        </w:tc>
        <w:tc>
          <w:tcPr>
            <w:tcW w:w="1436" w:type="pct"/>
            <w:vAlign w:val="center"/>
            <w:hideMark/>
          </w:tcPr>
          <w:p w14:paraId="4A2BD349" w14:textId="77777777" w:rsidR="00000000" w:rsidRDefault="00EE5306">
            <w:pPr>
              <w:spacing w:after="100"/>
              <w:rPr>
                <w:rFonts w:eastAsia="Times New Roman"/>
                <w:sz w:val="20"/>
                <w:szCs w:val="20"/>
              </w:rPr>
            </w:pPr>
          </w:p>
        </w:tc>
        <w:tc>
          <w:tcPr>
            <w:tcW w:w="5" w:type="pct"/>
            <w:vAlign w:val="center"/>
            <w:hideMark/>
          </w:tcPr>
          <w:p w14:paraId="0E558525" w14:textId="77777777" w:rsidR="00000000" w:rsidRDefault="00EE5306">
            <w:pPr>
              <w:spacing w:after="100"/>
              <w:rPr>
                <w:rFonts w:eastAsia="Times New Roman"/>
                <w:sz w:val="20"/>
                <w:szCs w:val="20"/>
              </w:rPr>
            </w:pPr>
          </w:p>
        </w:tc>
        <w:tc>
          <w:tcPr>
            <w:tcW w:w="50" w:type="pct"/>
            <w:vAlign w:val="center"/>
            <w:hideMark/>
          </w:tcPr>
          <w:p w14:paraId="01E185F5" w14:textId="77777777" w:rsidR="00000000" w:rsidRDefault="00EE5306">
            <w:pPr>
              <w:spacing w:after="100"/>
              <w:rPr>
                <w:rFonts w:eastAsia="Times New Roman"/>
                <w:sz w:val="20"/>
                <w:szCs w:val="20"/>
              </w:rPr>
            </w:pPr>
          </w:p>
        </w:tc>
        <w:tc>
          <w:tcPr>
            <w:tcW w:w="1699" w:type="pct"/>
            <w:vAlign w:val="center"/>
            <w:hideMark/>
          </w:tcPr>
          <w:p w14:paraId="43DCAD3E" w14:textId="77777777" w:rsidR="00000000" w:rsidRDefault="00EE5306">
            <w:pPr>
              <w:spacing w:after="100"/>
              <w:rPr>
                <w:rFonts w:eastAsia="Times New Roman"/>
                <w:sz w:val="20"/>
                <w:szCs w:val="20"/>
              </w:rPr>
            </w:pPr>
          </w:p>
        </w:tc>
        <w:tc>
          <w:tcPr>
            <w:tcW w:w="5" w:type="pct"/>
            <w:vAlign w:val="center"/>
            <w:hideMark/>
          </w:tcPr>
          <w:p w14:paraId="03EF07EF" w14:textId="77777777" w:rsidR="00000000" w:rsidRDefault="00EE5306">
            <w:pPr>
              <w:spacing w:after="100"/>
              <w:rPr>
                <w:rFonts w:eastAsia="Times New Roman"/>
                <w:sz w:val="20"/>
                <w:szCs w:val="20"/>
              </w:rPr>
            </w:pPr>
          </w:p>
        </w:tc>
      </w:tr>
      <w:tr w:rsidR="00000000" w14:paraId="2917F032" w14:textId="77777777">
        <w:trPr>
          <w:divId w:val="1287586521"/>
          <w:jc w:val="center"/>
        </w:trPr>
        <w:tc>
          <w:tcPr>
            <w:tcW w:w="0" w:type="auto"/>
            <w:gridSpan w:val="3"/>
            <w:tcMar>
              <w:top w:w="0" w:type="dxa"/>
              <w:left w:w="20" w:type="dxa"/>
              <w:bottom w:w="0" w:type="dxa"/>
              <w:right w:w="20" w:type="dxa"/>
            </w:tcMar>
            <w:vAlign w:val="center"/>
            <w:hideMark/>
          </w:tcPr>
          <w:p w14:paraId="7724EEC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EE8FF70" w14:textId="77777777" w:rsidR="00000000" w:rsidRDefault="00EE5306">
            <w:pPr>
              <w:spacing w:after="100"/>
              <w:jc w:val="center"/>
              <w:rPr>
                <w:rFonts w:eastAsia="Times New Roman"/>
              </w:rPr>
            </w:pPr>
            <w:r>
              <w:rPr>
                <w:rFonts w:eastAsia="Times New Roman"/>
                <w:color w:val="000000"/>
                <w:sz w:val="20"/>
                <w:szCs w:val="20"/>
              </w:rPr>
              <w:t>F-21</w:t>
            </w:r>
          </w:p>
        </w:tc>
        <w:tc>
          <w:tcPr>
            <w:tcW w:w="0" w:type="auto"/>
            <w:gridSpan w:val="3"/>
            <w:tcMar>
              <w:top w:w="0" w:type="dxa"/>
              <w:left w:w="20" w:type="dxa"/>
              <w:bottom w:w="0" w:type="dxa"/>
              <w:right w:w="20" w:type="dxa"/>
            </w:tcMar>
            <w:vAlign w:val="center"/>
            <w:hideMark/>
          </w:tcPr>
          <w:p w14:paraId="2B9C5FE7" w14:textId="77777777" w:rsidR="00000000" w:rsidRDefault="00EE5306">
            <w:pPr>
              <w:spacing w:after="100"/>
              <w:jc w:val="center"/>
              <w:rPr>
                <w:rFonts w:eastAsia="Times New Roman"/>
              </w:rPr>
            </w:pPr>
          </w:p>
        </w:tc>
      </w:tr>
    </w:tbl>
    <w:p w14:paraId="16666863" w14:textId="77777777" w:rsidR="00000000" w:rsidRDefault="00EE5306">
      <w:pPr>
        <w:rPr>
          <w:rFonts w:eastAsia="Times New Roman"/>
        </w:rPr>
      </w:pPr>
      <w:r>
        <w:rPr>
          <w:rFonts w:eastAsia="Times New Roman"/>
        </w:rPr>
        <w:pict w14:anchorId="21165410">
          <v:rect id="_x0000_i1131" style="width:0;height:1.5pt" o:hralign="center" o:hrstd="t" o:hr="t" fillcolor="#a0a0a0" stroked="f"/>
        </w:pict>
      </w:r>
    </w:p>
    <w:p w14:paraId="71BF569C" w14:textId="77777777" w:rsidR="00000000" w:rsidRDefault="00EE5306">
      <w:pPr>
        <w:jc w:val="center"/>
        <w:divId w:val="2049063112"/>
        <w:rPr>
          <w:rFonts w:eastAsia="Times New Roman"/>
        </w:rPr>
      </w:pPr>
    </w:p>
    <w:p w14:paraId="546A84CC" w14:textId="77777777" w:rsidR="00000000" w:rsidRDefault="00EE5306">
      <w:pPr>
        <w:jc w:val="center"/>
        <w:divId w:val="2049063112"/>
        <w:rPr>
          <w:rFonts w:eastAsia="Times New Roman"/>
        </w:rPr>
      </w:pPr>
      <w:r>
        <w:rPr>
          <w:rFonts w:eastAsia="Times New Roman"/>
          <w:b/>
          <w:bCs/>
          <w:color w:val="000000"/>
          <w:sz w:val="20"/>
          <w:szCs w:val="20"/>
        </w:rPr>
        <w:t>RALPH LAUREN CORPORATION</w:t>
      </w:r>
    </w:p>
    <w:p w14:paraId="15757621" w14:textId="77777777" w:rsidR="00000000" w:rsidRDefault="00EE5306">
      <w:pPr>
        <w:jc w:val="center"/>
        <w:divId w:val="1121920943"/>
        <w:rPr>
          <w:rFonts w:eastAsia="Times New Roman"/>
        </w:rPr>
      </w:pPr>
      <w:r>
        <w:rPr>
          <w:rFonts w:eastAsia="Times New Roman"/>
          <w:b/>
          <w:bCs/>
          <w:color w:val="000000"/>
          <w:sz w:val="20"/>
          <w:szCs w:val="20"/>
        </w:rPr>
        <w:t>NOTES TO CONSOLIDATED FINANCIAL STATEMENTS (Continued)</w:t>
      </w:r>
    </w:p>
    <w:p w14:paraId="564198AB" w14:textId="77777777" w:rsidR="00000000" w:rsidRDefault="00EE5306">
      <w:pPr>
        <w:ind w:firstLine="360"/>
        <w:divId w:val="1759137900"/>
        <w:rPr>
          <w:rFonts w:eastAsia="Times New Roman"/>
        </w:rPr>
      </w:pPr>
      <w:r>
        <w:rPr>
          <w:rFonts w:eastAsia="Times New Roman"/>
          <w:b/>
          <w:bCs/>
          <w:i/>
          <w:iCs/>
          <w:color w:val="000000"/>
          <w:sz w:val="20"/>
          <w:szCs w:val="20"/>
        </w:rPr>
        <w:t>Other Intangible Assets</w:t>
      </w:r>
    </w:p>
    <w:p w14:paraId="2D8AB94E" w14:textId="77777777" w:rsidR="00000000" w:rsidRDefault="00EE5306">
      <w:pPr>
        <w:ind w:firstLine="540"/>
        <w:jc w:val="both"/>
        <w:divId w:val="1410538407"/>
        <w:rPr>
          <w:rFonts w:eastAsia="Times New Roman"/>
        </w:rPr>
      </w:pPr>
      <w:r>
        <w:rPr>
          <w:rFonts w:eastAsia="Times New Roman"/>
          <w:color w:val="000000"/>
          <w:sz w:val="20"/>
          <w:szCs w:val="20"/>
        </w:rPr>
        <w:t>Other intangible assets consist of the following:</w:t>
      </w:r>
    </w:p>
    <w:tbl>
      <w:tblPr>
        <w:tblW w:w="4729" w:type="pct"/>
        <w:tblCellMar>
          <w:top w:w="15" w:type="dxa"/>
          <w:left w:w="15" w:type="dxa"/>
          <w:bottom w:w="15" w:type="dxa"/>
          <w:right w:w="15" w:type="dxa"/>
        </w:tblCellMar>
        <w:tblLook w:val="04A0" w:firstRow="1" w:lastRow="0" w:firstColumn="1" w:lastColumn="0" w:noHBand="0" w:noVBand="1"/>
      </w:tblPr>
      <w:tblGrid>
        <w:gridCol w:w="38"/>
        <w:gridCol w:w="2857"/>
        <w:gridCol w:w="37"/>
        <w:gridCol w:w="36"/>
        <w:gridCol w:w="36"/>
        <w:gridCol w:w="36"/>
        <w:gridCol w:w="121"/>
        <w:gridCol w:w="585"/>
        <w:gridCol w:w="36"/>
        <w:gridCol w:w="36"/>
        <w:gridCol w:w="36"/>
        <w:gridCol w:w="36"/>
        <w:gridCol w:w="120"/>
        <w:gridCol w:w="584"/>
        <w:gridCol w:w="36"/>
        <w:gridCol w:w="36"/>
        <w:gridCol w:w="36"/>
        <w:gridCol w:w="36"/>
        <w:gridCol w:w="120"/>
        <w:gridCol w:w="500"/>
        <w:gridCol w:w="36"/>
        <w:gridCol w:w="36"/>
        <w:gridCol w:w="36"/>
        <w:gridCol w:w="36"/>
        <w:gridCol w:w="121"/>
        <w:gridCol w:w="585"/>
        <w:gridCol w:w="36"/>
        <w:gridCol w:w="36"/>
        <w:gridCol w:w="36"/>
        <w:gridCol w:w="36"/>
        <w:gridCol w:w="120"/>
        <w:gridCol w:w="584"/>
        <w:gridCol w:w="36"/>
        <w:gridCol w:w="36"/>
        <w:gridCol w:w="36"/>
        <w:gridCol w:w="36"/>
        <w:gridCol w:w="120"/>
        <w:gridCol w:w="500"/>
        <w:gridCol w:w="36"/>
      </w:tblGrid>
      <w:tr w:rsidR="00000000" w14:paraId="337AC3D3" w14:textId="77777777">
        <w:trPr>
          <w:divId w:val="1675644350"/>
        </w:trPr>
        <w:tc>
          <w:tcPr>
            <w:tcW w:w="50" w:type="pct"/>
            <w:vAlign w:val="center"/>
            <w:hideMark/>
          </w:tcPr>
          <w:p w14:paraId="3DF3AF5E" w14:textId="77777777" w:rsidR="00000000" w:rsidRDefault="00EE5306">
            <w:pPr>
              <w:ind w:firstLine="540"/>
              <w:jc w:val="both"/>
              <w:rPr>
                <w:rFonts w:eastAsia="Times New Roman"/>
              </w:rPr>
            </w:pPr>
          </w:p>
        </w:tc>
        <w:tc>
          <w:tcPr>
            <w:tcW w:w="2162" w:type="pct"/>
            <w:vAlign w:val="center"/>
            <w:hideMark/>
          </w:tcPr>
          <w:p w14:paraId="489B6E4F" w14:textId="77777777" w:rsidR="00000000" w:rsidRDefault="00EE5306">
            <w:pPr>
              <w:spacing w:after="100"/>
              <w:rPr>
                <w:rFonts w:eastAsia="Times New Roman"/>
                <w:sz w:val="20"/>
                <w:szCs w:val="20"/>
              </w:rPr>
            </w:pPr>
          </w:p>
        </w:tc>
        <w:tc>
          <w:tcPr>
            <w:tcW w:w="5" w:type="pct"/>
            <w:vAlign w:val="center"/>
            <w:hideMark/>
          </w:tcPr>
          <w:p w14:paraId="0DE39948" w14:textId="77777777" w:rsidR="00000000" w:rsidRDefault="00EE5306">
            <w:pPr>
              <w:spacing w:after="100"/>
              <w:rPr>
                <w:rFonts w:eastAsia="Times New Roman"/>
                <w:sz w:val="20"/>
                <w:szCs w:val="20"/>
              </w:rPr>
            </w:pPr>
          </w:p>
        </w:tc>
        <w:tc>
          <w:tcPr>
            <w:tcW w:w="5" w:type="pct"/>
            <w:vAlign w:val="center"/>
            <w:hideMark/>
          </w:tcPr>
          <w:p w14:paraId="6F7C04B1" w14:textId="77777777" w:rsidR="00000000" w:rsidRDefault="00EE5306">
            <w:pPr>
              <w:spacing w:after="100"/>
              <w:rPr>
                <w:rFonts w:eastAsia="Times New Roman"/>
                <w:sz w:val="20"/>
                <w:szCs w:val="20"/>
              </w:rPr>
            </w:pPr>
          </w:p>
        </w:tc>
        <w:tc>
          <w:tcPr>
            <w:tcW w:w="28" w:type="pct"/>
            <w:vAlign w:val="center"/>
            <w:hideMark/>
          </w:tcPr>
          <w:p w14:paraId="03CCFA95" w14:textId="77777777" w:rsidR="00000000" w:rsidRDefault="00EE5306">
            <w:pPr>
              <w:spacing w:after="100"/>
              <w:rPr>
                <w:rFonts w:eastAsia="Times New Roman"/>
                <w:sz w:val="20"/>
                <w:szCs w:val="20"/>
              </w:rPr>
            </w:pPr>
          </w:p>
        </w:tc>
        <w:tc>
          <w:tcPr>
            <w:tcW w:w="5" w:type="pct"/>
            <w:vAlign w:val="center"/>
            <w:hideMark/>
          </w:tcPr>
          <w:p w14:paraId="69B5D867" w14:textId="77777777" w:rsidR="00000000" w:rsidRDefault="00EE5306">
            <w:pPr>
              <w:spacing w:after="100"/>
              <w:rPr>
                <w:rFonts w:eastAsia="Times New Roman"/>
                <w:sz w:val="20"/>
                <w:szCs w:val="20"/>
              </w:rPr>
            </w:pPr>
          </w:p>
        </w:tc>
        <w:tc>
          <w:tcPr>
            <w:tcW w:w="50" w:type="pct"/>
            <w:vAlign w:val="center"/>
            <w:hideMark/>
          </w:tcPr>
          <w:p w14:paraId="003BE30E" w14:textId="77777777" w:rsidR="00000000" w:rsidRDefault="00EE5306">
            <w:pPr>
              <w:spacing w:after="100"/>
              <w:rPr>
                <w:rFonts w:eastAsia="Times New Roman"/>
                <w:sz w:val="20"/>
                <w:szCs w:val="20"/>
              </w:rPr>
            </w:pPr>
          </w:p>
        </w:tc>
        <w:tc>
          <w:tcPr>
            <w:tcW w:w="370" w:type="pct"/>
            <w:vAlign w:val="center"/>
            <w:hideMark/>
          </w:tcPr>
          <w:p w14:paraId="14823853" w14:textId="77777777" w:rsidR="00000000" w:rsidRDefault="00EE5306">
            <w:pPr>
              <w:spacing w:after="100"/>
              <w:rPr>
                <w:rFonts w:eastAsia="Times New Roman"/>
                <w:sz w:val="20"/>
                <w:szCs w:val="20"/>
              </w:rPr>
            </w:pPr>
          </w:p>
        </w:tc>
        <w:tc>
          <w:tcPr>
            <w:tcW w:w="5" w:type="pct"/>
            <w:vAlign w:val="center"/>
            <w:hideMark/>
          </w:tcPr>
          <w:p w14:paraId="62B79062" w14:textId="77777777" w:rsidR="00000000" w:rsidRDefault="00EE5306">
            <w:pPr>
              <w:spacing w:after="100"/>
              <w:rPr>
                <w:rFonts w:eastAsia="Times New Roman"/>
                <w:sz w:val="20"/>
                <w:szCs w:val="20"/>
              </w:rPr>
            </w:pPr>
          </w:p>
        </w:tc>
        <w:tc>
          <w:tcPr>
            <w:tcW w:w="5" w:type="pct"/>
            <w:vAlign w:val="center"/>
            <w:hideMark/>
          </w:tcPr>
          <w:p w14:paraId="372AEBB5" w14:textId="77777777" w:rsidR="00000000" w:rsidRDefault="00EE5306">
            <w:pPr>
              <w:spacing w:after="100"/>
              <w:rPr>
                <w:rFonts w:eastAsia="Times New Roman"/>
                <w:sz w:val="20"/>
                <w:szCs w:val="20"/>
              </w:rPr>
            </w:pPr>
          </w:p>
        </w:tc>
        <w:tc>
          <w:tcPr>
            <w:tcW w:w="28" w:type="pct"/>
            <w:vAlign w:val="center"/>
            <w:hideMark/>
          </w:tcPr>
          <w:p w14:paraId="04A13E39" w14:textId="77777777" w:rsidR="00000000" w:rsidRDefault="00EE5306">
            <w:pPr>
              <w:spacing w:after="100"/>
              <w:rPr>
                <w:rFonts w:eastAsia="Times New Roman"/>
                <w:sz w:val="20"/>
                <w:szCs w:val="20"/>
              </w:rPr>
            </w:pPr>
          </w:p>
        </w:tc>
        <w:tc>
          <w:tcPr>
            <w:tcW w:w="5" w:type="pct"/>
            <w:vAlign w:val="center"/>
            <w:hideMark/>
          </w:tcPr>
          <w:p w14:paraId="38DCBE6A" w14:textId="77777777" w:rsidR="00000000" w:rsidRDefault="00EE5306">
            <w:pPr>
              <w:spacing w:after="100"/>
              <w:rPr>
                <w:rFonts w:eastAsia="Times New Roman"/>
                <w:sz w:val="20"/>
                <w:szCs w:val="20"/>
              </w:rPr>
            </w:pPr>
          </w:p>
        </w:tc>
        <w:tc>
          <w:tcPr>
            <w:tcW w:w="50" w:type="pct"/>
            <w:vAlign w:val="center"/>
            <w:hideMark/>
          </w:tcPr>
          <w:p w14:paraId="0781BAB5" w14:textId="77777777" w:rsidR="00000000" w:rsidRDefault="00EE5306">
            <w:pPr>
              <w:spacing w:after="100"/>
              <w:rPr>
                <w:rFonts w:eastAsia="Times New Roman"/>
                <w:sz w:val="20"/>
                <w:szCs w:val="20"/>
              </w:rPr>
            </w:pPr>
          </w:p>
        </w:tc>
        <w:tc>
          <w:tcPr>
            <w:tcW w:w="370" w:type="pct"/>
            <w:vAlign w:val="center"/>
            <w:hideMark/>
          </w:tcPr>
          <w:p w14:paraId="16E46F33" w14:textId="77777777" w:rsidR="00000000" w:rsidRDefault="00EE5306">
            <w:pPr>
              <w:spacing w:after="100"/>
              <w:rPr>
                <w:rFonts w:eastAsia="Times New Roman"/>
                <w:sz w:val="20"/>
                <w:szCs w:val="20"/>
              </w:rPr>
            </w:pPr>
          </w:p>
        </w:tc>
        <w:tc>
          <w:tcPr>
            <w:tcW w:w="5" w:type="pct"/>
            <w:vAlign w:val="center"/>
            <w:hideMark/>
          </w:tcPr>
          <w:p w14:paraId="548AA8E7" w14:textId="77777777" w:rsidR="00000000" w:rsidRDefault="00EE5306">
            <w:pPr>
              <w:spacing w:after="100"/>
              <w:rPr>
                <w:rFonts w:eastAsia="Times New Roman"/>
                <w:sz w:val="20"/>
                <w:szCs w:val="20"/>
              </w:rPr>
            </w:pPr>
          </w:p>
        </w:tc>
        <w:tc>
          <w:tcPr>
            <w:tcW w:w="5" w:type="pct"/>
            <w:vAlign w:val="center"/>
            <w:hideMark/>
          </w:tcPr>
          <w:p w14:paraId="667E9AA7" w14:textId="77777777" w:rsidR="00000000" w:rsidRDefault="00EE5306">
            <w:pPr>
              <w:spacing w:after="100"/>
              <w:rPr>
                <w:rFonts w:eastAsia="Times New Roman"/>
                <w:sz w:val="20"/>
                <w:szCs w:val="20"/>
              </w:rPr>
            </w:pPr>
          </w:p>
        </w:tc>
        <w:tc>
          <w:tcPr>
            <w:tcW w:w="28" w:type="pct"/>
            <w:vAlign w:val="center"/>
            <w:hideMark/>
          </w:tcPr>
          <w:p w14:paraId="21FFF8B9" w14:textId="77777777" w:rsidR="00000000" w:rsidRDefault="00EE5306">
            <w:pPr>
              <w:spacing w:after="100"/>
              <w:rPr>
                <w:rFonts w:eastAsia="Times New Roman"/>
                <w:sz w:val="20"/>
                <w:szCs w:val="20"/>
              </w:rPr>
            </w:pPr>
          </w:p>
        </w:tc>
        <w:tc>
          <w:tcPr>
            <w:tcW w:w="5" w:type="pct"/>
            <w:vAlign w:val="center"/>
            <w:hideMark/>
          </w:tcPr>
          <w:p w14:paraId="73F594F0" w14:textId="77777777" w:rsidR="00000000" w:rsidRDefault="00EE5306">
            <w:pPr>
              <w:spacing w:after="100"/>
              <w:rPr>
                <w:rFonts w:eastAsia="Times New Roman"/>
                <w:sz w:val="20"/>
                <w:szCs w:val="20"/>
              </w:rPr>
            </w:pPr>
          </w:p>
        </w:tc>
        <w:tc>
          <w:tcPr>
            <w:tcW w:w="50" w:type="pct"/>
            <w:vAlign w:val="center"/>
            <w:hideMark/>
          </w:tcPr>
          <w:p w14:paraId="2F5FC32F" w14:textId="77777777" w:rsidR="00000000" w:rsidRDefault="00EE5306">
            <w:pPr>
              <w:spacing w:after="100"/>
              <w:rPr>
                <w:rFonts w:eastAsia="Times New Roman"/>
                <w:sz w:val="20"/>
                <w:szCs w:val="20"/>
              </w:rPr>
            </w:pPr>
          </w:p>
        </w:tc>
        <w:tc>
          <w:tcPr>
            <w:tcW w:w="370" w:type="pct"/>
            <w:vAlign w:val="center"/>
            <w:hideMark/>
          </w:tcPr>
          <w:p w14:paraId="07CFAFA1" w14:textId="77777777" w:rsidR="00000000" w:rsidRDefault="00EE5306">
            <w:pPr>
              <w:spacing w:after="100"/>
              <w:rPr>
                <w:rFonts w:eastAsia="Times New Roman"/>
                <w:sz w:val="20"/>
                <w:szCs w:val="20"/>
              </w:rPr>
            </w:pPr>
          </w:p>
        </w:tc>
        <w:tc>
          <w:tcPr>
            <w:tcW w:w="5" w:type="pct"/>
            <w:vAlign w:val="center"/>
            <w:hideMark/>
          </w:tcPr>
          <w:p w14:paraId="459166E4" w14:textId="77777777" w:rsidR="00000000" w:rsidRDefault="00EE5306">
            <w:pPr>
              <w:spacing w:after="100"/>
              <w:rPr>
                <w:rFonts w:eastAsia="Times New Roman"/>
                <w:sz w:val="20"/>
                <w:szCs w:val="20"/>
              </w:rPr>
            </w:pPr>
          </w:p>
        </w:tc>
        <w:tc>
          <w:tcPr>
            <w:tcW w:w="5" w:type="pct"/>
            <w:vAlign w:val="center"/>
            <w:hideMark/>
          </w:tcPr>
          <w:p w14:paraId="76250387" w14:textId="77777777" w:rsidR="00000000" w:rsidRDefault="00EE5306">
            <w:pPr>
              <w:spacing w:after="100"/>
              <w:rPr>
                <w:rFonts w:eastAsia="Times New Roman"/>
                <w:sz w:val="20"/>
                <w:szCs w:val="20"/>
              </w:rPr>
            </w:pPr>
          </w:p>
        </w:tc>
        <w:tc>
          <w:tcPr>
            <w:tcW w:w="28" w:type="pct"/>
            <w:vAlign w:val="center"/>
            <w:hideMark/>
          </w:tcPr>
          <w:p w14:paraId="050555EC" w14:textId="77777777" w:rsidR="00000000" w:rsidRDefault="00EE5306">
            <w:pPr>
              <w:spacing w:after="100"/>
              <w:rPr>
                <w:rFonts w:eastAsia="Times New Roman"/>
                <w:sz w:val="20"/>
                <w:szCs w:val="20"/>
              </w:rPr>
            </w:pPr>
          </w:p>
        </w:tc>
        <w:tc>
          <w:tcPr>
            <w:tcW w:w="5" w:type="pct"/>
            <w:vAlign w:val="center"/>
            <w:hideMark/>
          </w:tcPr>
          <w:p w14:paraId="38BDE639" w14:textId="77777777" w:rsidR="00000000" w:rsidRDefault="00EE5306">
            <w:pPr>
              <w:spacing w:after="100"/>
              <w:rPr>
                <w:rFonts w:eastAsia="Times New Roman"/>
                <w:sz w:val="20"/>
                <w:szCs w:val="20"/>
              </w:rPr>
            </w:pPr>
          </w:p>
        </w:tc>
        <w:tc>
          <w:tcPr>
            <w:tcW w:w="50" w:type="pct"/>
            <w:vAlign w:val="center"/>
            <w:hideMark/>
          </w:tcPr>
          <w:p w14:paraId="6835E7FB" w14:textId="77777777" w:rsidR="00000000" w:rsidRDefault="00EE5306">
            <w:pPr>
              <w:spacing w:after="100"/>
              <w:rPr>
                <w:rFonts w:eastAsia="Times New Roman"/>
                <w:sz w:val="20"/>
                <w:szCs w:val="20"/>
              </w:rPr>
            </w:pPr>
          </w:p>
        </w:tc>
        <w:tc>
          <w:tcPr>
            <w:tcW w:w="370" w:type="pct"/>
            <w:vAlign w:val="center"/>
            <w:hideMark/>
          </w:tcPr>
          <w:p w14:paraId="771168C3" w14:textId="77777777" w:rsidR="00000000" w:rsidRDefault="00EE5306">
            <w:pPr>
              <w:spacing w:after="100"/>
              <w:rPr>
                <w:rFonts w:eastAsia="Times New Roman"/>
                <w:sz w:val="20"/>
                <w:szCs w:val="20"/>
              </w:rPr>
            </w:pPr>
          </w:p>
        </w:tc>
        <w:tc>
          <w:tcPr>
            <w:tcW w:w="5" w:type="pct"/>
            <w:vAlign w:val="center"/>
            <w:hideMark/>
          </w:tcPr>
          <w:p w14:paraId="71ED0636" w14:textId="77777777" w:rsidR="00000000" w:rsidRDefault="00EE5306">
            <w:pPr>
              <w:spacing w:after="100"/>
              <w:rPr>
                <w:rFonts w:eastAsia="Times New Roman"/>
                <w:sz w:val="20"/>
                <w:szCs w:val="20"/>
              </w:rPr>
            </w:pPr>
          </w:p>
        </w:tc>
        <w:tc>
          <w:tcPr>
            <w:tcW w:w="5" w:type="pct"/>
            <w:vAlign w:val="center"/>
            <w:hideMark/>
          </w:tcPr>
          <w:p w14:paraId="2D142BBF" w14:textId="77777777" w:rsidR="00000000" w:rsidRDefault="00EE5306">
            <w:pPr>
              <w:spacing w:after="100"/>
              <w:rPr>
                <w:rFonts w:eastAsia="Times New Roman"/>
                <w:sz w:val="20"/>
                <w:szCs w:val="20"/>
              </w:rPr>
            </w:pPr>
          </w:p>
        </w:tc>
        <w:tc>
          <w:tcPr>
            <w:tcW w:w="28" w:type="pct"/>
            <w:vAlign w:val="center"/>
            <w:hideMark/>
          </w:tcPr>
          <w:p w14:paraId="79DF080A" w14:textId="77777777" w:rsidR="00000000" w:rsidRDefault="00EE5306">
            <w:pPr>
              <w:spacing w:after="100"/>
              <w:rPr>
                <w:rFonts w:eastAsia="Times New Roman"/>
                <w:sz w:val="20"/>
                <w:szCs w:val="20"/>
              </w:rPr>
            </w:pPr>
          </w:p>
        </w:tc>
        <w:tc>
          <w:tcPr>
            <w:tcW w:w="5" w:type="pct"/>
            <w:vAlign w:val="center"/>
            <w:hideMark/>
          </w:tcPr>
          <w:p w14:paraId="7C4456AC" w14:textId="77777777" w:rsidR="00000000" w:rsidRDefault="00EE5306">
            <w:pPr>
              <w:spacing w:after="100"/>
              <w:rPr>
                <w:rFonts w:eastAsia="Times New Roman"/>
                <w:sz w:val="20"/>
                <w:szCs w:val="20"/>
              </w:rPr>
            </w:pPr>
          </w:p>
        </w:tc>
        <w:tc>
          <w:tcPr>
            <w:tcW w:w="50" w:type="pct"/>
            <w:vAlign w:val="center"/>
            <w:hideMark/>
          </w:tcPr>
          <w:p w14:paraId="64BE0C2D" w14:textId="77777777" w:rsidR="00000000" w:rsidRDefault="00EE5306">
            <w:pPr>
              <w:spacing w:after="100"/>
              <w:rPr>
                <w:rFonts w:eastAsia="Times New Roman"/>
                <w:sz w:val="20"/>
                <w:szCs w:val="20"/>
              </w:rPr>
            </w:pPr>
          </w:p>
        </w:tc>
        <w:tc>
          <w:tcPr>
            <w:tcW w:w="370" w:type="pct"/>
            <w:vAlign w:val="center"/>
            <w:hideMark/>
          </w:tcPr>
          <w:p w14:paraId="69E618C0" w14:textId="77777777" w:rsidR="00000000" w:rsidRDefault="00EE5306">
            <w:pPr>
              <w:spacing w:after="100"/>
              <w:rPr>
                <w:rFonts w:eastAsia="Times New Roman"/>
                <w:sz w:val="20"/>
                <w:szCs w:val="20"/>
              </w:rPr>
            </w:pPr>
          </w:p>
        </w:tc>
        <w:tc>
          <w:tcPr>
            <w:tcW w:w="5" w:type="pct"/>
            <w:vAlign w:val="center"/>
            <w:hideMark/>
          </w:tcPr>
          <w:p w14:paraId="3B506800" w14:textId="77777777" w:rsidR="00000000" w:rsidRDefault="00EE5306">
            <w:pPr>
              <w:spacing w:after="100"/>
              <w:rPr>
                <w:rFonts w:eastAsia="Times New Roman"/>
                <w:sz w:val="20"/>
                <w:szCs w:val="20"/>
              </w:rPr>
            </w:pPr>
          </w:p>
        </w:tc>
        <w:tc>
          <w:tcPr>
            <w:tcW w:w="5" w:type="pct"/>
            <w:vAlign w:val="center"/>
            <w:hideMark/>
          </w:tcPr>
          <w:p w14:paraId="16B29135" w14:textId="77777777" w:rsidR="00000000" w:rsidRDefault="00EE5306">
            <w:pPr>
              <w:spacing w:after="100"/>
              <w:rPr>
                <w:rFonts w:eastAsia="Times New Roman"/>
                <w:sz w:val="20"/>
                <w:szCs w:val="20"/>
              </w:rPr>
            </w:pPr>
          </w:p>
        </w:tc>
        <w:tc>
          <w:tcPr>
            <w:tcW w:w="28" w:type="pct"/>
            <w:vAlign w:val="center"/>
            <w:hideMark/>
          </w:tcPr>
          <w:p w14:paraId="5B79637C" w14:textId="77777777" w:rsidR="00000000" w:rsidRDefault="00EE5306">
            <w:pPr>
              <w:spacing w:after="100"/>
              <w:rPr>
                <w:rFonts w:eastAsia="Times New Roman"/>
                <w:sz w:val="20"/>
                <w:szCs w:val="20"/>
              </w:rPr>
            </w:pPr>
          </w:p>
        </w:tc>
        <w:tc>
          <w:tcPr>
            <w:tcW w:w="5" w:type="pct"/>
            <w:vAlign w:val="center"/>
            <w:hideMark/>
          </w:tcPr>
          <w:p w14:paraId="5AEA85F4" w14:textId="77777777" w:rsidR="00000000" w:rsidRDefault="00EE5306">
            <w:pPr>
              <w:spacing w:after="100"/>
              <w:rPr>
                <w:rFonts w:eastAsia="Times New Roman"/>
                <w:sz w:val="20"/>
                <w:szCs w:val="20"/>
              </w:rPr>
            </w:pPr>
          </w:p>
        </w:tc>
        <w:tc>
          <w:tcPr>
            <w:tcW w:w="50" w:type="pct"/>
            <w:vAlign w:val="center"/>
            <w:hideMark/>
          </w:tcPr>
          <w:p w14:paraId="7221CFC8" w14:textId="77777777" w:rsidR="00000000" w:rsidRDefault="00EE5306">
            <w:pPr>
              <w:spacing w:after="100"/>
              <w:rPr>
                <w:rFonts w:eastAsia="Times New Roman"/>
                <w:sz w:val="20"/>
                <w:szCs w:val="20"/>
              </w:rPr>
            </w:pPr>
          </w:p>
        </w:tc>
        <w:tc>
          <w:tcPr>
            <w:tcW w:w="370" w:type="pct"/>
            <w:vAlign w:val="center"/>
            <w:hideMark/>
          </w:tcPr>
          <w:p w14:paraId="162D2C50" w14:textId="77777777" w:rsidR="00000000" w:rsidRDefault="00EE5306">
            <w:pPr>
              <w:spacing w:after="100"/>
              <w:rPr>
                <w:rFonts w:eastAsia="Times New Roman"/>
                <w:sz w:val="20"/>
                <w:szCs w:val="20"/>
              </w:rPr>
            </w:pPr>
          </w:p>
        </w:tc>
        <w:tc>
          <w:tcPr>
            <w:tcW w:w="5" w:type="pct"/>
            <w:vAlign w:val="center"/>
            <w:hideMark/>
          </w:tcPr>
          <w:p w14:paraId="5E09A7E4" w14:textId="77777777" w:rsidR="00000000" w:rsidRDefault="00EE5306">
            <w:pPr>
              <w:spacing w:after="100"/>
              <w:rPr>
                <w:rFonts w:eastAsia="Times New Roman"/>
                <w:sz w:val="20"/>
                <w:szCs w:val="20"/>
              </w:rPr>
            </w:pPr>
          </w:p>
        </w:tc>
      </w:tr>
      <w:tr w:rsidR="00000000" w14:paraId="3E2E097F" w14:textId="77777777">
        <w:trPr>
          <w:divId w:val="1675644350"/>
        </w:trPr>
        <w:tc>
          <w:tcPr>
            <w:tcW w:w="0" w:type="auto"/>
            <w:gridSpan w:val="3"/>
            <w:tcMar>
              <w:top w:w="0" w:type="dxa"/>
              <w:left w:w="20" w:type="dxa"/>
              <w:bottom w:w="0" w:type="dxa"/>
              <w:right w:w="20" w:type="dxa"/>
            </w:tcMar>
            <w:vAlign w:val="center"/>
            <w:hideMark/>
          </w:tcPr>
          <w:p w14:paraId="07B74202"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6BFDBA" w14:textId="77777777" w:rsidR="00000000" w:rsidRDefault="00EE530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5F1887B" w14:textId="77777777" w:rsidR="00000000" w:rsidRDefault="00EE5306">
            <w:pPr>
              <w:spacing w:after="100"/>
              <w:jc w:val="center"/>
              <w:rPr>
                <w:rFonts w:eastAsia="Times New Roman"/>
              </w:rPr>
            </w:pPr>
            <w:r>
              <w:rPr>
                <w:rFonts w:eastAsia="Times New Roman"/>
                <w:b/>
                <w:bCs/>
                <w:color w:val="000000"/>
                <w:sz w:val="16"/>
                <w:szCs w:val="16"/>
              </w:rPr>
              <w:t>March 27, 2021</w:t>
            </w:r>
          </w:p>
        </w:tc>
        <w:tc>
          <w:tcPr>
            <w:tcW w:w="0" w:type="auto"/>
            <w:gridSpan w:val="3"/>
            <w:tcMar>
              <w:top w:w="0" w:type="dxa"/>
              <w:left w:w="20" w:type="dxa"/>
              <w:bottom w:w="0" w:type="dxa"/>
              <w:right w:w="20" w:type="dxa"/>
            </w:tcMar>
            <w:vAlign w:val="center"/>
            <w:hideMark/>
          </w:tcPr>
          <w:p w14:paraId="4E0DD490" w14:textId="77777777" w:rsidR="00000000" w:rsidRDefault="00EE5306">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03A07826" w14:textId="77777777" w:rsidR="00000000" w:rsidRDefault="00EE5306">
            <w:pPr>
              <w:spacing w:after="100"/>
              <w:jc w:val="center"/>
              <w:rPr>
                <w:rFonts w:eastAsia="Times New Roman"/>
              </w:rPr>
            </w:pPr>
            <w:r>
              <w:rPr>
                <w:rFonts w:eastAsia="Times New Roman"/>
                <w:b/>
                <w:bCs/>
                <w:color w:val="000000"/>
                <w:sz w:val="16"/>
                <w:szCs w:val="16"/>
              </w:rPr>
              <w:t>March 28, 2020</w:t>
            </w:r>
          </w:p>
        </w:tc>
      </w:tr>
      <w:tr w:rsidR="00000000" w14:paraId="3331212D" w14:textId="77777777">
        <w:trPr>
          <w:divId w:val="1675644350"/>
        </w:trPr>
        <w:tc>
          <w:tcPr>
            <w:tcW w:w="0" w:type="auto"/>
            <w:gridSpan w:val="3"/>
            <w:tcMar>
              <w:top w:w="0" w:type="dxa"/>
              <w:left w:w="20" w:type="dxa"/>
              <w:bottom w:w="0" w:type="dxa"/>
              <w:right w:w="20" w:type="dxa"/>
            </w:tcMar>
            <w:vAlign w:val="center"/>
            <w:hideMark/>
          </w:tcPr>
          <w:p w14:paraId="072F0FC0"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37BFE96"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6E27F0F" w14:textId="77777777" w:rsidR="00000000" w:rsidRDefault="00EE5306">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14:paraId="2A312FA1"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FCEA69" w14:textId="77777777" w:rsidR="00000000" w:rsidRDefault="00EE5306">
            <w:pPr>
              <w:spacing w:after="100"/>
              <w:jc w:val="center"/>
              <w:rPr>
                <w:rFonts w:eastAsia="Times New Roman"/>
              </w:rPr>
            </w:pPr>
            <w:r>
              <w:rPr>
                <w:rFonts w:eastAsia="Times New Roman"/>
                <w:b/>
                <w:bCs/>
                <w:color w:val="000000"/>
                <w:sz w:val="16"/>
                <w:szCs w:val="16"/>
              </w:rPr>
              <w:t>Accum. Amort.</w:t>
            </w:r>
          </w:p>
        </w:tc>
        <w:tc>
          <w:tcPr>
            <w:tcW w:w="0" w:type="auto"/>
            <w:gridSpan w:val="3"/>
            <w:tcBorders>
              <w:top w:val="single" w:sz="8" w:space="0" w:color="000000"/>
            </w:tcBorders>
            <w:tcMar>
              <w:top w:w="0" w:type="dxa"/>
              <w:left w:w="20" w:type="dxa"/>
              <w:bottom w:w="0" w:type="dxa"/>
              <w:right w:w="20" w:type="dxa"/>
            </w:tcMar>
            <w:vAlign w:val="center"/>
            <w:hideMark/>
          </w:tcPr>
          <w:p w14:paraId="70B99D73"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DA46C8" w14:textId="77777777" w:rsidR="00000000" w:rsidRDefault="00EE5306">
            <w:pPr>
              <w:spacing w:after="100"/>
              <w:jc w:val="center"/>
              <w:rPr>
                <w:rFonts w:eastAsia="Times New Roman"/>
              </w:rPr>
            </w:pPr>
            <w:r>
              <w:rPr>
                <w:rFonts w:eastAsia="Times New Roman"/>
                <w:b/>
                <w:bCs/>
                <w:color w:val="000000"/>
                <w:sz w:val="16"/>
                <w:szCs w:val="16"/>
              </w:rPr>
              <w:t>Net</w:t>
            </w:r>
          </w:p>
        </w:tc>
        <w:tc>
          <w:tcPr>
            <w:tcW w:w="0" w:type="auto"/>
            <w:gridSpan w:val="3"/>
            <w:tcMar>
              <w:top w:w="0" w:type="dxa"/>
              <w:left w:w="20" w:type="dxa"/>
              <w:bottom w:w="0" w:type="dxa"/>
              <w:right w:w="20" w:type="dxa"/>
            </w:tcMar>
            <w:vAlign w:val="center"/>
            <w:hideMark/>
          </w:tcPr>
          <w:p w14:paraId="1FDA1FD4"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03D233" w14:textId="77777777" w:rsidR="00000000" w:rsidRDefault="00EE5306">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14:paraId="43A39B42"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881DAC" w14:textId="77777777" w:rsidR="00000000" w:rsidRDefault="00EE5306">
            <w:pPr>
              <w:spacing w:after="100"/>
              <w:jc w:val="center"/>
              <w:rPr>
                <w:rFonts w:eastAsia="Times New Roman"/>
              </w:rPr>
            </w:pPr>
            <w:r>
              <w:rPr>
                <w:rFonts w:eastAsia="Times New Roman"/>
                <w:b/>
                <w:bCs/>
                <w:color w:val="000000"/>
                <w:sz w:val="16"/>
                <w:szCs w:val="16"/>
              </w:rPr>
              <w:t>Accum. Amort.</w:t>
            </w:r>
          </w:p>
        </w:tc>
        <w:tc>
          <w:tcPr>
            <w:tcW w:w="0" w:type="auto"/>
            <w:gridSpan w:val="3"/>
            <w:tcBorders>
              <w:top w:val="single" w:sz="8" w:space="0" w:color="000000"/>
            </w:tcBorders>
            <w:tcMar>
              <w:top w:w="0" w:type="dxa"/>
              <w:left w:w="20" w:type="dxa"/>
              <w:bottom w:w="0" w:type="dxa"/>
              <w:right w:w="20" w:type="dxa"/>
            </w:tcMar>
            <w:vAlign w:val="center"/>
            <w:hideMark/>
          </w:tcPr>
          <w:p w14:paraId="5EE7427F"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8EEFB72" w14:textId="77777777" w:rsidR="00000000" w:rsidRDefault="00EE5306">
            <w:pPr>
              <w:spacing w:after="100"/>
              <w:jc w:val="center"/>
              <w:rPr>
                <w:rFonts w:eastAsia="Times New Roman"/>
              </w:rPr>
            </w:pPr>
            <w:r>
              <w:rPr>
                <w:rFonts w:eastAsia="Times New Roman"/>
                <w:b/>
                <w:bCs/>
                <w:color w:val="000000"/>
                <w:sz w:val="16"/>
                <w:szCs w:val="16"/>
              </w:rPr>
              <w:t>Net</w:t>
            </w:r>
          </w:p>
        </w:tc>
      </w:tr>
      <w:tr w:rsidR="00000000" w14:paraId="31BAF83B" w14:textId="77777777">
        <w:trPr>
          <w:divId w:val="1675644350"/>
        </w:trPr>
        <w:tc>
          <w:tcPr>
            <w:tcW w:w="0" w:type="auto"/>
            <w:gridSpan w:val="3"/>
            <w:tcMar>
              <w:top w:w="0" w:type="dxa"/>
              <w:left w:w="20" w:type="dxa"/>
              <w:bottom w:w="0" w:type="dxa"/>
              <w:right w:w="20" w:type="dxa"/>
            </w:tcMar>
            <w:vAlign w:val="center"/>
            <w:hideMark/>
          </w:tcPr>
          <w:p w14:paraId="7ED2903D"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EF46CA4" w14:textId="77777777" w:rsidR="00000000" w:rsidRDefault="00EE5306">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31F8D2C7"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64907536" w14:textId="77777777">
        <w:trPr>
          <w:divId w:val="1675644350"/>
        </w:trPr>
        <w:tc>
          <w:tcPr>
            <w:tcW w:w="0" w:type="auto"/>
            <w:gridSpan w:val="3"/>
            <w:shd w:val="clear" w:color="auto" w:fill="CCEEFF"/>
            <w:tcMar>
              <w:top w:w="30" w:type="dxa"/>
              <w:left w:w="20" w:type="dxa"/>
              <w:bottom w:w="30" w:type="dxa"/>
              <w:right w:w="20" w:type="dxa"/>
            </w:tcMar>
            <w:vAlign w:val="bottom"/>
            <w:hideMark/>
          </w:tcPr>
          <w:p w14:paraId="6CD1C466" w14:textId="77777777" w:rsidR="00000000" w:rsidRDefault="00EE5306">
            <w:pPr>
              <w:spacing w:after="100"/>
              <w:rPr>
                <w:rFonts w:eastAsia="Times New Roman"/>
              </w:rPr>
            </w:pPr>
            <w:r>
              <w:rPr>
                <w:rFonts w:eastAsia="Times New Roman"/>
                <w:i/>
                <w:iCs/>
                <w:color w:val="000000"/>
                <w:sz w:val="20"/>
                <w:szCs w:val="20"/>
              </w:rPr>
              <w:t>Intangible assets subject to amortization:</w:t>
            </w:r>
          </w:p>
        </w:tc>
        <w:tc>
          <w:tcPr>
            <w:tcW w:w="0" w:type="auto"/>
            <w:gridSpan w:val="3"/>
            <w:shd w:val="clear" w:color="auto" w:fill="CCEEFF"/>
            <w:tcMar>
              <w:top w:w="0" w:type="dxa"/>
              <w:left w:w="20" w:type="dxa"/>
              <w:bottom w:w="0" w:type="dxa"/>
              <w:right w:w="20" w:type="dxa"/>
            </w:tcMar>
            <w:vAlign w:val="center"/>
            <w:hideMark/>
          </w:tcPr>
          <w:p w14:paraId="46687C82"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D600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D95CA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C485C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4C061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929D8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B364C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EA48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6A8E4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E145A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3B292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A5E008" w14:textId="77777777" w:rsidR="00000000" w:rsidRDefault="00EE5306">
            <w:pPr>
              <w:spacing w:after="100"/>
              <w:rPr>
                <w:rFonts w:eastAsia="Times New Roman"/>
                <w:sz w:val="20"/>
                <w:szCs w:val="20"/>
              </w:rPr>
            </w:pPr>
          </w:p>
        </w:tc>
      </w:tr>
      <w:tr w:rsidR="00000000" w14:paraId="4DEC6C9E" w14:textId="77777777">
        <w:trPr>
          <w:divId w:val="1675644350"/>
        </w:trPr>
        <w:tc>
          <w:tcPr>
            <w:tcW w:w="0" w:type="auto"/>
            <w:gridSpan w:val="3"/>
            <w:shd w:val="clear" w:color="auto" w:fill="FFFFFF"/>
            <w:tcMar>
              <w:top w:w="30" w:type="dxa"/>
              <w:left w:w="155" w:type="dxa"/>
              <w:bottom w:w="30" w:type="dxa"/>
              <w:right w:w="20" w:type="dxa"/>
            </w:tcMar>
            <w:vAlign w:val="bottom"/>
            <w:hideMark/>
          </w:tcPr>
          <w:p w14:paraId="14ED7E73" w14:textId="77777777" w:rsidR="00000000" w:rsidRDefault="00EE5306">
            <w:pPr>
              <w:spacing w:after="100"/>
              <w:rPr>
                <w:rFonts w:eastAsia="Times New Roman"/>
              </w:rPr>
            </w:pPr>
            <w:r>
              <w:rPr>
                <w:rFonts w:eastAsia="Times New Roman"/>
                <w:color w:val="000000"/>
                <w:sz w:val="20"/>
                <w:szCs w:val="20"/>
              </w:rPr>
              <w:t>Re-acquired licensed trademarks</w:t>
            </w:r>
          </w:p>
        </w:tc>
        <w:tc>
          <w:tcPr>
            <w:tcW w:w="0" w:type="auto"/>
            <w:gridSpan w:val="3"/>
            <w:shd w:val="clear" w:color="auto" w:fill="FFFFFF"/>
            <w:tcMar>
              <w:top w:w="0" w:type="dxa"/>
              <w:left w:w="20" w:type="dxa"/>
              <w:bottom w:w="0" w:type="dxa"/>
              <w:right w:w="20" w:type="dxa"/>
            </w:tcMar>
            <w:vAlign w:val="center"/>
            <w:hideMark/>
          </w:tcPr>
          <w:p w14:paraId="7618AF7B"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C10FA3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5D0068" w14:textId="77777777" w:rsidR="00000000" w:rsidRDefault="00EE5306">
            <w:pPr>
              <w:spacing w:after="100"/>
              <w:jc w:val="right"/>
              <w:rPr>
                <w:rFonts w:eastAsia="Times New Roman"/>
              </w:rPr>
            </w:pPr>
            <w:r>
              <w:rPr>
                <w:rFonts w:eastAsia="Times New Roman"/>
                <w:color w:val="000000"/>
                <w:sz w:val="20"/>
                <w:szCs w:val="20"/>
              </w:rPr>
              <w:t>231.7 </w:t>
            </w:r>
          </w:p>
        </w:tc>
        <w:tc>
          <w:tcPr>
            <w:tcW w:w="0" w:type="auto"/>
            <w:shd w:val="clear" w:color="auto" w:fill="FFFFFF"/>
            <w:tcMar>
              <w:top w:w="30" w:type="dxa"/>
              <w:left w:w="0" w:type="dxa"/>
              <w:bottom w:w="30" w:type="dxa"/>
              <w:right w:w="20" w:type="dxa"/>
            </w:tcMar>
            <w:vAlign w:val="bottom"/>
            <w:hideMark/>
          </w:tcPr>
          <w:p w14:paraId="64E54E2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3123E"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0FAE9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A99712" w14:textId="77777777" w:rsidR="00000000" w:rsidRDefault="00EE5306">
            <w:pPr>
              <w:spacing w:after="100"/>
              <w:jc w:val="right"/>
              <w:rPr>
                <w:rFonts w:eastAsia="Times New Roman"/>
              </w:rPr>
            </w:pPr>
            <w:r>
              <w:rPr>
                <w:rFonts w:eastAsia="Times New Roman"/>
                <w:color w:val="000000"/>
                <w:sz w:val="20"/>
                <w:szCs w:val="20"/>
              </w:rPr>
              <w:t>(163.6)</w:t>
            </w:r>
          </w:p>
        </w:tc>
        <w:tc>
          <w:tcPr>
            <w:tcW w:w="0" w:type="auto"/>
            <w:shd w:val="clear" w:color="auto" w:fill="FFFFFF"/>
            <w:tcMar>
              <w:top w:w="30" w:type="dxa"/>
              <w:left w:w="0" w:type="dxa"/>
              <w:bottom w:w="30" w:type="dxa"/>
              <w:right w:w="20" w:type="dxa"/>
            </w:tcMar>
            <w:vAlign w:val="bottom"/>
            <w:hideMark/>
          </w:tcPr>
          <w:p w14:paraId="68155A9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03C07"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4B99B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45575D3" w14:textId="77777777" w:rsidR="00000000" w:rsidRDefault="00EE5306">
            <w:pPr>
              <w:spacing w:after="100"/>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14:paraId="7D95DFC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734CD"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719663"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A2F576" w14:textId="77777777" w:rsidR="00000000" w:rsidRDefault="00EE5306">
            <w:pPr>
              <w:spacing w:after="100"/>
              <w:jc w:val="right"/>
              <w:rPr>
                <w:rFonts w:eastAsia="Times New Roman"/>
              </w:rPr>
            </w:pPr>
            <w:r>
              <w:rPr>
                <w:rFonts w:eastAsia="Times New Roman"/>
                <w:color w:val="000000"/>
                <w:sz w:val="20"/>
                <w:szCs w:val="20"/>
              </w:rPr>
              <w:t>231.6 </w:t>
            </w:r>
          </w:p>
        </w:tc>
        <w:tc>
          <w:tcPr>
            <w:tcW w:w="0" w:type="auto"/>
            <w:shd w:val="clear" w:color="auto" w:fill="FFFFFF"/>
            <w:tcMar>
              <w:top w:w="30" w:type="dxa"/>
              <w:left w:w="0" w:type="dxa"/>
              <w:bottom w:w="30" w:type="dxa"/>
              <w:right w:w="20" w:type="dxa"/>
            </w:tcMar>
            <w:vAlign w:val="bottom"/>
            <w:hideMark/>
          </w:tcPr>
          <w:p w14:paraId="4AAF6AC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F8BD6"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C4782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941F065" w14:textId="77777777" w:rsidR="00000000" w:rsidRDefault="00EE5306">
            <w:pPr>
              <w:spacing w:after="100"/>
              <w:jc w:val="right"/>
              <w:rPr>
                <w:rFonts w:eastAsia="Times New Roman"/>
              </w:rPr>
            </w:pPr>
            <w:r>
              <w:rPr>
                <w:rFonts w:eastAsia="Times New Roman"/>
                <w:color w:val="000000"/>
                <w:sz w:val="20"/>
                <w:szCs w:val="20"/>
              </w:rPr>
              <w:t>(155.4)</w:t>
            </w:r>
          </w:p>
        </w:tc>
        <w:tc>
          <w:tcPr>
            <w:tcW w:w="0" w:type="auto"/>
            <w:shd w:val="clear" w:color="auto" w:fill="FFFFFF"/>
            <w:tcMar>
              <w:top w:w="30" w:type="dxa"/>
              <w:left w:w="0" w:type="dxa"/>
              <w:bottom w:w="30" w:type="dxa"/>
              <w:right w:w="20" w:type="dxa"/>
            </w:tcMar>
            <w:vAlign w:val="bottom"/>
            <w:hideMark/>
          </w:tcPr>
          <w:p w14:paraId="11B01B2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E4D15"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AFF50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857AB36" w14:textId="77777777" w:rsidR="00000000" w:rsidRDefault="00EE5306">
            <w:pPr>
              <w:spacing w:after="100"/>
              <w:jc w:val="right"/>
              <w:rPr>
                <w:rFonts w:eastAsia="Times New Roman"/>
              </w:rPr>
            </w:pPr>
            <w:r>
              <w:rPr>
                <w:rFonts w:eastAsia="Times New Roman"/>
                <w:color w:val="000000"/>
                <w:sz w:val="20"/>
                <w:szCs w:val="20"/>
              </w:rPr>
              <w:t>76.2 </w:t>
            </w:r>
          </w:p>
        </w:tc>
        <w:tc>
          <w:tcPr>
            <w:tcW w:w="0" w:type="auto"/>
            <w:shd w:val="clear" w:color="auto" w:fill="FFFFFF"/>
            <w:tcMar>
              <w:top w:w="30" w:type="dxa"/>
              <w:left w:w="0" w:type="dxa"/>
              <w:bottom w:w="30" w:type="dxa"/>
              <w:right w:w="20" w:type="dxa"/>
            </w:tcMar>
            <w:vAlign w:val="bottom"/>
            <w:hideMark/>
          </w:tcPr>
          <w:p w14:paraId="06503420" w14:textId="77777777" w:rsidR="00000000" w:rsidRDefault="00EE5306">
            <w:pPr>
              <w:spacing w:after="100"/>
              <w:jc w:val="right"/>
              <w:rPr>
                <w:rFonts w:eastAsia="Times New Roman"/>
              </w:rPr>
            </w:pPr>
          </w:p>
        </w:tc>
      </w:tr>
      <w:tr w:rsidR="00000000" w14:paraId="0A4D4192" w14:textId="77777777">
        <w:trPr>
          <w:divId w:val="1675644350"/>
        </w:trPr>
        <w:tc>
          <w:tcPr>
            <w:tcW w:w="0" w:type="auto"/>
            <w:gridSpan w:val="3"/>
            <w:shd w:val="clear" w:color="auto" w:fill="CCEEFF"/>
            <w:tcMar>
              <w:top w:w="30" w:type="dxa"/>
              <w:left w:w="155" w:type="dxa"/>
              <w:bottom w:w="30" w:type="dxa"/>
              <w:right w:w="20" w:type="dxa"/>
            </w:tcMar>
            <w:vAlign w:val="bottom"/>
            <w:hideMark/>
          </w:tcPr>
          <w:p w14:paraId="020FBDB2" w14:textId="77777777" w:rsidR="00000000" w:rsidRDefault="00EE5306">
            <w:pPr>
              <w:spacing w:after="100"/>
              <w:rPr>
                <w:rFonts w:eastAsia="Times New Roman"/>
              </w:rPr>
            </w:pPr>
            <w:r>
              <w:rPr>
                <w:rFonts w:eastAsia="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center"/>
            <w:hideMark/>
          </w:tcPr>
          <w:p w14:paraId="30ED166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8144DD" w14:textId="77777777" w:rsidR="00000000" w:rsidRDefault="00EE5306">
            <w:pPr>
              <w:spacing w:after="100"/>
              <w:jc w:val="right"/>
              <w:rPr>
                <w:rFonts w:eastAsia="Times New Roman"/>
              </w:rPr>
            </w:pPr>
            <w:r>
              <w:rPr>
                <w:rFonts w:eastAsia="Times New Roman"/>
                <w:color w:val="000000"/>
                <w:sz w:val="20"/>
                <w:szCs w:val="20"/>
              </w:rPr>
              <w:t>254.3 </w:t>
            </w:r>
          </w:p>
        </w:tc>
        <w:tc>
          <w:tcPr>
            <w:tcW w:w="0" w:type="auto"/>
            <w:shd w:val="clear" w:color="auto" w:fill="CCEEFF"/>
            <w:tcMar>
              <w:top w:w="30" w:type="dxa"/>
              <w:left w:w="0" w:type="dxa"/>
              <w:bottom w:w="30" w:type="dxa"/>
              <w:right w:w="20" w:type="dxa"/>
            </w:tcMar>
            <w:vAlign w:val="bottom"/>
            <w:hideMark/>
          </w:tcPr>
          <w:p w14:paraId="043B9BC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4757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AC25D5" w14:textId="77777777" w:rsidR="00000000" w:rsidRDefault="00EE5306">
            <w:pPr>
              <w:spacing w:after="100"/>
              <w:jc w:val="right"/>
              <w:rPr>
                <w:rFonts w:eastAsia="Times New Roman"/>
              </w:rPr>
            </w:pPr>
            <w:r>
              <w:rPr>
                <w:rFonts w:eastAsia="Times New Roman"/>
                <w:color w:val="000000"/>
                <w:sz w:val="20"/>
                <w:szCs w:val="20"/>
              </w:rPr>
              <w:t>(211.0)</w:t>
            </w:r>
          </w:p>
        </w:tc>
        <w:tc>
          <w:tcPr>
            <w:tcW w:w="0" w:type="auto"/>
            <w:shd w:val="clear" w:color="auto" w:fill="CCEEFF"/>
            <w:tcMar>
              <w:top w:w="30" w:type="dxa"/>
              <w:left w:w="0" w:type="dxa"/>
              <w:bottom w:w="30" w:type="dxa"/>
              <w:right w:w="20" w:type="dxa"/>
            </w:tcMar>
            <w:vAlign w:val="bottom"/>
            <w:hideMark/>
          </w:tcPr>
          <w:p w14:paraId="19344C1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82E4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33EEA" w14:textId="77777777" w:rsidR="00000000" w:rsidRDefault="00EE5306">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14:paraId="31C185E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AC22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79788" w14:textId="77777777" w:rsidR="00000000" w:rsidRDefault="00EE5306">
            <w:pPr>
              <w:spacing w:after="100"/>
              <w:jc w:val="right"/>
              <w:rPr>
                <w:rFonts w:eastAsia="Times New Roman"/>
              </w:rPr>
            </w:pPr>
            <w:r>
              <w:rPr>
                <w:rFonts w:eastAsia="Times New Roman"/>
                <w:color w:val="000000"/>
                <w:sz w:val="20"/>
                <w:szCs w:val="20"/>
              </w:rPr>
              <w:t>253.9 </w:t>
            </w:r>
          </w:p>
        </w:tc>
        <w:tc>
          <w:tcPr>
            <w:tcW w:w="0" w:type="auto"/>
            <w:shd w:val="clear" w:color="auto" w:fill="CCEEFF"/>
            <w:tcMar>
              <w:top w:w="30" w:type="dxa"/>
              <w:left w:w="0" w:type="dxa"/>
              <w:bottom w:w="30" w:type="dxa"/>
              <w:right w:w="20" w:type="dxa"/>
            </w:tcMar>
            <w:vAlign w:val="bottom"/>
            <w:hideMark/>
          </w:tcPr>
          <w:p w14:paraId="3CBD00D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5258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0E3A9C" w14:textId="77777777" w:rsidR="00000000" w:rsidRDefault="00EE5306">
            <w:pPr>
              <w:spacing w:after="100"/>
              <w:jc w:val="right"/>
              <w:rPr>
                <w:rFonts w:eastAsia="Times New Roman"/>
              </w:rPr>
            </w:pPr>
            <w:r>
              <w:rPr>
                <w:rFonts w:eastAsia="Times New Roman"/>
                <w:color w:val="000000"/>
                <w:sz w:val="20"/>
                <w:szCs w:val="20"/>
              </w:rPr>
              <w:t>(199.0)</w:t>
            </w:r>
          </w:p>
        </w:tc>
        <w:tc>
          <w:tcPr>
            <w:tcW w:w="0" w:type="auto"/>
            <w:shd w:val="clear" w:color="auto" w:fill="CCEEFF"/>
            <w:tcMar>
              <w:top w:w="30" w:type="dxa"/>
              <w:left w:w="0" w:type="dxa"/>
              <w:bottom w:w="30" w:type="dxa"/>
              <w:right w:w="20" w:type="dxa"/>
            </w:tcMar>
            <w:vAlign w:val="bottom"/>
            <w:hideMark/>
          </w:tcPr>
          <w:p w14:paraId="59EB48D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6359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531217" w14:textId="77777777" w:rsidR="00000000" w:rsidRDefault="00EE5306">
            <w:pPr>
              <w:spacing w:after="100"/>
              <w:jc w:val="right"/>
              <w:rPr>
                <w:rFonts w:eastAsia="Times New Roman"/>
              </w:rPr>
            </w:pPr>
            <w:r>
              <w:rPr>
                <w:rFonts w:eastAsia="Times New Roman"/>
                <w:color w:val="000000"/>
                <w:sz w:val="20"/>
                <w:szCs w:val="20"/>
              </w:rPr>
              <w:t>54.9 </w:t>
            </w:r>
          </w:p>
        </w:tc>
        <w:tc>
          <w:tcPr>
            <w:tcW w:w="0" w:type="auto"/>
            <w:shd w:val="clear" w:color="auto" w:fill="CCEEFF"/>
            <w:tcMar>
              <w:top w:w="30" w:type="dxa"/>
              <w:left w:w="0" w:type="dxa"/>
              <w:bottom w:w="30" w:type="dxa"/>
              <w:right w:w="20" w:type="dxa"/>
            </w:tcMar>
            <w:vAlign w:val="bottom"/>
            <w:hideMark/>
          </w:tcPr>
          <w:p w14:paraId="7DE9B838" w14:textId="77777777" w:rsidR="00000000" w:rsidRDefault="00EE5306">
            <w:pPr>
              <w:spacing w:after="100"/>
              <w:jc w:val="right"/>
              <w:rPr>
                <w:rFonts w:eastAsia="Times New Roman"/>
              </w:rPr>
            </w:pPr>
          </w:p>
        </w:tc>
      </w:tr>
      <w:tr w:rsidR="00000000" w14:paraId="3F37A70C" w14:textId="77777777">
        <w:trPr>
          <w:divId w:val="1675644350"/>
        </w:trPr>
        <w:tc>
          <w:tcPr>
            <w:tcW w:w="0" w:type="auto"/>
            <w:gridSpan w:val="3"/>
            <w:shd w:val="clear" w:color="auto" w:fill="FFFFFF"/>
            <w:tcMar>
              <w:top w:w="30" w:type="dxa"/>
              <w:left w:w="155" w:type="dxa"/>
              <w:bottom w:w="30" w:type="dxa"/>
              <w:right w:w="20" w:type="dxa"/>
            </w:tcMar>
            <w:vAlign w:val="bottom"/>
            <w:hideMark/>
          </w:tcPr>
          <w:p w14:paraId="50D93004" w14:textId="77777777" w:rsidR="00000000" w:rsidRDefault="00EE5306">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3713E93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E69BB4" w14:textId="77777777" w:rsidR="00000000" w:rsidRDefault="00EE5306">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56F00F1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1041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868214" w14:textId="77777777" w:rsidR="00000000" w:rsidRDefault="00EE5306">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14:paraId="55391B0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F76C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C547C" w14:textId="77777777" w:rsidR="00000000" w:rsidRDefault="00EE5306">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7811E89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5F1D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EC2D28" w14:textId="77777777" w:rsidR="00000000" w:rsidRDefault="00EE5306">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458D462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8175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35072E" w14:textId="77777777" w:rsidR="00000000" w:rsidRDefault="00EE5306">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14:paraId="3761329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FDF7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8CD309" w14:textId="77777777" w:rsidR="00000000" w:rsidRDefault="00EE5306">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3688F54F" w14:textId="77777777" w:rsidR="00000000" w:rsidRDefault="00EE5306">
            <w:pPr>
              <w:spacing w:after="100"/>
              <w:jc w:val="right"/>
              <w:rPr>
                <w:rFonts w:eastAsia="Times New Roman"/>
              </w:rPr>
            </w:pPr>
          </w:p>
        </w:tc>
      </w:tr>
      <w:tr w:rsidR="00000000" w14:paraId="28F016E3" w14:textId="77777777">
        <w:trPr>
          <w:divId w:val="1675644350"/>
        </w:trPr>
        <w:tc>
          <w:tcPr>
            <w:tcW w:w="0" w:type="auto"/>
            <w:gridSpan w:val="3"/>
            <w:shd w:val="clear" w:color="auto" w:fill="CCEEFF"/>
            <w:tcMar>
              <w:top w:w="30" w:type="dxa"/>
              <w:left w:w="20" w:type="dxa"/>
              <w:bottom w:w="30" w:type="dxa"/>
              <w:right w:w="20" w:type="dxa"/>
            </w:tcMar>
            <w:vAlign w:val="bottom"/>
            <w:hideMark/>
          </w:tcPr>
          <w:p w14:paraId="55105EE9" w14:textId="77777777" w:rsidR="00000000" w:rsidRDefault="00EE5306">
            <w:pPr>
              <w:spacing w:after="100"/>
              <w:ind w:hanging="180"/>
              <w:divId w:val="1626737476"/>
              <w:rPr>
                <w:rFonts w:eastAsia="Times New Roman"/>
              </w:rPr>
            </w:pPr>
            <w:r>
              <w:rPr>
                <w:rFonts w:eastAsia="Times New Roman"/>
                <w:color w:val="000000"/>
                <w:sz w:val="20"/>
                <w:szCs w:val="20"/>
              </w:rPr>
              <w:t>Total intangible assets subject to amortization</w:t>
            </w:r>
          </w:p>
        </w:tc>
        <w:tc>
          <w:tcPr>
            <w:tcW w:w="0" w:type="auto"/>
            <w:gridSpan w:val="3"/>
            <w:shd w:val="clear" w:color="auto" w:fill="CCEEFF"/>
            <w:tcMar>
              <w:top w:w="0" w:type="dxa"/>
              <w:left w:w="20" w:type="dxa"/>
              <w:bottom w:w="0" w:type="dxa"/>
              <w:right w:w="20" w:type="dxa"/>
            </w:tcMar>
            <w:vAlign w:val="center"/>
            <w:hideMark/>
          </w:tcPr>
          <w:p w14:paraId="7015EB88" w14:textId="77777777" w:rsidR="00000000" w:rsidRDefault="00EE5306">
            <w:pPr>
              <w:spacing w:after="100"/>
              <w:ind w:hanging="18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F9A6E9" w14:textId="77777777" w:rsidR="00000000" w:rsidRDefault="00EE5306">
            <w:pPr>
              <w:spacing w:after="100"/>
              <w:jc w:val="right"/>
              <w:rPr>
                <w:rFonts w:eastAsia="Times New Roman"/>
              </w:rPr>
            </w:pPr>
            <w:r>
              <w:rPr>
                <w:rFonts w:eastAsia="Times New Roman"/>
                <w:color w:val="000000"/>
                <w:sz w:val="20"/>
                <w:szCs w:val="20"/>
              </w:rPr>
              <w:t>496.1 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84FEB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C12DC"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DC693F" w14:textId="77777777" w:rsidR="00000000" w:rsidRDefault="00EE5306">
            <w:pPr>
              <w:spacing w:after="100"/>
              <w:jc w:val="right"/>
              <w:rPr>
                <w:rFonts w:eastAsia="Times New Roman"/>
              </w:rPr>
            </w:pPr>
            <w:r>
              <w:rPr>
                <w:rFonts w:eastAsia="Times New Roman"/>
                <w:color w:val="000000"/>
                <w:sz w:val="20"/>
                <w:szCs w:val="20"/>
              </w:rPr>
              <w:t>(382.3)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BE823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70473"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9282A7" w14:textId="77777777" w:rsidR="00000000" w:rsidRDefault="00EE5306">
            <w:pPr>
              <w:spacing w:after="100"/>
              <w:jc w:val="right"/>
              <w:rPr>
                <w:rFonts w:eastAsia="Times New Roman"/>
              </w:rPr>
            </w:pPr>
            <w:r>
              <w:rPr>
                <w:rFonts w:eastAsia="Times New Roman"/>
                <w:color w:val="000000"/>
                <w:sz w:val="20"/>
                <w:szCs w:val="20"/>
              </w:rPr>
              <w:t>113.8 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AAF01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9C81A"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0E38D5" w14:textId="77777777" w:rsidR="00000000" w:rsidRDefault="00EE5306">
            <w:pPr>
              <w:spacing w:after="100"/>
              <w:jc w:val="right"/>
              <w:rPr>
                <w:rFonts w:eastAsia="Times New Roman"/>
              </w:rPr>
            </w:pPr>
            <w:r>
              <w:rPr>
                <w:rFonts w:eastAsia="Times New Roman"/>
                <w:color w:val="000000"/>
                <w:sz w:val="20"/>
                <w:szCs w:val="20"/>
              </w:rPr>
              <w:t>495.6 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A6FD6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315FB"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7F0A4F" w14:textId="77777777" w:rsidR="00000000" w:rsidRDefault="00EE5306">
            <w:pPr>
              <w:spacing w:after="100"/>
              <w:jc w:val="right"/>
              <w:rPr>
                <w:rFonts w:eastAsia="Times New Roman"/>
              </w:rPr>
            </w:pPr>
            <w:r>
              <w:rPr>
                <w:rFonts w:eastAsia="Times New Roman"/>
                <w:color w:val="000000"/>
                <w:sz w:val="20"/>
                <w:szCs w:val="20"/>
              </w:rPr>
              <w:t>(361.9)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BB678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F25AB"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D4EE7C" w14:textId="77777777" w:rsidR="00000000" w:rsidRDefault="00EE5306">
            <w:pPr>
              <w:spacing w:after="100"/>
              <w:jc w:val="right"/>
              <w:rPr>
                <w:rFonts w:eastAsia="Times New Roman"/>
              </w:rPr>
            </w:pPr>
            <w:r>
              <w:rPr>
                <w:rFonts w:eastAsia="Times New Roman"/>
                <w:color w:val="000000"/>
                <w:sz w:val="20"/>
                <w:szCs w:val="20"/>
              </w:rPr>
              <w:t>133.7 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CDCAF6" w14:textId="77777777" w:rsidR="00000000" w:rsidRDefault="00EE5306">
            <w:pPr>
              <w:spacing w:after="100"/>
              <w:jc w:val="right"/>
              <w:rPr>
                <w:rFonts w:eastAsia="Times New Roman"/>
              </w:rPr>
            </w:pPr>
          </w:p>
        </w:tc>
      </w:tr>
      <w:tr w:rsidR="00000000" w14:paraId="15504DC3" w14:textId="77777777">
        <w:trPr>
          <w:divId w:val="1675644350"/>
        </w:trPr>
        <w:tc>
          <w:tcPr>
            <w:tcW w:w="0" w:type="auto"/>
            <w:gridSpan w:val="3"/>
            <w:shd w:val="clear" w:color="auto" w:fill="FFFFFF"/>
            <w:tcMar>
              <w:top w:w="30" w:type="dxa"/>
              <w:left w:w="20" w:type="dxa"/>
              <w:bottom w:w="30" w:type="dxa"/>
              <w:right w:w="20" w:type="dxa"/>
            </w:tcMar>
            <w:vAlign w:val="bottom"/>
            <w:hideMark/>
          </w:tcPr>
          <w:p w14:paraId="1DAABBF0" w14:textId="77777777" w:rsidR="00000000" w:rsidRDefault="00EE5306">
            <w:pPr>
              <w:spacing w:after="100"/>
              <w:rPr>
                <w:rFonts w:eastAsia="Times New Roman"/>
              </w:rPr>
            </w:pPr>
            <w:r>
              <w:rPr>
                <w:rFonts w:eastAsia="Times New Roman"/>
                <w:i/>
                <w:iCs/>
                <w:color w:val="000000"/>
                <w:sz w:val="20"/>
                <w:szCs w:val="20"/>
              </w:rPr>
              <w:t>Intangible assets not subject to amortization:</w:t>
            </w:r>
          </w:p>
        </w:tc>
        <w:tc>
          <w:tcPr>
            <w:tcW w:w="0" w:type="auto"/>
            <w:gridSpan w:val="3"/>
            <w:shd w:val="clear" w:color="auto" w:fill="FFFFFF"/>
            <w:tcMar>
              <w:top w:w="0" w:type="dxa"/>
              <w:left w:w="20" w:type="dxa"/>
              <w:bottom w:w="0" w:type="dxa"/>
              <w:right w:w="20" w:type="dxa"/>
            </w:tcMar>
            <w:vAlign w:val="center"/>
            <w:hideMark/>
          </w:tcPr>
          <w:p w14:paraId="39F8A5E1"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06B5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23218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A1CF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C649A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03A92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7C830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BB58D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4B297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825E0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5EC57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C9DDD8" w14:textId="77777777" w:rsidR="00000000" w:rsidRDefault="00EE5306">
            <w:pPr>
              <w:spacing w:after="100"/>
              <w:rPr>
                <w:rFonts w:eastAsia="Times New Roman"/>
                <w:sz w:val="20"/>
                <w:szCs w:val="20"/>
              </w:rPr>
            </w:pPr>
          </w:p>
        </w:tc>
      </w:tr>
      <w:tr w:rsidR="00000000" w14:paraId="4F3E9B2C" w14:textId="77777777">
        <w:trPr>
          <w:divId w:val="1675644350"/>
        </w:trPr>
        <w:tc>
          <w:tcPr>
            <w:tcW w:w="0" w:type="auto"/>
            <w:gridSpan w:val="3"/>
            <w:shd w:val="clear" w:color="auto" w:fill="CCEEFF"/>
            <w:tcMar>
              <w:top w:w="30" w:type="dxa"/>
              <w:left w:w="155" w:type="dxa"/>
              <w:bottom w:w="30" w:type="dxa"/>
              <w:right w:w="20" w:type="dxa"/>
            </w:tcMar>
            <w:vAlign w:val="bottom"/>
            <w:hideMark/>
          </w:tcPr>
          <w:p w14:paraId="44C3DE5A" w14:textId="77777777" w:rsidR="00000000" w:rsidRDefault="00EE5306">
            <w:pPr>
              <w:spacing w:after="100"/>
              <w:rPr>
                <w:rFonts w:eastAsia="Times New Roman"/>
              </w:rPr>
            </w:pPr>
            <w:r>
              <w:rPr>
                <w:rFonts w:eastAsia="Times New Roman"/>
                <w:color w:val="000000"/>
                <w:sz w:val="20"/>
                <w:szCs w:val="20"/>
              </w:rPr>
              <w:t>Trademarks and brands</w:t>
            </w:r>
          </w:p>
        </w:tc>
        <w:tc>
          <w:tcPr>
            <w:tcW w:w="0" w:type="auto"/>
            <w:gridSpan w:val="3"/>
            <w:shd w:val="clear" w:color="auto" w:fill="CCEEFF"/>
            <w:tcMar>
              <w:top w:w="0" w:type="dxa"/>
              <w:left w:w="20" w:type="dxa"/>
              <w:bottom w:w="0" w:type="dxa"/>
              <w:right w:w="20" w:type="dxa"/>
            </w:tcMar>
            <w:vAlign w:val="center"/>
            <w:hideMark/>
          </w:tcPr>
          <w:p w14:paraId="2935E92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3D66F1" w14:textId="77777777" w:rsidR="00000000" w:rsidRDefault="00EE5306">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14:paraId="12A2D7C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C0DC3"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6E8B4F9" w14:textId="77777777" w:rsidR="00000000" w:rsidRDefault="00EE5306">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5873AB11" w14:textId="77777777" w:rsidR="00000000" w:rsidRDefault="00EE530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7699B1" w14:textId="77777777" w:rsidR="00000000" w:rsidRDefault="00EE5306">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14:paraId="28F3186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D1AD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B6CA4" w14:textId="77777777" w:rsidR="00000000" w:rsidRDefault="00EE5306">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14:paraId="4083B4C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C2BE3"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8EC7045" w14:textId="77777777" w:rsidR="00000000" w:rsidRDefault="00EE5306">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119BC183" w14:textId="77777777" w:rsidR="00000000" w:rsidRDefault="00EE530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5B8C25" w14:textId="77777777" w:rsidR="00000000" w:rsidRDefault="00EE5306">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14:paraId="161C1AD8" w14:textId="77777777" w:rsidR="00000000" w:rsidRDefault="00EE5306">
            <w:pPr>
              <w:spacing w:after="100"/>
              <w:jc w:val="right"/>
              <w:rPr>
                <w:rFonts w:eastAsia="Times New Roman"/>
              </w:rPr>
            </w:pPr>
          </w:p>
        </w:tc>
      </w:tr>
      <w:tr w:rsidR="00000000" w14:paraId="2802B143" w14:textId="77777777">
        <w:trPr>
          <w:divId w:val="1675644350"/>
        </w:trPr>
        <w:tc>
          <w:tcPr>
            <w:tcW w:w="0" w:type="auto"/>
            <w:gridSpan w:val="3"/>
            <w:shd w:val="clear" w:color="auto" w:fill="FFFFFF"/>
            <w:tcMar>
              <w:top w:w="30" w:type="dxa"/>
              <w:left w:w="20" w:type="dxa"/>
              <w:bottom w:w="30" w:type="dxa"/>
              <w:right w:w="20" w:type="dxa"/>
            </w:tcMar>
            <w:vAlign w:val="bottom"/>
            <w:hideMark/>
          </w:tcPr>
          <w:p w14:paraId="2FD3C47F" w14:textId="77777777" w:rsidR="00000000" w:rsidRDefault="00EE5306">
            <w:pPr>
              <w:spacing w:after="100"/>
              <w:ind w:hanging="180"/>
              <w:divId w:val="1247882148"/>
              <w:rPr>
                <w:rFonts w:eastAsia="Times New Roman"/>
              </w:rPr>
            </w:pPr>
            <w:r>
              <w:rPr>
                <w:rFonts w:eastAsia="Times New Roman"/>
                <w:color w:val="000000"/>
                <w:sz w:val="20"/>
                <w:szCs w:val="20"/>
              </w:rPr>
              <w:t>Total intangible assets</w:t>
            </w:r>
          </w:p>
        </w:tc>
        <w:tc>
          <w:tcPr>
            <w:tcW w:w="0" w:type="auto"/>
            <w:gridSpan w:val="3"/>
            <w:shd w:val="clear" w:color="auto" w:fill="FFFFFF"/>
            <w:tcMar>
              <w:top w:w="0" w:type="dxa"/>
              <w:left w:w="20" w:type="dxa"/>
              <w:bottom w:w="0" w:type="dxa"/>
              <w:right w:w="20" w:type="dxa"/>
            </w:tcMar>
            <w:vAlign w:val="center"/>
            <w:hideMark/>
          </w:tcPr>
          <w:p w14:paraId="6A2609FC" w14:textId="77777777" w:rsidR="00000000" w:rsidRDefault="00EE5306">
            <w:pPr>
              <w:spacing w:after="100"/>
              <w:ind w:hanging="18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59FE2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7931A9" w14:textId="77777777" w:rsidR="00000000" w:rsidRDefault="00EE5306">
            <w:pPr>
              <w:spacing w:after="100"/>
              <w:jc w:val="right"/>
              <w:rPr>
                <w:rFonts w:eastAsia="Times New Roman"/>
              </w:rPr>
            </w:pPr>
            <w:r>
              <w:rPr>
                <w:rFonts w:eastAsia="Times New Roman"/>
                <w:color w:val="000000"/>
                <w:sz w:val="20"/>
                <w:szCs w:val="20"/>
              </w:rPr>
              <w:t>503.4 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72D90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D3AC3"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C4147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5314D2" w14:textId="77777777" w:rsidR="00000000" w:rsidRDefault="00EE5306">
            <w:pPr>
              <w:spacing w:after="100"/>
              <w:jc w:val="right"/>
              <w:rPr>
                <w:rFonts w:eastAsia="Times New Roman"/>
              </w:rPr>
            </w:pPr>
            <w:r>
              <w:rPr>
                <w:rFonts w:eastAsia="Times New Roman"/>
                <w:color w:val="000000"/>
                <w:sz w:val="20"/>
                <w:szCs w:val="20"/>
              </w:rPr>
              <w:t>(382.3)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52771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03734"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428B0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7DD3E4D" w14:textId="77777777" w:rsidR="00000000" w:rsidRDefault="00EE5306">
            <w:pPr>
              <w:spacing w:after="100"/>
              <w:jc w:val="right"/>
              <w:rPr>
                <w:rFonts w:eastAsia="Times New Roman"/>
              </w:rPr>
            </w:pPr>
            <w:r>
              <w:rPr>
                <w:rFonts w:eastAsia="Times New Roman"/>
                <w:color w:val="000000"/>
                <w:sz w:val="20"/>
                <w:szCs w:val="20"/>
              </w:rPr>
              <w:t>121.1 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ABDBE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EFA49"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74C185"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3106F3" w14:textId="77777777" w:rsidR="00000000" w:rsidRDefault="00EE5306">
            <w:pPr>
              <w:spacing w:after="100"/>
              <w:jc w:val="right"/>
              <w:rPr>
                <w:rFonts w:eastAsia="Times New Roman"/>
              </w:rPr>
            </w:pPr>
            <w:r>
              <w:rPr>
                <w:rFonts w:eastAsia="Times New Roman"/>
                <w:color w:val="000000"/>
                <w:sz w:val="20"/>
                <w:szCs w:val="20"/>
              </w:rPr>
              <w:t>502.9 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E4670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14DB6"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1F149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66882E" w14:textId="77777777" w:rsidR="00000000" w:rsidRDefault="00EE5306">
            <w:pPr>
              <w:spacing w:after="100"/>
              <w:jc w:val="right"/>
              <w:rPr>
                <w:rFonts w:eastAsia="Times New Roman"/>
              </w:rPr>
            </w:pPr>
            <w:r>
              <w:rPr>
                <w:rFonts w:eastAsia="Times New Roman"/>
                <w:color w:val="000000"/>
                <w:sz w:val="20"/>
                <w:szCs w:val="20"/>
              </w:rPr>
              <w:t>(</w:t>
            </w:r>
            <w:r>
              <w:rPr>
                <w:rFonts w:eastAsia="Times New Roman"/>
                <w:color w:val="000000"/>
                <w:sz w:val="20"/>
                <w:szCs w:val="20"/>
              </w:rPr>
              <w:t>361.9)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83089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CF49F"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71767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DA9310" w14:textId="77777777" w:rsidR="00000000" w:rsidRDefault="00EE5306">
            <w:pPr>
              <w:spacing w:after="100"/>
              <w:jc w:val="right"/>
              <w:rPr>
                <w:rFonts w:eastAsia="Times New Roman"/>
              </w:rPr>
            </w:pPr>
            <w:r>
              <w:rPr>
                <w:rFonts w:eastAsia="Times New Roman"/>
                <w:color w:val="000000"/>
                <w:sz w:val="20"/>
                <w:szCs w:val="20"/>
              </w:rPr>
              <w:t>141.0 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48B2DD" w14:textId="77777777" w:rsidR="00000000" w:rsidRDefault="00EE5306">
            <w:pPr>
              <w:spacing w:after="100"/>
              <w:jc w:val="right"/>
              <w:rPr>
                <w:rFonts w:eastAsia="Times New Roman"/>
              </w:rPr>
            </w:pPr>
          </w:p>
        </w:tc>
      </w:tr>
    </w:tbl>
    <w:p w14:paraId="0A571D2D" w14:textId="77777777" w:rsidR="00000000" w:rsidRDefault="00EE5306">
      <w:pPr>
        <w:ind w:firstLine="360"/>
        <w:divId w:val="2116434988"/>
        <w:rPr>
          <w:rFonts w:eastAsia="Times New Roman"/>
        </w:rPr>
      </w:pPr>
      <w:r>
        <w:rPr>
          <w:rFonts w:eastAsia="Times New Roman"/>
          <w:b/>
          <w:bCs/>
          <w:i/>
          <w:iCs/>
          <w:color w:val="000000"/>
          <w:sz w:val="20"/>
          <w:szCs w:val="20"/>
        </w:rPr>
        <w:t>Amortization Expense</w:t>
      </w:r>
    </w:p>
    <w:p w14:paraId="4B0705EA" w14:textId="77777777" w:rsidR="00000000" w:rsidRDefault="00EE5306">
      <w:pPr>
        <w:ind w:firstLine="540"/>
        <w:jc w:val="both"/>
        <w:divId w:val="2071491217"/>
        <w:rPr>
          <w:rFonts w:eastAsia="Times New Roman"/>
        </w:rPr>
      </w:pPr>
      <w:r>
        <w:rPr>
          <w:rFonts w:eastAsia="Times New Roman"/>
          <w:color w:val="000000"/>
          <w:sz w:val="20"/>
          <w:szCs w:val="20"/>
        </w:rPr>
        <w:t>Amortization expense was $20.2 million, $22.9 million, and $23.5 million during Fiscal 2021, Fiscal 2020, and Fiscal 2019, respectively, and is recorded within SG&amp;A expenses in the consolidated statements of o</w:t>
      </w:r>
      <w:r>
        <w:rPr>
          <w:rFonts w:eastAsia="Times New Roman"/>
          <w:color w:val="000000"/>
          <w:sz w:val="20"/>
          <w:szCs w:val="20"/>
        </w:rPr>
        <w:t>perations.</w:t>
      </w:r>
    </w:p>
    <w:p w14:paraId="677AAF2F" w14:textId="77777777" w:rsidR="00000000" w:rsidRDefault="00EE5306">
      <w:pPr>
        <w:ind w:firstLine="540"/>
        <w:jc w:val="both"/>
        <w:divId w:val="1182084582"/>
        <w:rPr>
          <w:rFonts w:eastAsia="Times New Roman"/>
        </w:rPr>
      </w:pPr>
      <w:r>
        <w:rPr>
          <w:rFonts w:eastAsia="Times New Roman"/>
          <w:color w:val="000000"/>
          <w:sz w:val="20"/>
          <w:szCs w:val="20"/>
        </w:rPr>
        <w:t>Based on the balance of the Company's finite-lived intangible assets subject to amortization as of March 27, 2021, the expected amortization expense for each of the next five fiscal years and thereafter is as follows:</w:t>
      </w:r>
    </w:p>
    <w:tbl>
      <w:tblPr>
        <w:tblW w:w="4714" w:type="pct"/>
        <w:tblCellMar>
          <w:top w:w="15" w:type="dxa"/>
          <w:left w:w="15" w:type="dxa"/>
          <w:bottom w:w="15" w:type="dxa"/>
          <w:right w:w="15" w:type="dxa"/>
        </w:tblCellMar>
        <w:tblLook w:val="04A0" w:firstRow="1" w:lastRow="0" w:firstColumn="1" w:lastColumn="0" w:noHBand="0" w:noVBand="1"/>
      </w:tblPr>
      <w:tblGrid>
        <w:gridCol w:w="39"/>
        <w:gridCol w:w="6348"/>
        <w:gridCol w:w="37"/>
        <w:gridCol w:w="36"/>
        <w:gridCol w:w="36"/>
        <w:gridCol w:w="36"/>
        <w:gridCol w:w="121"/>
        <w:gridCol w:w="1142"/>
        <w:gridCol w:w="36"/>
      </w:tblGrid>
      <w:tr w:rsidR="00000000" w14:paraId="153B8FCE" w14:textId="77777777">
        <w:trPr>
          <w:divId w:val="1967815492"/>
        </w:trPr>
        <w:tc>
          <w:tcPr>
            <w:tcW w:w="50" w:type="pct"/>
            <w:vAlign w:val="center"/>
            <w:hideMark/>
          </w:tcPr>
          <w:p w14:paraId="689F7B5C" w14:textId="77777777" w:rsidR="00000000" w:rsidRDefault="00EE5306">
            <w:pPr>
              <w:ind w:firstLine="540"/>
              <w:jc w:val="both"/>
              <w:rPr>
                <w:rFonts w:eastAsia="Times New Roman"/>
              </w:rPr>
            </w:pPr>
          </w:p>
        </w:tc>
        <w:tc>
          <w:tcPr>
            <w:tcW w:w="4076" w:type="pct"/>
            <w:vAlign w:val="center"/>
            <w:hideMark/>
          </w:tcPr>
          <w:p w14:paraId="494C57BB" w14:textId="77777777" w:rsidR="00000000" w:rsidRDefault="00EE5306">
            <w:pPr>
              <w:spacing w:after="100"/>
              <w:rPr>
                <w:rFonts w:eastAsia="Times New Roman"/>
                <w:sz w:val="20"/>
                <w:szCs w:val="20"/>
              </w:rPr>
            </w:pPr>
          </w:p>
        </w:tc>
        <w:tc>
          <w:tcPr>
            <w:tcW w:w="5" w:type="pct"/>
            <w:vAlign w:val="center"/>
            <w:hideMark/>
          </w:tcPr>
          <w:p w14:paraId="10CE7C93" w14:textId="77777777" w:rsidR="00000000" w:rsidRDefault="00EE5306">
            <w:pPr>
              <w:spacing w:after="100"/>
              <w:rPr>
                <w:rFonts w:eastAsia="Times New Roman"/>
                <w:sz w:val="20"/>
                <w:szCs w:val="20"/>
              </w:rPr>
            </w:pPr>
          </w:p>
        </w:tc>
        <w:tc>
          <w:tcPr>
            <w:tcW w:w="5" w:type="pct"/>
            <w:vAlign w:val="center"/>
            <w:hideMark/>
          </w:tcPr>
          <w:p w14:paraId="5C8DCC7F" w14:textId="77777777" w:rsidR="00000000" w:rsidRDefault="00EE5306">
            <w:pPr>
              <w:spacing w:after="100"/>
              <w:rPr>
                <w:rFonts w:eastAsia="Times New Roman"/>
                <w:sz w:val="20"/>
                <w:szCs w:val="20"/>
              </w:rPr>
            </w:pPr>
          </w:p>
        </w:tc>
        <w:tc>
          <w:tcPr>
            <w:tcW w:w="28" w:type="pct"/>
            <w:vAlign w:val="center"/>
            <w:hideMark/>
          </w:tcPr>
          <w:p w14:paraId="46EB0DB6" w14:textId="77777777" w:rsidR="00000000" w:rsidRDefault="00EE5306">
            <w:pPr>
              <w:spacing w:after="100"/>
              <w:rPr>
                <w:rFonts w:eastAsia="Times New Roman"/>
                <w:sz w:val="20"/>
                <w:szCs w:val="20"/>
              </w:rPr>
            </w:pPr>
          </w:p>
        </w:tc>
        <w:tc>
          <w:tcPr>
            <w:tcW w:w="5" w:type="pct"/>
            <w:vAlign w:val="center"/>
            <w:hideMark/>
          </w:tcPr>
          <w:p w14:paraId="4279D655" w14:textId="77777777" w:rsidR="00000000" w:rsidRDefault="00EE5306">
            <w:pPr>
              <w:spacing w:after="100"/>
              <w:rPr>
                <w:rFonts w:eastAsia="Times New Roman"/>
                <w:sz w:val="20"/>
                <w:szCs w:val="20"/>
              </w:rPr>
            </w:pPr>
          </w:p>
        </w:tc>
        <w:tc>
          <w:tcPr>
            <w:tcW w:w="50" w:type="pct"/>
            <w:vAlign w:val="center"/>
            <w:hideMark/>
          </w:tcPr>
          <w:p w14:paraId="57206533" w14:textId="77777777" w:rsidR="00000000" w:rsidRDefault="00EE5306">
            <w:pPr>
              <w:spacing w:after="100"/>
              <w:rPr>
                <w:rFonts w:eastAsia="Times New Roman"/>
                <w:sz w:val="20"/>
                <w:szCs w:val="20"/>
              </w:rPr>
            </w:pPr>
          </w:p>
        </w:tc>
        <w:tc>
          <w:tcPr>
            <w:tcW w:w="774" w:type="pct"/>
            <w:vAlign w:val="center"/>
            <w:hideMark/>
          </w:tcPr>
          <w:p w14:paraId="10D74C11" w14:textId="77777777" w:rsidR="00000000" w:rsidRDefault="00EE5306">
            <w:pPr>
              <w:spacing w:after="100"/>
              <w:rPr>
                <w:rFonts w:eastAsia="Times New Roman"/>
                <w:sz w:val="20"/>
                <w:szCs w:val="20"/>
              </w:rPr>
            </w:pPr>
          </w:p>
        </w:tc>
        <w:tc>
          <w:tcPr>
            <w:tcW w:w="5" w:type="pct"/>
            <w:vAlign w:val="center"/>
            <w:hideMark/>
          </w:tcPr>
          <w:p w14:paraId="2E8DE94A" w14:textId="77777777" w:rsidR="00000000" w:rsidRDefault="00EE5306">
            <w:pPr>
              <w:spacing w:after="100"/>
              <w:rPr>
                <w:rFonts w:eastAsia="Times New Roman"/>
                <w:sz w:val="20"/>
                <w:szCs w:val="20"/>
              </w:rPr>
            </w:pPr>
          </w:p>
        </w:tc>
      </w:tr>
      <w:tr w:rsidR="00000000" w14:paraId="4F348395" w14:textId="77777777">
        <w:trPr>
          <w:divId w:val="1967815492"/>
        </w:trPr>
        <w:tc>
          <w:tcPr>
            <w:tcW w:w="0" w:type="auto"/>
            <w:gridSpan w:val="3"/>
            <w:tcMar>
              <w:top w:w="0" w:type="dxa"/>
              <w:left w:w="20" w:type="dxa"/>
              <w:bottom w:w="0" w:type="dxa"/>
              <w:right w:w="20" w:type="dxa"/>
            </w:tcMar>
            <w:vAlign w:val="center"/>
            <w:hideMark/>
          </w:tcPr>
          <w:p w14:paraId="2908961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7302C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C3DF032" w14:textId="77777777" w:rsidR="00000000" w:rsidRDefault="00EE5306">
            <w:pPr>
              <w:spacing w:after="100"/>
              <w:jc w:val="center"/>
              <w:rPr>
                <w:rFonts w:eastAsia="Times New Roman"/>
              </w:rPr>
            </w:pPr>
            <w:r>
              <w:rPr>
                <w:rFonts w:eastAsia="Times New Roman"/>
                <w:b/>
                <w:bCs/>
                <w:color w:val="000000"/>
                <w:sz w:val="16"/>
                <w:szCs w:val="16"/>
              </w:rPr>
              <w:t>Amortization</w:t>
            </w:r>
            <w:r>
              <w:rPr>
                <w:rFonts w:eastAsia="Times New Roman"/>
                <w:b/>
                <w:bCs/>
                <w:color w:val="000000"/>
                <w:sz w:val="16"/>
                <w:szCs w:val="16"/>
              </w:rPr>
              <w:br/>
              <w:t>Expense</w:t>
            </w:r>
          </w:p>
        </w:tc>
      </w:tr>
      <w:tr w:rsidR="00000000" w14:paraId="7E7E1BBD" w14:textId="77777777">
        <w:trPr>
          <w:divId w:val="1967815492"/>
        </w:trPr>
        <w:tc>
          <w:tcPr>
            <w:tcW w:w="0" w:type="auto"/>
            <w:gridSpan w:val="3"/>
            <w:tcMar>
              <w:top w:w="0" w:type="dxa"/>
              <w:left w:w="20" w:type="dxa"/>
              <w:bottom w:w="0" w:type="dxa"/>
              <w:right w:w="20" w:type="dxa"/>
            </w:tcMar>
            <w:vAlign w:val="center"/>
            <w:hideMark/>
          </w:tcPr>
          <w:p w14:paraId="2CA8C7AB"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200AB1C"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EB12FA8"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2BAE3A20" w14:textId="77777777">
        <w:trPr>
          <w:divId w:val="1967815492"/>
        </w:trPr>
        <w:tc>
          <w:tcPr>
            <w:tcW w:w="0" w:type="auto"/>
            <w:gridSpan w:val="3"/>
            <w:shd w:val="clear" w:color="auto" w:fill="CCEEFF"/>
            <w:tcMar>
              <w:top w:w="30" w:type="dxa"/>
              <w:left w:w="20" w:type="dxa"/>
              <w:bottom w:w="30" w:type="dxa"/>
              <w:right w:w="20" w:type="dxa"/>
            </w:tcMar>
            <w:vAlign w:val="bottom"/>
            <w:hideMark/>
          </w:tcPr>
          <w:p w14:paraId="46FB2E73" w14:textId="77777777" w:rsidR="00000000" w:rsidRDefault="00EE5306">
            <w:pPr>
              <w:spacing w:after="100"/>
              <w:rPr>
                <w:rFonts w:eastAsia="Times New Roman"/>
              </w:rPr>
            </w:pPr>
            <w:r>
              <w:rPr>
                <w:rFonts w:eastAsia="Times New Roman"/>
                <w:color w:val="000000"/>
                <w:sz w:val="20"/>
                <w:szCs w:val="20"/>
              </w:rPr>
              <w:t>Fiscal 2022</w:t>
            </w:r>
          </w:p>
        </w:tc>
        <w:tc>
          <w:tcPr>
            <w:tcW w:w="0" w:type="auto"/>
            <w:gridSpan w:val="3"/>
            <w:shd w:val="clear" w:color="auto" w:fill="CCEEFF"/>
            <w:tcMar>
              <w:top w:w="0" w:type="dxa"/>
              <w:left w:w="20" w:type="dxa"/>
              <w:bottom w:w="0" w:type="dxa"/>
              <w:right w:w="20" w:type="dxa"/>
            </w:tcMar>
            <w:vAlign w:val="center"/>
            <w:hideMark/>
          </w:tcPr>
          <w:p w14:paraId="2D31D74F"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C1DA9E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0B98DF" w14:textId="77777777" w:rsidR="00000000" w:rsidRDefault="00EE5306">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14:paraId="5CF48564" w14:textId="77777777" w:rsidR="00000000" w:rsidRDefault="00EE5306">
            <w:pPr>
              <w:spacing w:after="100"/>
              <w:jc w:val="right"/>
              <w:rPr>
                <w:rFonts w:eastAsia="Times New Roman"/>
              </w:rPr>
            </w:pPr>
          </w:p>
        </w:tc>
      </w:tr>
      <w:tr w:rsidR="00000000" w14:paraId="49A3EB24" w14:textId="77777777">
        <w:trPr>
          <w:divId w:val="1967815492"/>
        </w:trPr>
        <w:tc>
          <w:tcPr>
            <w:tcW w:w="0" w:type="auto"/>
            <w:gridSpan w:val="3"/>
            <w:shd w:val="clear" w:color="auto" w:fill="FFFFFF"/>
            <w:tcMar>
              <w:top w:w="30" w:type="dxa"/>
              <w:left w:w="20" w:type="dxa"/>
              <w:bottom w:w="30" w:type="dxa"/>
              <w:right w:w="20" w:type="dxa"/>
            </w:tcMar>
            <w:vAlign w:val="bottom"/>
            <w:hideMark/>
          </w:tcPr>
          <w:p w14:paraId="55F8AD93" w14:textId="77777777" w:rsidR="00000000" w:rsidRDefault="00EE5306">
            <w:pPr>
              <w:spacing w:after="100"/>
              <w:rPr>
                <w:rFonts w:eastAsia="Times New Roman"/>
              </w:rPr>
            </w:pPr>
            <w:r>
              <w:rPr>
                <w:rFonts w:eastAsia="Times New Roman"/>
                <w:color w:val="000000"/>
                <w:sz w:val="20"/>
                <w:szCs w:val="20"/>
              </w:rPr>
              <w:t>Fiscal 2023</w:t>
            </w:r>
          </w:p>
        </w:tc>
        <w:tc>
          <w:tcPr>
            <w:tcW w:w="0" w:type="auto"/>
            <w:gridSpan w:val="3"/>
            <w:shd w:val="clear" w:color="auto" w:fill="FFFFFF"/>
            <w:tcMar>
              <w:top w:w="0" w:type="dxa"/>
              <w:left w:w="20" w:type="dxa"/>
              <w:bottom w:w="0" w:type="dxa"/>
              <w:right w:w="20" w:type="dxa"/>
            </w:tcMar>
            <w:vAlign w:val="center"/>
            <w:hideMark/>
          </w:tcPr>
          <w:p w14:paraId="4027B2F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09DABD" w14:textId="77777777" w:rsidR="00000000" w:rsidRDefault="00EE5306">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14:paraId="6B196E28" w14:textId="77777777" w:rsidR="00000000" w:rsidRDefault="00EE5306">
            <w:pPr>
              <w:spacing w:after="100"/>
              <w:jc w:val="right"/>
              <w:rPr>
                <w:rFonts w:eastAsia="Times New Roman"/>
              </w:rPr>
            </w:pPr>
          </w:p>
        </w:tc>
      </w:tr>
      <w:tr w:rsidR="00000000" w14:paraId="5926FA65" w14:textId="77777777">
        <w:trPr>
          <w:divId w:val="1967815492"/>
        </w:trPr>
        <w:tc>
          <w:tcPr>
            <w:tcW w:w="0" w:type="auto"/>
            <w:gridSpan w:val="3"/>
            <w:shd w:val="clear" w:color="auto" w:fill="CCEEFF"/>
            <w:tcMar>
              <w:top w:w="30" w:type="dxa"/>
              <w:left w:w="20" w:type="dxa"/>
              <w:bottom w:w="30" w:type="dxa"/>
              <w:right w:w="20" w:type="dxa"/>
            </w:tcMar>
            <w:vAlign w:val="bottom"/>
            <w:hideMark/>
          </w:tcPr>
          <w:p w14:paraId="3080B299" w14:textId="77777777" w:rsidR="00000000" w:rsidRDefault="00EE5306">
            <w:pPr>
              <w:spacing w:after="100"/>
              <w:rPr>
                <w:rFonts w:eastAsia="Times New Roman"/>
              </w:rPr>
            </w:pPr>
            <w:r>
              <w:rPr>
                <w:rFonts w:eastAsia="Times New Roman"/>
                <w:color w:val="000000"/>
                <w:sz w:val="20"/>
                <w:szCs w:val="20"/>
              </w:rPr>
              <w:t>Fiscal 2024</w:t>
            </w:r>
          </w:p>
        </w:tc>
        <w:tc>
          <w:tcPr>
            <w:tcW w:w="0" w:type="auto"/>
            <w:gridSpan w:val="3"/>
            <w:shd w:val="clear" w:color="auto" w:fill="CCEEFF"/>
            <w:tcMar>
              <w:top w:w="0" w:type="dxa"/>
              <w:left w:w="20" w:type="dxa"/>
              <w:bottom w:w="0" w:type="dxa"/>
              <w:right w:w="20" w:type="dxa"/>
            </w:tcMar>
            <w:vAlign w:val="center"/>
            <w:hideMark/>
          </w:tcPr>
          <w:p w14:paraId="54506E59"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A63336" w14:textId="77777777" w:rsidR="00000000" w:rsidRDefault="00EE5306">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14:paraId="7F076126" w14:textId="77777777" w:rsidR="00000000" w:rsidRDefault="00EE5306">
            <w:pPr>
              <w:spacing w:after="100"/>
              <w:jc w:val="right"/>
              <w:rPr>
                <w:rFonts w:eastAsia="Times New Roman"/>
              </w:rPr>
            </w:pPr>
          </w:p>
        </w:tc>
      </w:tr>
      <w:tr w:rsidR="00000000" w14:paraId="76A14300" w14:textId="77777777">
        <w:trPr>
          <w:divId w:val="1967815492"/>
        </w:trPr>
        <w:tc>
          <w:tcPr>
            <w:tcW w:w="0" w:type="auto"/>
            <w:gridSpan w:val="3"/>
            <w:shd w:val="clear" w:color="auto" w:fill="FFFFFF"/>
            <w:tcMar>
              <w:top w:w="30" w:type="dxa"/>
              <w:left w:w="20" w:type="dxa"/>
              <w:bottom w:w="30" w:type="dxa"/>
              <w:right w:w="20" w:type="dxa"/>
            </w:tcMar>
            <w:vAlign w:val="bottom"/>
            <w:hideMark/>
          </w:tcPr>
          <w:p w14:paraId="4760DDD1" w14:textId="77777777" w:rsidR="00000000" w:rsidRDefault="00EE5306">
            <w:pPr>
              <w:spacing w:after="100"/>
              <w:rPr>
                <w:rFonts w:eastAsia="Times New Roman"/>
              </w:rPr>
            </w:pPr>
            <w:r>
              <w:rPr>
                <w:rFonts w:eastAsia="Times New Roman"/>
                <w:color w:val="000000"/>
                <w:sz w:val="20"/>
                <w:szCs w:val="20"/>
              </w:rPr>
              <w:t>Fiscal 2025</w:t>
            </w:r>
          </w:p>
        </w:tc>
        <w:tc>
          <w:tcPr>
            <w:tcW w:w="0" w:type="auto"/>
            <w:gridSpan w:val="3"/>
            <w:shd w:val="clear" w:color="auto" w:fill="FFFFFF"/>
            <w:tcMar>
              <w:top w:w="0" w:type="dxa"/>
              <w:left w:w="20" w:type="dxa"/>
              <w:bottom w:w="0" w:type="dxa"/>
              <w:right w:w="20" w:type="dxa"/>
            </w:tcMar>
            <w:vAlign w:val="center"/>
            <w:hideMark/>
          </w:tcPr>
          <w:p w14:paraId="6A2A6EB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E57F59" w14:textId="77777777" w:rsidR="00000000" w:rsidRDefault="00EE5306">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14:paraId="17536DA0" w14:textId="77777777" w:rsidR="00000000" w:rsidRDefault="00EE5306">
            <w:pPr>
              <w:spacing w:after="100"/>
              <w:jc w:val="right"/>
              <w:rPr>
                <w:rFonts w:eastAsia="Times New Roman"/>
              </w:rPr>
            </w:pPr>
          </w:p>
        </w:tc>
      </w:tr>
      <w:tr w:rsidR="00000000" w14:paraId="2A9B7E8C" w14:textId="77777777">
        <w:trPr>
          <w:divId w:val="1967815492"/>
        </w:trPr>
        <w:tc>
          <w:tcPr>
            <w:tcW w:w="0" w:type="auto"/>
            <w:gridSpan w:val="3"/>
            <w:shd w:val="clear" w:color="auto" w:fill="CCEEFF"/>
            <w:tcMar>
              <w:top w:w="30" w:type="dxa"/>
              <w:left w:w="20" w:type="dxa"/>
              <w:bottom w:w="30" w:type="dxa"/>
              <w:right w:w="20" w:type="dxa"/>
            </w:tcMar>
            <w:vAlign w:val="bottom"/>
            <w:hideMark/>
          </w:tcPr>
          <w:p w14:paraId="239459D4" w14:textId="77777777" w:rsidR="00000000" w:rsidRDefault="00EE5306">
            <w:pPr>
              <w:spacing w:after="100"/>
              <w:rPr>
                <w:rFonts w:eastAsia="Times New Roman"/>
              </w:rPr>
            </w:pPr>
            <w:r>
              <w:rPr>
                <w:rFonts w:eastAsia="Times New Roman"/>
                <w:color w:val="000000"/>
                <w:sz w:val="20"/>
                <w:szCs w:val="20"/>
              </w:rPr>
              <w:t>Fiscal 2026</w:t>
            </w:r>
          </w:p>
        </w:tc>
        <w:tc>
          <w:tcPr>
            <w:tcW w:w="0" w:type="auto"/>
            <w:gridSpan w:val="3"/>
            <w:shd w:val="clear" w:color="auto" w:fill="CCEEFF"/>
            <w:tcMar>
              <w:top w:w="0" w:type="dxa"/>
              <w:left w:w="20" w:type="dxa"/>
              <w:bottom w:w="0" w:type="dxa"/>
              <w:right w:w="20" w:type="dxa"/>
            </w:tcMar>
            <w:vAlign w:val="center"/>
            <w:hideMark/>
          </w:tcPr>
          <w:p w14:paraId="0D46D33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20A29D" w14:textId="77777777" w:rsidR="00000000" w:rsidRDefault="00EE5306">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14:paraId="0C0B5A7F" w14:textId="77777777" w:rsidR="00000000" w:rsidRDefault="00EE5306">
            <w:pPr>
              <w:spacing w:after="100"/>
              <w:jc w:val="right"/>
              <w:rPr>
                <w:rFonts w:eastAsia="Times New Roman"/>
              </w:rPr>
            </w:pPr>
          </w:p>
        </w:tc>
      </w:tr>
      <w:tr w:rsidR="00000000" w14:paraId="3BBCCC35" w14:textId="77777777">
        <w:trPr>
          <w:divId w:val="1967815492"/>
        </w:trPr>
        <w:tc>
          <w:tcPr>
            <w:tcW w:w="0" w:type="auto"/>
            <w:gridSpan w:val="3"/>
            <w:shd w:val="clear" w:color="auto" w:fill="FFFFFF"/>
            <w:tcMar>
              <w:top w:w="30" w:type="dxa"/>
              <w:left w:w="20" w:type="dxa"/>
              <w:bottom w:w="30" w:type="dxa"/>
              <w:right w:w="20" w:type="dxa"/>
            </w:tcMar>
            <w:vAlign w:val="bottom"/>
            <w:hideMark/>
          </w:tcPr>
          <w:p w14:paraId="2A52947B" w14:textId="77777777" w:rsidR="00000000" w:rsidRDefault="00EE5306">
            <w:pPr>
              <w:spacing w:after="100"/>
              <w:rPr>
                <w:rFonts w:eastAsia="Times New Roman"/>
              </w:rPr>
            </w:pPr>
            <w:r>
              <w:rPr>
                <w:rFonts w:eastAsia="Times New Roman"/>
                <w:color w:val="000000"/>
                <w:sz w:val="20"/>
                <w:szCs w:val="20"/>
              </w:rPr>
              <w:t>Fiscal 2027 and thereafter</w:t>
            </w:r>
          </w:p>
        </w:tc>
        <w:tc>
          <w:tcPr>
            <w:tcW w:w="0" w:type="auto"/>
            <w:gridSpan w:val="3"/>
            <w:shd w:val="clear" w:color="auto" w:fill="FFFFFF"/>
            <w:tcMar>
              <w:top w:w="0" w:type="dxa"/>
              <w:left w:w="20" w:type="dxa"/>
              <w:bottom w:w="0" w:type="dxa"/>
              <w:right w:w="20" w:type="dxa"/>
            </w:tcMar>
            <w:vAlign w:val="center"/>
            <w:hideMark/>
          </w:tcPr>
          <w:p w14:paraId="3D17016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9ED57E" w14:textId="77777777" w:rsidR="00000000" w:rsidRDefault="00EE5306">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14:paraId="06711845" w14:textId="77777777" w:rsidR="00000000" w:rsidRDefault="00EE5306">
            <w:pPr>
              <w:spacing w:after="100"/>
              <w:jc w:val="right"/>
              <w:rPr>
                <w:rFonts w:eastAsia="Times New Roman"/>
              </w:rPr>
            </w:pPr>
          </w:p>
        </w:tc>
      </w:tr>
      <w:tr w:rsidR="00000000" w14:paraId="3AFECBBF" w14:textId="77777777">
        <w:trPr>
          <w:divId w:val="1967815492"/>
        </w:trPr>
        <w:tc>
          <w:tcPr>
            <w:tcW w:w="0" w:type="auto"/>
            <w:gridSpan w:val="3"/>
            <w:shd w:val="clear" w:color="auto" w:fill="CCEEFF"/>
            <w:tcMar>
              <w:top w:w="30" w:type="dxa"/>
              <w:left w:w="155" w:type="dxa"/>
              <w:bottom w:w="30" w:type="dxa"/>
              <w:right w:w="20" w:type="dxa"/>
            </w:tcMar>
            <w:vAlign w:val="bottom"/>
            <w:hideMark/>
          </w:tcPr>
          <w:p w14:paraId="54F2EF7C" w14:textId="77777777" w:rsidR="00000000" w:rsidRDefault="00EE530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06DA46E9"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DF0A78"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A195C7" w14:textId="77777777" w:rsidR="00000000" w:rsidRDefault="00EE5306">
            <w:pPr>
              <w:spacing w:after="100"/>
              <w:jc w:val="right"/>
              <w:rPr>
                <w:rFonts w:eastAsia="Times New Roman"/>
              </w:rPr>
            </w:pPr>
            <w:r>
              <w:rPr>
                <w:rFonts w:eastAsia="Times New Roman"/>
                <w:color w:val="000000"/>
                <w:sz w:val="20"/>
                <w:szCs w:val="20"/>
              </w:rPr>
              <w:t>113.8 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FBDA9E" w14:textId="77777777" w:rsidR="00000000" w:rsidRDefault="00EE5306">
            <w:pPr>
              <w:spacing w:after="100"/>
              <w:jc w:val="right"/>
              <w:rPr>
                <w:rFonts w:eastAsia="Times New Roman"/>
              </w:rPr>
            </w:pPr>
          </w:p>
        </w:tc>
      </w:tr>
    </w:tbl>
    <w:p w14:paraId="5BDB2AE3" w14:textId="77777777" w:rsidR="00000000" w:rsidRDefault="00EE5306">
      <w:pPr>
        <w:ind w:firstLine="540"/>
        <w:jc w:val="both"/>
        <w:divId w:val="378751715"/>
        <w:rPr>
          <w:rFonts w:eastAsia="Times New Roman"/>
        </w:rPr>
      </w:pPr>
      <w:r>
        <w:rPr>
          <w:rFonts w:eastAsia="Times New Roman"/>
          <w:color w:val="000000"/>
          <w:sz w:val="20"/>
          <w:szCs w:val="20"/>
        </w:rPr>
        <w:t>The expected future amortization expense above reflects weighted-average estimated remaining useful lives of 9.0 years for re-acquired licensed trademarks, 7.7 years for customer relationships, and 8.6 years for the Company's finite-lived intangible assets</w:t>
      </w:r>
      <w:r>
        <w:rPr>
          <w:rFonts w:eastAsia="Times New Roman"/>
          <w:color w:val="000000"/>
          <w:sz w:val="20"/>
          <w:szCs w:val="20"/>
        </w:rPr>
        <w:t xml:space="preserve"> in total.</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EFBF163" w14:textId="77777777">
        <w:trPr>
          <w:divId w:val="20595696"/>
          <w:jc w:val="center"/>
        </w:trPr>
        <w:tc>
          <w:tcPr>
            <w:tcW w:w="50" w:type="pct"/>
            <w:vAlign w:val="center"/>
            <w:hideMark/>
          </w:tcPr>
          <w:p w14:paraId="020931C4" w14:textId="77777777" w:rsidR="00000000" w:rsidRDefault="00EE5306">
            <w:pPr>
              <w:ind w:firstLine="540"/>
              <w:jc w:val="both"/>
              <w:rPr>
                <w:rFonts w:eastAsia="Times New Roman"/>
              </w:rPr>
            </w:pPr>
          </w:p>
        </w:tc>
        <w:tc>
          <w:tcPr>
            <w:tcW w:w="1699" w:type="pct"/>
            <w:vAlign w:val="center"/>
            <w:hideMark/>
          </w:tcPr>
          <w:p w14:paraId="35C6E3E0" w14:textId="77777777" w:rsidR="00000000" w:rsidRDefault="00EE5306">
            <w:pPr>
              <w:spacing w:after="100"/>
              <w:rPr>
                <w:rFonts w:eastAsia="Times New Roman"/>
                <w:sz w:val="20"/>
                <w:szCs w:val="20"/>
              </w:rPr>
            </w:pPr>
          </w:p>
        </w:tc>
        <w:tc>
          <w:tcPr>
            <w:tcW w:w="5" w:type="pct"/>
            <w:vAlign w:val="center"/>
            <w:hideMark/>
          </w:tcPr>
          <w:p w14:paraId="2A20E0A5" w14:textId="77777777" w:rsidR="00000000" w:rsidRDefault="00EE5306">
            <w:pPr>
              <w:spacing w:after="100"/>
              <w:rPr>
                <w:rFonts w:eastAsia="Times New Roman"/>
                <w:sz w:val="20"/>
                <w:szCs w:val="20"/>
              </w:rPr>
            </w:pPr>
          </w:p>
        </w:tc>
        <w:tc>
          <w:tcPr>
            <w:tcW w:w="50" w:type="pct"/>
            <w:vAlign w:val="center"/>
            <w:hideMark/>
          </w:tcPr>
          <w:p w14:paraId="4A56E35F" w14:textId="77777777" w:rsidR="00000000" w:rsidRDefault="00EE5306">
            <w:pPr>
              <w:spacing w:after="100"/>
              <w:rPr>
                <w:rFonts w:eastAsia="Times New Roman"/>
                <w:sz w:val="20"/>
                <w:szCs w:val="20"/>
              </w:rPr>
            </w:pPr>
          </w:p>
        </w:tc>
        <w:tc>
          <w:tcPr>
            <w:tcW w:w="1436" w:type="pct"/>
            <w:vAlign w:val="center"/>
            <w:hideMark/>
          </w:tcPr>
          <w:p w14:paraId="025D8DA8" w14:textId="77777777" w:rsidR="00000000" w:rsidRDefault="00EE5306">
            <w:pPr>
              <w:spacing w:after="100"/>
              <w:rPr>
                <w:rFonts w:eastAsia="Times New Roman"/>
                <w:sz w:val="20"/>
                <w:szCs w:val="20"/>
              </w:rPr>
            </w:pPr>
          </w:p>
        </w:tc>
        <w:tc>
          <w:tcPr>
            <w:tcW w:w="5" w:type="pct"/>
            <w:vAlign w:val="center"/>
            <w:hideMark/>
          </w:tcPr>
          <w:p w14:paraId="5A1006D9" w14:textId="77777777" w:rsidR="00000000" w:rsidRDefault="00EE5306">
            <w:pPr>
              <w:spacing w:after="100"/>
              <w:rPr>
                <w:rFonts w:eastAsia="Times New Roman"/>
                <w:sz w:val="20"/>
                <w:szCs w:val="20"/>
              </w:rPr>
            </w:pPr>
          </w:p>
        </w:tc>
        <w:tc>
          <w:tcPr>
            <w:tcW w:w="50" w:type="pct"/>
            <w:vAlign w:val="center"/>
            <w:hideMark/>
          </w:tcPr>
          <w:p w14:paraId="33E3A21B" w14:textId="77777777" w:rsidR="00000000" w:rsidRDefault="00EE5306">
            <w:pPr>
              <w:spacing w:after="100"/>
              <w:rPr>
                <w:rFonts w:eastAsia="Times New Roman"/>
                <w:sz w:val="20"/>
                <w:szCs w:val="20"/>
              </w:rPr>
            </w:pPr>
          </w:p>
        </w:tc>
        <w:tc>
          <w:tcPr>
            <w:tcW w:w="1699" w:type="pct"/>
            <w:vAlign w:val="center"/>
            <w:hideMark/>
          </w:tcPr>
          <w:p w14:paraId="3ECEA62C" w14:textId="77777777" w:rsidR="00000000" w:rsidRDefault="00EE5306">
            <w:pPr>
              <w:spacing w:after="100"/>
              <w:rPr>
                <w:rFonts w:eastAsia="Times New Roman"/>
                <w:sz w:val="20"/>
                <w:szCs w:val="20"/>
              </w:rPr>
            </w:pPr>
          </w:p>
        </w:tc>
        <w:tc>
          <w:tcPr>
            <w:tcW w:w="5" w:type="pct"/>
            <w:vAlign w:val="center"/>
            <w:hideMark/>
          </w:tcPr>
          <w:p w14:paraId="18C9C0F3" w14:textId="77777777" w:rsidR="00000000" w:rsidRDefault="00EE5306">
            <w:pPr>
              <w:spacing w:after="100"/>
              <w:rPr>
                <w:rFonts w:eastAsia="Times New Roman"/>
                <w:sz w:val="20"/>
                <w:szCs w:val="20"/>
              </w:rPr>
            </w:pPr>
          </w:p>
        </w:tc>
      </w:tr>
      <w:tr w:rsidR="00000000" w14:paraId="2B6C4AD0" w14:textId="77777777">
        <w:trPr>
          <w:divId w:val="20595696"/>
          <w:jc w:val="center"/>
        </w:trPr>
        <w:tc>
          <w:tcPr>
            <w:tcW w:w="0" w:type="auto"/>
            <w:gridSpan w:val="3"/>
            <w:tcMar>
              <w:top w:w="0" w:type="dxa"/>
              <w:left w:w="20" w:type="dxa"/>
              <w:bottom w:w="0" w:type="dxa"/>
              <w:right w:w="20" w:type="dxa"/>
            </w:tcMar>
            <w:vAlign w:val="center"/>
            <w:hideMark/>
          </w:tcPr>
          <w:p w14:paraId="726824E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05C85C4" w14:textId="77777777" w:rsidR="00000000" w:rsidRDefault="00EE5306">
            <w:pPr>
              <w:spacing w:after="100"/>
              <w:jc w:val="center"/>
              <w:rPr>
                <w:rFonts w:eastAsia="Times New Roman"/>
              </w:rPr>
            </w:pPr>
            <w:r>
              <w:rPr>
                <w:rFonts w:eastAsia="Times New Roman"/>
                <w:color w:val="000000"/>
                <w:sz w:val="20"/>
                <w:szCs w:val="20"/>
              </w:rPr>
              <w:t>F-22</w:t>
            </w:r>
          </w:p>
        </w:tc>
        <w:tc>
          <w:tcPr>
            <w:tcW w:w="0" w:type="auto"/>
            <w:gridSpan w:val="3"/>
            <w:tcMar>
              <w:top w:w="0" w:type="dxa"/>
              <w:left w:w="20" w:type="dxa"/>
              <w:bottom w:w="0" w:type="dxa"/>
              <w:right w:w="20" w:type="dxa"/>
            </w:tcMar>
            <w:vAlign w:val="center"/>
            <w:hideMark/>
          </w:tcPr>
          <w:p w14:paraId="18846D92" w14:textId="77777777" w:rsidR="00000000" w:rsidRDefault="00EE5306">
            <w:pPr>
              <w:spacing w:after="100"/>
              <w:jc w:val="center"/>
              <w:rPr>
                <w:rFonts w:eastAsia="Times New Roman"/>
              </w:rPr>
            </w:pPr>
          </w:p>
        </w:tc>
      </w:tr>
    </w:tbl>
    <w:p w14:paraId="747EE00E" w14:textId="77777777" w:rsidR="00000000" w:rsidRDefault="00EE5306">
      <w:pPr>
        <w:rPr>
          <w:rFonts w:eastAsia="Times New Roman"/>
        </w:rPr>
      </w:pPr>
      <w:r>
        <w:rPr>
          <w:rFonts w:eastAsia="Times New Roman"/>
        </w:rPr>
        <w:pict w14:anchorId="70A3A17B">
          <v:rect id="_x0000_i1132" style="width:0;height:1.5pt" o:hralign="center" o:hrstd="t" o:hr="t" fillcolor="#a0a0a0" stroked="f"/>
        </w:pict>
      </w:r>
    </w:p>
    <w:p w14:paraId="426678C4" w14:textId="77777777" w:rsidR="00000000" w:rsidRDefault="00EE5306">
      <w:pPr>
        <w:jc w:val="center"/>
        <w:divId w:val="1276254514"/>
        <w:rPr>
          <w:rFonts w:eastAsia="Times New Roman"/>
        </w:rPr>
      </w:pPr>
    </w:p>
    <w:p w14:paraId="7033BE75" w14:textId="77777777" w:rsidR="00000000" w:rsidRDefault="00EE5306">
      <w:pPr>
        <w:jc w:val="center"/>
        <w:divId w:val="1276254514"/>
        <w:rPr>
          <w:rFonts w:eastAsia="Times New Roman"/>
        </w:rPr>
      </w:pPr>
      <w:r>
        <w:rPr>
          <w:rFonts w:eastAsia="Times New Roman"/>
          <w:b/>
          <w:bCs/>
          <w:color w:val="000000"/>
          <w:sz w:val="20"/>
          <w:szCs w:val="20"/>
        </w:rPr>
        <w:t>RALPH LAUREN CORPORATION</w:t>
      </w:r>
    </w:p>
    <w:p w14:paraId="0C1E84BF" w14:textId="77777777" w:rsidR="00000000" w:rsidRDefault="00EE5306">
      <w:pPr>
        <w:jc w:val="center"/>
        <w:divId w:val="1324159930"/>
        <w:rPr>
          <w:rFonts w:eastAsia="Times New Roman"/>
        </w:rPr>
      </w:pPr>
      <w:r>
        <w:rPr>
          <w:rFonts w:eastAsia="Times New Roman"/>
          <w:b/>
          <w:bCs/>
          <w:color w:val="000000"/>
          <w:sz w:val="20"/>
          <w:szCs w:val="20"/>
        </w:rPr>
        <w:t>NOTES TO CONSOLIDATED FINANCIAL STATEMENTS (Continued)</w:t>
      </w:r>
    </w:p>
    <w:p w14:paraId="09D738C8" w14:textId="77777777" w:rsidR="00000000" w:rsidRDefault="00EE5306">
      <w:pPr>
        <w:ind w:hanging="540"/>
        <w:divId w:val="879709350"/>
        <w:rPr>
          <w:rFonts w:eastAsia="Times New Roman"/>
        </w:rPr>
      </w:pPr>
      <w:r>
        <w:rPr>
          <w:rFonts w:eastAsia="Times New Roman"/>
          <w:b/>
          <w:bCs/>
          <w:color w:val="000000"/>
          <w:sz w:val="20"/>
          <w:szCs w:val="20"/>
        </w:rPr>
        <w:t>7.    Other Assets and Liabilities</w:t>
      </w:r>
    </w:p>
    <w:p w14:paraId="20A9F646" w14:textId="77777777" w:rsidR="00000000" w:rsidRDefault="00EE5306">
      <w:pPr>
        <w:ind w:firstLine="540"/>
        <w:divId w:val="395973779"/>
        <w:rPr>
          <w:rFonts w:eastAsia="Times New Roman"/>
        </w:rPr>
      </w:pPr>
      <w:r>
        <w:rPr>
          <w:rFonts w:eastAsia="Times New Roman"/>
          <w:color w:val="000000"/>
          <w:sz w:val="20"/>
          <w:szCs w:val="20"/>
        </w:rPr>
        <w:t>Prepaid expenses and other current assets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9"/>
        <w:gridCol w:w="5120"/>
        <w:gridCol w:w="38"/>
        <w:gridCol w:w="36"/>
        <w:gridCol w:w="36"/>
        <w:gridCol w:w="36"/>
        <w:gridCol w:w="120"/>
        <w:gridCol w:w="1041"/>
        <w:gridCol w:w="36"/>
        <w:gridCol w:w="36"/>
        <w:gridCol w:w="36"/>
        <w:gridCol w:w="36"/>
        <w:gridCol w:w="120"/>
        <w:gridCol w:w="1042"/>
        <w:gridCol w:w="36"/>
      </w:tblGrid>
      <w:tr w:rsidR="00000000" w14:paraId="6C62FDF8" w14:textId="77777777">
        <w:trPr>
          <w:divId w:val="1764454208"/>
        </w:trPr>
        <w:tc>
          <w:tcPr>
            <w:tcW w:w="50" w:type="pct"/>
            <w:vAlign w:val="center"/>
            <w:hideMark/>
          </w:tcPr>
          <w:p w14:paraId="335995F3" w14:textId="77777777" w:rsidR="00000000" w:rsidRDefault="00EE5306">
            <w:pPr>
              <w:ind w:firstLine="540"/>
              <w:rPr>
                <w:rFonts w:eastAsia="Times New Roman"/>
              </w:rPr>
            </w:pPr>
          </w:p>
        </w:tc>
        <w:tc>
          <w:tcPr>
            <w:tcW w:w="3312" w:type="pct"/>
            <w:vAlign w:val="center"/>
            <w:hideMark/>
          </w:tcPr>
          <w:p w14:paraId="0EDA5FCD" w14:textId="77777777" w:rsidR="00000000" w:rsidRDefault="00EE5306">
            <w:pPr>
              <w:spacing w:after="100"/>
              <w:rPr>
                <w:rFonts w:eastAsia="Times New Roman"/>
                <w:sz w:val="20"/>
                <w:szCs w:val="20"/>
              </w:rPr>
            </w:pPr>
          </w:p>
        </w:tc>
        <w:tc>
          <w:tcPr>
            <w:tcW w:w="5" w:type="pct"/>
            <w:vAlign w:val="center"/>
            <w:hideMark/>
          </w:tcPr>
          <w:p w14:paraId="6A99EAC0" w14:textId="77777777" w:rsidR="00000000" w:rsidRDefault="00EE5306">
            <w:pPr>
              <w:spacing w:after="100"/>
              <w:rPr>
                <w:rFonts w:eastAsia="Times New Roman"/>
                <w:sz w:val="20"/>
                <w:szCs w:val="20"/>
              </w:rPr>
            </w:pPr>
          </w:p>
        </w:tc>
        <w:tc>
          <w:tcPr>
            <w:tcW w:w="5" w:type="pct"/>
            <w:vAlign w:val="center"/>
            <w:hideMark/>
          </w:tcPr>
          <w:p w14:paraId="2DCFB931" w14:textId="77777777" w:rsidR="00000000" w:rsidRDefault="00EE5306">
            <w:pPr>
              <w:spacing w:after="100"/>
              <w:rPr>
                <w:rFonts w:eastAsia="Times New Roman"/>
                <w:sz w:val="20"/>
                <w:szCs w:val="20"/>
              </w:rPr>
            </w:pPr>
          </w:p>
        </w:tc>
        <w:tc>
          <w:tcPr>
            <w:tcW w:w="28" w:type="pct"/>
            <w:vAlign w:val="center"/>
            <w:hideMark/>
          </w:tcPr>
          <w:p w14:paraId="150066CB" w14:textId="77777777" w:rsidR="00000000" w:rsidRDefault="00EE5306">
            <w:pPr>
              <w:spacing w:after="100"/>
              <w:rPr>
                <w:rFonts w:eastAsia="Times New Roman"/>
                <w:sz w:val="20"/>
                <w:szCs w:val="20"/>
              </w:rPr>
            </w:pPr>
          </w:p>
        </w:tc>
        <w:tc>
          <w:tcPr>
            <w:tcW w:w="5" w:type="pct"/>
            <w:vAlign w:val="center"/>
            <w:hideMark/>
          </w:tcPr>
          <w:p w14:paraId="4B7432FE" w14:textId="77777777" w:rsidR="00000000" w:rsidRDefault="00EE5306">
            <w:pPr>
              <w:spacing w:after="100"/>
              <w:rPr>
                <w:rFonts w:eastAsia="Times New Roman"/>
                <w:sz w:val="20"/>
                <w:szCs w:val="20"/>
              </w:rPr>
            </w:pPr>
          </w:p>
        </w:tc>
        <w:tc>
          <w:tcPr>
            <w:tcW w:w="50" w:type="pct"/>
            <w:vAlign w:val="center"/>
            <w:hideMark/>
          </w:tcPr>
          <w:p w14:paraId="43D50B6C" w14:textId="77777777" w:rsidR="00000000" w:rsidRDefault="00EE5306">
            <w:pPr>
              <w:spacing w:after="100"/>
              <w:rPr>
                <w:rFonts w:eastAsia="Times New Roman"/>
                <w:sz w:val="20"/>
                <w:szCs w:val="20"/>
              </w:rPr>
            </w:pPr>
          </w:p>
        </w:tc>
        <w:tc>
          <w:tcPr>
            <w:tcW w:w="722" w:type="pct"/>
            <w:vAlign w:val="center"/>
            <w:hideMark/>
          </w:tcPr>
          <w:p w14:paraId="5F23FD35" w14:textId="77777777" w:rsidR="00000000" w:rsidRDefault="00EE5306">
            <w:pPr>
              <w:spacing w:after="100"/>
              <w:rPr>
                <w:rFonts w:eastAsia="Times New Roman"/>
                <w:sz w:val="20"/>
                <w:szCs w:val="20"/>
              </w:rPr>
            </w:pPr>
          </w:p>
        </w:tc>
        <w:tc>
          <w:tcPr>
            <w:tcW w:w="5" w:type="pct"/>
            <w:vAlign w:val="center"/>
            <w:hideMark/>
          </w:tcPr>
          <w:p w14:paraId="02B5C555" w14:textId="77777777" w:rsidR="00000000" w:rsidRDefault="00EE5306">
            <w:pPr>
              <w:spacing w:after="100"/>
              <w:rPr>
                <w:rFonts w:eastAsia="Times New Roman"/>
                <w:sz w:val="20"/>
                <w:szCs w:val="20"/>
              </w:rPr>
            </w:pPr>
          </w:p>
        </w:tc>
        <w:tc>
          <w:tcPr>
            <w:tcW w:w="5" w:type="pct"/>
            <w:vAlign w:val="center"/>
            <w:hideMark/>
          </w:tcPr>
          <w:p w14:paraId="125FF0A6" w14:textId="77777777" w:rsidR="00000000" w:rsidRDefault="00EE5306">
            <w:pPr>
              <w:spacing w:after="100"/>
              <w:rPr>
                <w:rFonts w:eastAsia="Times New Roman"/>
                <w:sz w:val="20"/>
                <w:szCs w:val="20"/>
              </w:rPr>
            </w:pPr>
          </w:p>
        </w:tc>
        <w:tc>
          <w:tcPr>
            <w:tcW w:w="28" w:type="pct"/>
            <w:vAlign w:val="center"/>
            <w:hideMark/>
          </w:tcPr>
          <w:p w14:paraId="059FCE94" w14:textId="77777777" w:rsidR="00000000" w:rsidRDefault="00EE5306">
            <w:pPr>
              <w:spacing w:after="100"/>
              <w:rPr>
                <w:rFonts w:eastAsia="Times New Roman"/>
                <w:sz w:val="20"/>
                <w:szCs w:val="20"/>
              </w:rPr>
            </w:pPr>
          </w:p>
        </w:tc>
        <w:tc>
          <w:tcPr>
            <w:tcW w:w="5" w:type="pct"/>
            <w:vAlign w:val="center"/>
            <w:hideMark/>
          </w:tcPr>
          <w:p w14:paraId="5EC4A5B5" w14:textId="77777777" w:rsidR="00000000" w:rsidRDefault="00EE5306">
            <w:pPr>
              <w:spacing w:after="100"/>
              <w:rPr>
                <w:rFonts w:eastAsia="Times New Roman"/>
                <w:sz w:val="20"/>
                <w:szCs w:val="20"/>
              </w:rPr>
            </w:pPr>
          </w:p>
        </w:tc>
        <w:tc>
          <w:tcPr>
            <w:tcW w:w="50" w:type="pct"/>
            <w:vAlign w:val="center"/>
            <w:hideMark/>
          </w:tcPr>
          <w:p w14:paraId="3915F575" w14:textId="77777777" w:rsidR="00000000" w:rsidRDefault="00EE5306">
            <w:pPr>
              <w:spacing w:after="100"/>
              <w:rPr>
                <w:rFonts w:eastAsia="Times New Roman"/>
                <w:sz w:val="20"/>
                <w:szCs w:val="20"/>
              </w:rPr>
            </w:pPr>
          </w:p>
        </w:tc>
        <w:tc>
          <w:tcPr>
            <w:tcW w:w="722" w:type="pct"/>
            <w:vAlign w:val="center"/>
            <w:hideMark/>
          </w:tcPr>
          <w:p w14:paraId="1A766824" w14:textId="77777777" w:rsidR="00000000" w:rsidRDefault="00EE5306">
            <w:pPr>
              <w:spacing w:after="100"/>
              <w:rPr>
                <w:rFonts w:eastAsia="Times New Roman"/>
                <w:sz w:val="20"/>
                <w:szCs w:val="20"/>
              </w:rPr>
            </w:pPr>
          </w:p>
        </w:tc>
        <w:tc>
          <w:tcPr>
            <w:tcW w:w="5" w:type="pct"/>
            <w:vAlign w:val="center"/>
            <w:hideMark/>
          </w:tcPr>
          <w:p w14:paraId="4B85F05D" w14:textId="77777777" w:rsidR="00000000" w:rsidRDefault="00EE5306">
            <w:pPr>
              <w:spacing w:after="100"/>
              <w:rPr>
                <w:rFonts w:eastAsia="Times New Roman"/>
                <w:sz w:val="20"/>
                <w:szCs w:val="20"/>
              </w:rPr>
            </w:pPr>
          </w:p>
        </w:tc>
      </w:tr>
      <w:tr w:rsidR="00000000" w14:paraId="3F22F1D4" w14:textId="77777777">
        <w:trPr>
          <w:divId w:val="1764454208"/>
        </w:trPr>
        <w:tc>
          <w:tcPr>
            <w:tcW w:w="0" w:type="auto"/>
            <w:gridSpan w:val="3"/>
            <w:tcMar>
              <w:top w:w="0" w:type="dxa"/>
              <w:left w:w="20" w:type="dxa"/>
              <w:bottom w:w="0" w:type="dxa"/>
              <w:right w:w="20" w:type="dxa"/>
            </w:tcMar>
            <w:vAlign w:val="center"/>
            <w:hideMark/>
          </w:tcPr>
          <w:p w14:paraId="2CB5F94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29A928"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4B477C"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40245B9"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639B6B5"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3CD0B7D1" w14:textId="77777777">
        <w:trPr>
          <w:divId w:val="1764454208"/>
        </w:trPr>
        <w:tc>
          <w:tcPr>
            <w:tcW w:w="0" w:type="auto"/>
            <w:gridSpan w:val="3"/>
            <w:tcMar>
              <w:top w:w="30" w:type="dxa"/>
              <w:left w:w="20" w:type="dxa"/>
              <w:bottom w:w="30" w:type="dxa"/>
              <w:right w:w="20" w:type="dxa"/>
            </w:tcMar>
            <w:vAlign w:val="bottom"/>
            <w:hideMark/>
          </w:tcPr>
          <w:p w14:paraId="3AA43512"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894D253" w14:textId="77777777" w:rsidR="00000000" w:rsidRDefault="00EE530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0558B61"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3FA8E993" w14:textId="77777777">
        <w:trPr>
          <w:divId w:val="1764454208"/>
        </w:trPr>
        <w:tc>
          <w:tcPr>
            <w:tcW w:w="0" w:type="auto"/>
            <w:gridSpan w:val="3"/>
            <w:shd w:val="clear" w:color="auto" w:fill="CCEEFF"/>
            <w:tcMar>
              <w:top w:w="30" w:type="dxa"/>
              <w:left w:w="20" w:type="dxa"/>
              <w:bottom w:w="30" w:type="dxa"/>
              <w:right w:w="20" w:type="dxa"/>
            </w:tcMar>
            <w:vAlign w:val="bottom"/>
            <w:hideMark/>
          </w:tcPr>
          <w:p w14:paraId="2E28B3E1" w14:textId="77777777" w:rsidR="00000000" w:rsidRDefault="00EE5306">
            <w:pPr>
              <w:spacing w:after="100"/>
              <w:rPr>
                <w:rFonts w:eastAsia="Times New Roman"/>
              </w:rPr>
            </w:pPr>
            <w:r>
              <w:rPr>
                <w:rFonts w:eastAsia="Times New Roman"/>
                <w:color w:val="000000"/>
                <w:sz w:val="20"/>
                <w:szCs w:val="20"/>
              </w:rPr>
              <w:t>Non-trade receivables</w:t>
            </w:r>
          </w:p>
        </w:tc>
        <w:tc>
          <w:tcPr>
            <w:tcW w:w="0" w:type="auto"/>
            <w:gridSpan w:val="3"/>
            <w:shd w:val="clear" w:color="auto" w:fill="CCEEFF"/>
            <w:tcMar>
              <w:top w:w="0" w:type="dxa"/>
              <w:left w:w="20" w:type="dxa"/>
              <w:bottom w:w="0" w:type="dxa"/>
              <w:right w:w="20" w:type="dxa"/>
            </w:tcMar>
            <w:vAlign w:val="center"/>
            <w:hideMark/>
          </w:tcPr>
          <w:p w14:paraId="6A89883E"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93C93A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3F870E9" w14:textId="77777777" w:rsidR="00000000" w:rsidRDefault="00EE5306">
            <w:pPr>
              <w:spacing w:after="100"/>
              <w:jc w:val="right"/>
              <w:rPr>
                <w:rFonts w:eastAsia="Times New Roman"/>
              </w:rPr>
            </w:pPr>
            <w:r>
              <w:rPr>
                <w:rFonts w:eastAsia="Times New Roman"/>
                <w:color w:val="000000"/>
                <w:sz w:val="20"/>
                <w:szCs w:val="20"/>
              </w:rPr>
              <w:t>28.9 </w:t>
            </w:r>
          </w:p>
        </w:tc>
        <w:tc>
          <w:tcPr>
            <w:tcW w:w="0" w:type="auto"/>
            <w:shd w:val="clear" w:color="auto" w:fill="CCEEFF"/>
            <w:tcMar>
              <w:top w:w="30" w:type="dxa"/>
              <w:left w:w="0" w:type="dxa"/>
              <w:bottom w:w="30" w:type="dxa"/>
              <w:right w:w="20" w:type="dxa"/>
            </w:tcMar>
            <w:vAlign w:val="bottom"/>
            <w:hideMark/>
          </w:tcPr>
          <w:p w14:paraId="4D108A4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6051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4DEC6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738D07" w14:textId="77777777" w:rsidR="00000000" w:rsidRDefault="00EE5306">
            <w:pPr>
              <w:spacing w:after="100"/>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14:paraId="1FF61C50" w14:textId="77777777" w:rsidR="00000000" w:rsidRDefault="00EE5306">
            <w:pPr>
              <w:spacing w:after="100"/>
              <w:jc w:val="right"/>
              <w:rPr>
                <w:rFonts w:eastAsia="Times New Roman"/>
              </w:rPr>
            </w:pPr>
          </w:p>
        </w:tc>
      </w:tr>
      <w:tr w:rsidR="00000000" w14:paraId="65BC683D" w14:textId="77777777">
        <w:trPr>
          <w:divId w:val="1764454208"/>
        </w:trPr>
        <w:tc>
          <w:tcPr>
            <w:tcW w:w="0" w:type="auto"/>
            <w:gridSpan w:val="3"/>
            <w:shd w:val="clear" w:color="auto" w:fill="FFFFFF"/>
            <w:tcMar>
              <w:top w:w="30" w:type="dxa"/>
              <w:left w:w="20" w:type="dxa"/>
              <w:bottom w:w="30" w:type="dxa"/>
              <w:right w:w="20" w:type="dxa"/>
            </w:tcMar>
            <w:vAlign w:val="bottom"/>
            <w:hideMark/>
          </w:tcPr>
          <w:p w14:paraId="4E15954D" w14:textId="77777777" w:rsidR="00000000" w:rsidRDefault="00EE5306">
            <w:pPr>
              <w:spacing w:after="100"/>
              <w:rPr>
                <w:rFonts w:eastAsia="Times New Roman"/>
              </w:rPr>
            </w:pPr>
            <w:r>
              <w:rPr>
                <w:rFonts w:eastAsia="Times New Roman"/>
                <w:color w:val="000000"/>
                <w:sz w:val="20"/>
                <w:szCs w:val="20"/>
              </w:rPr>
              <w:t>Other taxes receivable</w:t>
            </w:r>
          </w:p>
        </w:tc>
        <w:tc>
          <w:tcPr>
            <w:tcW w:w="0" w:type="auto"/>
            <w:gridSpan w:val="3"/>
            <w:shd w:val="clear" w:color="auto" w:fill="FFFFFF"/>
            <w:tcMar>
              <w:top w:w="0" w:type="dxa"/>
              <w:left w:w="20" w:type="dxa"/>
              <w:bottom w:w="0" w:type="dxa"/>
              <w:right w:w="20" w:type="dxa"/>
            </w:tcMar>
            <w:vAlign w:val="center"/>
            <w:hideMark/>
          </w:tcPr>
          <w:p w14:paraId="2D0D903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61DD93" w14:textId="77777777" w:rsidR="00000000" w:rsidRDefault="00EE5306">
            <w:pPr>
              <w:spacing w:after="100"/>
              <w:jc w:val="right"/>
              <w:rPr>
                <w:rFonts w:eastAsia="Times New Roman"/>
              </w:rPr>
            </w:pPr>
            <w:r>
              <w:rPr>
                <w:rFonts w:eastAsia="Times New Roman"/>
                <w:color w:val="000000"/>
                <w:sz w:val="20"/>
                <w:szCs w:val="20"/>
              </w:rPr>
              <w:t>28.4 </w:t>
            </w:r>
          </w:p>
        </w:tc>
        <w:tc>
          <w:tcPr>
            <w:tcW w:w="0" w:type="auto"/>
            <w:shd w:val="clear" w:color="auto" w:fill="FFFFFF"/>
            <w:tcMar>
              <w:top w:w="30" w:type="dxa"/>
              <w:left w:w="0" w:type="dxa"/>
              <w:bottom w:w="30" w:type="dxa"/>
              <w:right w:w="20" w:type="dxa"/>
            </w:tcMar>
            <w:vAlign w:val="bottom"/>
            <w:hideMark/>
          </w:tcPr>
          <w:p w14:paraId="517E439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2F28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502C78" w14:textId="77777777" w:rsidR="00000000" w:rsidRDefault="00EE5306">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bottom"/>
            <w:hideMark/>
          </w:tcPr>
          <w:p w14:paraId="00C6CD3E" w14:textId="77777777" w:rsidR="00000000" w:rsidRDefault="00EE5306">
            <w:pPr>
              <w:spacing w:after="100"/>
              <w:jc w:val="right"/>
              <w:rPr>
                <w:rFonts w:eastAsia="Times New Roman"/>
              </w:rPr>
            </w:pPr>
          </w:p>
        </w:tc>
      </w:tr>
      <w:tr w:rsidR="00000000" w14:paraId="1CE39CE3" w14:textId="77777777">
        <w:trPr>
          <w:divId w:val="1764454208"/>
        </w:trPr>
        <w:tc>
          <w:tcPr>
            <w:tcW w:w="0" w:type="auto"/>
            <w:gridSpan w:val="3"/>
            <w:shd w:val="clear" w:color="auto" w:fill="CCEEFF"/>
            <w:tcMar>
              <w:top w:w="30" w:type="dxa"/>
              <w:left w:w="20" w:type="dxa"/>
              <w:bottom w:w="30" w:type="dxa"/>
              <w:right w:w="20" w:type="dxa"/>
            </w:tcMar>
            <w:vAlign w:val="bottom"/>
            <w:hideMark/>
          </w:tcPr>
          <w:p w14:paraId="07F7C627" w14:textId="77777777" w:rsidR="00000000" w:rsidRDefault="00EE5306">
            <w:pPr>
              <w:spacing w:after="100"/>
              <w:rPr>
                <w:rFonts w:eastAsia="Times New Roman"/>
              </w:rPr>
            </w:pPr>
            <w:r>
              <w:rPr>
                <w:rFonts w:eastAsia="Times New Roman"/>
                <w:color w:val="000000"/>
                <w:sz w:val="20"/>
                <w:szCs w:val="20"/>
              </w:rPr>
              <w:t>Prepaid software maintenance</w:t>
            </w:r>
          </w:p>
        </w:tc>
        <w:tc>
          <w:tcPr>
            <w:tcW w:w="0" w:type="auto"/>
            <w:gridSpan w:val="3"/>
            <w:shd w:val="clear" w:color="auto" w:fill="CCEEFF"/>
            <w:tcMar>
              <w:top w:w="0" w:type="dxa"/>
              <w:left w:w="20" w:type="dxa"/>
              <w:bottom w:w="0" w:type="dxa"/>
              <w:right w:w="20" w:type="dxa"/>
            </w:tcMar>
            <w:vAlign w:val="center"/>
            <w:hideMark/>
          </w:tcPr>
          <w:p w14:paraId="47798AE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D1A2DF" w14:textId="77777777" w:rsidR="00000000" w:rsidRDefault="00EE5306">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3162034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4927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38046" w14:textId="77777777" w:rsidR="00000000" w:rsidRDefault="00EE5306">
            <w:pPr>
              <w:spacing w:after="100"/>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bottom"/>
            <w:hideMark/>
          </w:tcPr>
          <w:p w14:paraId="5D2CDB3D" w14:textId="77777777" w:rsidR="00000000" w:rsidRDefault="00EE5306">
            <w:pPr>
              <w:spacing w:after="100"/>
              <w:jc w:val="right"/>
              <w:rPr>
                <w:rFonts w:eastAsia="Times New Roman"/>
              </w:rPr>
            </w:pPr>
          </w:p>
        </w:tc>
      </w:tr>
      <w:tr w:rsidR="00000000" w14:paraId="4A0CD591" w14:textId="77777777">
        <w:trPr>
          <w:divId w:val="1764454208"/>
        </w:trPr>
        <w:tc>
          <w:tcPr>
            <w:tcW w:w="0" w:type="auto"/>
            <w:gridSpan w:val="3"/>
            <w:shd w:val="clear" w:color="auto" w:fill="FFFFFF"/>
            <w:tcMar>
              <w:top w:w="30" w:type="dxa"/>
              <w:left w:w="20" w:type="dxa"/>
              <w:bottom w:w="30" w:type="dxa"/>
              <w:right w:w="20" w:type="dxa"/>
            </w:tcMar>
            <w:vAlign w:val="bottom"/>
            <w:hideMark/>
          </w:tcPr>
          <w:p w14:paraId="63066F41" w14:textId="77777777" w:rsidR="00000000" w:rsidRDefault="00EE5306">
            <w:pPr>
              <w:spacing w:after="100"/>
              <w:rPr>
                <w:rFonts w:eastAsia="Times New Roman"/>
              </w:rPr>
            </w:pPr>
            <w:r>
              <w:rPr>
                <w:rFonts w:eastAsia="Times New Roman"/>
                <w:color w:val="000000"/>
                <w:sz w:val="20"/>
                <w:szCs w:val="20"/>
              </w:rPr>
              <w:t>Prepaid advertising and marketing</w:t>
            </w:r>
          </w:p>
        </w:tc>
        <w:tc>
          <w:tcPr>
            <w:tcW w:w="0" w:type="auto"/>
            <w:gridSpan w:val="3"/>
            <w:shd w:val="clear" w:color="auto" w:fill="FFFFFF"/>
            <w:tcMar>
              <w:top w:w="0" w:type="dxa"/>
              <w:left w:w="20" w:type="dxa"/>
              <w:bottom w:w="0" w:type="dxa"/>
              <w:right w:w="20" w:type="dxa"/>
            </w:tcMar>
            <w:vAlign w:val="center"/>
            <w:hideMark/>
          </w:tcPr>
          <w:p w14:paraId="08E6F2B3"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F96797" w14:textId="77777777" w:rsidR="00000000" w:rsidRDefault="00EE5306">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14:paraId="6107C5E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0E62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CAEDFE" w14:textId="77777777" w:rsidR="00000000" w:rsidRDefault="00EE5306">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1A18F21C" w14:textId="77777777" w:rsidR="00000000" w:rsidRDefault="00EE5306">
            <w:pPr>
              <w:spacing w:after="100"/>
              <w:jc w:val="right"/>
              <w:rPr>
                <w:rFonts w:eastAsia="Times New Roman"/>
              </w:rPr>
            </w:pPr>
          </w:p>
        </w:tc>
      </w:tr>
      <w:tr w:rsidR="00000000" w14:paraId="1EAE55EE" w14:textId="77777777">
        <w:trPr>
          <w:divId w:val="1764454208"/>
        </w:trPr>
        <w:tc>
          <w:tcPr>
            <w:tcW w:w="0" w:type="auto"/>
            <w:gridSpan w:val="3"/>
            <w:shd w:val="clear" w:color="auto" w:fill="CCEEFF"/>
            <w:tcMar>
              <w:top w:w="30" w:type="dxa"/>
              <w:left w:w="20" w:type="dxa"/>
              <w:bottom w:w="30" w:type="dxa"/>
              <w:right w:w="20" w:type="dxa"/>
            </w:tcMar>
            <w:vAlign w:val="bottom"/>
            <w:hideMark/>
          </w:tcPr>
          <w:p w14:paraId="6969FAC2" w14:textId="77777777" w:rsidR="00000000" w:rsidRDefault="00EE5306">
            <w:pPr>
              <w:spacing w:after="100"/>
              <w:rPr>
                <w:rFonts w:eastAsia="Times New Roman"/>
              </w:rPr>
            </w:pPr>
            <w:r>
              <w:rPr>
                <w:rFonts w:eastAsia="Times New Roman"/>
                <w:color w:val="000000"/>
                <w:sz w:val="20"/>
                <w:szCs w:val="20"/>
              </w:rPr>
              <w:t>Tenant allowances receivable</w:t>
            </w:r>
          </w:p>
        </w:tc>
        <w:tc>
          <w:tcPr>
            <w:tcW w:w="0" w:type="auto"/>
            <w:gridSpan w:val="3"/>
            <w:shd w:val="clear" w:color="auto" w:fill="CCEEFF"/>
            <w:tcMar>
              <w:top w:w="0" w:type="dxa"/>
              <w:left w:w="20" w:type="dxa"/>
              <w:bottom w:w="0" w:type="dxa"/>
              <w:right w:w="20" w:type="dxa"/>
            </w:tcMar>
            <w:vAlign w:val="center"/>
            <w:hideMark/>
          </w:tcPr>
          <w:p w14:paraId="21C5D19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05B9DD" w14:textId="77777777" w:rsidR="00000000" w:rsidRDefault="00EE5306">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14:paraId="1FB8156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18BF4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6F7BA8" w14:textId="77777777" w:rsidR="00000000" w:rsidRDefault="00EE5306">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73E7CCF2" w14:textId="77777777" w:rsidR="00000000" w:rsidRDefault="00EE5306">
            <w:pPr>
              <w:spacing w:after="100"/>
              <w:jc w:val="right"/>
              <w:rPr>
                <w:rFonts w:eastAsia="Times New Roman"/>
              </w:rPr>
            </w:pPr>
          </w:p>
        </w:tc>
      </w:tr>
      <w:tr w:rsidR="00000000" w14:paraId="40F21FB6" w14:textId="77777777">
        <w:trPr>
          <w:divId w:val="1764454208"/>
        </w:trPr>
        <w:tc>
          <w:tcPr>
            <w:tcW w:w="0" w:type="auto"/>
            <w:gridSpan w:val="3"/>
            <w:shd w:val="clear" w:color="auto" w:fill="FFFFFF"/>
            <w:tcMar>
              <w:top w:w="30" w:type="dxa"/>
              <w:left w:w="20" w:type="dxa"/>
              <w:bottom w:w="30" w:type="dxa"/>
              <w:right w:w="20" w:type="dxa"/>
            </w:tcMar>
            <w:vAlign w:val="bottom"/>
            <w:hideMark/>
          </w:tcPr>
          <w:p w14:paraId="2123423C" w14:textId="77777777" w:rsidR="00000000" w:rsidRDefault="00EE5306">
            <w:pPr>
              <w:spacing w:after="100"/>
              <w:rPr>
                <w:rFonts w:eastAsia="Times New Roman"/>
              </w:rPr>
            </w:pPr>
            <w:r>
              <w:rPr>
                <w:rFonts w:eastAsia="Times New Roman"/>
                <w:color w:val="000000"/>
                <w:sz w:val="20"/>
                <w:szCs w:val="20"/>
              </w:rPr>
              <w:t>Inventory return asset</w:t>
            </w:r>
          </w:p>
        </w:tc>
        <w:tc>
          <w:tcPr>
            <w:tcW w:w="0" w:type="auto"/>
            <w:gridSpan w:val="3"/>
            <w:shd w:val="clear" w:color="auto" w:fill="FFFFFF"/>
            <w:tcMar>
              <w:top w:w="0" w:type="dxa"/>
              <w:left w:w="20" w:type="dxa"/>
              <w:bottom w:w="0" w:type="dxa"/>
              <w:right w:w="20" w:type="dxa"/>
            </w:tcMar>
            <w:vAlign w:val="center"/>
            <w:hideMark/>
          </w:tcPr>
          <w:p w14:paraId="60B0C92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225A7F" w14:textId="77777777" w:rsidR="00000000" w:rsidRDefault="00EE5306">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35F6BF3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244D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E8F914" w14:textId="77777777" w:rsidR="00000000" w:rsidRDefault="00EE5306">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14:paraId="25A8347B" w14:textId="77777777" w:rsidR="00000000" w:rsidRDefault="00EE5306">
            <w:pPr>
              <w:spacing w:after="100"/>
              <w:jc w:val="right"/>
              <w:rPr>
                <w:rFonts w:eastAsia="Times New Roman"/>
              </w:rPr>
            </w:pPr>
          </w:p>
        </w:tc>
      </w:tr>
      <w:tr w:rsidR="00000000" w14:paraId="0A725559" w14:textId="77777777">
        <w:trPr>
          <w:divId w:val="1764454208"/>
        </w:trPr>
        <w:tc>
          <w:tcPr>
            <w:tcW w:w="0" w:type="auto"/>
            <w:gridSpan w:val="3"/>
            <w:shd w:val="clear" w:color="auto" w:fill="CCEEFF"/>
            <w:tcMar>
              <w:top w:w="30" w:type="dxa"/>
              <w:left w:w="20" w:type="dxa"/>
              <w:bottom w:w="30" w:type="dxa"/>
              <w:right w:w="20" w:type="dxa"/>
            </w:tcMar>
            <w:vAlign w:val="bottom"/>
            <w:hideMark/>
          </w:tcPr>
          <w:p w14:paraId="23B75878" w14:textId="77777777" w:rsidR="00000000" w:rsidRDefault="00EE5306">
            <w:pPr>
              <w:spacing w:after="100"/>
              <w:rPr>
                <w:rFonts w:eastAsia="Times New Roman"/>
              </w:rPr>
            </w:pPr>
            <w:r>
              <w:rPr>
                <w:rFonts w:eastAsia="Times New Roman"/>
                <w:color w:val="000000"/>
                <w:sz w:val="20"/>
                <w:szCs w:val="20"/>
              </w:rPr>
              <w:t>Cloud computing arrangement implementation costs</w:t>
            </w:r>
          </w:p>
        </w:tc>
        <w:tc>
          <w:tcPr>
            <w:tcW w:w="0" w:type="auto"/>
            <w:gridSpan w:val="3"/>
            <w:shd w:val="clear" w:color="auto" w:fill="CCEEFF"/>
            <w:tcMar>
              <w:top w:w="0" w:type="dxa"/>
              <w:left w:w="20" w:type="dxa"/>
              <w:bottom w:w="0" w:type="dxa"/>
              <w:right w:w="20" w:type="dxa"/>
            </w:tcMar>
            <w:vAlign w:val="center"/>
            <w:hideMark/>
          </w:tcPr>
          <w:p w14:paraId="4BC9B4C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29378C" w14:textId="77777777" w:rsidR="00000000" w:rsidRDefault="00EE5306">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14:paraId="0C44B60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6E40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67E6EB" w14:textId="77777777" w:rsidR="00000000" w:rsidRDefault="00EE5306">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14:paraId="7F12AC8B" w14:textId="77777777" w:rsidR="00000000" w:rsidRDefault="00EE5306">
            <w:pPr>
              <w:spacing w:after="100"/>
              <w:jc w:val="right"/>
              <w:rPr>
                <w:rFonts w:eastAsia="Times New Roman"/>
              </w:rPr>
            </w:pPr>
          </w:p>
        </w:tc>
      </w:tr>
      <w:tr w:rsidR="00000000" w14:paraId="55AFEBAF" w14:textId="77777777">
        <w:trPr>
          <w:divId w:val="1764454208"/>
        </w:trPr>
        <w:tc>
          <w:tcPr>
            <w:tcW w:w="0" w:type="auto"/>
            <w:gridSpan w:val="3"/>
            <w:shd w:val="clear" w:color="auto" w:fill="FFFFFF"/>
            <w:tcMar>
              <w:top w:w="30" w:type="dxa"/>
              <w:left w:w="20" w:type="dxa"/>
              <w:bottom w:w="30" w:type="dxa"/>
              <w:right w:w="20" w:type="dxa"/>
            </w:tcMar>
            <w:vAlign w:val="bottom"/>
            <w:hideMark/>
          </w:tcPr>
          <w:p w14:paraId="5F40ECC1" w14:textId="77777777" w:rsidR="00000000" w:rsidRDefault="00EE5306">
            <w:pPr>
              <w:spacing w:after="100"/>
              <w:rPr>
                <w:rFonts w:eastAsia="Times New Roman"/>
              </w:rPr>
            </w:pPr>
            <w:r>
              <w:rPr>
                <w:rFonts w:eastAsia="Times New Roman"/>
                <w:color w:val="000000"/>
                <w:sz w:val="20"/>
                <w:szCs w:val="20"/>
              </w:rPr>
              <w:t>Prepaid logistic services</w:t>
            </w:r>
          </w:p>
        </w:tc>
        <w:tc>
          <w:tcPr>
            <w:tcW w:w="0" w:type="auto"/>
            <w:gridSpan w:val="3"/>
            <w:shd w:val="clear" w:color="auto" w:fill="FFFFFF"/>
            <w:tcMar>
              <w:top w:w="0" w:type="dxa"/>
              <w:left w:w="20" w:type="dxa"/>
              <w:bottom w:w="0" w:type="dxa"/>
              <w:right w:w="20" w:type="dxa"/>
            </w:tcMar>
            <w:vAlign w:val="center"/>
            <w:hideMark/>
          </w:tcPr>
          <w:p w14:paraId="58C7958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BF7D8E" w14:textId="77777777" w:rsidR="00000000" w:rsidRDefault="00EE5306">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7C40AEE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32A7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FE607" w14:textId="77777777" w:rsidR="00000000" w:rsidRDefault="00EE5306">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14:paraId="06285E22" w14:textId="77777777" w:rsidR="00000000" w:rsidRDefault="00EE5306">
            <w:pPr>
              <w:spacing w:after="100"/>
              <w:jc w:val="right"/>
              <w:rPr>
                <w:rFonts w:eastAsia="Times New Roman"/>
              </w:rPr>
            </w:pPr>
          </w:p>
        </w:tc>
      </w:tr>
      <w:tr w:rsidR="00000000" w14:paraId="36AF1F55" w14:textId="77777777">
        <w:trPr>
          <w:divId w:val="1764454208"/>
        </w:trPr>
        <w:tc>
          <w:tcPr>
            <w:tcW w:w="0" w:type="auto"/>
            <w:gridSpan w:val="3"/>
            <w:shd w:val="clear" w:color="auto" w:fill="CCEEFF"/>
            <w:tcMar>
              <w:top w:w="30" w:type="dxa"/>
              <w:left w:w="20" w:type="dxa"/>
              <w:bottom w:w="30" w:type="dxa"/>
              <w:right w:w="20" w:type="dxa"/>
            </w:tcMar>
            <w:vAlign w:val="bottom"/>
            <w:hideMark/>
          </w:tcPr>
          <w:p w14:paraId="58F16E4A" w14:textId="77777777" w:rsidR="00000000" w:rsidRDefault="00EE5306">
            <w:pPr>
              <w:spacing w:after="100"/>
              <w:rPr>
                <w:rFonts w:eastAsia="Times New Roman"/>
              </w:rPr>
            </w:pPr>
            <w:r>
              <w:rPr>
                <w:rFonts w:eastAsia="Times New Roman"/>
                <w:color w:val="000000"/>
                <w:sz w:val="20"/>
                <w:szCs w:val="20"/>
              </w:rPr>
              <w:t>Prepaid occupancy expense</w:t>
            </w:r>
          </w:p>
        </w:tc>
        <w:tc>
          <w:tcPr>
            <w:tcW w:w="0" w:type="auto"/>
            <w:gridSpan w:val="3"/>
            <w:shd w:val="clear" w:color="auto" w:fill="CCEEFF"/>
            <w:tcMar>
              <w:top w:w="0" w:type="dxa"/>
              <w:left w:w="20" w:type="dxa"/>
              <w:bottom w:w="0" w:type="dxa"/>
              <w:right w:w="20" w:type="dxa"/>
            </w:tcMar>
            <w:vAlign w:val="center"/>
            <w:hideMark/>
          </w:tcPr>
          <w:p w14:paraId="4121054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D4E41E" w14:textId="77777777" w:rsidR="00000000" w:rsidRDefault="00EE5306">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44400C8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D17F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FC5949" w14:textId="77777777" w:rsidR="00000000" w:rsidRDefault="00EE5306">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7FFA0C19" w14:textId="77777777" w:rsidR="00000000" w:rsidRDefault="00EE5306">
            <w:pPr>
              <w:spacing w:after="100"/>
              <w:jc w:val="right"/>
              <w:rPr>
                <w:rFonts w:eastAsia="Times New Roman"/>
              </w:rPr>
            </w:pPr>
          </w:p>
        </w:tc>
      </w:tr>
      <w:tr w:rsidR="00000000" w14:paraId="5339AB57" w14:textId="77777777">
        <w:trPr>
          <w:divId w:val="1764454208"/>
        </w:trPr>
        <w:tc>
          <w:tcPr>
            <w:tcW w:w="0" w:type="auto"/>
            <w:gridSpan w:val="3"/>
            <w:shd w:val="clear" w:color="auto" w:fill="FFFFFF"/>
            <w:tcMar>
              <w:top w:w="30" w:type="dxa"/>
              <w:left w:w="20" w:type="dxa"/>
              <w:bottom w:w="30" w:type="dxa"/>
              <w:right w:w="20" w:type="dxa"/>
            </w:tcMar>
            <w:vAlign w:val="bottom"/>
            <w:hideMark/>
          </w:tcPr>
          <w:p w14:paraId="7751CA48" w14:textId="77777777" w:rsidR="00000000" w:rsidRDefault="00EE5306">
            <w:pPr>
              <w:spacing w:after="100"/>
              <w:rPr>
                <w:rFonts w:eastAsia="Times New Roman"/>
              </w:rPr>
            </w:pPr>
            <w:r>
              <w:rPr>
                <w:rFonts w:eastAsia="Times New Roman"/>
                <w:color w:val="000000"/>
                <w:sz w:val="20"/>
                <w:szCs w:val="20"/>
              </w:rPr>
              <w:t>Derivative financial instruments</w:t>
            </w:r>
          </w:p>
        </w:tc>
        <w:tc>
          <w:tcPr>
            <w:tcW w:w="0" w:type="auto"/>
            <w:gridSpan w:val="3"/>
            <w:shd w:val="clear" w:color="auto" w:fill="FFFFFF"/>
            <w:tcMar>
              <w:top w:w="0" w:type="dxa"/>
              <w:left w:w="20" w:type="dxa"/>
              <w:bottom w:w="0" w:type="dxa"/>
              <w:right w:w="20" w:type="dxa"/>
            </w:tcMar>
            <w:vAlign w:val="center"/>
            <w:hideMark/>
          </w:tcPr>
          <w:p w14:paraId="17CA142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7420DE" w14:textId="77777777" w:rsidR="00000000" w:rsidRDefault="00EE5306">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14:paraId="081DB26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2C7E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BCD9F" w14:textId="77777777" w:rsidR="00000000" w:rsidRDefault="00EE5306">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14:paraId="059C2B66" w14:textId="77777777" w:rsidR="00000000" w:rsidRDefault="00EE5306">
            <w:pPr>
              <w:spacing w:after="100"/>
              <w:jc w:val="right"/>
              <w:rPr>
                <w:rFonts w:eastAsia="Times New Roman"/>
              </w:rPr>
            </w:pPr>
          </w:p>
        </w:tc>
      </w:tr>
      <w:tr w:rsidR="00000000" w14:paraId="7F59BC4B" w14:textId="77777777">
        <w:trPr>
          <w:divId w:val="1764454208"/>
        </w:trPr>
        <w:tc>
          <w:tcPr>
            <w:tcW w:w="0" w:type="auto"/>
            <w:gridSpan w:val="3"/>
            <w:shd w:val="clear" w:color="auto" w:fill="CCEEFF"/>
            <w:tcMar>
              <w:top w:w="30" w:type="dxa"/>
              <w:left w:w="20" w:type="dxa"/>
              <w:bottom w:w="30" w:type="dxa"/>
              <w:right w:w="20" w:type="dxa"/>
            </w:tcMar>
            <w:vAlign w:val="bottom"/>
            <w:hideMark/>
          </w:tcPr>
          <w:p w14:paraId="666F06CA" w14:textId="77777777" w:rsidR="00000000" w:rsidRDefault="00EE5306">
            <w:pPr>
              <w:spacing w:after="100"/>
              <w:rPr>
                <w:rFonts w:eastAsia="Times New Roman"/>
              </w:rPr>
            </w:pPr>
            <w:r>
              <w:rPr>
                <w:rFonts w:eastAsia="Times New Roman"/>
                <w:color w:val="000000"/>
                <w:sz w:val="20"/>
                <w:szCs w:val="20"/>
              </w:rPr>
              <w:t>Prepaid inventory</w:t>
            </w:r>
          </w:p>
        </w:tc>
        <w:tc>
          <w:tcPr>
            <w:tcW w:w="0" w:type="auto"/>
            <w:gridSpan w:val="3"/>
            <w:shd w:val="clear" w:color="auto" w:fill="CCEEFF"/>
            <w:tcMar>
              <w:top w:w="0" w:type="dxa"/>
              <w:left w:w="20" w:type="dxa"/>
              <w:bottom w:w="0" w:type="dxa"/>
              <w:right w:w="20" w:type="dxa"/>
            </w:tcMar>
            <w:vAlign w:val="center"/>
            <w:hideMark/>
          </w:tcPr>
          <w:p w14:paraId="4C645996"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CDA00A" w14:textId="77777777" w:rsidR="00000000" w:rsidRDefault="00EE5306">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2B81839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1F72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94191E" w14:textId="77777777" w:rsidR="00000000" w:rsidRDefault="00EE5306">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14:paraId="5E946E56" w14:textId="77777777" w:rsidR="00000000" w:rsidRDefault="00EE5306">
            <w:pPr>
              <w:spacing w:after="100"/>
              <w:jc w:val="right"/>
              <w:rPr>
                <w:rFonts w:eastAsia="Times New Roman"/>
              </w:rPr>
            </w:pPr>
          </w:p>
        </w:tc>
      </w:tr>
      <w:tr w:rsidR="00000000" w14:paraId="6C98BFA9" w14:textId="77777777">
        <w:trPr>
          <w:divId w:val="1764454208"/>
        </w:trPr>
        <w:tc>
          <w:tcPr>
            <w:tcW w:w="0" w:type="auto"/>
            <w:gridSpan w:val="3"/>
            <w:vAlign w:val="center"/>
            <w:hideMark/>
          </w:tcPr>
          <w:p w14:paraId="30998E65" w14:textId="77777777" w:rsidR="00000000" w:rsidRDefault="00EE5306">
            <w:pPr>
              <w:spacing w:after="100"/>
              <w:jc w:val="right"/>
              <w:rPr>
                <w:rFonts w:eastAsia="Times New Roman"/>
                <w:sz w:val="20"/>
                <w:szCs w:val="20"/>
              </w:rPr>
            </w:pPr>
          </w:p>
        </w:tc>
        <w:tc>
          <w:tcPr>
            <w:tcW w:w="0" w:type="auto"/>
            <w:gridSpan w:val="3"/>
            <w:vAlign w:val="center"/>
            <w:hideMark/>
          </w:tcPr>
          <w:p w14:paraId="0DF889FE" w14:textId="77777777" w:rsidR="00000000" w:rsidRDefault="00EE5306">
            <w:pPr>
              <w:spacing w:after="100"/>
              <w:rPr>
                <w:rFonts w:eastAsia="Times New Roman"/>
                <w:sz w:val="20"/>
                <w:szCs w:val="20"/>
              </w:rPr>
            </w:pPr>
          </w:p>
        </w:tc>
        <w:tc>
          <w:tcPr>
            <w:tcW w:w="0" w:type="auto"/>
            <w:gridSpan w:val="3"/>
            <w:vAlign w:val="center"/>
            <w:hideMark/>
          </w:tcPr>
          <w:p w14:paraId="12D28BD3" w14:textId="77777777" w:rsidR="00000000" w:rsidRDefault="00EE5306">
            <w:pPr>
              <w:spacing w:after="100"/>
              <w:rPr>
                <w:rFonts w:eastAsia="Times New Roman"/>
                <w:sz w:val="20"/>
                <w:szCs w:val="20"/>
              </w:rPr>
            </w:pPr>
          </w:p>
        </w:tc>
        <w:tc>
          <w:tcPr>
            <w:tcW w:w="0" w:type="auto"/>
            <w:gridSpan w:val="3"/>
            <w:vAlign w:val="center"/>
            <w:hideMark/>
          </w:tcPr>
          <w:p w14:paraId="324ADA1F" w14:textId="77777777" w:rsidR="00000000" w:rsidRDefault="00EE5306">
            <w:pPr>
              <w:spacing w:after="100"/>
              <w:rPr>
                <w:rFonts w:eastAsia="Times New Roman"/>
                <w:sz w:val="20"/>
                <w:szCs w:val="20"/>
              </w:rPr>
            </w:pPr>
          </w:p>
        </w:tc>
        <w:tc>
          <w:tcPr>
            <w:tcW w:w="0" w:type="auto"/>
            <w:gridSpan w:val="3"/>
            <w:vAlign w:val="center"/>
            <w:hideMark/>
          </w:tcPr>
          <w:p w14:paraId="7C9EA123" w14:textId="77777777" w:rsidR="00000000" w:rsidRDefault="00EE5306">
            <w:pPr>
              <w:spacing w:after="100"/>
              <w:rPr>
                <w:rFonts w:eastAsia="Times New Roman"/>
                <w:sz w:val="20"/>
                <w:szCs w:val="20"/>
              </w:rPr>
            </w:pPr>
          </w:p>
        </w:tc>
      </w:tr>
      <w:tr w:rsidR="00000000" w14:paraId="47305DF8" w14:textId="77777777">
        <w:trPr>
          <w:divId w:val="1764454208"/>
        </w:trPr>
        <w:tc>
          <w:tcPr>
            <w:tcW w:w="0" w:type="auto"/>
            <w:gridSpan w:val="3"/>
            <w:shd w:val="clear" w:color="auto" w:fill="FFFFFF"/>
            <w:tcMar>
              <w:top w:w="30" w:type="dxa"/>
              <w:left w:w="20" w:type="dxa"/>
              <w:bottom w:w="30" w:type="dxa"/>
              <w:right w:w="20" w:type="dxa"/>
            </w:tcMar>
            <w:vAlign w:val="bottom"/>
            <w:hideMark/>
          </w:tcPr>
          <w:p w14:paraId="3AFDB1A7" w14:textId="77777777" w:rsidR="00000000" w:rsidRDefault="00EE5306">
            <w:pPr>
              <w:spacing w:after="100"/>
              <w:rPr>
                <w:rFonts w:eastAsia="Times New Roman"/>
              </w:rPr>
            </w:pPr>
            <w:r>
              <w:rPr>
                <w:rFonts w:eastAsia="Times New Roman"/>
                <w:color w:val="000000"/>
                <w:sz w:val="20"/>
                <w:szCs w:val="20"/>
              </w:rPr>
              <w:t>Other prepaid expenses and current assets</w:t>
            </w:r>
          </w:p>
        </w:tc>
        <w:tc>
          <w:tcPr>
            <w:tcW w:w="0" w:type="auto"/>
            <w:gridSpan w:val="3"/>
            <w:shd w:val="clear" w:color="auto" w:fill="FFFFFF"/>
            <w:tcMar>
              <w:top w:w="0" w:type="dxa"/>
              <w:left w:w="20" w:type="dxa"/>
              <w:bottom w:w="0" w:type="dxa"/>
              <w:right w:w="20" w:type="dxa"/>
            </w:tcMar>
            <w:vAlign w:val="center"/>
            <w:hideMark/>
          </w:tcPr>
          <w:p w14:paraId="319525D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DA7317" w14:textId="77777777" w:rsidR="00000000" w:rsidRDefault="00EE5306">
            <w:pPr>
              <w:spacing w:after="100"/>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14:paraId="747E111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2BA7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97F458" w14:textId="77777777" w:rsidR="00000000" w:rsidRDefault="00EE5306">
            <w:pPr>
              <w:spacing w:after="100"/>
              <w:jc w:val="right"/>
              <w:rPr>
                <w:rFonts w:eastAsia="Times New Roman"/>
              </w:rPr>
            </w:pPr>
            <w:r>
              <w:rPr>
                <w:rFonts w:eastAsia="Times New Roman"/>
                <w:color w:val="000000"/>
                <w:sz w:val="20"/>
                <w:szCs w:val="20"/>
              </w:rPr>
              <w:t>37.9 </w:t>
            </w:r>
          </w:p>
        </w:tc>
        <w:tc>
          <w:tcPr>
            <w:tcW w:w="0" w:type="auto"/>
            <w:shd w:val="clear" w:color="auto" w:fill="FFFFFF"/>
            <w:tcMar>
              <w:top w:w="30" w:type="dxa"/>
              <w:left w:w="0" w:type="dxa"/>
              <w:bottom w:w="30" w:type="dxa"/>
              <w:right w:w="20" w:type="dxa"/>
            </w:tcMar>
            <w:vAlign w:val="bottom"/>
            <w:hideMark/>
          </w:tcPr>
          <w:p w14:paraId="6985A5A3" w14:textId="77777777" w:rsidR="00000000" w:rsidRDefault="00EE5306">
            <w:pPr>
              <w:spacing w:after="100"/>
              <w:jc w:val="right"/>
              <w:rPr>
                <w:rFonts w:eastAsia="Times New Roman"/>
              </w:rPr>
            </w:pPr>
          </w:p>
        </w:tc>
      </w:tr>
      <w:tr w:rsidR="00000000" w14:paraId="1DB9CFE4" w14:textId="77777777">
        <w:trPr>
          <w:divId w:val="1764454208"/>
        </w:trPr>
        <w:tc>
          <w:tcPr>
            <w:tcW w:w="0" w:type="auto"/>
            <w:gridSpan w:val="3"/>
            <w:shd w:val="clear" w:color="auto" w:fill="CCEEFF"/>
            <w:tcMar>
              <w:top w:w="30" w:type="dxa"/>
              <w:left w:w="245" w:type="dxa"/>
              <w:bottom w:w="30" w:type="dxa"/>
              <w:right w:w="20" w:type="dxa"/>
            </w:tcMar>
            <w:vAlign w:val="bottom"/>
            <w:hideMark/>
          </w:tcPr>
          <w:p w14:paraId="2591C152" w14:textId="77777777" w:rsidR="00000000" w:rsidRDefault="00EE5306">
            <w:pPr>
              <w:spacing w:after="100"/>
              <w:rPr>
                <w:rFonts w:eastAsia="Times New Roman"/>
              </w:rPr>
            </w:pPr>
            <w:r>
              <w:rPr>
                <w:rFonts w:eastAsia="Times New Roman"/>
                <w:color w:val="000000"/>
                <w:sz w:val="20"/>
                <w:szCs w:val="20"/>
              </w:rPr>
              <w:t>Total prepaid expenses and other current assets</w:t>
            </w:r>
          </w:p>
        </w:tc>
        <w:tc>
          <w:tcPr>
            <w:tcW w:w="0" w:type="auto"/>
            <w:gridSpan w:val="3"/>
            <w:shd w:val="clear" w:color="auto" w:fill="CCEEFF"/>
            <w:tcMar>
              <w:top w:w="0" w:type="dxa"/>
              <w:left w:w="20" w:type="dxa"/>
              <w:bottom w:w="0" w:type="dxa"/>
              <w:right w:w="20" w:type="dxa"/>
            </w:tcMar>
            <w:vAlign w:val="center"/>
            <w:hideMark/>
          </w:tcPr>
          <w:p w14:paraId="63B2328A"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49CA7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E964D8" w14:textId="77777777" w:rsidR="00000000" w:rsidRDefault="00EE5306">
            <w:pPr>
              <w:spacing w:after="100"/>
              <w:jc w:val="right"/>
              <w:rPr>
                <w:rFonts w:eastAsia="Times New Roman"/>
              </w:rPr>
            </w:pPr>
            <w:r>
              <w:rPr>
                <w:rFonts w:eastAsia="Times New Roman"/>
                <w:color w:val="000000"/>
                <w:sz w:val="20"/>
                <w:szCs w:val="20"/>
              </w:rPr>
              <w:t>166.6 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CE609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DAFC4"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2CE3B8"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28EACD" w14:textId="77777777" w:rsidR="00000000" w:rsidRDefault="00EE5306">
            <w:pPr>
              <w:spacing w:after="100"/>
              <w:jc w:val="right"/>
              <w:rPr>
                <w:rFonts w:eastAsia="Times New Roman"/>
              </w:rPr>
            </w:pPr>
            <w:r>
              <w:rPr>
                <w:rFonts w:eastAsia="Times New Roman"/>
                <w:color w:val="000000"/>
                <w:sz w:val="20"/>
                <w:szCs w:val="20"/>
              </w:rPr>
              <w:t>160.8 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C495F5" w14:textId="77777777" w:rsidR="00000000" w:rsidRDefault="00EE5306">
            <w:pPr>
              <w:spacing w:after="100"/>
              <w:jc w:val="right"/>
              <w:rPr>
                <w:rFonts w:eastAsia="Times New Roman"/>
              </w:rPr>
            </w:pPr>
          </w:p>
        </w:tc>
      </w:tr>
    </w:tbl>
    <w:p w14:paraId="7C692947" w14:textId="77777777" w:rsidR="00000000" w:rsidRDefault="00EE5306">
      <w:pPr>
        <w:divId w:val="470562279"/>
        <w:rPr>
          <w:rFonts w:eastAsia="Times New Roman"/>
        </w:rPr>
      </w:pPr>
      <w:r>
        <w:rPr>
          <w:rFonts w:eastAsia="Times New Roman"/>
          <w:color w:val="000000"/>
          <w:sz w:val="20"/>
          <w:szCs w:val="20"/>
        </w:rPr>
        <w:t>Other non-current assets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9"/>
        <w:gridCol w:w="5120"/>
        <w:gridCol w:w="38"/>
        <w:gridCol w:w="36"/>
        <w:gridCol w:w="36"/>
        <w:gridCol w:w="36"/>
        <w:gridCol w:w="120"/>
        <w:gridCol w:w="1041"/>
        <w:gridCol w:w="36"/>
        <w:gridCol w:w="36"/>
        <w:gridCol w:w="36"/>
        <w:gridCol w:w="36"/>
        <w:gridCol w:w="120"/>
        <w:gridCol w:w="1042"/>
        <w:gridCol w:w="36"/>
      </w:tblGrid>
      <w:tr w:rsidR="00000000" w14:paraId="67C51201" w14:textId="77777777">
        <w:trPr>
          <w:divId w:val="493684230"/>
        </w:trPr>
        <w:tc>
          <w:tcPr>
            <w:tcW w:w="50" w:type="pct"/>
            <w:vAlign w:val="center"/>
            <w:hideMark/>
          </w:tcPr>
          <w:p w14:paraId="6961859F" w14:textId="77777777" w:rsidR="00000000" w:rsidRDefault="00EE5306">
            <w:pPr>
              <w:rPr>
                <w:rFonts w:eastAsia="Times New Roman"/>
              </w:rPr>
            </w:pPr>
          </w:p>
        </w:tc>
        <w:tc>
          <w:tcPr>
            <w:tcW w:w="3312" w:type="pct"/>
            <w:vAlign w:val="center"/>
            <w:hideMark/>
          </w:tcPr>
          <w:p w14:paraId="5D501647" w14:textId="77777777" w:rsidR="00000000" w:rsidRDefault="00EE5306">
            <w:pPr>
              <w:spacing w:after="100"/>
              <w:rPr>
                <w:rFonts w:eastAsia="Times New Roman"/>
                <w:sz w:val="20"/>
                <w:szCs w:val="20"/>
              </w:rPr>
            </w:pPr>
          </w:p>
        </w:tc>
        <w:tc>
          <w:tcPr>
            <w:tcW w:w="5" w:type="pct"/>
            <w:vAlign w:val="center"/>
            <w:hideMark/>
          </w:tcPr>
          <w:p w14:paraId="647382C0" w14:textId="77777777" w:rsidR="00000000" w:rsidRDefault="00EE5306">
            <w:pPr>
              <w:spacing w:after="100"/>
              <w:rPr>
                <w:rFonts w:eastAsia="Times New Roman"/>
                <w:sz w:val="20"/>
                <w:szCs w:val="20"/>
              </w:rPr>
            </w:pPr>
          </w:p>
        </w:tc>
        <w:tc>
          <w:tcPr>
            <w:tcW w:w="5" w:type="pct"/>
            <w:vAlign w:val="center"/>
            <w:hideMark/>
          </w:tcPr>
          <w:p w14:paraId="3E6BDB3D" w14:textId="77777777" w:rsidR="00000000" w:rsidRDefault="00EE5306">
            <w:pPr>
              <w:spacing w:after="100"/>
              <w:rPr>
                <w:rFonts w:eastAsia="Times New Roman"/>
                <w:sz w:val="20"/>
                <w:szCs w:val="20"/>
              </w:rPr>
            </w:pPr>
          </w:p>
        </w:tc>
        <w:tc>
          <w:tcPr>
            <w:tcW w:w="28" w:type="pct"/>
            <w:vAlign w:val="center"/>
            <w:hideMark/>
          </w:tcPr>
          <w:p w14:paraId="4AC684AF" w14:textId="77777777" w:rsidR="00000000" w:rsidRDefault="00EE5306">
            <w:pPr>
              <w:spacing w:after="100"/>
              <w:rPr>
                <w:rFonts w:eastAsia="Times New Roman"/>
                <w:sz w:val="20"/>
                <w:szCs w:val="20"/>
              </w:rPr>
            </w:pPr>
          </w:p>
        </w:tc>
        <w:tc>
          <w:tcPr>
            <w:tcW w:w="5" w:type="pct"/>
            <w:vAlign w:val="center"/>
            <w:hideMark/>
          </w:tcPr>
          <w:p w14:paraId="3CDCF907" w14:textId="77777777" w:rsidR="00000000" w:rsidRDefault="00EE5306">
            <w:pPr>
              <w:spacing w:after="100"/>
              <w:rPr>
                <w:rFonts w:eastAsia="Times New Roman"/>
                <w:sz w:val="20"/>
                <w:szCs w:val="20"/>
              </w:rPr>
            </w:pPr>
          </w:p>
        </w:tc>
        <w:tc>
          <w:tcPr>
            <w:tcW w:w="50" w:type="pct"/>
            <w:vAlign w:val="center"/>
            <w:hideMark/>
          </w:tcPr>
          <w:p w14:paraId="044A5804" w14:textId="77777777" w:rsidR="00000000" w:rsidRDefault="00EE5306">
            <w:pPr>
              <w:spacing w:after="100"/>
              <w:rPr>
                <w:rFonts w:eastAsia="Times New Roman"/>
                <w:sz w:val="20"/>
                <w:szCs w:val="20"/>
              </w:rPr>
            </w:pPr>
          </w:p>
        </w:tc>
        <w:tc>
          <w:tcPr>
            <w:tcW w:w="722" w:type="pct"/>
            <w:vAlign w:val="center"/>
            <w:hideMark/>
          </w:tcPr>
          <w:p w14:paraId="331F3618" w14:textId="77777777" w:rsidR="00000000" w:rsidRDefault="00EE5306">
            <w:pPr>
              <w:spacing w:after="100"/>
              <w:rPr>
                <w:rFonts w:eastAsia="Times New Roman"/>
                <w:sz w:val="20"/>
                <w:szCs w:val="20"/>
              </w:rPr>
            </w:pPr>
          </w:p>
        </w:tc>
        <w:tc>
          <w:tcPr>
            <w:tcW w:w="5" w:type="pct"/>
            <w:vAlign w:val="center"/>
            <w:hideMark/>
          </w:tcPr>
          <w:p w14:paraId="4F6B09BD" w14:textId="77777777" w:rsidR="00000000" w:rsidRDefault="00EE5306">
            <w:pPr>
              <w:spacing w:after="100"/>
              <w:rPr>
                <w:rFonts w:eastAsia="Times New Roman"/>
                <w:sz w:val="20"/>
                <w:szCs w:val="20"/>
              </w:rPr>
            </w:pPr>
          </w:p>
        </w:tc>
        <w:tc>
          <w:tcPr>
            <w:tcW w:w="5" w:type="pct"/>
            <w:vAlign w:val="center"/>
            <w:hideMark/>
          </w:tcPr>
          <w:p w14:paraId="58617B63" w14:textId="77777777" w:rsidR="00000000" w:rsidRDefault="00EE5306">
            <w:pPr>
              <w:spacing w:after="100"/>
              <w:rPr>
                <w:rFonts w:eastAsia="Times New Roman"/>
                <w:sz w:val="20"/>
                <w:szCs w:val="20"/>
              </w:rPr>
            </w:pPr>
          </w:p>
        </w:tc>
        <w:tc>
          <w:tcPr>
            <w:tcW w:w="28" w:type="pct"/>
            <w:vAlign w:val="center"/>
            <w:hideMark/>
          </w:tcPr>
          <w:p w14:paraId="2EC77C1A" w14:textId="77777777" w:rsidR="00000000" w:rsidRDefault="00EE5306">
            <w:pPr>
              <w:spacing w:after="100"/>
              <w:rPr>
                <w:rFonts w:eastAsia="Times New Roman"/>
                <w:sz w:val="20"/>
                <w:szCs w:val="20"/>
              </w:rPr>
            </w:pPr>
          </w:p>
        </w:tc>
        <w:tc>
          <w:tcPr>
            <w:tcW w:w="5" w:type="pct"/>
            <w:vAlign w:val="center"/>
            <w:hideMark/>
          </w:tcPr>
          <w:p w14:paraId="35F0C3F1" w14:textId="77777777" w:rsidR="00000000" w:rsidRDefault="00EE5306">
            <w:pPr>
              <w:spacing w:after="100"/>
              <w:rPr>
                <w:rFonts w:eastAsia="Times New Roman"/>
                <w:sz w:val="20"/>
                <w:szCs w:val="20"/>
              </w:rPr>
            </w:pPr>
          </w:p>
        </w:tc>
        <w:tc>
          <w:tcPr>
            <w:tcW w:w="50" w:type="pct"/>
            <w:vAlign w:val="center"/>
            <w:hideMark/>
          </w:tcPr>
          <w:p w14:paraId="7099CDDD" w14:textId="77777777" w:rsidR="00000000" w:rsidRDefault="00EE5306">
            <w:pPr>
              <w:spacing w:after="100"/>
              <w:rPr>
                <w:rFonts w:eastAsia="Times New Roman"/>
                <w:sz w:val="20"/>
                <w:szCs w:val="20"/>
              </w:rPr>
            </w:pPr>
          </w:p>
        </w:tc>
        <w:tc>
          <w:tcPr>
            <w:tcW w:w="722" w:type="pct"/>
            <w:vAlign w:val="center"/>
            <w:hideMark/>
          </w:tcPr>
          <w:p w14:paraId="577B84E7" w14:textId="77777777" w:rsidR="00000000" w:rsidRDefault="00EE5306">
            <w:pPr>
              <w:spacing w:after="100"/>
              <w:rPr>
                <w:rFonts w:eastAsia="Times New Roman"/>
                <w:sz w:val="20"/>
                <w:szCs w:val="20"/>
              </w:rPr>
            </w:pPr>
          </w:p>
        </w:tc>
        <w:tc>
          <w:tcPr>
            <w:tcW w:w="5" w:type="pct"/>
            <w:vAlign w:val="center"/>
            <w:hideMark/>
          </w:tcPr>
          <w:p w14:paraId="38A6883B" w14:textId="77777777" w:rsidR="00000000" w:rsidRDefault="00EE5306">
            <w:pPr>
              <w:spacing w:after="100"/>
              <w:rPr>
                <w:rFonts w:eastAsia="Times New Roman"/>
                <w:sz w:val="20"/>
                <w:szCs w:val="20"/>
              </w:rPr>
            </w:pPr>
          </w:p>
        </w:tc>
      </w:tr>
      <w:tr w:rsidR="00000000" w14:paraId="391C912D" w14:textId="77777777">
        <w:trPr>
          <w:divId w:val="493684230"/>
        </w:trPr>
        <w:tc>
          <w:tcPr>
            <w:tcW w:w="0" w:type="auto"/>
            <w:gridSpan w:val="3"/>
            <w:tcMar>
              <w:top w:w="0" w:type="dxa"/>
              <w:left w:w="20" w:type="dxa"/>
              <w:bottom w:w="0" w:type="dxa"/>
              <w:right w:w="20" w:type="dxa"/>
            </w:tcMar>
            <w:vAlign w:val="center"/>
            <w:hideMark/>
          </w:tcPr>
          <w:p w14:paraId="0E5090A6"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C9F371"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8D064D"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E37800D"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23868E3"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3B343879" w14:textId="77777777">
        <w:trPr>
          <w:divId w:val="493684230"/>
        </w:trPr>
        <w:tc>
          <w:tcPr>
            <w:tcW w:w="0" w:type="auto"/>
            <w:gridSpan w:val="3"/>
            <w:tcMar>
              <w:top w:w="30" w:type="dxa"/>
              <w:left w:w="20" w:type="dxa"/>
              <w:bottom w:w="30" w:type="dxa"/>
              <w:right w:w="20" w:type="dxa"/>
            </w:tcMar>
            <w:vAlign w:val="bottom"/>
            <w:hideMark/>
          </w:tcPr>
          <w:p w14:paraId="17FA347B"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4BC10F2" w14:textId="77777777" w:rsidR="00000000" w:rsidRDefault="00EE530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DE311F1"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5D124C39" w14:textId="77777777">
        <w:trPr>
          <w:divId w:val="493684230"/>
        </w:trPr>
        <w:tc>
          <w:tcPr>
            <w:tcW w:w="0" w:type="auto"/>
            <w:gridSpan w:val="3"/>
            <w:shd w:val="clear" w:color="auto" w:fill="CCEEFF"/>
            <w:tcMar>
              <w:top w:w="30" w:type="dxa"/>
              <w:left w:w="20" w:type="dxa"/>
              <w:bottom w:w="30" w:type="dxa"/>
              <w:right w:w="20" w:type="dxa"/>
            </w:tcMar>
            <w:vAlign w:val="bottom"/>
            <w:hideMark/>
          </w:tcPr>
          <w:p w14:paraId="5D673F6A" w14:textId="77777777" w:rsidR="00000000" w:rsidRDefault="00EE5306">
            <w:pPr>
              <w:spacing w:after="100"/>
              <w:rPr>
                <w:rFonts w:eastAsia="Times New Roman"/>
              </w:rPr>
            </w:pPr>
            <w:r>
              <w:rPr>
                <w:rFonts w:eastAsia="Times New Roman"/>
                <w:color w:val="000000"/>
                <w:sz w:val="20"/>
                <w:szCs w:val="20"/>
              </w:rPr>
              <w:t>Security deposits</w:t>
            </w:r>
          </w:p>
        </w:tc>
        <w:tc>
          <w:tcPr>
            <w:tcW w:w="0" w:type="auto"/>
            <w:gridSpan w:val="3"/>
            <w:shd w:val="clear" w:color="auto" w:fill="CCEEFF"/>
            <w:tcMar>
              <w:top w:w="0" w:type="dxa"/>
              <w:left w:w="20" w:type="dxa"/>
              <w:bottom w:w="0" w:type="dxa"/>
              <w:right w:w="20" w:type="dxa"/>
            </w:tcMar>
            <w:vAlign w:val="center"/>
            <w:hideMark/>
          </w:tcPr>
          <w:p w14:paraId="5CF8ADF5"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B3671C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B80770" w14:textId="77777777" w:rsidR="00000000" w:rsidRDefault="00EE5306">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14:paraId="6901F7E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F4251"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EFE42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10BE5B" w14:textId="77777777" w:rsidR="00000000" w:rsidRDefault="00EE5306">
            <w:pPr>
              <w:spacing w:after="100"/>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14:paraId="0C636B26" w14:textId="77777777" w:rsidR="00000000" w:rsidRDefault="00EE5306">
            <w:pPr>
              <w:spacing w:after="100"/>
              <w:jc w:val="right"/>
              <w:rPr>
                <w:rFonts w:eastAsia="Times New Roman"/>
              </w:rPr>
            </w:pPr>
          </w:p>
        </w:tc>
      </w:tr>
      <w:tr w:rsidR="00000000" w14:paraId="6EEFEC7A" w14:textId="77777777">
        <w:trPr>
          <w:divId w:val="493684230"/>
        </w:trPr>
        <w:tc>
          <w:tcPr>
            <w:tcW w:w="0" w:type="auto"/>
            <w:gridSpan w:val="3"/>
            <w:shd w:val="clear" w:color="auto" w:fill="FFFFFF"/>
            <w:tcMar>
              <w:top w:w="30" w:type="dxa"/>
              <w:left w:w="20" w:type="dxa"/>
              <w:bottom w:w="30" w:type="dxa"/>
              <w:right w:w="20" w:type="dxa"/>
            </w:tcMar>
            <w:vAlign w:val="bottom"/>
            <w:hideMark/>
          </w:tcPr>
          <w:p w14:paraId="2203021F" w14:textId="77777777" w:rsidR="00000000" w:rsidRDefault="00EE5306">
            <w:pPr>
              <w:spacing w:after="100"/>
              <w:rPr>
                <w:rFonts w:eastAsia="Times New Roman"/>
              </w:rPr>
            </w:pPr>
            <w:r>
              <w:rPr>
                <w:rFonts w:eastAsia="Times New Roman"/>
                <w:color w:val="000000"/>
                <w:sz w:val="20"/>
                <w:szCs w:val="20"/>
              </w:rPr>
              <w:t>Derivative financial instruments</w:t>
            </w:r>
          </w:p>
        </w:tc>
        <w:tc>
          <w:tcPr>
            <w:tcW w:w="0" w:type="auto"/>
            <w:gridSpan w:val="3"/>
            <w:shd w:val="clear" w:color="auto" w:fill="FFFFFF"/>
            <w:tcMar>
              <w:top w:w="0" w:type="dxa"/>
              <w:left w:w="20" w:type="dxa"/>
              <w:bottom w:w="0" w:type="dxa"/>
              <w:right w:w="20" w:type="dxa"/>
            </w:tcMar>
            <w:vAlign w:val="center"/>
            <w:hideMark/>
          </w:tcPr>
          <w:p w14:paraId="687529D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D2067F" w14:textId="77777777" w:rsidR="00000000" w:rsidRDefault="00EE5306">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14:paraId="2150329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B1BFD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18A385" w14:textId="77777777" w:rsidR="00000000" w:rsidRDefault="00EE5306">
            <w:pPr>
              <w:spacing w:after="100"/>
              <w:jc w:val="right"/>
              <w:rPr>
                <w:rFonts w:eastAsia="Times New Roman"/>
              </w:rPr>
            </w:pPr>
            <w:r>
              <w:rPr>
                <w:rFonts w:eastAsia="Times New Roman"/>
                <w:color w:val="000000"/>
                <w:sz w:val="20"/>
                <w:szCs w:val="20"/>
              </w:rPr>
              <w:t>48.6 </w:t>
            </w:r>
          </w:p>
        </w:tc>
        <w:tc>
          <w:tcPr>
            <w:tcW w:w="0" w:type="auto"/>
            <w:shd w:val="clear" w:color="auto" w:fill="FFFFFF"/>
            <w:tcMar>
              <w:top w:w="30" w:type="dxa"/>
              <w:left w:w="0" w:type="dxa"/>
              <w:bottom w:w="30" w:type="dxa"/>
              <w:right w:w="20" w:type="dxa"/>
            </w:tcMar>
            <w:vAlign w:val="bottom"/>
            <w:hideMark/>
          </w:tcPr>
          <w:p w14:paraId="4E46030D" w14:textId="77777777" w:rsidR="00000000" w:rsidRDefault="00EE5306">
            <w:pPr>
              <w:spacing w:after="100"/>
              <w:jc w:val="right"/>
              <w:rPr>
                <w:rFonts w:eastAsia="Times New Roman"/>
              </w:rPr>
            </w:pPr>
          </w:p>
        </w:tc>
      </w:tr>
      <w:tr w:rsidR="00000000" w14:paraId="52CAC7DD" w14:textId="77777777">
        <w:trPr>
          <w:divId w:val="493684230"/>
        </w:trPr>
        <w:tc>
          <w:tcPr>
            <w:tcW w:w="0" w:type="auto"/>
            <w:gridSpan w:val="3"/>
            <w:shd w:val="clear" w:color="auto" w:fill="CCEEFF"/>
            <w:tcMar>
              <w:top w:w="30" w:type="dxa"/>
              <w:left w:w="20" w:type="dxa"/>
              <w:bottom w:w="30" w:type="dxa"/>
              <w:right w:w="20" w:type="dxa"/>
            </w:tcMar>
            <w:vAlign w:val="bottom"/>
            <w:hideMark/>
          </w:tcPr>
          <w:p w14:paraId="054FED99" w14:textId="77777777" w:rsidR="00000000" w:rsidRDefault="00EE5306">
            <w:pPr>
              <w:spacing w:after="100"/>
              <w:rPr>
                <w:rFonts w:eastAsia="Times New Roman"/>
              </w:rPr>
            </w:pPr>
            <w:r>
              <w:rPr>
                <w:rFonts w:eastAsia="Times New Roman"/>
                <w:color w:val="000000"/>
                <w:sz w:val="20"/>
                <w:szCs w:val="20"/>
              </w:rPr>
              <w:t>Restricted cash</w:t>
            </w:r>
          </w:p>
        </w:tc>
        <w:tc>
          <w:tcPr>
            <w:tcW w:w="0" w:type="auto"/>
            <w:gridSpan w:val="3"/>
            <w:shd w:val="clear" w:color="auto" w:fill="CCEEFF"/>
            <w:tcMar>
              <w:top w:w="0" w:type="dxa"/>
              <w:left w:w="20" w:type="dxa"/>
              <w:bottom w:w="0" w:type="dxa"/>
              <w:right w:w="20" w:type="dxa"/>
            </w:tcMar>
            <w:vAlign w:val="center"/>
            <w:hideMark/>
          </w:tcPr>
          <w:p w14:paraId="665AC20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D1556A" w14:textId="77777777" w:rsidR="00000000" w:rsidRDefault="00EE5306">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73C68E0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4CB6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3B6B36" w14:textId="77777777" w:rsidR="00000000" w:rsidRDefault="00EE5306">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14:paraId="7F8CACB6" w14:textId="77777777" w:rsidR="00000000" w:rsidRDefault="00EE5306">
            <w:pPr>
              <w:spacing w:after="100"/>
              <w:jc w:val="right"/>
              <w:rPr>
                <w:rFonts w:eastAsia="Times New Roman"/>
              </w:rPr>
            </w:pPr>
          </w:p>
        </w:tc>
      </w:tr>
      <w:tr w:rsidR="00000000" w14:paraId="6C911B53" w14:textId="77777777">
        <w:trPr>
          <w:divId w:val="493684230"/>
        </w:trPr>
        <w:tc>
          <w:tcPr>
            <w:tcW w:w="0" w:type="auto"/>
            <w:gridSpan w:val="3"/>
            <w:shd w:val="clear" w:color="auto" w:fill="FFFFFF"/>
            <w:tcMar>
              <w:top w:w="30" w:type="dxa"/>
              <w:left w:w="20" w:type="dxa"/>
              <w:bottom w:w="30" w:type="dxa"/>
              <w:right w:w="20" w:type="dxa"/>
            </w:tcMar>
            <w:vAlign w:val="bottom"/>
            <w:hideMark/>
          </w:tcPr>
          <w:p w14:paraId="48624BF7" w14:textId="77777777" w:rsidR="00000000" w:rsidRDefault="00EE5306">
            <w:pPr>
              <w:spacing w:after="100"/>
              <w:rPr>
                <w:rFonts w:eastAsia="Times New Roman"/>
              </w:rPr>
            </w:pPr>
            <w:r>
              <w:rPr>
                <w:rFonts w:eastAsia="Times New Roman"/>
                <w:color w:val="000000"/>
                <w:sz w:val="20"/>
                <w:szCs w:val="20"/>
              </w:rPr>
              <w:t>Cloud computing arrangement implementation costs</w:t>
            </w:r>
          </w:p>
        </w:tc>
        <w:tc>
          <w:tcPr>
            <w:tcW w:w="0" w:type="auto"/>
            <w:gridSpan w:val="3"/>
            <w:shd w:val="clear" w:color="auto" w:fill="FFFFFF"/>
            <w:tcMar>
              <w:top w:w="0" w:type="dxa"/>
              <w:left w:w="20" w:type="dxa"/>
              <w:bottom w:w="0" w:type="dxa"/>
              <w:right w:w="20" w:type="dxa"/>
            </w:tcMar>
            <w:vAlign w:val="center"/>
            <w:hideMark/>
          </w:tcPr>
          <w:p w14:paraId="7E09250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DEB019" w14:textId="77777777" w:rsidR="00000000" w:rsidRDefault="00EE5306">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14:paraId="5D16833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5213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C8DA7C" w14:textId="77777777" w:rsidR="00000000" w:rsidRDefault="00EE5306">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327278CD" w14:textId="77777777" w:rsidR="00000000" w:rsidRDefault="00EE5306">
            <w:pPr>
              <w:spacing w:after="100"/>
              <w:jc w:val="right"/>
              <w:rPr>
                <w:rFonts w:eastAsia="Times New Roman"/>
              </w:rPr>
            </w:pPr>
          </w:p>
        </w:tc>
      </w:tr>
      <w:tr w:rsidR="00000000" w14:paraId="046FD97C" w14:textId="77777777">
        <w:trPr>
          <w:divId w:val="493684230"/>
        </w:trPr>
        <w:tc>
          <w:tcPr>
            <w:tcW w:w="0" w:type="auto"/>
            <w:gridSpan w:val="3"/>
            <w:shd w:val="clear" w:color="auto" w:fill="CCEEFF"/>
            <w:tcMar>
              <w:top w:w="30" w:type="dxa"/>
              <w:left w:w="20" w:type="dxa"/>
              <w:bottom w:w="30" w:type="dxa"/>
              <w:right w:w="20" w:type="dxa"/>
            </w:tcMar>
            <w:vAlign w:val="bottom"/>
            <w:hideMark/>
          </w:tcPr>
          <w:p w14:paraId="15D22A9A" w14:textId="77777777" w:rsidR="00000000" w:rsidRDefault="00EE5306">
            <w:pPr>
              <w:spacing w:after="100"/>
              <w:rPr>
                <w:rFonts w:eastAsia="Times New Roman"/>
              </w:rPr>
            </w:pPr>
            <w:r>
              <w:rPr>
                <w:rFonts w:eastAsia="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14:paraId="3AB91BB4"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68A659" w14:textId="77777777" w:rsidR="00000000" w:rsidRDefault="00EE5306">
            <w:pPr>
              <w:spacing w:after="100"/>
              <w:jc w:val="right"/>
              <w:rPr>
                <w:rFonts w:eastAsia="Times New Roman"/>
              </w:rPr>
            </w:pPr>
            <w:r>
              <w:rPr>
                <w:rFonts w:eastAsia="Times New Roman"/>
                <w:color w:val="000000"/>
                <w:sz w:val="20"/>
                <w:szCs w:val="20"/>
              </w:rPr>
              <w:t>32.3 </w:t>
            </w:r>
          </w:p>
        </w:tc>
        <w:tc>
          <w:tcPr>
            <w:tcW w:w="0" w:type="auto"/>
            <w:shd w:val="clear" w:color="auto" w:fill="CCEEFF"/>
            <w:tcMar>
              <w:top w:w="30" w:type="dxa"/>
              <w:left w:w="0" w:type="dxa"/>
              <w:bottom w:w="30" w:type="dxa"/>
              <w:right w:w="20" w:type="dxa"/>
            </w:tcMar>
            <w:vAlign w:val="bottom"/>
            <w:hideMark/>
          </w:tcPr>
          <w:p w14:paraId="4BC29BF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73C3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CB9E7" w14:textId="77777777" w:rsidR="00000000" w:rsidRDefault="00EE5306">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14:paraId="7274C328" w14:textId="77777777" w:rsidR="00000000" w:rsidRDefault="00EE5306">
            <w:pPr>
              <w:spacing w:after="100"/>
              <w:jc w:val="right"/>
              <w:rPr>
                <w:rFonts w:eastAsia="Times New Roman"/>
              </w:rPr>
            </w:pPr>
          </w:p>
        </w:tc>
      </w:tr>
      <w:tr w:rsidR="00000000" w14:paraId="6DE697BA" w14:textId="77777777">
        <w:trPr>
          <w:divId w:val="493684230"/>
        </w:trPr>
        <w:tc>
          <w:tcPr>
            <w:tcW w:w="0" w:type="auto"/>
            <w:gridSpan w:val="3"/>
            <w:shd w:val="clear" w:color="auto" w:fill="FFFFFF"/>
            <w:tcMar>
              <w:top w:w="30" w:type="dxa"/>
              <w:left w:w="245" w:type="dxa"/>
              <w:bottom w:w="30" w:type="dxa"/>
              <w:right w:w="20" w:type="dxa"/>
            </w:tcMar>
            <w:vAlign w:val="bottom"/>
            <w:hideMark/>
          </w:tcPr>
          <w:p w14:paraId="51F71894" w14:textId="77777777" w:rsidR="00000000" w:rsidRDefault="00EE5306">
            <w:pPr>
              <w:spacing w:after="100"/>
              <w:rPr>
                <w:rFonts w:eastAsia="Times New Roman"/>
              </w:rPr>
            </w:pPr>
            <w:r>
              <w:rPr>
                <w:rFonts w:eastAsia="Times New Roman"/>
                <w:color w:val="000000"/>
                <w:sz w:val="20"/>
                <w:szCs w:val="20"/>
              </w:rPr>
              <w:t>Total other non-current assets</w:t>
            </w:r>
          </w:p>
        </w:tc>
        <w:tc>
          <w:tcPr>
            <w:tcW w:w="0" w:type="auto"/>
            <w:gridSpan w:val="3"/>
            <w:shd w:val="clear" w:color="auto" w:fill="FFFFFF"/>
            <w:tcMar>
              <w:top w:w="0" w:type="dxa"/>
              <w:left w:w="20" w:type="dxa"/>
              <w:bottom w:w="0" w:type="dxa"/>
              <w:right w:w="20" w:type="dxa"/>
            </w:tcMar>
            <w:vAlign w:val="center"/>
            <w:hideMark/>
          </w:tcPr>
          <w:p w14:paraId="0F76B7E4"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795C4D"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D6D1D6" w14:textId="77777777" w:rsidR="00000000" w:rsidRDefault="00EE5306">
            <w:pPr>
              <w:spacing w:after="100"/>
              <w:jc w:val="right"/>
              <w:rPr>
                <w:rFonts w:eastAsia="Times New Roman"/>
              </w:rPr>
            </w:pPr>
            <w:r>
              <w:rPr>
                <w:rFonts w:eastAsia="Times New Roman"/>
                <w:color w:val="000000"/>
                <w:sz w:val="20"/>
                <w:szCs w:val="20"/>
              </w:rPr>
              <w:t>86.4 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3CCCB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7723C"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36402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475E79" w14:textId="77777777" w:rsidR="00000000" w:rsidRDefault="00EE5306">
            <w:pPr>
              <w:spacing w:after="100"/>
              <w:jc w:val="right"/>
              <w:rPr>
                <w:rFonts w:eastAsia="Times New Roman"/>
              </w:rPr>
            </w:pPr>
            <w:r>
              <w:rPr>
                <w:rFonts w:eastAsia="Times New Roman"/>
                <w:color w:val="000000"/>
                <w:sz w:val="20"/>
                <w:szCs w:val="20"/>
              </w:rPr>
              <w:t>111.9 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00270B" w14:textId="77777777" w:rsidR="00000000" w:rsidRDefault="00EE5306">
            <w:pPr>
              <w:spacing w:after="100"/>
              <w:jc w:val="right"/>
              <w:rPr>
                <w:rFonts w:eastAsia="Times New Roman"/>
              </w:rPr>
            </w:pPr>
          </w:p>
        </w:tc>
      </w:tr>
    </w:tbl>
    <w:p w14:paraId="4257A664" w14:textId="77777777" w:rsidR="00000000" w:rsidRDefault="00EE5306">
      <w:pPr>
        <w:ind w:firstLine="540"/>
        <w:divId w:val="393285501"/>
        <w:rPr>
          <w:rFonts w:eastAsia="Times New Roman"/>
        </w:rPr>
      </w:pPr>
      <w:r>
        <w:rPr>
          <w:rFonts w:eastAsia="Times New Roman"/>
          <w:color w:val="000000"/>
          <w:sz w:val="20"/>
          <w:szCs w:val="20"/>
        </w:rPr>
        <w:t>Accrued expenses and other current liabilities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8"/>
        <w:gridCol w:w="5121"/>
        <w:gridCol w:w="37"/>
        <w:gridCol w:w="36"/>
        <w:gridCol w:w="36"/>
        <w:gridCol w:w="36"/>
        <w:gridCol w:w="120"/>
        <w:gridCol w:w="1041"/>
        <w:gridCol w:w="36"/>
        <w:gridCol w:w="36"/>
        <w:gridCol w:w="36"/>
        <w:gridCol w:w="36"/>
        <w:gridCol w:w="120"/>
        <w:gridCol w:w="1043"/>
        <w:gridCol w:w="36"/>
      </w:tblGrid>
      <w:tr w:rsidR="00000000" w14:paraId="161BE4F3" w14:textId="77777777">
        <w:trPr>
          <w:divId w:val="1879732828"/>
        </w:trPr>
        <w:tc>
          <w:tcPr>
            <w:tcW w:w="50" w:type="pct"/>
            <w:vAlign w:val="center"/>
            <w:hideMark/>
          </w:tcPr>
          <w:p w14:paraId="379732DB" w14:textId="77777777" w:rsidR="00000000" w:rsidRDefault="00EE5306">
            <w:pPr>
              <w:ind w:firstLine="540"/>
              <w:rPr>
                <w:rFonts w:eastAsia="Times New Roman"/>
              </w:rPr>
            </w:pPr>
          </w:p>
        </w:tc>
        <w:tc>
          <w:tcPr>
            <w:tcW w:w="3312" w:type="pct"/>
            <w:vAlign w:val="center"/>
            <w:hideMark/>
          </w:tcPr>
          <w:p w14:paraId="3E86BDF2" w14:textId="77777777" w:rsidR="00000000" w:rsidRDefault="00EE5306">
            <w:pPr>
              <w:spacing w:after="100"/>
              <w:rPr>
                <w:rFonts w:eastAsia="Times New Roman"/>
                <w:sz w:val="20"/>
                <w:szCs w:val="20"/>
              </w:rPr>
            </w:pPr>
          </w:p>
        </w:tc>
        <w:tc>
          <w:tcPr>
            <w:tcW w:w="5" w:type="pct"/>
            <w:vAlign w:val="center"/>
            <w:hideMark/>
          </w:tcPr>
          <w:p w14:paraId="5231C434" w14:textId="77777777" w:rsidR="00000000" w:rsidRDefault="00EE5306">
            <w:pPr>
              <w:spacing w:after="100"/>
              <w:rPr>
                <w:rFonts w:eastAsia="Times New Roman"/>
                <w:sz w:val="20"/>
                <w:szCs w:val="20"/>
              </w:rPr>
            </w:pPr>
          </w:p>
        </w:tc>
        <w:tc>
          <w:tcPr>
            <w:tcW w:w="5" w:type="pct"/>
            <w:vAlign w:val="center"/>
            <w:hideMark/>
          </w:tcPr>
          <w:p w14:paraId="5A40F02E" w14:textId="77777777" w:rsidR="00000000" w:rsidRDefault="00EE5306">
            <w:pPr>
              <w:spacing w:after="100"/>
              <w:rPr>
                <w:rFonts w:eastAsia="Times New Roman"/>
                <w:sz w:val="20"/>
                <w:szCs w:val="20"/>
              </w:rPr>
            </w:pPr>
          </w:p>
        </w:tc>
        <w:tc>
          <w:tcPr>
            <w:tcW w:w="28" w:type="pct"/>
            <w:vAlign w:val="center"/>
            <w:hideMark/>
          </w:tcPr>
          <w:p w14:paraId="084B0721" w14:textId="77777777" w:rsidR="00000000" w:rsidRDefault="00EE5306">
            <w:pPr>
              <w:spacing w:after="100"/>
              <w:rPr>
                <w:rFonts w:eastAsia="Times New Roman"/>
                <w:sz w:val="20"/>
                <w:szCs w:val="20"/>
              </w:rPr>
            </w:pPr>
          </w:p>
        </w:tc>
        <w:tc>
          <w:tcPr>
            <w:tcW w:w="5" w:type="pct"/>
            <w:vAlign w:val="center"/>
            <w:hideMark/>
          </w:tcPr>
          <w:p w14:paraId="415D3E7A" w14:textId="77777777" w:rsidR="00000000" w:rsidRDefault="00EE5306">
            <w:pPr>
              <w:spacing w:after="100"/>
              <w:rPr>
                <w:rFonts w:eastAsia="Times New Roman"/>
                <w:sz w:val="20"/>
                <w:szCs w:val="20"/>
              </w:rPr>
            </w:pPr>
          </w:p>
        </w:tc>
        <w:tc>
          <w:tcPr>
            <w:tcW w:w="50" w:type="pct"/>
            <w:vAlign w:val="center"/>
            <w:hideMark/>
          </w:tcPr>
          <w:p w14:paraId="31329EB8" w14:textId="77777777" w:rsidR="00000000" w:rsidRDefault="00EE5306">
            <w:pPr>
              <w:spacing w:after="100"/>
              <w:rPr>
                <w:rFonts w:eastAsia="Times New Roman"/>
                <w:sz w:val="20"/>
                <w:szCs w:val="20"/>
              </w:rPr>
            </w:pPr>
          </w:p>
        </w:tc>
        <w:tc>
          <w:tcPr>
            <w:tcW w:w="722" w:type="pct"/>
            <w:vAlign w:val="center"/>
            <w:hideMark/>
          </w:tcPr>
          <w:p w14:paraId="7DFFCEDC" w14:textId="77777777" w:rsidR="00000000" w:rsidRDefault="00EE5306">
            <w:pPr>
              <w:spacing w:after="100"/>
              <w:rPr>
                <w:rFonts w:eastAsia="Times New Roman"/>
                <w:sz w:val="20"/>
                <w:szCs w:val="20"/>
              </w:rPr>
            </w:pPr>
          </w:p>
        </w:tc>
        <w:tc>
          <w:tcPr>
            <w:tcW w:w="5" w:type="pct"/>
            <w:vAlign w:val="center"/>
            <w:hideMark/>
          </w:tcPr>
          <w:p w14:paraId="59AFBBD7" w14:textId="77777777" w:rsidR="00000000" w:rsidRDefault="00EE5306">
            <w:pPr>
              <w:spacing w:after="100"/>
              <w:rPr>
                <w:rFonts w:eastAsia="Times New Roman"/>
                <w:sz w:val="20"/>
                <w:szCs w:val="20"/>
              </w:rPr>
            </w:pPr>
          </w:p>
        </w:tc>
        <w:tc>
          <w:tcPr>
            <w:tcW w:w="5" w:type="pct"/>
            <w:vAlign w:val="center"/>
            <w:hideMark/>
          </w:tcPr>
          <w:p w14:paraId="45C612ED" w14:textId="77777777" w:rsidR="00000000" w:rsidRDefault="00EE5306">
            <w:pPr>
              <w:spacing w:after="100"/>
              <w:rPr>
                <w:rFonts w:eastAsia="Times New Roman"/>
                <w:sz w:val="20"/>
                <w:szCs w:val="20"/>
              </w:rPr>
            </w:pPr>
          </w:p>
        </w:tc>
        <w:tc>
          <w:tcPr>
            <w:tcW w:w="28" w:type="pct"/>
            <w:vAlign w:val="center"/>
            <w:hideMark/>
          </w:tcPr>
          <w:p w14:paraId="5AD0F68C" w14:textId="77777777" w:rsidR="00000000" w:rsidRDefault="00EE5306">
            <w:pPr>
              <w:spacing w:after="100"/>
              <w:rPr>
                <w:rFonts w:eastAsia="Times New Roman"/>
                <w:sz w:val="20"/>
                <w:szCs w:val="20"/>
              </w:rPr>
            </w:pPr>
          </w:p>
        </w:tc>
        <w:tc>
          <w:tcPr>
            <w:tcW w:w="5" w:type="pct"/>
            <w:vAlign w:val="center"/>
            <w:hideMark/>
          </w:tcPr>
          <w:p w14:paraId="1D8F3AA5" w14:textId="77777777" w:rsidR="00000000" w:rsidRDefault="00EE5306">
            <w:pPr>
              <w:spacing w:after="100"/>
              <w:rPr>
                <w:rFonts w:eastAsia="Times New Roman"/>
                <w:sz w:val="20"/>
                <w:szCs w:val="20"/>
              </w:rPr>
            </w:pPr>
          </w:p>
        </w:tc>
        <w:tc>
          <w:tcPr>
            <w:tcW w:w="50" w:type="pct"/>
            <w:vAlign w:val="center"/>
            <w:hideMark/>
          </w:tcPr>
          <w:p w14:paraId="1AC980FE" w14:textId="77777777" w:rsidR="00000000" w:rsidRDefault="00EE5306">
            <w:pPr>
              <w:spacing w:after="100"/>
              <w:rPr>
                <w:rFonts w:eastAsia="Times New Roman"/>
                <w:sz w:val="20"/>
                <w:szCs w:val="20"/>
              </w:rPr>
            </w:pPr>
          </w:p>
        </w:tc>
        <w:tc>
          <w:tcPr>
            <w:tcW w:w="722" w:type="pct"/>
            <w:vAlign w:val="center"/>
            <w:hideMark/>
          </w:tcPr>
          <w:p w14:paraId="3F665AD4" w14:textId="77777777" w:rsidR="00000000" w:rsidRDefault="00EE5306">
            <w:pPr>
              <w:spacing w:after="100"/>
              <w:rPr>
                <w:rFonts w:eastAsia="Times New Roman"/>
                <w:sz w:val="20"/>
                <w:szCs w:val="20"/>
              </w:rPr>
            </w:pPr>
          </w:p>
        </w:tc>
        <w:tc>
          <w:tcPr>
            <w:tcW w:w="5" w:type="pct"/>
            <w:vAlign w:val="center"/>
            <w:hideMark/>
          </w:tcPr>
          <w:p w14:paraId="54B74697" w14:textId="77777777" w:rsidR="00000000" w:rsidRDefault="00EE5306">
            <w:pPr>
              <w:spacing w:after="100"/>
              <w:rPr>
                <w:rFonts w:eastAsia="Times New Roman"/>
                <w:sz w:val="20"/>
                <w:szCs w:val="20"/>
              </w:rPr>
            </w:pPr>
          </w:p>
        </w:tc>
      </w:tr>
      <w:tr w:rsidR="00000000" w14:paraId="3409D9E8" w14:textId="77777777">
        <w:trPr>
          <w:divId w:val="1879732828"/>
        </w:trPr>
        <w:tc>
          <w:tcPr>
            <w:tcW w:w="0" w:type="auto"/>
            <w:gridSpan w:val="3"/>
            <w:tcMar>
              <w:top w:w="0" w:type="dxa"/>
              <w:left w:w="20" w:type="dxa"/>
              <w:bottom w:w="0" w:type="dxa"/>
              <w:right w:w="20" w:type="dxa"/>
            </w:tcMar>
            <w:vAlign w:val="center"/>
            <w:hideMark/>
          </w:tcPr>
          <w:p w14:paraId="472B0CCD"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96FC1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0522CF1"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3B92D592"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B18087A"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2BA22F69" w14:textId="77777777">
        <w:trPr>
          <w:divId w:val="1879732828"/>
        </w:trPr>
        <w:tc>
          <w:tcPr>
            <w:tcW w:w="0" w:type="auto"/>
            <w:gridSpan w:val="3"/>
            <w:tcMar>
              <w:top w:w="30" w:type="dxa"/>
              <w:left w:w="20" w:type="dxa"/>
              <w:bottom w:w="30" w:type="dxa"/>
              <w:right w:w="20" w:type="dxa"/>
            </w:tcMar>
            <w:vAlign w:val="bottom"/>
            <w:hideMark/>
          </w:tcPr>
          <w:p w14:paraId="78F96BD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3AB6A7B" w14:textId="77777777" w:rsidR="00000000" w:rsidRDefault="00EE530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220B3E5"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06D33957" w14:textId="77777777">
        <w:trPr>
          <w:divId w:val="1879732828"/>
        </w:trPr>
        <w:tc>
          <w:tcPr>
            <w:tcW w:w="0" w:type="auto"/>
            <w:gridSpan w:val="3"/>
            <w:shd w:val="clear" w:color="auto" w:fill="CCEEFF"/>
            <w:tcMar>
              <w:top w:w="30" w:type="dxa"/>
              <w:left w:w="20" w:type="dxa"/>
              <w:bottom w:w="30" w:type="dxa"/>
              <w:right w:w="20" w:type="dxa"/>
            </w:tcMar>
            <w:vAlign w:val="bottom"/>
            <w:hideMark/>
          </w:tcPr>
          <w:p w14:paraId="0801931C" w14:textId="77777777" w:rsidR="00000000" w:rsidRDefault="00EE5306">
            <w:pPr>
              <w:spacing w:after="100"/>
              <w:rPr>
                <w:rFonts w:eastAsia="Times New Roman"/>
              </w:rPr>
            </w:pPr>
            <w:r>
              <w:rPr>
                <w:rFonts w:eastAsia="Times New Roman"/>
                <w:color w:val="000000"/>
                <w:sz w:val="20"/>
                <w:szCs w:val="20"/>
              </w:rPr>
              <w:t>Accrued operating expenses</w:t>
            </w:r>
          </w:p>
        </w:tc>
        <w:tc>
          <w:tcPr>
            <w:tcW w:w="0" w:type="auto"/>
            <w:gridSpan w:val="3"/>
            <w:shd w:val="clear" w:color="auto" w:fill="CCEEFF"/>
            <w:tcMar>
              <w:top w:w="0" w:type="dxa"/>
              <w:left w:w="20" w:type="dxa"/>
              <w:bottom w:w="0" w:type="dxa"/>
              <w:right w:w="20" w:type="dxa"/>
            </w:tcMar>
            <w:vAlign w:val="center"/>
            <w:hideMark/>
          </w:tcPr>
          <w:p w14:paraId="3F7542FB"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0977EA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E2ED51" w14:textId="77777777" w:rsidR="00000000" w:rsidRDefault="00EE5306">
            <w:pPr>
              <w:spacing w:after="100"/>
              <w:jc w:val="right"/>
              <w:rPr>
                <w:rFonts w:eastAsia="Times New Roman"/>
              </w:rPr>
            </w:pPr>
            <w:r>
              <w:rPr>
                <w:rFonts w:eastAsia="Times New Roman"/>
                <w:color w:val="000000"/>
                <w:sz w:val="20"/>
                <w:szCs w:val="20"/>
              </w:rPr>
              <w:t>225.0 </w:t>
            </w:r>
          </w:p>
        </w:tc>
        <w:tc>
          <w:tcPr>
            <w:tcW w:w="0" w:type="auto"/>
            <w:shd w:val="clear" w:color="auto" w:fill="CCEEFF"/>
            <w:tcMar>
              <w:top w:w="30" w:type="dxa"/>
              <w:left w:w="0" w:type="dxa"/>
              <w:bottom w:w="30" w:type="dxa"/>
              <w:right w:w="20" w:type="dxa"/>
            </w:tcMar>
            <w:vAlign w:val="bottom"/>
            <w:hideMark/>
          </w:tcPr>
          <w:p w14:paraId="02B700B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2259F"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8A1BC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57A789" w14:textId="77777777" w:rsidR="00000000" w:rsidRDefault="00EE5306">
            <w:pPr>
              <w:spacing w:after="100"/>
              <w:jc w:val="right"/>
              <w:rPr>
                <w:rFonts w:eastAsia="Times New Roman"/>
              </w:rPr>
            </w:pPr>
            <w:r>
              <w:rPr>
                <w:rFonts w:eastAsia="Times New Roman"/>
                <w:color w:val="000000"/>
                <w:sz w:val="20"/>
                <w:szCs w:val="20"/>
              </w:rPr>
              <w:t>176.4 </w:t>
            </w:r>
          </w:p>
        </w:tc>
        <w:tc>
          <w:tcPr>
            <w:tcW w:w="0" w:type="auto"/>
            <w:shd w:val="clear" w:color="auto" w:fill="CCEEFF"/>
            <w:tcMar>
              <w:top w:w="30" w:type="dxa"/>
              <w:left w:w="0" w:type="dxa"/>
              <w:bottom w:w="30" w:type="dxa"/>
              <w:right w:w="20" w:type="dxa"/>
            </w:tcMar>
            <w:vAlign w:val="bottom"/>
            <w:hideMark/>
          </w:tcPr>
          <w:p w14:paraId="5AC3063D" w14:textId="77777777" w:rsidR="00000000" w:rsidRDefault="00EE5306">
            <w:pPr>
              <w:spacing w:after="100"/>
              <w:jc w:val="right"/>
              <w:rPr>
                <w:rFonts w:eastAsia="Times New Roman"/>
              </w:rPr>
            </w:pPr>
          </w:p>
        </w:tc>
      </w:tr>
      <w:tr w:rsidR="00000000" w14:paraId="296B57A6" w14:textId="77777777">
        <w:trPr>
          <w:divId w:val="1879732828"/>
        </w:trPr>
        <w:tc>
          <w:tcPr>
            <w:tcW w:w="0" w:type="auto"/>
            <w:gridSpan w:val="3"/>
            <w:shd w:val="clear" w:color="auto" w:fill="FFFFFF"/>
            <w:tcMar>
              <w:top w:w="30" w:type="dxa"/>
              <w:left w:w="20" w:type="dxa"/>
              <w:bottom w:w="30" w:type="dxa"/>
              <w:right w:w="20" w:type="dxa"/>
            </w:tcMar>
            <w:vAlign w:val="bottom"/>
            <w:hideMark/>
          </w:tcPr>
          <w:p w14:paraId="704B76A6" w14:textId="77777777" w:rsidR="00000000" w:rsidRDefault="00EE5306">
            <w:pPr>
              <w:spacing w:after="100"/>
              <w:rPr>
                <w:rFonts w:eastAsia="Times New Roman"/>
              </w:rPr>
            </w:pPr>
            <w:r>
              <w:rPr>
                <w:rFonts w:eastAsia="Times New Roman"/>
                <w:color w:val="000000"/>
                <w:sz w:val="20"/>
                <w:szCs w:val="20"/>
              </w:rPr>
              <w:t>Accrued payroll and benefits</w:t>
            </w:r>
          </w:p>
        </w:tc>
        <w:tc>
          <w:tcPr>
            <w:tcW w:w="0" w:type="auto"/>
            <w:gridSpan w:val="3"/>
            <w:shd w:val="clear" w:color="auto" w:fill="FFFFFF"/>
            <w:tcMar>
              <w:top w:w="0" w:type="dxa"/>
              <w:left w:w="20" w:type="dxa"/>
              <w:bottom w:w="0" w:type="dxa"/>
              <w:right w:w="20" w:type="dxa"/>
            </w:tcMar>
            <w:vAlign w:val="center"/>
            <w:hideMark/>
          </w:tcPr>
          <w:p w14:paraId="1A13B96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BCDBC6" w14:textId="77777777" w:rsidR="00000000" w:rsidRDefault="00EE5306">
            <w:pPr>
              <w:spacing w:after="100"/>
              <w:jc w:val="right"/>
              <w:rPr>
                <w:rFonts w:eastAsia="Times New Roman"/>
              </w:rPr>
            </w:pPr>
            <w:r>
              <w:rPr>
                <w:rFonts w:eastAsia="Times New Roman"/>
                <w:color w:val="000000"/>
                <w:sz w:val="20"/>
                <w:szCs w:val="20"/>
              </w:rPr>
              <w:t>223.6 </w:t>
            </w:r>
          </w:p>
        </w:tc>
        <w:tc>
          <w:tcPr>
            <w:tcW w:w="0" w:type="auto"/>
            <w:shd w:val="clear" w:color="auto" w:fill="FFFFFF"/>
            <w:tcMar>
              <w:top w:w="30" w:type="dxa"/>
              <w:left w:w="0" w:type="dxa"/>
              <w:bottom w:w="30" w:type="dxa"/>
              <w:right w:w="20" w:type="dxa"/>
            </w:tcMar>
            <w:vAlign w:val="bottom"/>
            <w:hideMark/>
          </w:tcPr>
          <w:p w14:paraId="4547DA4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CA03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EC56F1" w14:textId="77777777" w:rsidR="00000000" w:rsidRDefault="00EE5306">
            <w:pPr>
              <w:spacing w:after="100"/>
              <w:jc w:val="right"/>
              <w:rPr>
                <w:rFonts w:eastAsia="Times New Roman"/>
              </w:rPr>
            </w:pPr>
            <w:r>
              <w:rPr>
                <w:rFonts w:eastAsia="Times New Roman"/>
                <w:color w:val="000000"/>
                <w:sz w:val="20"/>
                <w:szCs w:val="20"/>
              </w:rPr>
              <w:t>186.2 </w:t>
            </w:r>
          </w:p>
        </w:tc>
        <w:tc>
          <w:tcPr>
            <w:tcW w:w="0" w:type="auto"/>
            <w:shd w:val="clear" w:color="auto" w:fill="FFFFFF"/>
            <w:tcMar>
              <w:top w:w="30" w:type="dxa"/>
              <w:left w:w="0" w:type="dxa"/>
              <w:bottom w:w="30" w:type="dxa"/>
              <w:right w:w="20" w:type="dxa"/>
            </w:tcMar>
            <w:vAlign w:val="bottom"/>
            <w:hideMark/>
          </w:tcPr>
          <w:p w14:paraId="4ED05575" w14:textId="77777777" w:rsidR="00000000" w:rsidRDefault="00EE5306">
            <w:pPr>
              <w:spacing w:after="100"/>
              <w:jc w:val="right"/>
              <w:rPr>
                <w:rFonts w:eastAsia="Times New Roman"/>
              </w:rPr>
            </w:pPr>
          </w:p>
        </w:tc>
      </w:tr>
      <w:tr w:rsidR="00000000" w14:paraId="45880BDF" w14:textId="77777777">
        <w:trPr>
          <w:divId w:val="1879732828"/>
        </w:trPr>
        <w:tc>
          <w:tcPr>
            <w:tcW w:w="0" w:type="auto"/>
            <w:gridSpan w:val="3"/>
            <w:shd w:val="clear" w:color="auto" w:fill="CCEEFF"/>
            <w:tcMar>
              <w:top w:w="30" w:type="dxa"/>
              <w:left w:w="20" w:type="dxa"/>
              <w:bottom w:w="30" w:type="dxa"/>
              <w:right w:w="20" w:type="dxa"/>
            </w:tcMar>
            <w:vAlign w:val="bottom"/>
            <w:hideMark/>
          </w:tcPr>
          <w:p w14:paraId="160E5599" w14:textId="77777777" w:rsidR="00000000" w:rsidRDefault="00EE5306">
            <w:pPr>
              <w:spacing w:after="100"/>
              <w:rPr>
                <w:rFonts w:eastAsia="Times New Roman"/>
              </w:rPr>
            </w:pPr>
            <w:r>
              <w:rPr>
                <w:rFonts w:eastAsia="Times New Roman"/>
                <w:color w:val="000000"/>
                <w:sz w:val="20"/>
                <w:szCs w:val="20"/>
              </w:rPr>
              <w:t>Accrued inventory</w:t>
            </w:r>
          </w:p>
        </w:tc>
        <w:tc>
          <w:tcPr>
            <w:tcW w:w="0" w:type="auto"/>
            <w:gridSpan w:val="3"/>
            <w:shd w:val="clear" w:color="auto" w:fill="CCEEFF"/>
            <w:tcMar>
              <w:top w:w="0" w:type="dxa"/>
              <w:left w:w="20" w:type="dxa"/>
              <w:bottom w:w="0" w:type="dxa"/>
              <w:right w:w="20" w:type="dxa"/>
            </w:tcMar>
            <w:vAlign w:val="center"/>
            <w:hideMark/>
          </w:tcPr>
          <w:p w14:paraId="3EF67D56"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333346" w14:textId="77777777" w:rsidR="00000000" w:rsidRDefault="00EE5306">
            <w:pPr>
              <w:spacing w:after="100"/>
              <w:jc w:val="right"/>
              <w:rPr>
                <w:rFonts w:eastAsia="Times New Roman"/>
              </w:rPr>
            </w:pPr>
            <w:r>
              <w:rPr>
                <w:rFonts w:eastAsia="Times New Roman"/>
                <w:color w:val="000000"/>
                <w:sz w:val="20"/>
                <w:szCs w:val="20"/>
              </w:rPr>
              <w:t>196.1 </w:t>
            </w:r>
          </w:p>
        </w:tc>
        <w:tc>
          <w:tcPr>
            <w:tcW w:w="0" w:type="auto"/>
            <w:shd w:val="clear" w:color="auto" w:fill="CCEEFF"/>
            <w:tcMar>
              <w:top w:w="30" w:type="dxa"/>
              <w:left w:w="0" w:type="dxa"/>
              <w:bottom w:w="30" w:type="dxa"/>
              <w:right w:w="20" w:type="dxa"/>
            </w:tcMar>
            <w:vAlign w:val="bottom"/>
            <w:hideMark/>
          </w:tcPr>
          <w:p w14:paraId="7442AE8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2EC11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B385C6" w14:textId="77777777" w:rsidR="00000000" w:rsidRDefault="00EE5306">
            <w:pPr>
              <w:spacing w:after="100"/>
              <w:jc w:val="right"/>
              <w:rPr>
                <w:rFonts w:eastAsia="Times New Roman"/>
              </w:rPr>
            </w:pPr>
            <w:r>
              <w:rPr>
                <w:rFonts w:eastAsia="Times New Roman"/>
                <w:color w:val="000000"/>
                <w:sz w:val="20"/>
                <w:szCs w:val="20"/>
              </w:rPr>
              <w:t>167.1 </w:t>
            </w:r>
          </w:p>
        </w:tc>
        <w:tc>
          <w:tcPr>
            <w:tcW w:w="0" w:type="auto"/>
            <w:shd w:val="clear" w:color="auto" w:fill="CCEEFF"/>
            <w:tcMar>
              <w:top w:w="30" w:type="dxa"/>
              <w:left w:w="0" w:type="dxa"/>
              <w:bottom w:w="30" w:type="dxa"/>
              <w:right w:w="20" w:type="dxa"/>
            </w:tcMar>
            <w:vAlign w:val="bottom"/>
            <w:hideMark/>
          </w:tcPr>
          <w:p w14:paraId="131FC9A9" w14:textId="77777777" w:rsidR="00000000" w:rsidRDefault="00EE5306">
            <w:pPr>
              <w:spacing w:after="100"/>
              <w:jc w:val="right"/>
              <w:rPr>
                <w:rFonts w:eastAsia="Times New Roman"/>
              </w:rPr>
            </w:pPr>
          </w:p>
        </w:tc>
      </w:tr>
      <w:tr w:rsidR="00000000" w14:paraId="70B23773" w14:textId="77777777">
        <w:trPr>
          <w:divId w:val="1879732828"/>
        </w:trPr>
        <w:tc>
          <w:tcPr>
            <w:tcW w:w="0" w:type="auto"/>
            <w:gridSpan w:val="3"/>
            <w:shd w:val="clear" w:color="auto" w:fill="FFFFFF"/>
            <w:tcMar>
              <w:top w:w="30" w:type="dxa"/>
              <w:left w:w="20" w:type="dxa"/>
              <w:bottom w:w="30" w:type="dxa"/>
              <w:right w:w="20" w:type="dxa"/>
            </w:tcMar>
            <w:vAlign w:val="bottom"/>
            <w:hideMark/>
          </w:tcPr>
          <w:p w14:paraId="0F3C3BB0" w14:textId="77777777" w:rsidR="00000000" w:rsidRDefault="00EE5306">
            <w:pPr>
              <w:spacing w:after="100"/>
              <w:rPr>
                <w:rFonts w:eastAsia="Times New Roman"/>
              </w:rPr>
            </w:pPr>
            <w:r>
              <w:rPr>
                <w:rFonts w:eastAsia="Times New Roman"/>
                <w:color w:val="000000"/>
                <w:sz w:val="20"/>
                <w:szCs w:val="20"/>
              </w:rPr>
              <w:t>Restructuring reserve</w:t>
            </w:r>
          </w:p>
        </w:tc>
        <w:tc>
          <w:tcPr>
            <w:tcW w:w="0" w:type="auto"/>
            <w:gridSpan w:val="3"/>
            <w:shd w:val="clear" w:color="auto" w:fill="FFFFFF"/>
            <w:tcMar>
              <w:top w:w="0" w:type="dxa"/>
              <w:left w:w="20" w:type="dxa"/>
              <w:bottom w:w="0" w:type="dxa"/>
              <w:right w:w="20" w:type="dxa"/>
            </w:tcMar>
            <w:vAlign w:val="center"/>
            <w:hideMark/>
          </w:tcPr>
          <w:p w14:paraId="14CA81F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E8AEF5" w14:textId="77777777" w:rsidR="00000000" w:rsidRDefault="00EE5306">
            <w:pPr>
              <w:spacing w:after="100"/>
              <w:jc w:val="right"/>
              <w:rPr>
                <w:rFonts w:eastAsia="Times New Roman"/>
              </w:rPr>
            </w:pPr>
            <w:r>
              <w:rPr>
                <w:rFonts w:eastAsia="Times New Roman"/>
                <w:color w:val="000000"/>
                <w:sz w:val="20"/>
                <w:szCs w:val="20"/>
              </w:rPr>
              <w:t>99.8 </w:t>
            </w:r>
          </w:p>
        </w:tc>
        <w:tc>
          <w:tcPr>
            <w:tcW w:w="0" w:type="auto"/>
            <w:shd w:val="clear" w:color="auto" w:fill="FFFFFF"/>
            <w:tcMar>
              <w:top w:w="30" w:type="dxa"/>
              <w:left w:w="0" w:type="dxa"/>
              <w:bottom w:w="30" w:type="dxa"/>
              <w:right w:w="20" w:type="dxa"/>
            </w:tcMar>
            <w:vAlign w:val="bottom"/>
            <w:hideMark/>
          </w:tcPr>
          <w:p w14:paraId="748CB8C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8B67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9C612C" w14:textId="77777777" w:rsidR="00000000" w:rsidRDefault="00EE5306">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14:paraId="3048B771" w14:textId="77777777" w:rsidR="00000000" w:rsidRDefault="00EE5306">
            <w:pPr>
              <w:spacing w:after="100"/>
              <w:jc w:val="right"/>
              <w:rPr>
                <w:rFonts w:eastAsia="Times New Roman"/>
              </w:rPr>
            </w:pPr>
          </w:p>
        </w:tc>
      </w:tr>
      <w:tr w:rsidR="00000000" w14:paraId="78A51352" w14:textId="77777777">
        <w:trPr>
          <w:divId w:val="1879732828"/>
        </w:trPr>
        <w:tc>
          <w:tcPr>
            <w:tcW w:w="0" w:type="auto"/>
            <w:gridSpan w:val="3"/>
            <w:shd w:val="clear" w:color="auto" w:fill="CCEEFF"/>
            <w:tcMar>
              <w:top w:w="30" w:type="dxa"/>
              <w:left w:w="20" w:type="dxa"/>
              <w:bottom w:w="30" w:type="dxa"/>
              <w:right w:w="20" w:type="dxa"/>
            </w:tcMar>
            <w:vAlign w:val="bottom"/>
            <w:hideMark/>
          </w:tcPr>
          <w:p w14:paraId="000628F9" w14:textId="77777777" w:rsidR="00000000" w:rsidRDefault="00EE5306">
            <w:pPr>
              <w:spacing w:after="100"/>
              <w:rPr>
                <w:rFonts w:eastAsia="Times New Roman"/>
              </w:rPr>
            </w:pPr>
            <w:r>
              <w:rPr>
                <w:rFonts w:eastAsia="Times New Roman"/>
                <w:color w:val="000000"/>
                <w:sz w:val="20"/>
                <w:szCs w:val="20"/>
              </w:rPr>
              <w:t>Other taxes payable</w:t>
            </w:r>
          </w:p>
        </w:tc>
        <w:tc>
          <w:tcPr>
            <w:tcW w:w="0" w:type="auto"/>
            <w:gridSpan w:val="3"/>
            <w:shd w:val="clear" w:color="auto" w:fill="CCEEFF"/>
            <w:tcMar>
              <w:top w:w="0" w:type="dxa"/>
              <w:left w:w="20" w:type="dxa"/>
              <w:bottom w:w="0" w:type="dxa"/>
              <w:right w:w="20" w:type="dxa"/>
            </w:tcMar>
            <w:vAlign w:val="center"/>
            <w:hideMark/>
          </w:tcPr>
          <w:p w14:paraId="075E850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22AD65" w14:textId="77777777" w:rsidR="00000000" w:rsidRDefault="00EE5306">
            <w:pPr>
              <w:spacing w:after="100"/>
              <w:jc w:val="right"/>
              <w:rPr>
                <w:rFonts w:eastAsia="Times New Roman"/>
              </w:rPr>
            </w:pPr>
            <w:r>
              <w:rPr>
                <w:rFonts w:eastAsia="Times New Roman"/>
                <w:color w:val="000000"/>
                <w:sz w:val="20"/>
                <w:szCs w:val="20"/>
              </w:rPr>
              <w:t>64.6 </w:t>
            </w:r>
          </w:p>
        </w:tc>
        <w:tc>
          <w:tcPr>
            <w:tcW w:w="0" w:type="auto"/>
            <w:shd w:val="clear" w:color="auto" w:fill="CCEEFF"/>
            <w:tcMar>
              <w:top w:w="30" w:type="dxa"/>
              <w:left w:w="0" w:type="dxa"/>
              <w:bottom w:w="30" w:type="dxa"/>
              <w:right w:w="20" w:type="dxa"/>
            </w:tcMar>
            <w:vAlign w:val="bottom"/>
            <w:hideMark/>
          </w:tcPr>
          <w:p w14:paraId="5D62DE3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4BD0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47A7B" w14:textId="77777777" w:rsidR="00000000" w:rsidRDefault="00EE5306">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14:paraId="42DB785B" w14:textId="77777777" w:rsidR="00000000" w:rsidRDefault="00EE5306">
            <w:pPr>
              <w:spacing w:after="100"/>
              <w:jc w:val="right"/>
              <w:rPr>
                <w:rFonts w:eastAsia="Times New Roman"/>
              </w:rPr>
            </w:pPr>
          </w:p>
        </w:tc>
      </w:tr>
      <w:tr w:rsidR="00000000" w14:paraId="7FF1F9BF" w14:textId="77777777">
        <w:trPr>
          <w:divId w:val="1879732828"/>
        </w:trPr>
        <w:tc>
          <w:tcPr>
            <w:tcW w:w="0" w:type="auto"/>
            <w:gridSpan w:val="3"/>
            <w:shd w:val="clear" w:color="auto" w:fill="FFFFFF"/>
            <w:tcMar>
              <w:top w:w="30" w:type="dxa"/>
              <w:left w:w="20" w:type="dxa"/>
              <w:bottom w:w="30" w:type="dxa"/>
              <w:right w:w="20" w:type="dxa"/>
            </w:tcMar>
            <w:vAlign w:val="bottom"/>
            <w:hideMark/>
          </w:tcPr>
          <w:p w14:paraId="6FE32FF1" w14:textId="77777777" w:rsidR="00000000" w:rsidRDefault="00EE5306">
            <w:pPr>
              <w:spacing w:after="100"/>
              <w:rPr>
                <w:rFonts w:eastAsia="Times New Roman"/>
              </w:rPr>
            </w:pPr>
            <w:r>
              <w:rPr>
                <w:rFonts w:eastAsia="Times New Roman"/>
                <w:color w:val="000000"/>
                <w:sz w:val="20"/>
                <w:szCs w:val="20"/>
              </w:rPr>
              <w:t>Accrued capital expenditures</w:t>
            </w:r>
          </w:p>
        </w:tc>
        <w:tc>
          <w:tcPr>
            <w:tcW w:w="0" w:type="auto"/>
            <w:gridSpan w:val="3"/>
            <w:shd w:val="clear" w:color="auto" w:fill="FFFFFF"/>
            <w:tcMar>
              <w:top w:w="0" w:type="dxa"/>
              <w:left w:w="20" w:type="dxa"/>
              <w:bottom w:w="0" w:type="dxa"/>
              <w:right w:w="20" w:type="dxa"/>
            </w:tcMar>
            <w:vAlign w:val="center"/>
            <w:hideMark/>
          </w:tcPr>
          <w:p w14:paraId="79B313D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0C9FC7" w14:textId="77777777" w:rsidR="00000000" w:rsidRDefault="00EE5306">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14:paraId="0D5A879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F52D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EAC0EE" w14:textId="77777777" w:rsidR="00000000" w:rsidRDefault="00EE5306">
            <w:pPr>
              <w:spacing w:after="100"/>
              <w:jc w:val="right"/>
              <w:rPr>
                <w:rFonts w:eastAsia="Times New Roman"/>
              </w:rPr>
            </w:pPr>
            <w:r>
              <w:rPr>
                <w:rFonts w:eastAsia="Times New Roman"/>
                <w:color w:val="000000"/>
                <w:sz w:val="20"/>
                <w:szCs w:val="20"/>
              </w:rPr>
              <w:t>29.1 </w:t>
            </w:r>
          </w:p>
        </w:tc>
        <w:tc>
          <w:tcPr>
            <w:tcW w:w="0" w:type="auto"/>
            <w:shd w:val="clear" w:color="auto" w:fill="FFFFFF"/>
            <w:tcMar>
              <w:top w:w="30" w:type="dxa"/>
              <w:left w:w="0" w:type="dxa"/>
              <w:bottom w:w="30" w:type="dxa"/>
              <w:right w:w="20" w:type="dxa"/>
            </w:tcMar>
            <w:vAlign w:val="bottom"/>
            <w:hideMark/>
          </w:tcPr>
          <w:p w14:paraId="23F8195E" w14:textId="77777777" w:rsidR="00000000" w:rsidRDefault="00EE5306">
            <w:pPr>
              <w:spacing w:after="100"/>
              <w:jc w:val="right"/>
              <w:rPr>
                <w:rFonts w:eastAsia="Times New Roman"/>
              </w:rPr>
            </w:pPr>
          </w:p>
        </w:tc>
      </w:tr>
      <w:tr w:rsidR="00000000" w14:paraId="0756F8E3" w14:textId="77777777">
        <w:trPr>
          <w:divId w:val="1879732828"/>
        </w:trPr>
        <w:tc>
          <w:tcPr>
            <w:tcW w:w="0" w:type="auto"/>
            <w:gridSpan w:val="3"/>
            <w:shd w:val="clear" w:color="auto" w:fill="CCEEFF"/>
            <w:tcMar>
              <w:top w:w="30" w:type="dxa"/>
              <w:left w:w="20" w:type="dxa"/>
              <w:bottom w:w="30" w:type="dxa"/>
              <w:right w:w="20" w:type="dxa"/>
            </w:tcMar>
            <w:vAlign w:val="bottom"/>
            <w:hideMark/>
          </w:tcPr>
          <w:p w14:paraId="010702FC" w14:textId="77777777" w:rsidR="00000000" w:rsidRDefault="00EE5306">
            <w:pPr>
              <w:spacing w:after="100"/>
              <w:rPr>
                <w:rFonts w:eastAsia="Times New Roman"/>
              </w:rPr>
            </w:pPr>
            <w:r>
              <w:rPr>
                <w:rFonts w:eastAsia="Times New Roman"/>
                <w:color w:val="000000"/>
                <w:sz w:val="20"/>
                <w:szCs w:val="20"/>
              </w:rPr>
              <w:t>Finance lease obligations</w:t>
            </w:r>
          </w:p>
        </w:tc>
        <w:tc>
          <w:tcPr>
            <w:tcW w:w="0" w:type="auto"/>
            <w:gridSpan w:val="3"/>
            <w:shd w:val="clear" w:color="auto" w:fill="CCEEFF"/>
            <w:tcMar>
              <w:top w:w="0" w:type="dxa"/>
              <w:left w:w="20" w:type="dxa"/>
              <w:bottom w:w="0" w:type="dxa"/>
              <w:right w:w="20" w:type="dxa"/>
            </w:tcMar>
            <w:vAlign w:val="center"/>
            <w:hideMark/>
          </w:tcPr>
          <w:p w14:paraId="050A34E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9CFE20" w14:textId="77777777" w:rsidR="00000000" w:rsidRDefault="00EE5306">
            <w:pPr>
              <w:spacing w:after="100"/>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14:paraId="68CE066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8398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235B36" w14:textId="77777777" w:rsidR="00000000" w:rsidRDefault="00EE5306">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14:paraId="736F13C9" w14:textId="77777777" w:rsidR="00000000" w:rsidRDefault="00EE5306">
            <w:pPr>
              <w:spacing w:after="100"/>
              <w:jc w:val="right"/>
              <w:rPr>
                <w:rFonts w:eastAsia="Times New Roman"/>
              </w:rPr>
            </w:pPr>
          </w:p>
        </w:tc>
      </w:tr>
      <w:tr w:rsidR="00000000" w14:paraId="6AF2626B" w14:textId="77777777">
        <w:trPr>
          <w:divId w:val="1879732828"/>
        </w:trPr>
        <w:tc>
          <w:tcPr>
            <w:tcW w:w="0" w:type="auto"/>
            <w:gridSpan w:val="3"/>
            <w:shd w:val="clear" w:color="auto" w:fill="FFFFFF"/>
            <w:tcMar>
              <w:top w:w="30" w:type="dxa"/>
              <w:left w:w="20" w:type="dxa"/>
              <w:bottom w:w="30" w:type="dxa"/>
              <w:right w:w="20" w:type="dxa"/>
            </w:tcMar>
            <w:vAlign w:val="bottom"/>
            <w:hideMark/>
          </w:tcPr>
          <w:p w14:paraId="2E96E17A" w14:textId="77777777" w:rsidR="00000000" w:rsidRDefault="00EE5306">
            <w:pPr>
              <w:spacing w:after="100"/>
              <w:rPr>
                <w:rFonts w:eastAsia="Times New Roman"/>
              </w:rPr>
            </w:pPr>
            <w:r>
              <w:rPr>
                <w:rFonts w:eastAsia="Times New Roman"/>
                <w:color w:val="000000"/>
                <w:sz w:val="20"/>
                <w:szCs w:val="20"/>
              </w:rPr>
              <w:t>Deferred income</w:t>
            </w:r>
          </w:p>
        </w:tc>
        <w:tc>
          <w:tcPr>
            <w:tcW w:w="0" w:type="auto"/>
            <w:gridSpan w:val="3"/>
            <w:shd w:val="clear" w:color="auto" w:fill="FFFFFF"/>
            <w:tcMar>
              <w:top w:w="0" w:type="dxa"/>
              <w:left w:w="20" w:type="dxa"/>
              <w:bottom w:w="0" w:type="dxa"/>
              <w:right w:w="20" w:type="dxa"/>
            </w:tcMar>
            <w:vAlign w:val="center"/>
            <w:hideMark/>
          </w:tcPr>
          <w:p w14:paraId="6D54C3F5"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EE8882" w14:textId="77777777" w:rsidR="00000000" w:rsidRDefault="00EE5306">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14:paraId="44F7E2D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5C5A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3D051D" w14:textId="77777777" w:rsidR="00000000" w:rsidRDefault="00EE5306">
            <w:pPr>
              <w:spacing w:after="100"/>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14:paraId="59FA1B33" w14:textId="77777777" w:rsidR="00000000" w:rsidRDefault="00EE5306">
            <w:pPr>
              <w:spacing w:after="100"/>
              <w:jc w:val="right"/>
              <w:rPr>
                <w:rFonts w:eastAsia="Times New Roman"/>
              </w:rPr>
            </w:pPr>
          </w:p>
        </w:tc>
      </w:tr>
      <w:tr w:rsidR="00000000" w14:paraId="6AD5FCCA" w14:textId="77777777">
        <w:trPr>
          <w:divId w:val="1879732828"/>
        </w:trPr>
        <w:tc>
          <w:tcPr>
            <w:tcW w:w="0" w:type="auto"/>
            <w:gridSpan w:val="3"/>
            <w:shd w:val="clear" w:color="auto" w:fill="CCEEFF"/>
            <w:tcMar>
              <w:top w:w="30" w:type="dxa"/>
              <w:left w:w="20" w:type="dxa"/>
              <w:bottom w:w="30" w:type="dxa"/>
              <w:right w:w="20" w:type="dxa"/>
            </w:tcMar>
            <w:vAlign w:val="bottom"/>
            <w:hideMark/>
          </w:tcPr>
          <w:p w14:paraId="6FB69C7A" w14:textId="77777777" w:rsidR="00000000" w:rsidRDefault="00EE5306">
            <w:pPr>
              <w:spacing w:after="100"/>
              <w:rPr>
                <w:rFonts w:eastAsia="Times New Roman"/>
              </w:rPr>
            </w:pPr>
            <w:r>
              <w:rPr>
                <w:rFonts w:eastAsia="Times New Roman"/>
                <w:color w:val="000000"/>
                <w:sz w:val="20"/>
                <w:szCs w:val="20"/>
              </w:rPr>
              <w:t>Derivative financial instruments</w:t>
            </w:r>
          </w:p>
        </w:tc>
        <w:tc>
          <w:tcPr>
            <w:tcW w:w="0" w:type="auto"/>
            <w:gridSpan w:val="3"/>
            <w:shd w:val="clear" w:color="auto" w:fill="CCEEFF"/>
            <w:tcMar>
              <w:top w:w="0" w:type="dxa"/>
              <w:left w:w="20" w:type="dxa"/>
              <w:bottom w:w="0" w:type="dxa"/>
              <w:right w:w="20" w:type="dxa"/>
            </w:tcMar>
            <w:vAlign w:val="center"/>
            <w:hideMark/>
          </w:tcPr>
          <w:p w14:paraId="4B9DED0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9B175D" w14:textId="77777777" w:rsidR="00000000" w:rsidRDefault="00EE5306">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4CDBFAE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34C7D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E30966" w14:textId="77777777" w:rsidR="00000000" w:rsidRDefault="00EE5306">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14:paraId="55EC71C9" w14:textId="77777777" w:rsidR="00000000" w:rsidRDefault="00EE5306">
            <w:pPr>
              <w:spacing w:after="100"/>
              <w:jc w:val="right"/>
              <w:rPr>
                <w:rFonts w:eastAsia="Times New Roman"/>
              </w:rPr>
            </w:pPr>
          </w:p>
        </w:tc>
      </w:tr>
      <w:tr w:rsidR="00000000" w14:paraId="583E3666" w14:textId="77777777">
        <w:trPr>
          <w:divId w:val="1879732828"/>
        </w:trPr>
        <w:tc>
          <w:tcPr>
            <w:tcW w:w="0" w:type="auto"/>
            <w:gridSpan w:val="3"/>
            <w:shd w:val="clear" w:color="auto" w:fill="FFFFFF"/>
            <w:tcMar>
              <w:top w:w="30" w:type="dxa"/>
              <w:left w:w="20" w:type="dxa"/>
              <w:bottom w:w="30" w:type="dxa"/>
              <w:right w:w="20" w:type="dxa"/>
            </w:tcMar>
            <w:vAlign w:val="bottom"/>
            <w:hideMark/>
          </w:tcPr>
          <w:p w14:paraId="2E4FCA3E" w14:textId="77777777" w:rsidR="00000000" w:rsidRDefault="00EE5306">
            <w:pPr>
              <w:spacing w:after="100"/>
              <w:rPr>
                <w:rFonts w:eastAsia="Times New Roman"/>
              </w:rPr>
            </w:pPr>
            <w:r>
              <w:rPr>
                <w:rFonts w:eastAsia="Times New Roman"/>
                <w:color w:val="000000"/>
                <w:sz w:val="20"/>
                <w:szCs w:val="20"/>
              </w:rPr>
              <w:t>Dividends payable</w:t>
            </w:r>
          </w:p>
        </w:tc>
        <w:tc>
          <w:tcPr>
            <w:tcW w:w="0" w:type="auto"/>
            <w:gridSpan w:val="3"/>
            <w:shd w:val="clear" w:color="auto" w:fill="FFFFFF"/>
            <w:tcMar>
              <w:top w:w="0" w:type="dxa"/>
              <w:left w:w="20" w:type="dxa"/>
              <w:bottom w:w="0" w:type="dxa"/>
              <w:right w:w="20" w:type="dxa"/>
            </w:tcMar>
            <w:vAlign w:val="center"/>
            <w:hideMark/>
          </w:tcPr>
          <w:p w14:paraId="460E85E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34303C"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2B398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BA23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9A5F69" w14:textId="77777777" w:rsidR="00000000" w:rsidRDefault="00EE5306">
            <w:pPr>
              <w:spacing w:after="100"/>
              <w:jc w:val="right"/>
              <w:rPr>
                <w:rFonts w:eastAsia="Times New Roman"/>
              </w:rPr>
            </w:pPr>
            <w:r>
              <w:rPr>
                <w:rFonts w:eastAsia="Times New Roman"/>
                <w:color w:val="000000"/>
                <w:sz w:val="20"/>
                <w:szCs w:val="20"/>
              </w:rPr>
              <w:t>49.8 </w:t>
            </w:r>
          </w:p>
        </w:tc>
        <w:tc>
          <w:tcPr>
            <w:tcW w:w="0" w:type="auto"/>
            <w:shd w:val="clear" w:color="auto" w:fill="FFFFFF"/>
            <w:tcMar>
              <w:top w:w="30" w:type="dxa"/>
              <w:left w:w="0" w:type="dxa"/>
              <w:bottom w:w="30" w:type="dxa"/>
              <w:right w:w="20" w:type="dxa"/>
            </w:tcMar>
            <w:vAlign w:val="bottom"/>
            <w:hideMark/>
          </w:tcPr>
          <w:p w14:paraId="214B13AA" w14:textId="77777777" w:rsidR="00000000" w:rsidRDefault="00EE5306">
            <w:pPr>
              <w:spacing w:after="100"/>
              <w:jc w:val="right"/>
              <w:rPr>
                <w:rFonts w:eastAsia="Times New Roman"/>
              </w:rPr>
            </w:pPr>
          </w:p>
        </w:tc>
      </w:tr>
      <w:tr w:rsidR="00000000" w14:paraId="03C9C22D" w14:textId="77777777">
        <w:trPr>
          <w:divId w:val="1879732828"/>
        </w:trPr>
        <w:tc>
          <w:tcPr>
            <w:tcW w:w="0" w:type="auto"/>
            <w:gridSpan w:val="3"/>
            <w:shd w:val="clear" w:color="auto" w:fill="CCEEFF"/>
            <w:tcMar>
              <w:top w:w="30" w:type="dxa"/>
              <w:left w:w="20" w:type="dxa"/>
              <w:bottom w:w="30" w:type="dxa"/>
              <w:right w:w="20" w:type="dxa"/>
            </w:tcMar>
            <w:vAlign w:val="bottom"/>
            <w:hideMark/>
          </w:tcPr>
          <w:p w14:paraId="65B9D87F" w14:textId="77777777" w:rsidR="00000000" w:rsidRDefault="00EE5306">
            <w:pPr>
              <w:spacing w:after="100"/>
              <w:rPr>
                <w:rFonts w:eastAsia="Times New Roman"/>
              </w:rPr>
            </w:pPr>
            <w:r>
              <w:rPr>
                <w:rFonts w:eastAsia="Times New Roman"/>
                <w:color w:val="000000"/>
                <w:sz w:val="20"/>
                <w:szCs w:val="20"/>
              </w:rPr>
              <w:t>Other accrued expenses and current liabilities</w:t>
            </w:r>
          </w:p>
        </w:tc>
        <w:tc>
          <w:tcPr>
            <w:tcW w:w="0" w:type="auto"/>
            <w:gridSpan w:val="3"/>
            <w:shd w:val="clear" w:color="auto" w:fill="CCEEFF"/>
            <w:tcMar>
              <w:top w:w="0" w:type="dxa"/>
              <w:left w:w="20" w:type="dxa"/>
              <w:bottom w:w="0" w:type="dxa"/>
              <w:right w:w="20" w:type="dxa"/>
            </w:tcMar>
            <w:vAlign w:val="center"/>
            <w:hideMark/>
          </w:tcPr>
          <w:p w14:paraId="25B35A2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955D3B" w14:textId="77777777" w:rsidR="00000000" w:rsidRDefault="00EE5306">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14:paraId="392697F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FEDF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78E868" w14:textId="77777777" w:rsidR="00000000" w:rsidRDefault="00EE5306">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14:paraId="1B78C928" w14:textId="77777777" w:rsidR="00000000" w:rsidRDefault="00EE5306">
            <w:pPr>
              <w:spacing w:after="100"/>
              <w:jc w:val="right"/>
              <w:rPr>
                <w:rFonts w:eastAsia="Times New Roman"/>
              </w:rPr>
            </w:pPr>
          </w:p>
        </w:tc>
      </w:tr>
      <w:tr w:rsidR="00000000" w14:paraId="5C600871" w14:textId="77777777">
        <w:trPr>
          <w:divId w:val="1879732828"/>
        </w:trPr>
        <w:tc>
          <w:tcPr>
            <w:tcW w:w="0" w:type="auto"/>
            <w:gridSpan w:val="3"/>
            <w:shd w:val="clear" w:color="auto" w:fill="FFFFFF"/>
            <w:tcMar>
              <w:top w:w="30" w:type="dxa"/>
              <w:left w:w="245" w:type="dxa"/>
              <w:bottom w:w="30" w:type="dxa"/>
              <w:right w:w="20" w:type="dxa"/>
            </w:tcMar>
            <w:vAlign w:val="bottom"/>
            <w:hideMark/>
          </w:tcPr>
          <w:p w14:paraId="6E2AE620" w14:textId="77777777" w:rsidR="00000000" w:rsidRDefault="00EE5306">
            <w:pPr>
              <w:spacing w:after="100"/>
              <w:rPr>
                <w:rFonts w:eastAsia="Times New Roman"/>
              </w:rPr>
            </w:pPr>
            <w:r>
              <w:rPr>
                <w:rFonts w:eastAsia="Times New Roman"/>
                <w:color w:val="000000"/>
                <w:sz w:val="20"/>
                <w:szCs w:val="20"/>
              </w:rPr>
              <w:t>Total accrued expenses and other current liabilities</w:t>
            </w:r>
          </w:p>
        </w:tc>
        <w:tc>
          <w:tcPr>
            <w:tcW w:w="0" w:type="auto"/>
            <w:gridSpan w:val="3"/>
            <w:shd w:val="clear" w:color="auto" w:fill="FFFFFF"/>
            <w:tcMar>
              <w:top w:w="0" w:type="dxa"/>
              <w:left w:w="20" w:type="dxa"/>
              <w:bottom w:w="0" w:type="dxa"/>
              <w:right w:w="20" w:type="dxa"/>
            </w:tcMar>
            <w:vAlign w:val="center"/>
            <w:hideMark/>
          </w:tcPr>
          <w:p w14:paraId="7ECB5926"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280D0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879F20" w14:textId="77777777" w:rsidR="00000000" w:rsidRDefault="00EE5306">
            <w:pPr>
              <w:spacing w:after="100"/>
              <w:jc w:val="right"/>
              <w:rPr>
                <w:rFonts w:eastAsia="Times New Roman"/>
              </w:rPr>
            </w:pPr>
            <w:r>
              <w:rPr>
                <w:rFonts w:eastAsia="Times New Roman"/>
                <w:color w:val="000000"/>
                <w:sz w:val="20"/>
                <w:szCs w:val="20"/>
              </w:rPr>
              <w:t>875.4 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F07E9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468C1"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A3730D"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81A9BE" w14:textId="77777777" w:rsidR="00000000" w:rsidRDefault="00EE5306">
            <w:pPr>
              <w:spacing w:after="100"/>
              <w:jc w:val="right"/>
              <w:rPr>
                <w:rFonts w:eastAsia="Times New Roman"/>
              </w:rPr>
            </w:pPr>
            <w:r>
              <w:rPr>
                <w:rFonts w:eastAsia="Times New Roman"/>
                <w:color w:val="000000"/>
                <w:sz w:val="20"/>
                <w:szCs w:val="20"/>
              </w:rPr>
              <w:t>717.1 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59A6C7" w14:textId="77777777" w:rsidR="00000000" w:rsidRDefault="00EE5306">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49C583C0" w14:textId="77777777">
        <w:trPr>
          <w:jc w:val="center"/>
        </w:trPr>
        <w:tc>
          <w:tcPr>
            <w:tcW w:w="50" w:type="pct"/>
            <w:vAlign w:val="center"/>
            <w:hideMark/>
          </w:tcPr>
          <w:p w14:paraId="6B30C378" w14:textId="77777777" w:rsidR="00000000" w:rsidRDefault="00EE5306">
            <w:pPr>
              <w:rPr>
                <w:rFonts w:eastAsia="Times New Roman"/>
              </w:rPr>
            </w:pPr>
          </w:p>
        </w:tc>
        <w:tc>
          <w:tcPr>
            <w:tcW w:w="1699" w:type="pct"/>
            <w:vAlign w:val="center"/>
            <w:hideMark/>
          </w:tcPr>
          <w:p w14:paraId="48C7CC6D" w14:textId="77777777" w:rsidR="00000000" w:rsidRDefault="00EE5306">
            <w:pPr>
              <w:spacing w:after="100"/>
              <w:rPr>
                <w:rFonts w:eastAsia="Times New Roman"/>
                <w:sz w:val="20"/>
                <w:szCs w:val="20"/>
              </w:rPr>
            </w:pPr>
          </w:p>
        </w:tc>
        <w:tc>
          <w:tcPr>
            <w:tcW w:w="5" w:type="pct"/>
            <w:vAlign w:val="center"/>
            <w:hideMark/>
          </w:tcPr>
          <w:p w14:paraId="33FA58ED" w14:textId="77777777" w:rsidR="00000000" w:rsidRDefault="00EE5306">
            <w:pPr>
              <w:spacing w:after="100"/>
              <w:rPr>
                <w:rFonts w:eastAsia="Times New Roman"/>
                <w:sz w:val="20"/>
                <w:szCs w:val="20"/>
              </w:rPr>
            </w:pPr>
          </w:p>
        </w:tc>
        <w:tc>
          <w:tcPr>
            <w:tcW w:w="50" w:type="pct"/>
            <w:vAlign w:val="center"/>
            <w:hideMark/>
          </w:tcPr>
          <w:p w14:paraId="26324215" w14:textId="77777777" w:rsidR="00000000" w:rsidRDefault="00EE5306">
            <w:pPr>
              <w:spacing w:after="100"/>
              <w:rPr>
                <w:rFonts w:eastAsia="Times New Roman"/>
                <w:sz w:val="20"/>
                <w:szCs w:val="20"/>
              </w:rPr>
            </w:pPr>
          </w:p>
        </w:tc>
        <w:tc>
          <w:tcPr>
            <w:tcW w:w="1436" w:type="pct"/>
            <w:vAlign w:val="center"/>
            <w:hideMark/>
          </w:tcPr>
          <w:p w14:paraId="711DEC21" w14:textId="77777777" w:rsidR="00000000" w:rsidRDefault="00EE5306">
            <w:pPr>
              <w:spacing w:after="100"/>
              <w:rPr>
                <w:rFonts w:eastAsia="Times New Roman"/>
                <w:sz w:val="20"/>
                <w:szCs w:val="20"/>
              </w:rPr>
            </w:pPr>
          </w:p>
        </w:tc>
        <w:tc>
          <w:tcPr>
            <w:tcW w:w="5" w:type="pct"/>
            <w:vAlign w:val="center"/>
            <w:hideMark/>
          </w:tcPr>
          <w:p w14:paraId="23F8994A" w14:textId="77777777" w:rsidR="00000000" w:rsidRDefault="00EE5306">
            <w:pPr>
              <w:spacing w:after="100"/>
              <w:rPr>
                <w:rFonts w:eastAsia="Times New Roman"/>
                <w:sz w:val="20"/>
                <w:szCs w:val="20"/>
              </w:rPr>
            </w:pPr>
          </w:p>
        </w:tc>
        <w:tc>
          <w:tcPr>
            <w:tcW w:w="50" w:type="pct"/>
            <w:vAlign w:val="center"/>
            <w:hideMark/>
          </w:tcPr>
          <w:p w14:paraId="131D638F" w14:textId="77777777" w:rsidR="00000000" w:rsidRDefault="00EE5306">
            <w:pPr>
              <w:spacing w:after="100"/>
              <w:rPr>
                <w:rFonts w:eastAsia="Times New Roman"/>
                <w:sz w:val="20"/>
                <w:szCs w:val="20"/>
              </w:rPr>
            </w:pPr>
          </w:p>
        </w:tc>
        <w:tc>
          <w:tcPr>
            <w:tcW w:w="1699" w:type="pct"/>
            <w:vAlign w:val="center"/>
            <w:hideMark/>
          </w:tcPr>
          <w:p w14:paraId="698116D9" w14:textId="77777777" w:rsidR="00000000" w:rsidRDefault="00EE5306">
            <w:pPr>
              <w:spacing w:after="100"/>
              <w:rPr>
                <w:rFonts w:eastAsia="Times New Roman"/>
                <w:sz w:val="20"/>
                <w:szCs w:val="20"/>
              </w:rPr>
            </w:pPr>
          </w:p>
        </w:tc>
        <w:tc>
          <w:tcPr>
            <w:tcW w:w="5" w:type="pct"/>
            <w:vAlign w:val="center"/>
            <w:hideMark/>
          </w:tcPr>
          <w:p w14:paraId="185681FD" w14:textId="77777777" w:rsidR="00000000" w:rsidRDefault="00EE5306">
            <w:pPr>
              <w:spacing w:after="100"/>
              <w:rPr>
                <w:rFonts w:eastAsia="Times New Roman"/>
                <w:sz w:val="20"/>
                <w:szCs w:val="20"/>
              </w:rPr>
            </w:pPr>
          </w:p>
        </w:tc>
      </w:tr>
      <w:tr w:rsidR="00000000" w14:paraId="513437A5" w14:textId="77777777">
        <w:trPr>
          <w:jc w:val="center"/>
        </w:trPr>
        <w:tc>
          <w:tcPr>
            <w:tcW w:w="0" w:type="auto"/>
            <w:gridSpan w:val="3"/>
            <w:tcMar>
              <w:top w:w="0" w:type="dxa"/>
              <w:left w:w="20" w:type="dxa"/>
              <w:bottom w:w="0" w:type="dxa"/>
              <w:right w:w="20" w:type="dxa"/>
            </w:tcMar>
            <w:vAlign w:val="center"/>
            <w:hideMark/>
          </w:tcPr>
          <w:p w14:paraId="395C497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7B6FF0" w14:textId="77777777" w:rsidR="00000000" w:rsidRDefault="00EE5306">
            <w:pPr>
              <w:spacing w:after="100"/>
              <w:jc w:val="center"/>
              <w:rPr>
                <w:rFonts w:eastAsia="Times New Roman"/>
              </w:rPr>
            </w:pPr>
            <w:r>
              <w:rPr>
                <w:rFonts w:eastAsia="Times New Roman"/>
                <w:color w:val="000000"/>
                <w:sz w:val="20"/>
                <w:szCs w:val="20"/>
              </w:rPr>
              <w:t>F-23</w:t>
            </w:r>
          </w:p>
        </w:tc>
        <w:tc>
          <w:tcPr>
            <w:tcW w:w="0" w:type="auto"/>
            <w:gridSpan w:val="3"/>
            <w:tcMar>
              <w:top w:w="0" w:type="dxa"/>
              <w:left w:w="20" w:type="dxa"/>
              <w:bottom w:w="0" w:type="dxa"/>
              <w:right w:w="20" w:type="dxa"/>
            </w:tcMar>
            <w:vAlign w:val="center"/>
            <w:hideMark/>
          </w:tcPr>
          <w:p w14:paraId="2E8220E2" w14:textId="77777777" w:rsidR="00000000" w:rsidRDefault="00EE5306">
            <w:pPr>
              <w:spacing w:after="100"/>
              <w:jc w:val="center"/>
              <w:rPr>
                <w:rFonts w:eastAsia="Times New Roman"/>
              </w:rPr>
            </w:pPr>
          </w:p>
        </w:tc>
      </w:tr>
    </w:tbl>
    <w:p w14:paraId="5B47A1F6" w14:textId="77777777" w:rsidR="00000000" w:rsidRDefault="00EE5306">
      <w:pPr>
        <w:rPr>
          <w:rFonts w:eastAsia="Times New Roman"/>
        </w:rPr>
      </w:pPr>
      <w:r>
        <w:rPr>
          <w:rFonts w:eastAsia="Times New Roman"/>
        </w:rPr>
        <w:pict w14:anchorId="5076EA50">
          <v:rect id="_x0000_i1133" style="width:0;height:1.5pt" o:hralign="center" o:hrstd="t" o:hr="t" fillcolor="#a0a0a0" stroked="f"/>
        </w:pict>
      </w:r>
    </w:p>
    <w:p w14:paraId="661D3F38" w14:textId="77777777" w:rsidR="00000000" w:rsidRDefault="00EE5306">
      <w:pPr>
        <w:jc w:val="center"/>
        <w:divId w:val="1276403701"/>
        <w:rPr>
          <w:rFonts w:eastAsia="Times New Roman"/>
        </w:rPr>
      </w:pPr>
    </w:p>
    <w:p w14:paraId="0B0F33EB" w14:textId="77777777" w:rsidR="00000000" w:rsidRDefault="00EE5306">
      <w:pPr>
        <w:jc w:val="center"/>
        <w:divId w:val="1276403701"/>
        <w:rPr>
          <w:rFonts w:eastAsia="Times New Roman"/>
        </w:rPr>
      </w:pPr>
      <w:r>
        <w:rPr>
          <w:rFonts w:eastAsia="Times New Roman"/>
          <w:b/>
          <w:bCs/>
          <w:color w:val="000000"/>
          <w:sz w:val="20"/>
          <w:szCs w:val="20"/>
        </w:rPr>
        <w:t>RALPH LAUREN CORPORATION</w:t>
      </w:r>
    </w:p>
    <w:p w14:paraId="6147796A" w14:textId="77777777" w:rsidR="00000000" w:rsidRDefault="00EE5306">
      <w:pPr>
        <w:jc w:val="center"/>
        <w:divId w:val="2056198645"/>
        <w:rPr>
          <w:rFonts w:eastAsia="Times New Roman"/>
        </w:rPr>
      </w:pPr>
      <w:r>
        <w:rPr>
          <w:rFonts w:eastAsia="Times New Roman"/>
          <w:b/>
          <w:bCs/>
          <w:color w:val="000000"/>
          <w:sz w:val="20"/>
          <w:szCs w:val="20"/>
        </w:rPr>
        <w:t>NOTES TO CONSOLIDATED FINANCIAL STATEMENTS (Continued)</w:t>
      </w:r>
    </w:p>
    <w:p w14:paraId="0E09B672" w14:textId="77777777" w:rsidR="00000000" w:rsidRDefault="00EE5306">
      <w:pPr>
        <w:ind w:firstLine="540"/>
        <w:divId w:val="1724909462"/>
        <w:rPr>
          <w:rFonts w:eastAsia="Times New Roman"/>
        </w:rPr>
      </w:pPr>
      <w:r>
        <w:rPr>
          <w:rFonts w:eastAsia="Times New Roman"/>
          <w:color w:val="000000"/>
          <w:sz w:val="20"/>
          <w:szCs w:val="20"/>
        </w:rPr>
        <w:t>Other non-current liabilities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8"/>
        <w:gridCol w:w="5121"/>
        <w:gridCol w:w="37"/>
        <w:gridCol w:w="36"/>
        <w:gridCol w:w="36"/>
        <w:gridCol w:w="36"/>
        <w:gridCol w:w="120"/>
        <w:gridCol w:w="1041"/>
        <w:gridCol w:w="36"/>
        <w:gridCol w:w="36"/>
        <w:gridCol w:w="36"/>
        <w:gridCol w:w="36"/>
        <w:gridCol w:w="120"/>
        <w:gridCol w:w="1043"/>
        <w:gridCol w:w="36"/>
      </w:tblGrid>
      <w:tr w:rsidR="00000000" w14:paraId="5CFE58EB" w14:textId="77777777">
        <w:trPr>
          <w:divId w:val="547493648"/>
        </w:trPr>
        <w:tc>
          <w:tcPr>
            <w:tcW w:w="50" w:type="pct"/>
            <w:vAlign w:val="center"/>
            <w:hideMark/>
          </w:tcPr>
          <w:p w14:paraId="25A8EC36" w14:textId="77777777" w:rsidR="00000000" w:rsidRDefault="00EE5306">
            <w:pPr>
              <w:ind w:firstLine="540"/>
              <w:rPr>
                <w:rFonts w:eastAsia="Times New Roman"/>
              </w:rPr>
            </w:pPr>
          </w:p>
        </w:tc>
        <w:tc>
          <w:tcPr>
            <w:tcW w:w="3312" w:type="pct"/>
            <w:vAlign w:val="center"/>
            <w:hideMark/>
          </w:tcPr>
          <w:p w14:paraId="5C7AA151" w14:textId="77777777" w:rsidR="00000000" w:rsidRDefault="00EE5306">
            <w:pPr>
              <w:spacing w:after="100"/>
              <w:rPr>
                <w:rFonts w:eastAsia="Times New Roman"/>
                <w:sz w:val="20"/>
                <w:szCs w:val="20"/>
              </w:rPr>
            </w:pPr>
          </w:p>
        </w:tc>
        <w:tc>
          <w:tcPr>
            <w:tcW w:w="5" w:type="pct"/>
            <w:vAlign w:val="center"/>
            <w:hideMark/>
          </w:tcPr>
          <w:p w14:paraId="678B8820" w14:textId="77777777" w:rsidR="00000000" w:rsidRDefault="00EE5306">
            <w:pPr>
              <w:spacing w:after="100"/>
              <w:rPr>
                <w:rFonts w:eastAsia="Times New Roman"/>
                <w:sz w:val="20"/>
                <w:szCs w:val="20"/>
              </w:rPr>
            </w:pPr>
          </w:p>
        </w:tc>
        <w:tc>
          <w:tcPr>
            <w:tcW w:w="5" w:type="pct"/>
            <w:vAlign w:val="center"/>
            <w:hideMark/>
          </w:tcPr>
          <w:p w14:paraId="6EF21C72" w14:textId="77777777" w:rsidR="00000000" w:rsidRDefault="00EE5306">
            <w:pPr>
              <w:spacing w:after="100"/>
              <w:rPr>
                <w:rFonts w:eastAsia="Times New Roman"/>
                <w:sz w:val="20"/>
                <w:szCs w:val="20"/>
              </w:rPr>
            </w:pPr>
          </w:p>
        </w:tc>
        <w:tc>
          <w:tcPr>
            <w:tcW w:w="28" w:type="pct"/>
            <w:vAlign w:val="center"/>
            <w:hideMark/>
          </w:tcPr>
          <w:p w14:paraId="593A4609" w14:textId="77777777" w:rsidR="00000000" w:rsidRDefault="00EE5306">
            <w:pPr>
              <w:spacing w:after="100"/>
              <w:rPr>
                <w:rFonts w:eastAsia="Times New Roman"/>
                <w:sz w:val="20"/>
                <w:szCs w:val="20"/>
              </w:rPr>
            </w:pPr>
          </w:p>
        </w:tc>
        <w:tc>
          <w:tcPr>
            <w:tcW w:w="5" w:type="pct"/>
            <w:vAlign w:val="center"/>
            <w:hideMark/>
          </w:tcPr>
          <w:p w14:paraId="2B9DB497" w14:textId="77777777" w:rsidR="00000000" w:rsidRDefault="00EE5306">
            <w:pPr>
              <w:spacing w:after="100"/>
              <w:rPr>
                <w:rFonts w:eastAsia="Times New Roman"/>
                <w:sz w:val="20"/>
                <w:szCs w:val="20"/>
              </w:rPr>
            </w:pPr>
          </w:p>
        </w:tc>
        <w:tc>
          <w:tcPr>
            <w:tcW w:w="50" w:type="pct"/>
            <w:vAlign w:val="center"/>
            <w:hideMark/>
          </w:tcPr>
          <w:p w14:paraId="5C25DF38" w14:textId="77777777" w:rsidR="00000000" w:rsidRDefault="00EE5306">
            <w:pPr>
              <w:spacing w:after="100"/>
              <w:rPr>
                <w:rFonts w:eastAsia="Times New Roman"/>
                <w:sz w:val="20"/>
                <w:szCs w:val="20"/>
              </w:rPr>
            </w:pPr>
          </w:p>
        </w:tc>
        <w:tc>
          <w:tcPr>
            <w:tcW w:w="722" w:type="pct"/>
            <w:vAlign w:val="center"/>
            <w:hideMark/>
          </w:tcPr>
          <w:p w14:paraId="33F1436F" w14:textId="77777777" w:rsidR="00000000" w:rsidRDefault="00EE5306">
            <w:pPr>
              <w:spacing w:after="100"/>
              <w:rPr>
                <w:rFonts w:eastAsia="Times New Roman"/>
                <w:sz w:val="20"/>
                <w:szCs w:val="20"/>
              </w:rPr>
            </w:pPr>
          </w:p>
        </w:tc>
        <w:tc>
          <w:tcPr>
            <w:tcW w:w="5" w:type="pct"/>
            <w:vAlign w:val="center"/>
            <w:hideMark/>
          </w:tcPr>
          <w:p w14:paraId="49B4B5DE" w14:textId="77777777" w:rsidR="00000000" w:rsidRDefault="00EE5306">
            <w:pPr>
              <w:spacing w:after="100"/>
              <w:rPr>
                <w:rFonts w:eastAsia="Times New Roman"/>
                <w:sz w:val="20"/>
                <w:szCs w:val="20"/>
              </w:rPr>
            </w:pPr>
          </w:p>
        </w:tc>
        <w:tc>
          <w:tcPr>
            <w:tcW w:w="5" w:type="pct"/>
            <w:vAlign w:val="center"/>
            <w:hideMark/>
          </w:tcPr>
          <w:p w14:paraId="34B1D67F" w14:textId="77777777" w:rsidR="00000000" w:rsidRDefault="00EE5306">
            <w:pPr>
              <w:spacing w:after="100"/>
              <w:rPr>
                <w:rFonts w:eastAsia="Times New Roman"/>
                <w:sz w:val="20"/>
                <w:szCs w:val="20"/>
              </w:rPr>
            </w:pPr>
          </w:p>
        </w:tc>
        <w:tc>
          <w:tcPr>
            <w:tcW w:w="28" w:type="pct"/>
            <w:vAlign w:val="center"/>
            <w:hideMark/>
          </w:tcPr>
          <w:p w14:paraId="257E9F9A" w14:textId="77777777" w:rsidR="00000000" w:rsidRDefault="00EE5306">
            <w:pPr>
              <w:spacing w:after="100"/>
              <w:rPr>
                <w:rFonts w:eastAsia="Times New Roman"/>
                <w:sz w:val="20"/>
                <w:szCs w:val="20"/>
              </w:rPr>
            </w:pPr>
          </w:p>
        </w:tc>
        <w:tc>
          <w:tcPr>
            <w:tcW w:w="5" w:type="pct"/>
            <w:vAlign w:val="center"/>
            <w:hideMark/>
          </w:tcPr>
          <w:p w14:paraId="05BDAC25" w14:textId="77777777" w:rsidR="00000000" w:rsidRDefault="00EE5306">
            <w:pPr>
              <w:spacing w:after="100"/>
              <w:rPr>
                <w:rFonts w:eastAsia="Times New Roman"/>
                <w:sz w:val="20"/>
                <w:szCs w:val="20"/>
              </w:rPr>
            </w:pPr>
          </w:p>
        </w:tc>
        <w:tc>
          <w:tcPr>
            <w:tcW w:w="50" w:type="pct"/>
            <w:vAlign w:val="center"/>
            <w:hideMark/>
          </w:tcPr>
          <w:p w14:paraId="5881A8B5" w14:textId="77777777" w:rsidR="00000000" w:rsidRDefault="00EE5306">
            <w:pPr>
              <w:spacing w:after="100"/>
              <w:rPr>
                <w:rFonts w:eastAsia="Times New Roman"/>
                <w:sz w:val="20"/>
                <w:szCs w:val="20"/>
              </w:rPr>
            </w:pPr>
          </w:p>
        </w:tc>
        <w:tc>
          <w:tcPr>
            <w:tcW w:w="722" w:type="pct"/>
            <w:vAlign w:val="center"/>
            <w:hideMark/>
          </w:tcPr>
          <w:p w14:paraId="01321A79" w14:textId="77777777" w:rsidR="00000000" w:rsidRDefault="00EE5306">
            <w:pPr>
              <w:spacing w:after="100"/>
              <w:rPr>
                <w:rFonts w:eastAsia="Times New Roman"/>
                <w:sz w:val="20"/>
                <w:szCs w:val="20"/>
              </w:rPr>
            </w:pPr>
          </w:p>
        </w:tc>
        <w:tc>
          <w:tcPr>
            <w:tcW w:w="5" w:type="pct"/>
            <w:vAlign w:val="center"/>
            <w:hideMark/>
          </w:tcPr>
          <w:p w14:paraId="7A2E4AF4" w14:textId="77777777" w:rsidR="00000000" w:rsidRDefault="00EE5306">
            <w:pPr>
              <w:spacing w:after="100"/>
              <w:rPr>
                <w:rFonts w:eastAsia="Times New Roman"/>
                <w:sz w:val="20"/>
                <w:szCs w:val="20"/>
              </w:rPr>
            </w:pPr>
          </w:p>
        </w:tc>
      </w:tr>
      <w:tr w:rsidR="00000000" w14:paraId="44128C78" w14:textId="77777777">
        <w:trPr>
          <w:divId w:val="547493648"/>
        </w:trPr>
        <w:tc>
          <w:tcPr>
            <w:tcW w:w="0" w:type="auto"/>
            <w:gridSpan w:val="3"/>
            <w:tcMar>
              <w:top w:w="0" w:type="dxa"/>
              <w:left w:w="20" w:type="dxa"/>
              <w:bottom w:w="0" w:type="dxa"/>
              <w:right w:w="20" w:type="dxa"/>
            </w:tcMar>
            <w:vAlign w:val="center"/>
            <w:hideMark/>
          </w:tcPr>
          <w:p w14:paraId="24A61281"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209E41"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863F0B8"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D1672CB"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13EDF8A"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6192C65C" w14:textId="77777777">
        <w:trPr>
          <w:divId w:val="547493648"/>
        </w:trPr>
        <w:tc>
          <w:tcPr>
            <w:tcW w:w="0" w:type="auto"/>
            <w:gridSpan w:val="3"/>
            <w:tcMar>
              <w:top w:w="30" w:type="dxa"/>
              <w:left w:w="20" w:type="dxa"/>
              <w:bottom w:w="30" w:type="dxa"/>
              <w:right w:w="20" w:type="dxa"/>
            </w:tcMar>
            <w:vAlign w:val="bottom"/>
            <w:hideMark/>
          </w:tcPr>
          <w:p w14:paraId="16A3C18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344C531" w14:textId="77777777" w:rsidR="00000000" w:rsidRDefault="00EE530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04DBE85"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4E6DA89A" w14:textId="77777777">
        <w:trPr>
          <w:divId w:val="547493648"/>
        </w:trPr>
        <w:tc>
          <w:tcPr>
            <w:tcW w:w="0" w:type="auto"/>
            <w:gridSpan w:val="3"/>
            <w:shd w:val="clear" w:color="auto" w:fill="CCEEFF"/>
            <w:tcMar>
              <w:top w:w="30" w:type="dxa"/>
              <w:left w:w="20" w:type="dxa"/>
              <w:bottom w:w="30" w:type="dxa"/>
              <w:right w:w="20" w:type="dxa"/>
            </w:tcMar>
            <w:vAlign w:val="bottom"/>
            <w:hideMark/>
          </w:tcPr>
          <w:p w14:paraId="56D0B3A7" w14:textId="77777777" w:rsidR="00000000" w:rsidRDefault="00EE5306">
            <w:pPr>
              <w:spacing w:after="100"/>
              <w:rPr>
                <w:rFonts w:eastAsia="Times New Roman"/>
              </w:rPr>
            </w:pPr>
            <w:r>
              <w:rPr>
                <w:rFonts w:eastAsia="Times New Roman"/>
                <w:color w:val="000000"/>
                <w:sz w:val="20"/>
                <w:szCs w:val="20"/>
              </w:rPr>
              <w:t>Finance lease obligations</w:t>
            </w:r>
          </w:p>
        </w:tc>
        <w:tc>
          <w:tcPr>
            <w:tcW w:w="0" w:type="auto"/>
            <w:gridSpan w:val="3"/>
            <w:shd w:val="clear" w:color="auto" w:fill="CCEEFF"/>
            <w:tcMar>
              <w:top w:w="0" w:type="dxa"/>
              <w:left w:w="20" w:type="dxa"/>
              <w:bottom w:w="0" w:type="dxa"/>
              <w:right w:w="20" w:type="dxa"/>
            </w:tcMar>
            <w:vAlign w:val="center"/>
            <w:hideMark/>
          </w:tcPr>
          <w:p w14:paraId="1F88EDA7"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311ED4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C936FB" w14:textId="77777777" w:rsidR="00000000" w:rsidRDefault="00EE5306">
            <w:pPr>
              <w:spacing w:after="100"/>
              <w:jc w:val="right"/>
              <w:rPr>
                <w:rFonts w:eastAsia="Times New Roman"/>
              </w:rPr>
            </w:pPr>
            <w:r>
              <w:rPr>
                <w:rFonts w:eastAsia="Times New Roman"/>
                <w:color w:val="000000"/>
                <w:sz w:val="20"/>
                <w:szCs w:val="20"/>
              </w:rPr>
              <w:t>370.5 </w:t>
            </w:r>
          </w:p>
        </w:tc>
        <w:tc>
          <w:tcPr>
            <w:tcW w:w="0" w:type="auto"/>
            <w:shd w:val="clear" w:color="auto" w:fill="CCEEFF"/>
            <w:tcMar>
              <w:top w:w="30" w:type="dxa"/>
              <w:left w:w="0" w:type="dxa"/>
              <w:bottom w:w="30" w:type="dxa"/>
              <w:right w:w="20" w:type="dxa"/>
            </w:tcMar>
            <w:vAlign w:val="bottom"/>
            <w:hideMark/>
          </w:tcPr>
          <w:p w14:paraId="5F4F01C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039A16"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3B2EB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7AD09B" w14:textId="77777777" w:rsidR="00000000" w:rsidRDefault="00EE5306">
            <w:pPr>
              <w:spacing w:after="100"/>
              <w:jc w:val="right"/>
              <w:rPr>
                <w:rFonts w:eastAsia="Times New Roman"/>
              </w:rPr>
            </w:pPr>
            <w:r>
              <w:rPr>
                <w:rFonts w:eastAsia="Times New Roman"/>
                <w:color w:val="000000"/>
                <w:sz w:val="20"/>
                <w:szCs w:val="20"/>
              </w:rPr>
              <w:t>189.4 </w:t>
            </w:r>
          </w:p>
        </w:tc>
        <w:tc>
          <w:tcPr>
            <w:tcW w:w="0" w:type="auto"/>
            <w:shd w:val="clear" w:color="auto" w:fill="CCEEFF"/>
            <w:tcMar>
              <w:top w:w="30" w:type="dxa"/>
              <w:left w:w="0" w:type="dxa"/>
              <w:bottom w:w="30" w:type="dxa"/>
              <w:right w:w="20" w:type="dxa"/>
            </w:tcMar>
            <w:vAlign w:val="bottom"/>
            <w:hideMark/>
          </w:tcPr>
          <w:p w14:paraId="4DA1ACC4" w14:textId="77777777" w:rsidR="00000000" w:rsidRDefault="00EE5306">
            <w:pPr>
              <w:spacing w:after="100"/>
              <w:jc w:val="right"/>
              <w:rPr>
                <w:rFonts w:eastAsia="Times New Roman"/>
              </w:rPr>
            </w:pPr>
          </w:p>
        </w:tc>
      </w:tr>
      <w:tr w:rsidR="00000000" w14:paraId="4B63C5D9" w14:textId="77777777">
        <w:trPr>
          <w:divId w:val="547493648"/>
        </w:trPr>
        <w:tc>
          <w:tcPr>
            <w:tcW w:w="0" w:type="auto"/>
            <w:gridSpan w:val="3"/>
            <w:shd w:val="clear" w:color="auto" w:fill="FFFFFF"/>
            <w:tcMar>
              <w:top w:w="30" w:type="dxa"/>
              <w:left w:w="20" w:type="dxa"/>
              <w:bottom w:w="30" w:type="dxa"/>
              <w:right w:w="20" w:type="dxa"/>
            </w:tcMar>
            <w:vAlign w:val="bottom"/>
            <w:hideMark/>
          </w:tcPr>
          <w:p w14:paraId="5FEA0E22" w14:textId="77777777" w:rsidR="00000000" w:rsidRDefault="00EE5306">
            <w:pPr>
              <w:spacing w:after="100"/>
              <w:rPr>
                <w:rFonts w:eastAsia="Times New Roman"/>
              </w:rPr>
            </w:pPr>
            <w:r>
              <w:rPr>
                <w:rFonts w:eastAsia="Times New Roman"/>
                <w:color w:val="000000"/>
                <w:sz w:val="20"/>
                <w:szCs w:val="20"/>
              </w:rPr>
              <w:t>Deferred lease incentives and obligations</w:t>
            </w:r>
          </w:p>
        </w:tc>
        <w:tc>
          <w:tcPr>
            <w:tcW w:w="0" w:type="auto"/>
            <w:gridSpan w:val="3"/>
            <w:shd w:val="clear" w:color="auto" w:fill="FFFFFF"/>
            <w:tcMar>
              <w:top w:w="0" w:type="dxa"/>
              <w:left w:w="20" w:type="dxa"/>
              <w:bottom w:w="0" w:type="dxa"/>
              <w:right w:w="20" w:type="dxa"/>
            </w:tcMar>
            <w:vAlign w:val="center"/>
            <w:hideMark/>
          </w:tcPr>
          <w:p w14:paraId="312D27A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575B28" w14:textId="77777777" w:rsidR="00000000" w:rsidRDefault="00EE5306">
            <w:pPr>
              <w:spacing w:after="100"/>
              <w:jc w:val="right"/>
              <w:rPr>
                <w:rFonts w:eastAsia="Times New Roman"/>
              </w:rPr>
            </w:pPr>
            <w:r>
              <w:rPr>
                <w:rFonts w:eastAsia="Times New Roman"/>
                <w:color w:val="000000"/>
                <w:sz w:val="20"/>
                <w:szCs w:val="20"/>
              </w:rPr>
              <w:t>62.4 </w:t>
            </w:r>
          </w:p>
        </w:tc>
        <w:tc>
          <w:tcPr>
            <w:tcW w:w="0" w:type="auto"/>
            <w:shd w:val="clear" w:color="auto" w:fill="FFFFFF"/>
            <w:tcMar>
              <w:top w:w="30" w:type="dxa"/>
              <w:left w:w="0" w:type="dxa"/>
              <w:bottom w:w="30" w:type="dxa"/>
              <w:right w:w="20" w:type="dxa"/>
            </w:tcMar>
            <w:vAlign w:val="bottom"/>
            <w:hideMark/>
          </w:tcPr>
          <w:p w14:paraId="2E50E26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0B41B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E50CAD" w14:textId="77777777" w:rsidR="00000000" w:rsidRDefault="00EE5306">
            <w:pPr>
              <w:spacing w:after="100"/>
              <w:jc w:val="right"/>
              <w:rPr>
                <w:rFonts w:eastAsia="Times New Roman"/>
              </w:rPr>
            </w:pPr>
            <w:r>
              <w:rPr>
                <w:rFonts w:eastAsia="Times New Roman"/>
                <w:color w:val="000000"/>
                <w:sz w:val="20"/>
                <w:szCs w:val="20"/>
              </w:rPr>
              <w:t>57.8 </w:t>
            </w:r>
          </w:p>
        </w:tc>
        <w:tc>
          <w:tcPr>
            <w:tcW w:w="0" w:type="auto"/>
            <w:shd w:val="clear" w:color="auto" w:fill="FFFFFF"/>
            <w:tcMar>
              <w:top w:w="30" w:type="dxa"/>
              <w:left w:w="0" w:type="dxa"/>
              <w:bottom w:w="30" w:type="dxa"/>
              <w:right w:w="20" w:type="dxa"/>
            </w:tcMar>
            <w:vAlign w:val="bottom"/>
            <w:hideMark/>
          </w:tcPr>
          <w:p w14:paraId="40244B26" w14:textId="77777777" w:rsidR="00000000" w:rsidRDefault="00EE5306">
            <w:pPr>
              <w:spacing w:after="100"/>
              <w:jc w:val="right"/>
              <w:rPr>
                <w:rFonts w:eastAsia="Times New Roman"/>
              </w:rPr>
            </w:pPr>
          </w:p>
        </w:tc>
      </w:tr>
      <w:tr w:rsidR="00000000" w14:paraId="61EEDB00" w14:textId="77777777">
        <w:trPr>
          <w:divId w:val="547493648"/>
        </w:trPr>
        <w:tc>
          <w:tcPr>
            <w:tcW w:w="0" w:type="auto"/>
            <w:gridSpan w:val="3"/>
            <w:shd w:val="clear" w:color="auto" w:fill="CCEEFF"/>
            <w:tcMar>
              <w:top w:w="30" w:type="dxa"/>
              <w:left w:w="20" w:type="dxa"/>
              <w:bottom w:w="30" w:type="dxa"/>
              <w:right w:w="20" w:type="dxa"/>
            </w:tcMar>
            <w:vAlign w:val="bottom"/>
            <w:hideMark/>
          </w:tcPr>
          <w:p w14:paraId="4DA9F5E4" w14:textId="77777777" w:rsidR="00000000" w:rsidRDefault="00EE5306">
            <w:pPr>
              <w:spacing w:after="100"/>
              <w:rPr>
                <w:rFonts w:eastAsia="Times New Roman"/>
              </w:rPr>
            </w:pPr>
            <w:r>
              <w:rPr>
                <w:rFonts w:eastAsia="Times New Roman"/>
                <w:color w:val="000000"/>
                <w:sz w:val="20"/>
                <w:szCs w:val="20"/>
              </w:rPr>
              <w:t>Derivative financial instruments</w:t>
            </w:r>
          </w:p>
        </w:tc>
        <w:tc>
          <w:tcPr>
            <w:tcW w:w="0" w:type="auto"/>
            <w:gridSpan w:val="3"/>
            <w:shd w:val="clear" w:color="auto" w:fill="CCEEFF"/>
            <w:tcMar>
              <w:top w:w="0" w:type="dxa"/>
              <w:left w:w="20" w:type="dxa"/>
              <w:bottom w:w="0" w:type="dxa"/>
              <w:right w:w="20" w:type="dxa"/>
            </w:tcMar>
            <w:vAlign w:val="center"/>
            <w:hideMark/>
          </w:tcPr>
          <w:p w14:paraId="0C4B006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5C0BD9" w14:textId="77777777" w:rsidR="00000000" w:rsidRDefault="00EE5306">
            <w:pPr>
              <w:spacing w:after="100"/>
              <w:jc w:val="right"/>
              <w:rPr>
                <w:rFonts w:eastAsia="Times New Roman"/>
              </w:rPr>
            </w:pPr>
            <w:r>
              <w:rPr>
                <w:rFonts w:eastAsia="Times New Roman"/>
                <w:color w:val="000000"/>
                <w:sz w:val="20"/>
                <w:szCs w:val="20"/>
              </w:rPr>
              <w:t>55.1 </w:t>
            </w:r>
          </w:p>
        </w:tc>
        <w:tc>
          <w:tcPr>
            <w:tcW w:w="0" w:type="auto"/>
            <w:shd w:val="clear" w:color="auto" w:fill="CCEEFF"/>
            <w:tcMar>
              <w:top w:w="30" w:type="dxa"/>
              <w:left w:w="0" w:type="dxa"/>
              <w:bottom w:w="30" w:type="dxa"/>
              <w:right w:w="20" w:type="dxa"/>
            </w:tcMar>
            <w:vAlign w:val="bottom"/>
            <w:hideMark/>
          </w:tcPr>
          <w:p w14:paraId="4A3F4AC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501B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C0D87A"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3D7CF0" w14:textId="77777777" w:rsidR="00000000" w:rsidRDefault="00EE5306">
            <w:pPr>
              <w:spacing w:after="100"/>
              <w:jc w:val="right"/>
              <w:rPr>
                <w:rFonts w:eastAsia="Times New Roman"/>
              </w:rPr>
            </w:pPr>
          </w:p>
        </w:tc>
      </w:tr>
      <w:tr w:rsidR="00000000" w14:paraId="350548A8" w14:textId="77777777">
        <w:trPr>
          <w:divId w:val="547493648"/>
        </w:trPr>
        <w:tc>
          <w:tcPr>
            <w:tcW w:w="0" w:type="auto"/>
            <w:gridSpan w:val="3"/>
            <w:shd w:val="clear" w:color="auto" w:fill="FFFFFF"/>
            <w:tcMar>
              <w:top w:w="30" w:type="dxa"/>
              <w:left w:w="20" w:type="dxa"/>
              <w:bottom w:w="30" w:type="dxa"/>
              <w:right w:w="20" w:type="dxa"/>
            </w:tcMar>
            <w:vAlign w:val="bottom"/>
            <w:hideMark/>
          </w:tcPr>
          <w:p w14:paraId="23548AB5" w14:textId="77777777" w:rsidR="00000000" w:rsidRDefault="00EE5306">
            <w:pPr>
              <w:spacing w:after="100"/>
              <w:rPr>
                <w:rFonts w:eastAsia="Times New Roman"/>
              </w:rPr>
            </w:pPr>
            <w:r>
              <w:rPr>
                <w:rFonts w:eastAsia="Times New Roman"/>
                <w:color w:val="000000"/>
                <w:sz w:val="20"/>
                <w:szCs w:val="20"/>
              </w:rPr>
              <w:t>Accrued benefits and deferred compensation</w:t>
            </w:r>
          </w:p>
        </w:tc>
        <w:tc>
          <w:tcPr>
            <w:tcW w:w="0" w:type="auto"/>
            <w:gridSpan w:val="3"/>
            <w:shd w:val="clear" w:color="auto" w:fill="FFFFFF"/>
            <w:tcMar>
              <w:top w:w="0" w:type="dxa"/>
              <w:left w:w="20" w:type="dxa"/>
              <w:bottom w:w="0" w:type="dxa"/>
              <w:right w:w="20" w:type="dxa"/>
            </w:tcMar>
            <w:vAlign w:val="center"/>
            <w:hideMark/>
          </w:tcPr>
          <w:p w14:paraId="7D5A175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3D8F44" w14:textId="77777777" w:rsidR="00000000" w:rsidRDefault="00EE5306">
            <w:pPr>
              <w:spacing w:after="100"/>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14:paraId="48ADDB8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B89E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7573A7" w14:textId="77777777" w:rsidR="00000000" w:rsidRDefault="00EE5306">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14:paraId="53E28B42" w14:textId="77777777" w:rsidR="00000000" w:rsidRDefault="00EE5306">
            <w:pPr>
              <w:spacing w:after="100"/>
              <w:jc w:val="right"/>
              <w:rPr>
                <w:rFonts w:eastAsia="Times New Roman"/>
              </w:rPr>
            </w:pPr>
          </w:p>
        </w:tc>
      </w:tr>
      <w:tr w:rsidR="00000000" w14:paraId="31F18020" w14:textId="77777777">
        <w:trPr>
          <w:divId w:val="547493648"/>
        </w:trPr>
        <w:tc>
          <w:tcPr>
            <w:tcW w:w="0" w:type="auto"/>
            <w:gridSpan w:val="3"/>
            <w:shd w:val="clear" w:color="auto" w:fill="CCEEFF"/>
            <w:tcMar>
              <w:top w:w="30" w:type="dxa"/>
              <w:left w:w="20" w:type="dxa"/>
              <w:bottom w:w="30" w:type="dxa"/>
              <w:right w:w="20" w:type="dxa"/>
            </w:tcMar>
            <w:vAlign w:val="bottom"/>
            <w:hideMark/>
          </w:tcPr>
          <w:p w14:paraId="26C11B2A" w14:textId="77777777" w:rsidR="00000000" w:rsidRDefault="00EE5306">
            <w:pPr>
              <w:spacing w:after="100"/>
              <w:rPr>
                <w:rFonts w:eastAsia="Times New Roman"/>
              </w:rPr>
            </w:pPr>
            <w:r>
              <w:rPr>
                <w:rFonts w:eastAsia="Times New Roman"/>
                <w:color w:val="000000"/>
                <w:sz w:val="20"/>
                <w:szCs w:val="20"/>
              </w:rPr>
              <w:t>Deferred tax liabilities</w:t>
            </w:r>
          </w:p>
        </w:tc>
        <w:tc>
          <w:tcPr>
            <w:tcW w:w="0" w:type="auto"/>
            <w:gridSpan w:val="3"/>
            <w:shd w:val="clear" w:color="auto" w:fill="CCEEFF"/>
            <w:tcMar>
              <w:top w:w="0" w:type="dxa"/>
              <w:left w:w="20" w:type="dxa"/>
              <w:bottom w:w="0" w:type="dxa"/>
              <w:right w:w="20" w:type="dxa"/>
            </w:tcMar>
            <w:vAlign w:val="center"/>
            <w:hideMark/>
          </w:tcPr>
          <w:p w14:paraId="593BF4B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2733B8" w14:textId="77777777" w:rsidR="00000000" w:rsidRDefault="00EE5306">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14:paraId="36F7F8A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A09C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2640EE" w14:textId="77777777" w:rsidR="00000000" w:rsidRDefault="00EE5306">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7495CD4A" w14:textId="77777777" w:rsidR="00000000" w:rsidRDefault="00EE5306">
            <w:pPr>
              <w:spacing w:after="100"/>
              <w:jc w:val="right"/>
              <w:rPr>
                <w:rFonts w:eastAsia="Times New Roman"/>
              </w:rPr>
            </w:pPr>
          </w:p>
        </w:tc>
      </w:tr>
      <w:tr w:rsidR="00000000" w14:paraId="3B03192B" w14:textId="77777777">
        <w:trPr>
          <w:divId w:val="547493648"/>
        </w:trPr>
        <w:tc>
          <w:tcPr>
            <w:tcW w:w="0" w:type="auto"/>
            <w:gridSpan w:val="3"/>
            <w:shd w:val="clear" w:color="auto" w:fill="FFFFFF"/>
            <w:tcMar>
              <w:top w:w="30" w:type="dxa"/>
              <w:left w:w="20" w:type="dxa"/>
              <w:bottom w:w="30" w:type="dxa"/>
              <w:right w:w="20" w:type="dxa"/>
            </w:tcMar>
            <w:vAlign w:val="bottom"/>
            <w:hideMark/>
          </w:tcPr>
          <w:p w14:paraId="18CD295D" w14:textId="77777777" w:rsidR="00000000" w:rsidRDefault="00EE5306">
            <w:pPr>
              <w:spacing w:after="100"/>
              <w:rPr>
                <w:rFonts w:eastAsia="Times New Roman"/>
              </w:rPr>
            </w:pPr>
            <w:r>
              <w:rPr>
                <w:rFonts w:eastAsia="Times New Roman"/>
                <w:color w:val="000000"/>
                <w:sz w:val="20"/>
                <w:szCs w:val="20"/>
              </w:rPr>
              <w:t>Restructuring reserve</w:t>
            </w:r>
          </w:p>
        </w:tc>
        <w:tc>
          <w:tcPr>
            <w:tcW w:w="0" w:type="auto"/>
            <w:gridSpan w:val="3"/>
            <w:shd w:val="clear" w:color="auto" w:fill="FFFFFF"/>
            <w:tcMar>
              <w:top w:w="0" w:type="dxa"/>
              <w:left w:w="20" w:type="dxa"/>
              <w:bottom w:w="0" w:type="dxa"/>
              <w:right w:w="20" w:type="dxa"/>
            </w:tcMar>
            <w:vAlign w:val="center"/>
            <w:hideMark/>
          </w:tcPr>
          <w:p w14:paraId="11B8912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A6549F" w14:textId="77777777" w:rsidR="00000000" w:rsidRDefault="00EE5306">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3809397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E850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729F4E" w14:textId="77777777" w:rsidR="00000000" w:rsidRDefault="00EE5306">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115668E7" w14:textId="77777777" w:rsidR="00000000" w:rsidRDefault="00EE5306">
            <w:pPr>
              <w:spacing w:after="100"/>
              <w:jc w:val="right"/>
              <w:rPr>
                <w:rFonts w:eastAsia="Times New Roman"/>
              </w:rPr>
            </w:pPr>
          </w:p>
        </w:tc>
      </w:tr>
      <w:tr w:rsidR="00000000" w14:paraId="1F059BA4" w14:textId="77777777">
        <w:trPr>
          <w:divId w:val="547493648"/>
        </w:trPr>
        <w:tc>
          <w:tcPr>
            <w:tcW w:w="0" w:type="auto"/>
            <w:gridSpan w:val="3"/>
            <w:shd w:val="clear" w:color="auto" w:fill="CCEEFF"/>
            <w:tcMar>
              <w:top w:w="30" w:type="dxa"/>
              <w:left w:w="20" w:type="dxa"/>
              <w:bottom w:w="30" w:type="dxa"/>
              <w:right w:w="20" w:type="dxa"/>
            </w:tcMar>
            <w:vAlign w:val="bottom"/>
            <w:hideMark/>
          </w:tcPr>
          <w:p w14:paraId="00E969C1" w14:textId="77777777" w:rsidR="00000000" w:rsidRDefault="00EE5306">
            <w:pPr>
              <w:spacing w:after="100"/>
              <w:rPr>
                <w:rFonts w:eastAsia="Times New Roman"/>
              </w:rPr>
            </w:pPr>
            <w:r>
              <w:rPr>
                <w:rFonts w:eastAsia="Times New Roman"/>
                <w:color w:val="000000"/>
                <w:sz w:val="20"/>
                <w:szCs w:val="20"/>
              </w:rPr>
              <w:t>Other non-current liabilities</w:t>
            </w:r>
          </w:p>
        </w:tc>
        <w:tc>
          <w:tcPr>
            <w:tcW w:w="0" w:type="auto"/>
            <w:gridSpan w:val="3"/>
            <w:shd w:val="clear" w:color="auto" w:fill="CCEEFF"/>
            <w:tcMar>
              <w:top w:w="0" w:type="dxa"/>
              <w:left w:w="20" w:type="dxa"/>
              <w:bottom w:w="0" w:type="dxa"/>
              <w:right w:w="20" w:type="dxa"/>
            </w:tcMar>
            <w:vAlign w:val="center"/>
            <w:hideMark/>
          </w:tcPr>
          <w:p w14:paraId="158AD08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6DB1F8" w14:textId="77777777" w:rsidR="00000000" w:rsidRDefault="00EE5306">
            <w:pPr>
              <w:spacing w:after="100"/>
              <w:jc w:val="right"/>
              <w:rPr>
                <w:rFonts w:eastAsia="Times New Roman"/>
              </w:rPr>
            </w:pPr>
            <w:r>
              <w:rPr>
                <w:rFonts w:eastAsia="Times New Roman"/>
                <w:color w:val="000000"/>
                <w:sz w:val="20"/>
                <w:szCs w:val="20"/>
              </w:rPr>
              <w:t>36.1 </w:t>
            </w:r>
          </w:p>
        </w:tc>
        <w:tc>
          <w:tcPr>
            <w:tcW w:w="0" w:type="auto"/>
            <w:shd w:val="clear" w:color="auto" w:fill="CCEEFF"/>
            <w:tcMar>
              <w:top w:w="30" w:type="dxa"/>
              <w:left w:w="0" w:type="dxa"/>
              <w:bottom w:w="30" w:type="dxa"/>
              <w:right w:w="20" w:type="dxa"/>
            </w:tcMar>
            <w:vAlign w:val="bottom"/>
            <w:hideMark/>
          </w:tcPr>
          <w:p w14:paraId="5051328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D16F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35D0E6" w14:textId="77777777" w:rsidR="00000000" w:rsidRDefault="00EE5306">
            <w:pPr>
              <w:spacing w:after="100"/>
              <w:jc w:val="right"/>
              <w:rPr>
                <w:rFonts w:eastAsia="Times New Roman"/>
              </w:rPr>
            </w:pPr>
            <w:r>
              <w:rPr>
                <w:rFonts w:eastAsia="Times New Roman"/>
                <w:color w:val="000000"/>
                <w:sz w:val="20"/>
                <w:szCs w:val="20"/>
              </w:rPr>
              <w:t>29.8 </w:t>
            </w:r>
          </w:p>
        </w:tc>
        <w:tc>
          <w:tcPr>
            <w:tcW w:w="0" w:type="auto"/>
            <w:shd w:val="clear" w:color="auto" w:fill="CCEEFF"/>
            <w:tcMar>
              <w:top w:w="30" w:type="dxa"/>
              <w:left w:w="0" w:type="dxa"/>
              <w:bottom w:w="30" w:type="dxa"/>
              <w:right w:w="20" w:type="dxa"/>
            </w:tcMar>
            <w:vAlign w:val="bottom"/>
            <w:hideMark/>
          </w:tcPr>
          <w:p w14:paraId="5E9BEDFB" w14:textId="77777777" w:rsidR="00000000" w:rsidRDefault="00EE5306">
            <w:pPr>
              <w:spacing w:after="100"/>
              <w:jc w:val="right"/>
              <w:rPr>
                <w:rFonts w:eastAsia="Times New Roman"/>
              </w:rPr>
            </w:pPr>
          </w:p>
        </w:tc>
      </w:tr>
      <w:tr w:rsidR="00000000" w14:paraId="6747F33F" w14:textId="77777777">
        <w:trPr>
          <w:divId w:val="547493648"/>
        </w:trPr>
        <w:tc>
          <w:tcPr>
            <w:tcW w:w="0" w:type="auto"/>
            <w:gridSpan w:val="3"/>
            <w:shd w:val="clear" w:color="auto" w:fill="FFFFFF"/>
            <w:tcMar>
              <w:top w:w="30" w:type="dxa"/>
              <w:left w:w="245" w:type="dxa"/>
              <w:bottom w:w="30" w:type="dxa"/>
              <w:right w:w="20" w:type="dxa"/>
            </w:tcMar>
            <w:vAlign w:val="bottom"/>
            <w:hideMark/>
          </w:tcPr>
          <w:p w14:paraId="353093CF" w14:textId="77777777" w:rsidR="00000000" w:rsidRDefault="00EE5306">
            <w:pPr>
              <w:spacing w:after="100"/>
              <w:rPr>
                <w:rFonts w:eastAsia="Times New Roman"/>
              </w:rPr>
            </w:pPr>
            <w:r>
              <w:rPr>
                <w:rFonts w:eastAsia="Times New Roman"/>
                <w:color w:val="000000"/>
                <w:sz w:val="20"/>
                <w:szCs w:val="20"/>
              </w:rPr>
              <w:t>Total other non-current liabilities</w:t>
            </w:r>
          </w:p>
        </w:tc>
        <w:tc>
          <w:tcPr>
            <w:tcW w:w="0" w:type="auto"/>
            <w:gridSpan w:val="3"/>
            <w:shd w:val="clear" w:color="auto" w:fill="FFFFFF"/>
            <w:tcMar>
              <w:top w:w="0" w:type="dxa"/>
              <w:left w:w="20" w:type="dxa"/>
              <w:bottom w:w="0" w:type="dxa"/>
              <w:right w:w="20" w:type="dxa"/>
            </w:tcMar>
            <w:vAlign w:val="center"/>
            <w:hideMark/>
          </w:tcPr>
          <w:p w14:paraId="23A32CA4"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F44B25"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F3B3CA" w14:textId="77777777" w:rsidR="00000000" w:rsidRDefault="00EE5306">
            <w:pPr>
              <w:spacing w:after="100"/>
              <w:jc w:val="right"/>
              <w:rPr>
                <w:rFonts w:eastAsia="Times New Roman"/>
              </w:rPr>
            </w:pPr>
            <w:r>
              <w:rPr>
                <w:rFonts w:eastAsia="Times New Roman"/>
                <w:color w:val="000000"/>
                <w:sz w:val="20"/>
                <w:szCs w:val="20"/>
              </w:rPr>
              <w:t>560.8 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45350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150C5"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548AF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648ADD" w14:textId="77777777" w:rsidR="00000000" w:rsidRDefault="00EE5306">
            <w:pPr>
              <w:spacing w:after="100"/>
              <w:jc w:val="right"/>
              <w:rPr>
                <w:rFonts w:eastAsia="Times New Roman"/>
              </w:rPr>
            </w:pPr>
            <w:r>
              <w:rPr>
                <w:rFonts w:eastAsia="Times New Roman"/>
                <w:color w:val="000000"/>
                <w:sz w:val="20"/>
                <w:szCs w:val="20"/>
              </w:rPr>
              <w:t>308.5 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30054B" w14:textId="77777777" w:rsidR="00000000" w:rsidRDefault="00EE5306">
            <w:pPr>
              <w:spacing w:after="100"/>
              <w:jc w:val="right"/>
              <w:rPr>
                <w:rFonts w:eastAsia="Times New Roman"/>
              </w:rPr>
            </w:pPr>
          </w:p>
        </w:tc>
      </w:tr>
    </w:tbl>
    <w:p w14:paraId="4E4BB265" w14:textId="77777777" w:rsidR="00000000" w:rsidRDefault="00EE5306">
      <w:pPr>
        <w:ind w:hanging="540"/>
        <w:divId w:val="1521119245"/>
        <w:rPr>
          <w:rFonts w:eastAsia="Times New Roman"/>
        </w:rPr>
      </w:pPr>
      <w:r>
        <w:rPr>
          <w:rFonts w:eastAsia="Times New Roman"/>
          <w:b/>
          <w:bCs/>
          <w:color w:val="000000"/>
          <w:sz w:val="20"/>
          <w:szCs w:val="20"/>
        </w:rPr>
        <w:t>8.    Impairment of Assets</w:t>
      </w:r>
    </w:p>
    <w:p w14:paraId="4907A5DB" w14:textId="77777777" w:rsidR="00000000" w:rsidRDefault="00EE5306">
      <w:pPr>
        <w:ind w:firstLine="540"/>
        <w:jc w:val="both"/>
        <w:divId w:val="964233702"/>
        <w:rPr>
          <w:rFonts w:eastAsia="Times New Roman"/>
        </w:rPr>
      </w:pPr>
      <w:r>
        <w:rPr>
          <w:rFonts w:eastAsia="Times New Roman"/>
          <w:color w:val="000000"/>
          <w:sz w:val="20"/>
          <w:szCs w:val="20"/>
        </w:rPr>
        <w:t>During Fiscal 2021, the Company recorded non-cash impairment charges of $96.0 million to write-down certain long-lived assets, of which $69.4 million related to its restructuring plans (see Note 9), $17.5 million related to unde</w:t>
      </w:r>
      <w:r>
        <w:rPr>
          <w:rFonts w:eastAsia="Times New Roman"/>
          <w:color w:val="000000"/>
          <w:sz w:val="20"/>
          <w:szCs w:val="20"/>
        </w:rPr>
        <w:t>rperforming stores identified through its ongoing store portfolio evaluation and adverse impacts associated with COVID-19 business disruptions, and $9.1 million related to certain previously exited real estate locations for which the related lease agreemen</w:t>
      </w:r>
      <w:r>
        <w:rPr>
          <w:rFonts w:eastAsia="Times New Roman"/>
          <w:color w:val="000000"/>
          <w:sz w:val="20"/>
          <w:szCs w:val="20"/>
        </w:rPr>
        <w:t>ts have not yet expired.</w:t>
      </w:r>
    </w:p>
    <w:p w14:paraId="4572A23E" w14:textId="77777777" w:rsidR="00000000" w:rsidRDefault="00EE5306">
      <w:pPr>
        <w:ind w:firstLine="540"/>
        <w:jc w:val="both"/>
        <w:divId w:val="1379087977"/>
        <w:rPr>
          <w:rFonts w:eastAsia="Times New Roman"/>
        </w:rPr>
      </w:pPr>
      <w:r>
        <w:rPr>
          <w:rFonts w:eastAsia="Times New Roman"/>
          <w:color w:val="000000"/>
          <w:sz w:val="20"/>
          <w:szCs w:val="20"/>
        </w:rPr>
        <w:t>During Fiscal 2020, the Company recorded non-cash impairment charges of $31.6 million to write-down certain long-lived assets, of which $8.7 million related to its restructuring plans (see Note 9) and $22.9 million related to under</w:t>
      </w:r>
      <w:r>
        <w:rPr>
          <w:rFonts w:eastAsia="Times New Roman"/>
          <w:color w:val="000000"/>
          <w:sz w:val="20"/>
          <w:szCs w:val="20"/>
        </w:rPr>
        <w:t>performing stores identified through its ongoing store portfolio evaluation and adverse impacts associated with COVID-19 business disruptions. These charges were recorded within impairment of assets in the consolidated statements of operations. In addition</w:t>
      </w:r>
      <w:r>
        <w:rPr>
          <w:rFonts w:eastAsia="Times New Roman"/>
          <w:color w:val="000000"/>
          <w:sz w:val="20"/>
          <w:szCs w:val="20"/>
        </w:rPr>
        <w:t xml:space="preserve">, the Company recorded a $7.1 million impairment charge within other income (expense), net in the consolidated statements of operations during Fiscal 2020 relating to an equity method investment. </w:t>
      </w:r>
    </w:p>
    <w:p w14:paraId="59C6FCA3" w14:textId="77777777" w:rsidR="00000000" w:rsidRDefault="00EE5306">
      <w:pPr>
        <w:ind w:firstLine="540"/>
        <w:jc w:val="both"/>
        <w:divId w:val="1643346717"/>
        <w:rPr>
          <w:rFonts w:eastAsia="Times New Roman"/>
        </w:rPr>
      </w:pPr>
      <w:r>
        <w:rPr>
          <w:rFonts w:eastAsia="Times New Roman"/>
          <w:color w:val="000000"/>
          <w:sz w:val="20"/>
          <w:szCs w:val="20"/>
        </w:rPr>
        <w:t>During Fiscal 2019, the Company recorded non-cash impairment charges of $21.2 million to write-down certain long-lived assets, of which $10.7 million related to its restructuring plans (see Note 9) and $10.5 million related to underperforming stores identi</w:t>
      </w:r>
      <w:r>
        <w:rPr>
          <w:rFonts w:eastAsia="Times New Roman"/>
          <w:color w:val="000000"/>
          <w:sz w:val="20"/>
          <w:szCs w:val="20"/>
        </w:rPr>
        <w:t>fied through its ongoing store portfolio evaluation. Additionally, as a result of its decision to sell its corporate jet in connection with its cost savings initiative, the Company recorded a non-cash impairment charge of $4.6 million during Fiscal 2019 to</w:t>
      </w:r>
      <w:r>
        <w:rPr>
          <w:rFonts w:eastAsia="Times New Roman"/>
          <w:color w:val="000000"/>
          <w:sz w:val="20"/>
          <w:szCs w:val="20"/>
        </w:rPr>
        <w:t xml:space="preserve"> reduce the carrying value of the asset being held-for-sale to its estimated fair value, less costs to sell.</w:t>
      </w:r>
    </w:p>
    <w:p w14:paraId="41D6EA6F" w14:textId="77777777" w:rsidR="00000000" w:rsidRDefault="00EE5306">
      <w:pPr>
        <w:ind w:firstLine="540"/>
        <w:jc w:val="both"/>
        <w:divId w:val="1167093793"/>
        <w:rPr>
          <w:rFonts w:eastAsia="Times New Roman"/>
        </w:rPr>
      </w:pPr>
      <w:r>
        <w:rPr>
          <w:rFonts w:eastAsia="Times New Roman"/>
          <w:color w:val="000000"/>
          <w:sz w:val="20"/>
          <w:szCs w:val="20"/>
        </w:rPr>
        <w:t>See Note 12 for further discussion of the non-cash impairment charges recorded during the fiscal years presented.</w:t>
      </w:r>
    </w:p>
    <w:p w14:paraId="6CEC6968" w14:textId="77777777" w:rsidR="00000000" w:rsidRDefault="00EE5306">
      <w:pPr>
        <w:ind w:hanging="540"/>
        <w:divId w:val="1363432662"/>
        <w:rPr>
          <w:rFonts w:eastAsia="Times New Roman"/>
        </w:rPr>
      </w:pPr>
      <w:r>
        <w:rPr>
          <w:rFonts w:eastAsia="Times New Roman"/>
          <w:b/>
          <w:bCs/>
          <w:color w:val="000000"/>
          <w:sz w:val="20"/>
          <w:szCs w:val="20"/>
        </w:rPr>
        <w:t>9.    Restructuring and Other Cha</w:t>
      </w:r>
      <w:r>
        <w:rPr>
          <w:rFonts w:eastAsia="Times New Roman"/>
          <w:b/>
          <w:bCs/>
          <w:color w:val="000000"/>
          <w:sz w:val="20"/>
          <w:szCs w:val="20"/>
        </w:rPr>
        <w:t>rges</w:t>
      </w:r>
    </w:p>
    <w:p w14:paraId="4494A6C1" w14:textId="77777777" w:rsidR="00000000" w:rsidRDefault="00EE5306">
      <w:pPr>
        <w:ind w:firstLine="540"/>
        <w:jc w:val="both"/>
        <w:divId w:val="993144118"/>
        <w:rPr>
          <w:rFonts w:eastAsia="Times New Roman"/>
        </w:rPr>
      </w:pPr>
      <w:r>
        <w:rPr>
          <w:rFonts w:eastAsia="Times New Roman"/>
          <w:color w:val="000000"/>
          <w:sz w:val="20"/>
          <w:szCs w:val="20"/>
        </w:rPr>
        <w:t>A description of significant restructuring and other activities and their related costs is provided below.</w:t>
      </w:r>
    </w:p>
    <w:p w14:paraId="15CE0A37" w14:textId="77777777" w:rsidR="00000000" w:rsidRDefault="00EE5306">
      <w:pPr>
        <w:ind w:firstLine="360"/>
        <w:jc w:val="both"/>
        <w:divId w:val="355236782"/>
        <w:rPr>
          <w:rFonts w:eastAsia="Times New Roman"/>
        </w:rPr>
      </w:pPr>
      <w:r>
        <w:rPr>
          <w:rFonts w:eastAsia="Times New Roman"/>
          <w:b/>
          <w:bCs/>
          <w:i/>
          <w:iCs/>
          <w:color w:val="000000"/>
          <w:sz w:val="20"/>
          <w:szCs w:val="20"/>
        </w:rPr>
        <w:t>Fiscal 2021 Strategic Realignment Plan</w:t>
      </w:r>
    </w:p>
    <w:p w14:paraId="1C6A9A21" w14:textId="77777777" w:rsidR="00000000" w:rsidRDefault="00EE5306">
      <w:pPr>
        <w:ind w:firstLine="540"/>
        <w:jc w:val="both"/>
        <w:divId w:val="2116514562"/>
        <w:rPr>
          <w:rFonts w:eastAsia="Times New Roman"/>
        </w:rPr>
      </w:pPr>
      <w:r>
        <w:rPr>
          <w:rFonts w:eastAsia="Times New Roman"/>
          <w:color w:val="000000"/>
          <w:sz w:val="20"/>
          <w:szCs w:val="20"/>
        </w:rPr>
        <w:t>The Company has begun efforts to realign its resources to support future growth and profitability, and to</w:t>
      </w:r>
      <w:r>
        <w:rPr>
          <w:rFonts w:eastAsia="Times New Roman"/>
          <w:color w:val="000000"/>
          <w:sz w:val="20"/>
          <w:szCs w:val="20"/>
        </w:rPr>
        <w:t xml:space="preserve"> create a sustainable cost structure. The key areas of the Company's evaluation include its: (i) team organizational structures and ways of working; (ii) real estate footprint and related costs across corporate offices, distribution centers, and direct-to-</w:t>
      </w:r>
      <w:r>
        <w:rPr>
          <w:rFonts w:eastAsia="Times New Roman"/>
          <w:color w:val="000000"/>
          <w:sz w:val="20"/>
          <w:szCs w:val="20"/>
        </w:rPr>
        <w:t>consumer retail and wholesale doors; and (iii) brand portfolio.</w:t>
      </w:r>
    </w:p>
    <w:p w14:paraId="40A795AB" w14:textId="77777777" w:rsidR="00000000" w:rsidRDefault="00EE5306">
      <w:pPr>
        <w:ind w:firstLine="540"/>
        <w:jc w:val="both"/>
        <w:divId w:val="950743452"/>
        <w:rPr>
          <w:rFonts w:eastAsia="Times New Roman"/>
        </w:rPr>
      </w:pPr>
      <w:r>
        <w:rPr>
          <w:rFonts w:eastAsia="Times New Roman"/>
          <w:color w:val="000000"/>
          <w:sz w:val="20"/>
          <w:szCs w:val="20"/>
        </w:rPr>
        <w:t>In connection with the first initiative, on September 17, 2020, the Company's Board of Directors approved a restructuring plan (the "Fiscal 2021 Strategic Realignment Plan") to reduce its glob</w:t>
      </w:r>
      <w:r>
        <w:rPr>
          <w:rFonts w:eastAsia="Times New Roman"/>
          <w:color w:val="000000"/>
          <w:sz w:val="20"/>
          <w:szCs w:val="20"/>
        </w:rPr>
        <w:t xml:space="preserve">al workforce by the end of Fiscal 2021. Additionally, during its preliminary review of its store portfolio during the second quarter of Fiscal 2021, the Company made the decision to close its Polo store on Regent Street in London. </w:t>
      </w:r>
    </w:p>
    <w:p w14:paraId="78258501" w14:textId="77777777" w:rsidR="00000000" w:rsidRDefault="00EE5306">
      <w:pPr>
        <w:ind w:firstLine="540"/>
        <w:jc w:val="both"/>
        <w:divId w:val="913508153"/>
        <w:rPr>
          <w:rFonts w:eastAsia="Times New Roman"/>
        </w:rPr>
      </w:pPr>
      <w:r>
        <w:rPr>
          <w:rFonts w:eastAsia="Times New Roman"/>
          <w:color w:val="000000"/>
          <w:sz w:val="20"/>
          <w:szCs w:val="20"/>
        </w:rPr>
        <w:t>On October 29, 2020, the</w:t>
      </w:r>
      <w:r>
        <w:rPr>
          <w:rFonts w:eastAsia="Times New Roman"/>
          <w:color w:val="000000"/>
          <w:sz w:val="20"/>
          <w:szCs w:val="20"/>
        </w:rPr>
        <w:t xml:space="preserve"> Company announced the planned transition of its Chaps brand to a fully licensed business model, consistent with its long-term brand elevation strategy in connection with its third initiative. Specifically, the Company entered into a multi-year licensing p</w:t>
      </w:r>
      <w:r>
        <w:rPr>
          <w:rFonts w:eastAsia="Times New Roman"/>
          <w:color w:val="000000"/>
          <w:sz w:val="20"/>
          <w:szCs w:val="20"/>
        </w:rPr>
        <w:t xml:space="preserve">artnership, taking effect on August 1, 2021 after a transition period, with an affiliate of 5 Star Apparel LLC, a division of the OVED Group, to manufacture, market, and distribute Chaps menswear and womenswear.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CCF62E1" w14:textId="77777777">
        <w:trPr>
          <w:divId w:val="586693512"/>
          <w:jc w:val="center"/>
        </w:trPr>
        <w:tc>
          <w:tcPr>
            <w:tcW w:w="50" w:type="pct"/>
            <w:vAlign w:val="center"/>
            <w:hideMark/>
          </w:tcPr>
          <w:p w14:paraId="526C66EE" w14:textId="77777777" w:rsidR="00000000" w:rsidRDefault="00EE5306">
            <w:pPr>
              <w:ind w:firstLine="540"/>
              <w:jc w:val="both"/>
              <w:rPr>
                <w:rFonts w:eastAsia="Times New Roman"/>
              </w:rPr>
            </w:pPr>
          </w:p>
        </w:tc>
        <w:tc>
          <w:tcPr>
            <w:tcW w:w="1699" w:type="pct"/>
            <w:vAlign w:val="center"/>
            <w:hideMark/>
          </w:tcPr>
          <w:p w14:paraId="23B5A423" w14:textId="77777777" w:rsidR="00000000" w:rsidRDefault="00EE5306">
            <w:pPr>
              <w:spacing w:after="100"/>
              <w:rPr>
                <w:rFonts w:eastAsia="Times New Roman"/>
                <w:sz w:val="20"/>
                <w:szCs w:val="20"/>
              </w:rPr>
            </w:pPr>
          </w:p>
        </w:tc>
        <w:tc>
          <w:tcPr>
            <w:tcW w:w="5" w:type="pct"/>
            <w:vAlign w:val="center"/>
            <w:hideMark/>
          </w:tcPr>
          <w:p w14:paraId="0A6686DE" w14:textId="77777777" w:rsidR="00000000" w:rsidRDefault="00EE5306">
            <w:pPr>
              <w:spacing w:after="100"/>
              <w:rPr>
                <w:rFonts w:eastAsia="Times New Roman"/>
                <w:sz w:val="20"/>
                <w:szCs w:val="20"/>
              </w:rPr>
            </w:pPr>
          </w:p>
        </w:tc>
        <w:tc>
          <w:tcPr>
            <w:tcW w:w="50" w:type="pct"/>
            <w:vAlign w:val="center"/>
            <w:hideMark/>
          </w:tcPr>
          <w:p w14:paraId="1A50B650" w14:textId="77777777" w:rsidR="00000000" w:rsidRDefault="00EE5306">
            <w:pPr>
              <w:spacing w:after="100"/>
              <w:rPr>
                <w:rFonts w:eastAsia="Times New Roman"/>
                <w:sz w:val="20"/>
                <w:szCs w:val="20"/>
              </w:rPr>
            </w:pPr>
          </w:p>
        </w:tc>
        <w:tc>
          <w:tcPr>
            <w:tcW w:w="1436" w:type="pct"/>
            <w:vAlign w:val="center"/>
            <w:hideMark/>
          </w:tcPr>
          <w:p w14:paraId="256ECF5D" w14:textId="77777777" w:rsidR="00000000" w:rsidRDefault="00EE5306">
            <w:pPr>
              <w:spacing w:after="100"/>
              <w:rPr>
                <w:rFonts w:eastAsia="Times New Roman"/>
                <w:sz w:val="20"/>
                <w:szCs w:val="20"/>
              </w:rPr>
            </w:pPr>
          </w:p>
        </w:tc>
        <w:tc>
          <w:tcPr>
            <w:tcW w:w="5" w:type="pct"/>
            <w:vAlign w:val="center"/>
            <w:hideMark/>
          </w:tcPr>
          <w:p w14:paraId="2715F462" w14:textId="77777777" w:rsidR="00000000" w:rsidRDefault="00EE5306">
            <w:pPr>
              <w:spacing w:after="100"/>
              <w:rPr>
                <w:rFonts w:eastAsia="Times New Roman"/>
                <w:sz w:val="20"/>
                <w:szCs w:val="20"/>
              </w:rPr>
            </w:pPr>
          </w:p>
        </w:tc>
        <w:tc>
          <w:tcPr>
            <w:tcW w:w="50" w:type="pct"/>
            <w:vAlign w:val="center"/>
            <w:hideMark/>
          </w:tcPr>
          <w:p w14:paraId="104D2607" w14:textId="77777777" w:rsidR="00000000" w:rsidRDefault="00EE5306">
            <w:pPr>
              <w:spacing w:after="100"/>
              <w:rPr>
                <w:rFonts w:eastAsia="Times New Roman"/>
                <w:sz w:val="20"/>
                <w:szCs w:val="20"/>
              </w:rPr>
            </w:pPr>
          </w:p>
        </w:tc>
        <w:tc>
          <w:tcPr>
            <w:tcW w:w="1699" w:type="pct"/>
            <w:vAlign w:val="center"/>
            <w:hideMark/>
          </w:tcPr>
          <w:p w14:paraId="7AB88686" w14:textId="77777777" w:rsidR="00000000" w:rsidRDefault="00EE5306">
            <w:pPr>
              <w:spacing w:after="100"/>
              <w:rPr>
                <w:rFonts w:eastAsia="Times New Roman"/>
                <w:sz w:val="20"/>
                <w:szCs w:val="20"/>
              </w:rPr>
            </w:pPr>
          </w:p>
        </w:tc>
        <w:tc>
          <w:tcPr>
            <w:tcW w:w="5" w:type="pct"/>
            <w:vAlign w:val="center"/>
            <w:hideMark/>
          </w:tcPr>
          <w:p w14:paraId="140DB46D" w14:textId="77777777" w:rsidR="00000000" w:rsidRDefault="00EE5306">
            <w:pPr>
              <w:spacing w:after="100"/>
              <w:rPr>
                <w:rFonts w:eastAsia="Times New Roman"/>
                <w:sz w:val="20"/>
                <w:szCs w:val="20"/>
              </w:rPr>
            </w:pPr>
          </w:p>
        </w:tc>
      </w:tr>
      <w:tr w:rsidR="00000000" w14:paraId="358C49AE" w14:textId="77777777">
        <w:trPr>
          <w:divId w:val="586693512"/>
          <w:jc w:val="center"/>
        </w:trPr>
        <w:tc>
          <w:tcPr>
            <w:tcW w:w="0" w:type="auto"/>
            <w:gridSpan w:val="3"/>
            <w:tcMar>
              <w:top w:w="0" w:type="dxa"/>
              <w:left w:w="20" w:type="dxa"/>
              <w:bottom w:w="0" w:type="dxa"/>
              <w:right w:w="20" w:type="dxa"/>
            </w:tcMar>
            <w:vAlign w:val="center"/>
            <w:hideMark/>
          </w:tcPr>
          <w:p w14:paraId="6B11552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2FCF6D1" w14:textId="77777777" w:rsidR="00000000" w:rsidRDefault="00EE5306">
            <w:pPr>
              <w:spacing w:after="100"/>
              <w:jc w:val="center"/>
              <w:rPr>
                <w:rFonts w:eastAsia="Times New Roman"/>
              </w:rPr>
            </w:pPr>
            <w:r>
              <w:rPr>
                <w:rFonts w:eastAsia="Times New Roman"/>
                <w:color w:val="000000"/>
                <w:sz w:val="20"/>
                <w:szCs w:val="20"/>
              </w:rPr>
              <w:t>F-24</w:t>
            </w:r>
          </w:p>
        </w:tc>
        <w:tc>
          <w:tcPr>
            <w:tcW w:w="0" w:type="auto"/>
            <w:gridSpan w:val="3"/>
            <w:tcMar>
              <w:top w:w="0" w:type="dxa"/>
              <w:left w:w="20" w:type="dxa"/>
              <w:bottom w:w="0" w:type="dxa"/>
              <w:right w:w="20" w:type="dxa"/>
            </w:tcMar>
            <w:vAlign w:val="center"/>
            <w:hideMark/>
          </w:tcPr>
          <w:p w14:paraId="0D955937" w14:textId="77777777" w:rsidR="00000000" w:rsidRDefault="00EE5306">
            <w:pPr>
              <w:spacing w:after="100"/>
              <w:jc w:val="center"/>
              <w:rPr>
                <w:rFonts w:eastAsia="Times New Roman"/>
              </w:rPr>
            </w:pPr>
          </w:p>
        </w:tc>
      </w:tr>
    </w:tbl>
    <w:p w14:paraId="61F3629D" w14:textId="77777777" w:rsidR="00000000" w:rsidRDefault="00EE5306">
      <w:pPr>
        <w:rPr>
          <w:rFonts w:eastAsia="Times New Roman"/>
        </w:rPr>
      </w:pPr>
      <w:r>
        <w:rPr>
          <w:rFonts w:eastAsia="Times New Roman"/>
        </w:rPr>
        <w:pict w14:anchorId="7D07D800">
          <v:rect id="_x0000_i1134" style="width:0;height:1.5pt" o:hralign="center" o:hrstd="t" o:hr="t" fillcolor="#a0a0a0" stroked="f"/>
        </w:pict>
      </w:r>
    </w:p>
    <w:p w14:paraId="511B0909" w14:textId="77777777" w:rsidR="00000000" w:rsidRDefault="00EE5306">
      <w:pPr>
        <w:jc w:val="center"/>
        <w:divId w:val="1244215758"/>
        <w:rPr>
          <w:rFonts w:eastAsia="Times New Roman"/>
        </w:rPr>
      </w:pPr>
    </w:p>
    <w:p w14:paraId="15367C9B" w14:textId="77777777" w:rsidR="00000000" w:rsidRDefault="00EE5306">
      <w:pPr>
        <w:jc w:val="center"/>
        <w:divId w:val="1244215758"/>
        <w:rPr>
          <w:rFonts w:eastAsia="Times New Roman"/>
        </w:rPr>
      </w:pPr>
      <w:r>
        <w:rPr>
          <w:rFonts w:eastAsia="Times New Roman"/>
          <w:b/>
          <w:bCs/>
          <w:color w:val="000000"/>
          <w:sz w:val="20"/>
          <w:szCs w:val="20"/>
        </w:rPr>
        <w:t>RALPH LAUREN CORPORATION</w:t>
      </w:r>
    </w:p>
    <w:p w14:paraId="66571415" w14:textId="77777777" w:rsidR="00000000" w:rsidRDefault="00EE5306">
      <w:pPr>
        <w:jc w:val="center"/>
        <w:divId w:val="1833259392"/>
        <w:rPr>
          <w:rFonts w:eastAsia="Times New Roman"/>
        </w:rPr>
      </w:pPr>
      <w:r>
        <w:rPr>
          <w:rFonts w:eastAsia="Times New Roman"/>
          <w:b/>
          <w:bCs/>
          <w:color w:val="000000"/>
          <w:sz w:val="20"/>
          <w:szCs w:val="20"/>
        </w:rPr>
        <w:t>NOTES TO CONSOLIDATED FINANCIAL STATEMENTS (Continued)</w:t>
      </w:r>
    </w:p>
    <w:p w14:paraId="35AA584D" w14:textId="77777777" w:rsidR="00000000" w:rsidRDefault="00EE5306">
      <w:pPr>
        <w:jc w:val="both"/>
        <w:divId w:val="814221965"/>
        <w:rPr>
          <w:rFonts w:eastAsia="Times New Roman"/>
        </w:rPr>
      </w:pPr>
      <w:r>
        <w:rPr>
          <w:rFonts w:eastAsia="Times New Roman"/>
          <w:color w:val="000000"/>
          <w:sz w:val="20"/>
          <w:szCs w:val="20"/>
        </w:rPr>
        <w:t>This agreement is expected to create incremental value for the Company by enabling an even greater focus on elevating its core brands in t</w:t>
      </w:r>
      <w:r>
        <w:rPr>
          <w:rFonts w:eastAsia="Times New Roman"/>
          <w:color w:val="000000"/>
          <w:sz w:val="20"/>
          <w:szCs w:val="20"/>
        </w:rPr>
        <w:t xml:space="preserve">he marketplace, reducing its direct exposure to the North America department store channel, and setting up Chaps to deliver on its potential with an experienced partner that is focused on nurturing the brand. </w:t>
      </w:r>
    </w:p>
    <w:p w14:paraId="630A4050" w14:textId="77777777" w:rsidR="00000000" w:rsidRDefault="00EE5306">
      <w:pPr>
        <w:ind w:firstLine="540"/>
        <w:jc w:val="both"/>
        <w:divId w:val="1172913579"/>
        <w:rPr>
          <w:rFonts w:eastAsia="Times New Roman"/>
        </w:rPr>
      </w:pPr>
      <w:r>
        <w:rPr>
          <w:rFonts w:eastAsia="Times New Roman"/>
          <w:color w:val="000000"/>
          <w:sz w:val="20"/>
          <w:szCs w:val="20"/>
        </w:rPr>
        <w:t>Additionally, on February 3, 2021, the Company's Board of Directors approved additional realignment actions related to its real estate initiative. Specifically, the Company plans to further rightsize and consolidate its global corporate offices to better a</w:t>
      </w:r>
      <w:r>
        <w:rPr>
          <w:rFonts w:eastAsia="Times New Roman"/>
          <w:color w:val="000000"/>
          <w:sz w:val="20"/>
          <w:szCs w:val="20"/>
        </w:rPr>
        <w:t>lign with its current organizational profile and new ways of working. The Company also expects to close certain of its stores to improve overall profitability. Additionally, the Company plans to complete the consolidation of its existing North America dist</w:t>
      </w:r>
      <w:r>
        <w:rPr>
          <w:rFonts w:eastAsia="Times New Roman"/>
          <w:color w:val="000000"/>
          <w:sz w:val="20"/>
          <w:szCs w:val="20"/>
        </w:rPr>
        <w:t>ribution centers in order to drive greater efficiencies, improve sustainability, and deliver a better consumer experience.</w:t>
      </w:r>
    </w:p>
    <w:p w14:paraId="1B521BB3" w14:textId="77777777" w:rsidR="00000000" w:rsidRDefault="00EE5306">
      <w:pPr>
        <w:ind w:firstLine="540"/>
        <w:jc w:val="both"/>
        <w:divId w:val="1932934897"/>
        <w:rPr>
          <w:rFonts w:eastAsia="Times New Roman"/>
        </w:rPr>
      </w:pPr>
      <w:r>
        <w:rPr>
          <w:rFonts w:eastAsia="Times New Roman"/>
          <w:color w:val="000000"/>
          <w:sz w:val="20"/>
          <w:szCs w:val="20"/>
        </w:rPr>
        <w:t>Finally, on May 13, 2021, in connection with its brand portfolio initiative, the Company announced that it has entered into an agreem</w:t>
      </w:r>
      <w:r>
        <w:rPr>
          <w:rFonts w:eastAsia="Times New Roman"/>
          <w:color w:val="000000"/>
          <w:sz w:val="20"/>
          <w:szCs w:val="20"/>
        </w:rPr>
        <w:t>ent to sell its Club Monaco business to Regent, L.P., a global private equity firm. The transaction is expected to close by the end of the first quarter of Fiscal 2022.</w:t>
      </w:r>
    </w:p>
    <w:p w14:paraId="37FD6550" w14:textId="77777777" w:rsidR="00000000" w:rsidRDefault="00EE5306">
      <w:pPr>
        <w:ind w:firstLine="540"/>
        <w:jc w:val="both"/>
        <w:divId w:val="834153338"/>
        <w:rPr>
          <w:rFonts w:eastAsia="Times New Roman"/>
        </w:rPr>
      </w:pPr>
      <w:r>
        <w:rPr>
          <w:rFonts w:eastAsia="Times New Roman"/>
          <w:color w:val="000000"/>
          <w:sz w:val="20"/>
          <w:szCs w:val="20"/>
        </w:rPr>
        <w:t>In connection with these collective realignment initiatives, the Company expects to inc</w:t>
      </w:r>
      <w:r>
        <w:rPr>
          <w:rFonts w:eastAsia="Times New Roman"/>
          <w:color w:val="000000"/>
          <w:sz w:val="20"/>
          <w:szCs w:val="20"/>
        </w:rPr>
        <w:t>ur total estimated pre-tax charges of approximately $300 million to $350 million, comprised of cash-related restructuring charges of approximately $185 million to $200 million and non-cash charges of approximately $115 million and $150 million. These estim</w:t>
      </w:r>
      <w:r>
        <w:rPr>
          <w:rFonts w:eastAsia="Times New Roman"/>
          <w:color w:val="000000"/>
          <w:sz w:val="20"/>
          <w:szCs w:val="20"/>
        </w:rPr>
        <w:t>ated charges are subject to change based upon the completion of the sale of the Company's Club Monaco business.</w:t>
      </w:r>
    </w:p>
    <w:p w14:paraId="0F248C40" w14:textId="77777777" w:rsidR="00000000" w:rsidRDefault="00EE5306">
      <w:pPr>
        <w:ind w:firstLine="540"/>
        <w:jc w:val="both"/>
        <w:divId w:val="2032564591"/>
        <w:rPr>
          <w:rFonts w:eastAsia="Times New Roman"/>
        </w:rPr>
      </w:pPr>
      <w:r>
        <w:rPr>
          <w:rFonts w:eastAsia="Times New Roman"/>
          <w:color w:val="000000"/>
          <w:sz w:val="20"/>
          <w:szCs w:val="20"/>
        </w:rPr>
        <w:t>A summary of the charges recorded in connection with the Fiscal 2021 Strategic Realignment Plan during the fiscal period presented (inclusive of</w:t>
      </w:r>
      <w:r>
        <w:rPr>
          <w:rFonts w:eastAsia="Times New Roman"/>
          <w:color w:val="000000"/>
          <w:sz w:val="20"/>
          <w:szCs w:val="20"/>
        </w:rPr>
        <w:t xml:space="preserve"> immaterial other restructuring-related charges previously recorded during the first quarter of Fiscal 2021) is as follows:</w:t>
      </w:r>
    </w:p>
    <w:tbl>
      <w:tblPr>
        <w:tblW w:w="4736" w:type="pct"/>
        <w:tblCellMar>
          <w:top w:w="15" w:type="dxa"/>
          <w:left w:w="15" w:type="dxa"/>
          <w:bottom w:w="15" w:type="dxa"/>
          <w:right w:w="15" w:type="dxa"/>
        </w:tblCellMar>
        <w:tblLook w:val="04A0" w:firstRow="1" w:lastRow="0" w:firstColumn="1" w:lastColumn="0" w:noHBand="0" w:noVBand="1"/>
      </w:tblPr>
      <w:tblGrid>
        <w:gridCol w:w="38"/>
        <w:gridCol w:w="5932"/>
        <w:gridCol w:w="37"/>
        <w:gridCol w:w="36"/>
        <w:gridCol w:w="66"/>
        <w:gridCol w:w="36"/>
        <w:gridCol w:w="121"/>
        <w:gridCol w:w="916"/>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12B432CF" w14:textId="77777777">
        <w:trPr>
          <w:divId w:val="1747341039"/>
        </w:trPr>
        <w:tc>
          <w:tcPr>
            <w:tcW w:w="50" w:type="pct"/>
            <w:vAlign w:val="center"/>
            <w:hideMark/>
          </w:tcPr>
          <w:p w14:paraId="08253318" w14:textId="77777777" w:rsidR="00000000" w:rsidRDefault="00EE5306">
            <w:pPr>
              <w:ind w:firstLine="540"/>
              <w:jc w:val="both"/>
              <w:rPr>
                <w:rFonts w:eastAsia="Times New Roman"/>
              </w:rPr>
            </w:pPr>
          </w:p>
        </w:tc>
        <w:tc>
          <w:tcPr>
            <w:tcW w:w="4142" w:type="pct"/>
            <w:vAlign w:val="center"/>
            <w:hideMark/>
          </w:tcPr>
          <w:p w14:paraId="1625C9E8" w14:textId="77777777" w:rsidR="00000000" w:rsidRDefault="00EE5306">
            <w:pPr>
              <w:spacing w:after="100"/>
              <w:rPr>
                <w:rFonts w:eastAsia="Times New Roman"/>
                <w:sz w:val="20"/>
                <w:szCs w:val="20"/>
              </w:rPr>
            </w:pPr>
          </w:p>
        </w:tc>
        <w:tc>
          <w:tcPr>
            <w:tcW w:w="5" w:type="pct"/>
            <w:vAlign w:val="center"/>
            <w:hideMark/>
          </w:tcPr>
          <w:p w14:paraId="42BF86DF" w14:textId="77777777" w:rsidR="00000000" w:rsidRDefault="00EE5306">
            <w:pPr>
              <w:spacing w:after="100"/>
              <w:rPr>
                <w:rFonts w:eastAsia="Times New Roman"/>
                <w:sz w:val="20"/>
                <w:szCs w:val="20"/>
              </w:rPr>
            </w:pPr>
          </w:p>
        </w:tc>
        <w:tc>
          <w:tcPr>
            <w:tcW w:w="5" w:type="pct"/>
            <w:vAlign w:val="center"/>
            <w:hideMark/>
          </w:tcPr>
          <w:p w14:paraId="48A5FEB0" w14:textId="77777777" w:rsidR="00000000" w:rsidRDefault="00EE5306">
            <w:pPr>
              <w:spacing w:after="100"/>
              <w:rPr>
                <w:rFonts w:eastAsia="Times New Roman"/>
                <w:sz w:val="20"/>
                <w:szCs w:val="20"/>
              </w:rPr>
            </w:pPr>
          </w:p>
        </w:tc>
        <w:tc>
          <w:tcPr>
            <w:tcW w:w="74" w:type="pct"/>
            <w:vAlign w:val="center"/>
            <w:hideMark/>
          </w:tcPr>
          <w:p w14:paraId="23289270" w14:textId="77777777" w:rsidR="00000000" w:rsidRDefault="00EE5306">
            <w:pPr>
              <w:spacing w:after="100"/>
              <w:rPr>
                <w:rFonts w:eastAsia="Times New Roman"/>
                <w:sz w:val="20"/>
                <w:szCs w:val="20"/>
              </w:rPr>
            </w:pPr>
          </w:p>
        </w:tc>
        <w:tc>
          <w:tcPr>
            <w:tcW w:w="5" w:type="pct"/>
            <w:vAlign w:val="center"/>
            <w:hideMark/>
          </w:tcPr>
          <w:p w14:paraId="668686C3" w14:textId="77777777" w:rsidR="00000000" w:rsidRDefault="00EE5306">
            <w:pPr>
              <w:spacing w:after="100"/>
              <w:rPr>
                <w:rFonts w:eastAsia="Times New Roman"/>
                <w:sz w:val="20"/>
                <w:szCs w:val="20"/>
              </w:rPr>
            </w:pPr>
          </w:p>
        </w:tc>
        <w:tc>
          <w:tcPr>
            <w:tcW w:w="50" w:type="pct"/>
            <w:vAlign w:val="center"/>
            <w:hideMark/>
          </w:tcPr>
          <w:p w14:paraId="51ECC9E5" w14:textId="77777777" w:rsidR="00000000" w:rsidRDefault="00EE5306">
            <w:pPr>
              <w:spacing w:after="100"/>
              <w:rPr>
                <w:rFonts w:eastAsia="Times New Roman"/>
                <w:sz w:val="20"/>
                <w:szCs w:val="20"/>
              </w:rPr>
            </w:pPr>
          </w:p>
        </w:tc>
        <w:tc>
          <w:tcPr>
            <w:tcW w:w="662" w:type="pct"/>
            <w:vAlign w:val="center"/>
            <w:hideMark/>
          </w:tcPr>
          <w:p w14:paraId="040A34FB" w14:textId="77777777" w:rsidR="00000000" w:rsidRDefault="00EE5306">
            <w:pPr>
              <w:spacing w:after="100"/>
              <w:rPr>
                <w:rFonts w:eastAsia="Times New Roman"/>
                <w:sz w:val="20"/>
                <w:szCs w:val="20"/>
              </w:rPr>
            </w:pPr>
          </w:p>
        </w:tc>
        <w:tc>
          <w:tcPr>
            <w:tcW w:w="5" w:type="pct"/>
            <w:vAlign w:val="center"/>
            <w:hideMark/>
          </w:tcPr>
          <w:p w14:paraId="169F2C0C" w14:textId="77777777" w:rsidR="00000000" w:rsidRDefault="00EE5306">
            <w:pPr>
              <w:spacing w:after="100"/>
              <w:rPr>
                <w:rFonts w:eastAsia="Times New Roman"/>
                <w:sz w:val="20"/>
                <w:szCs w:val="20"/>
              </w:rPr>
            </w:pPr>
          </w:p>
        </w:tc>
        <w:tc>
          <w:tcPr>
            <w:tcW w:w="0" w:type="auto"/>
            <w:gridSpan w:val="3"/>
            <w:vAlign w:val="center"/>
            <w:hideMark/>
          </w:tcPr>
          <w:p w14:paraId="736977F0" w14:textId="77777777" w:rsidR="00000000" w:rsidRDefault="00EE5306">
            <w:pPr>
              <w:spacing w:after="100"/>
              <w:rPr>
                <w:rFonts w:eastAsia="Times New Roman"/>
                <w:sz w:val="20"/>
                <w:szCs w:val="20"/>
              </w:rPr>
            </w:pPr>
          </w:p>
        </w:tc>
        <w:tc>
          <w:tcPr>
            <w:tcW w:w="0" w:type="auto"/>
            <w:gridSpan w:val="3"/>
            <w:vAlign w:val="center"/>
            <w:hideMark/>
          </w:tcPr>
          <w:p w14:paraId="302B1924" w14:textId="77777777" w:rsidR="00000000" w:rsidRDefault="00EE5306">
            <w:pPr>
              <w:spacing w:after="100"/>
              <w:rPr>
                <w:rFonts w:eastAsia="Times New Roman"/>
                <w:sz w:val="20"/>
                <w:szCs w:val="20"/>
              </w:rPr>
            </w:pPr>
          </w:p>
        </w:tc>
        <w:tc>
          <w:tcPr>
            <w:tcW w:w="0" w:type="auto"/>
            <w:gridSpan w:val="3"/>
            <w:vAlign w:val="center"/>
            <w:hideMark/>
          </w:tcPr>
          <w:p w14:paraId="007043BD" w14:textId="77777777" w:rsidR="00000000" w:rsidRDefault="00EE5306">
            <w:pPr>
              <w:spacing w:after="100"/>
              <w:rPr>
                <w:rFonts w:eastAsia="Times New Roman"/>
                <w:sz w:val="20"/>
                <w:szCs w:val="20"/>
              </w:rPr>
            </w:pPr>
          </w:p>
        </w:tc>
        <w:tc>
          <w:tcPr>
            <w:tcW w:w="0" w:type="auto"/>
            <w:gridSpan w:val="3"/>
            <w:vAlign w:val="center"/>
            <w:hideMark/>
          </w:tcPr>
          <w:p w14:paraId="6DE34BFA" w14:textId="77777777" w:rsidR="00000000" w:rsidRDefault="00EE5306">
            <w:pPr>
              <w:spacing w:after="100"/>
              <w:rPr>
                <w:rFonts w:eastAsia="Times New Roman"/>
                <w:sz w:val="20"/>
                <w:szCs w:val="20"/>
              </w:rPr>
            </w:pPr>
          </w:p>
        </w:tc>
        <w:tc>
          <w:tcPr>
            <w:tcW w:w="0" w:type="auto"/>
            <w:gridSpan w:val="3"/>
            <w:vAlign w:val="center"/>
            <w:hideMark/>
          </w:tcPr>
          <w:p w14:paraId="43E69701" w14:textId="77777777" w:rsidR="00000000" w:rsidRDefault="00EE5306">
            <w:pPr>
              <w:spacing w:after="100"/>
              <w:rPr>
                <w:rFonts w:eastAsia="Times New Roman"/>
                <w:sz w:val="20"/>
                <w:szCs w:val="20"/>
              </w:rPr>
            </w:pPr>
          </w:p>
        </w:tc>
        <w:tc>
          <w:tcPr>
            <w:tcW w:w="0" w:type="auto"/>
            <w:gridSpan w:val="3"/>
            <w:vAlign w:val="center"/>
            <w:hideMark/>
          </w:tcPr>
          <w:p w14:paraId="003BD703" w14:textId="77777777" w:rsidR="00000000" w:rsidRDefault="00EE5306">
            <w:pPr>
              <w:spacing w:after="100"/>
              <w:rPr>
                <w:rFonts w:eastAsia="Times New Roman"/>
                <w:sz w:val="20"/>
                <w:szCs w:val="20"/>
              </w:rPr>
            </w:pPr>
          </w:p>
        </w:tc>
      </w:tr>
      <w:tr w:rsidR="00000000" w14:paraId="29FA967A" w14:textId="77777777">
        <w:trPr>
          <w:divId w:val="1747341039"/>
        </w:trPr>
        <w:tc>
          <w:tcPr>
            <w:tcW w:w="0" w:type="auto"/>
            <w:gridSpan w:val="3"/>
            <w:tcMar>
              <w:top w:w="0" w:type="dxa"/>
              <w:left w:w="20" w:type="dxa"/>
              <w:bottom w:w="0" w:type="dxa"/>
              <w:right w:w="20" w:type="dxa"/>
            </w:tcMar>
            <w:vAlign w:val="center"/>
            <w:hideMark/>
          </w:tcPr>
          <w:p w14:paraId="260DE2D4"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C3A6A0"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DC42B5" w14:textId="77777777" w:rsidR="00000000" w:rsidRDefault="00EE5306">
            <w:pPr>
              <w:spacing w:after="100"/>
              <w:jc w:val="center"/>
              <w:rPr>
                <w:rFonts w:eastAsia="Times New Roman"/>
              </w:rPr>
            </w:pPr>
            <w:r>
              <w:rPr>
                <w:rFonts w:eastAsia="Times New Roman"/>
                <w:b/>
                <w:bCs/>
                <w:color w:val="000000"/>
                <w:sz w:val="16"/>
                <w:szCs w:val="16"/>
              </w:rPr>
              <w:t>Fiscal Year Ended</w:t>
            </w:r>
          </w:p>
        </w:tc>
        <w:tc>
          <w:tcPr>
            <w:tcW w:w="0" w:type="auto"/>
            <w:gridSpan w:val="3"/>
            <w:vAlign w:val="center"/>
            <w:hideMark/>
          </w:tcPr>
          <w:p w14:paraId="7DF7F9E2" w14:textId="77777777" w:rsidR="00000000" w:rsidRDefault="00EE5306">
            <w:pPr>
              <w:spacing w:after="100"/>
              <w:jc w:val="center"/>
              <w:rPr>
                <w:rFonts w:eastAsia="Times New Roman"/>
              </w:rPr>
            </w:pPr>
          </w:p>
        </w:tc>
        <w:tc>
          <w:tcPr>
            <w:tcW w:w="0" w:type="auto"/>
            <w:gridSpan w:val="3"/>
            <w:vAlign w:val="center"/>
            <w:hideMark/>
          </w:tcPr>
          <w:p w14:paraId="2D3A5507" w14:textId="77777777" w:rsidR="00000000" w:rsidRDefault="00EE5306">
            <w:pPr>
              <w:spacing w:after="100"/>
              <w:rPr>
                <w:rFonts w:eastAsia="Times New Roman"/>
                <w:sz w:val="20"/>
                <w:szCs w:val="20"/>
              </w:rPr>
            </w:pPr>
          </w:p>
        </w:tc>
        <w:tc>
          <w:tcPr>
            <w:tcW w:w="0" w:type="auto"/>
            <w:vAlign w:val="center"/>
            <w:hideMark/>
          </w:tcPr>
          <w:p w14:paraId="31DCC62F" w14:textId="77777777" w:rsidR="00000000" w:rsidRDefault="00EE5306">
            <w:pPr>
              <w:spacing w:after="100"/>
              <w:rPr>
                <w:rFonts w:eastAsia="Times New Roman"/>
                <w:sz w:val="20"/>
                <w:szCs w:val="20"/>
              </w:rPr>
            </w:pPr>
          </w:p>
        </w:tc>
        <w:tc>
          <w:tcPr>
            <w:tcW w:w="0" w:type="auto"/>
            <w:vAlign w:val="center"/>
            <w:hideMark/>
          </w:tcPr>
          <w:p w14:paraId="7DABCE57" w14:textId="77777777" w:rsidR="00000000" w:rsidRDefault="00EE5306">
            <w:pPr>
              <w:spacing w:after="100"/>
              <w:rPr>
                <w:rFonts w:eastAsia="Times New Roman"/>
                <w:sz w:val="20"/>
                <w:szCs w:val="20"/>
              </w:rPr>
            </w:pPr>
          </w:p>
        </w:tc>
        <w:tc>
          <w:tcPr>
            <w:tcW w:w="0" w:type="auto"/>
            <w:vAlign w:val="center"/>
            <w:hideMark/>
          </w:tcPr>
          <w:p w14:paraId="4317D492" w14:textId="77777777" w:rsidR="00000000" w:rsidRDefault="00EE5306">
            <w:pPr>
              <w:spacing w:after="100"/>
              <w:rPr>
                <w:rFonts w:eastAsia="Times New Roman"/>
                <w:sz w:val="20"/>
                <w:szCs w:val="20"/>
              </w:rPr>
            </w:pPr>
          </w:p>
        </w:tc>
        <w:tc>
          <w:tcPr>
            <w:tcW w:w="0" w:type="auto"/>
            <w:vAlign w:val="center"/>
            <w:hideMark/>
          </w:tcPr>
          <w:p w14:paraId="0442AD59" w14:textId="77777777" w:rsidR="00000000" w:rsidRDefault="00EE5306">
            <w:pPr>
              <w:spacing w:after="100"/>
              <w:rPr>
                <w:rFonts w:eastAsia="Times New Roman"/>
                <w:sz w:val="20"/>
                <w:szCs w:val="20"/>
              </w:rPr>
            </w:pPr>
          </w:p>
        </w:tc>
        <w:tc>
          <w:tcPr>
            <w:tcW w:w="0" w:type="auto"/>
            <w:vAlign w:val="center"/>
            <w:hideMark/>
          </w:tcPr>
          <w:p w14:paraId="0D00EDAD" w14:textId="77777777" w:rsidR="00000000" w:rsidRDefault="00EE5306">
            <w:pPr>
              <w:spacing w:after="100"/>
              <w:rPr>
                <w:rFonts w:eastAsia="Times New Roman"/>
                <w:sz w:val="20"/>
                <w:szCs w:val="20"/>
              </w:rPr>
            </w:pPr>
          </w:p>
        </w:tc>
        <w:tc>
          <w:tcPr>
            <w:tcW w:w="0" w:type="auto"/>
            <w:vAlign w:val="center"/>
            <w:hideMark/>
          </w:tcPr>
          <w:p w14:paraId="77AABE1E" w14:textId="77777777" w:rsidR="00000000" w:rsidRDefault="00EE5306">
            <w:pPr>
              <w:spacing w:after="100"/>
              <w:rPr>
                <w:rFonts w:eastAsia="Times New Roman"/>
                <w:sz w:val="20"/>
                <w:szCs w:val="20"/>
              </w:rPr>
            </w:pPr>
          </w:p>
        </w:tc>
        <w:tc>
          <w:tcPr>
            <w:tcW w:w="0" w:type="auto"/>
            <w:vAlign w:val="center"/>
            <w:hideMark/>
          </w:tcPr>
          <w:p w14:paraId="6C4C6E8C" w14:textId="77777777" w:rsidR="00000000" w:rsidRDefault="00EE5306">
            <w:pPr>
              <w:spacing w:after="100"/>
              <w:rPr>
                <w:rFonts w:eastAsia="Times New Roman"/>
                <w:sz w:val="20"/>
                <w:szCs w:val="20"/>
              </w:rPr>
            </w:pPr>
          </w:p>
        </w:tc>
        <w:tc>
          <w:tcPr>
            <w:tcW w:w="0" w:type="auto"/>
            <w:vAlign w:val="center"/>
            <w:hideMark/>
          </w:tcPr>
          <w:p w14:paraId="4B39CF32" w14:textId="77777777" w:rsidR="00000000" w:rsidRDefault="00EE5306">
            <w:pPr>
              <w:spacing w:after="100"/>
              <w:rPr>
                <w:rFonts w:eastAsia="Times New Roman"/>
                <w:sz w:val="20"/>
                <w:szCs w:val="20"/>
              </w:rPr>
            </w:pPr>
          </w:p>
        </w:tc>
        <w:tc>
          <w:tcPr>
            <w:tcW w:w="0" w:type="auto"/>
            <w:vAlign w:val="center"/>
            <w:hideMark/>
          </w:tcPr>
          <w:p w14:paraId="03CE7F05" w14:textId="77777777" w:rsidR="00000000" w:rsidRDefault="00EE5306">
            <w:pPr>
              <w:spacing w:after="100"/>
              <w:rPr>
                <w:rFonts w:eastAsia="Times New Roman"/>
                <w:sz w:val="20"/>
                <w:szCs w:val="20"/>
              </w:rPr>
            </w:pPr>
          </w:p>
        </w:tc>
        <w:tc>
          <w:tcPr>
            <w:tcW w:w="0" w:type="auto"/>
            <w:vAlign w:val="center"/>
            <w:hideMark/>
          </w:tcPr>
          <w:p w14:paraId="23EB8BBB" w14:textId="77777777" w:rsidR="00000000" w:rsidRDefault="00EE5306">
            <w:pPr>
              <w:spacing w:after="100"/>
              <w:rPr>
                <w:rFonts w:eastAsia="Times New Roman"/>
                <w:sz w:val="20"/>
                <w:szCs w:val="20"/>
              </w:rPr>
            </w:pPr>
          </w:p>
        </w:tc>
        <w:tc>
          <w:tcPr>
            <w:tcW w:w="0" w:type="auto"/>
            <w:vAlign w:val="center"/>
            <w:hideMark/>
          </w:tcPr>
          <w:p w14:paraId="1E5C3F28" w14:textId="77777777" w:rsidR="00000000" w:rsidRDefault="00EE5306">
            <w:pPr>
              <w:spacing w:after="100"/>
              <w:rPr>
                <w:rFonts w:eastAsia="Times New Roman"/>
                <w:sz w:val="20"/>
                <w:szCs w:val="20"/>
              </w:rPr>
            </w:pPr>
          </w:p>
        </w:tc>
        <w:tc>
          <w:tcPr>
            <w:tcW w:w="0" w:type="auto"/>
            <w:vAlign w:val="center"/>
            <w:hideMark/>
          </w:tcPr>
          <w:p w14:paraId="53EF9A2D" w14:textId="77777777" w:rsidR="00000000" w:rsidRDefault="00EE5306">
            <w:pPr>
              <w:spacing w:after="100"/>
              <w:rPr>
                <w:rFonts w:eastAsia="Times New Roman"/>
                <w:sz w:val="20"/>
                <w:szCs w:val="20"/>
              </w:rPr>
            </w:pPr>
          </w:p>
        </w:tc>
      </w:tr>
      <w:tr w:rsidR="00000000" w14:paraId="5EF96D66" w14:textId="77777777">
        <w:trPr>
          <w:divId w:val="1747341039"/>
        </w:trPr>
        <w:tc>
          <w:tcPr>
            <w:tcW w:w="0" w:type="auto"/>
            <w:gridSpan w:val="3"/>
            <w:tcMar>
              <w:top w:w="0" w:type="dxa"/>
              <w:left w:w="20" w:type="dxa"/>
              <w:bottom w:w="0" w:type="dxa"/>
              <w:right w:w="20" w:type="dxa"/>
            </w:tcMar>
            <w:vAlign w:val="center"/>
            <w:hideMark/>
          </w:tcPr>
          <w:p w14:paraId="0D6B8FE7"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7C52A1"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67ACFCB"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vAlign w:val="center"/>
            <w:hideMark/>
          </w:tcPr>
          <w:p w14:paraId="50826866" w14:textId="77777777" w:rsidR="00000000" w:rsidRDefault="00EE5306">
            <w:pPr>
              <w:spacing w:after="100"/>
              <w:jc w:val="center"/>
              <w:rPr>
                <w:rFonts w:eastAsia="Times New Roman"/>
              </w:rPr>
            </w:pPr>
          </w:p>
        </w:tc>
        <w:tc>
          <w:tcPr>
            <w:tcW w:w="0" w:type="auto"/>
            <w:gridSpan w:val="3"/>
            <w:vAlign w:val="center"/>
            <w:hideMark/>
          </w:tcPr>
          <w:p w14:paraId="35EC0019" w14:textId="77777777" w:rsidR="00000000" w:rsidRDefault="00EE5306">
            <w:pPr>
              <w:spacing w:after="100"/>
              <w:rPr>
                <w:rFonts w:eastAsia="Times New Roman"/>
                <w:sz w:val="20"/>
                <w:szCs w:val="20"/>
              </w:rPr>
            </w:pPr>
          </w:p>
        </w:tc>
        <w:tc>
          <w:tcPr>
            <w:tcW w:w="0" w:type="auto"/>
            <w:gridSpan w:val="3"/>
            <w:vAlign w:val="center"/>
            <w:hideMark/>
          </w:tcPr>
          <w:p w14:paraId="39CCA044" w14:textId="77777777" w:rsidR="00000000" w:rsidRDefault="00EE5306">
            <w:pPr>
              <w:spacing w:after="100"/>
              <w:rPr>
                <w:rFonts w:eastAsia="Times New Roman"/>
                <w:sz w:val="20"/>
                <w:szCs w:val="20"/>
              </w:rPr>
            </w:pPr>
          </w:p>
        </w:tc>
        <w:tc>
          <w:tcPr>
            <w:tcW w:w="0" w:type="auto"/>
            <w:gridSpan w:val="3"/>
            <w:vAlign w:val="center"/>
            <w:hideMark/>
          </w:tcPr>
          <w:p w14:paraId="7A2D1ABB" w14:textId="77777777" w:rsidR="00000000" w:rsidRDefault="00EE5306">
            <w:pPr>
              <w:spacing w:after="100"/>
              <w:rPr>
                <w:rFonts w:eastAsia="Times New Roman"/>
                <w:sz w:val="20"/>
                <w:szCs w:val="20"/>
              </w:rPr>
            </w:pPr>
          </w:p>
        </w:tc>
        <w:tc>
          <w:tcPr>
            <w:tcW w:w="0" w:type="auto"/>
            <w:gridSpan w:val="3"/>
            <w:vAlign w:val="center"/>
            <w:hideMark/>
          </w:tcPr>
          <w:p w14:paraId="2F676375" w14:textId="77777777" w:rsidR="00000000" w:rsidRDefault="00EE5306">
            <w:pPr>
              <w:spacing w:after="100"/>
              <w:rPr>
                <w:rFonts w:eastAsia="Times New Roman"/>
                <w:sz w:val="20"/>
                <w:szCs w:val="20"/>
              </w:rPr>
            </w:pPr>
          </w:p>
        </w:tc>
        <w:tc>
          <w:tcPr>
            <w:tcW w:w="0" w:type="auto"/>
            <w:gridSpan w:val="3"/>
            <w:vAlign w:val="center"/>
            <w:hideMark/>
          </w:tcPr>
          <w:p w14:paraId="2C5F4C28" w14:textId="77777777" w:rsidR="00000000" w:rsidRDefault="00EE5306">
            <w:pPr>
              <w:spacing w:after="100"/>
              <w:rPr>
                <w:rFonts w:eastAsia="Times New Roman"/>
                <w:sz w:val="20"/>
                <w:szCs w:val="20"/>
              </w:rPr>
            </w:pPr>
          </w:p>
        </w:tc>
      </w:tr>
      <w:tr w:rsidR="00000000" w14:paraId="4B5B727A" w14:textId="77777777">
        <w:trPr>
          <w:divId w:val="1747341039"/>
        </w:trPr>
        <w:tc>
          <w:tcPr>
            <w:tcW w:w="0" w:type="auto"/>
            <w:gridSpan w:val="3"/>
            <w:tcMar>
              <w:top w:w="30" w:type="dxa"/>
              <w:left w:w="20" w:type="dxa"/>
              <w:bottom w:w="30" w:type="dxa"/>
              <w:right w:w="20" w:type="dxa"/>
            </w:tcMar>
            <w:vAlign w:val="bottom"/>
            <w:hideMark/>
          </w:tcPr>
          <w:p w14:paraId="21E6DE3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0E796A2"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8A9699"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vAlign w:val="center"/>
            <w:hideMark/>
          </w:tcPr>
          <w:p w14:paraId="42C04BF1" w14:textId="77777777" w:rsidR="00000000" w:rsidRDefault="00EE5306">
            <w:pPr>
              <w:spacing w:after="100"/>
              <w:rPr>
                <w:rFonts w:eastAsia="Times New Roman"/>
                <w:sz w:val="20"/>
                <w:szCs w:val="20"/>
              </w:rPr>
            </w:pPr>
          </w:p>
        </w:tc>
        <w:tc>
          <w:tcPr>
            <w:tcW w:w="0" w:type="auto"/>
            <w:vAlign w:val="center"/>
            <w:hideMark/>
          </w:tcPr>
          <w:p w14:paraId="662E26A7" w14:textId="77777777" w:rsidR="00000000" w:rsidRDefault="00EE5306">
            <w:pPr>
              <w:spacing w:after="100"/>
              <w:rPr>
                <w:rFonts w:eastAsia="Times New Roman"/>
                <w:sz w:val="20"/>
                <w:szCs w:val="20"/>
              </w:rPr>
            </w:pPr>
          </w:p>
        </w:tc>
        <w:tc>
          <w:tcPr>
            <w:tcW w:w="0" w:type="auto"/>
            <w:vAlign w:val="center"/>
            <w:hideMark/>
          </w:tcPr>
          <w:p w14:paraId="138DC729" w14:textId="77777777" w:rsidR="00000000" w:rsidRDefault="00EE5306">
            <w:pPr>
              <w:spacing w:after="100"/>
              <w:rPr>
                <w:rFonts w:eastAsia="Times New Roman"/>
                <w:sz w:val="20"/>
                <w:szCs w:val="20"/>
              </w:rPr>
            </w:pPr>
          </w:p>
        </w:tc>
        <w:tc>
          <w:tcPr>
            <w:tcW w:w="0" w:type="auto"/>
            <w:vAlign w:val="center"/>
            <w:hideMark/>
          </w:tcPr>
          <w:p w14:paraId="411E385A" w14:textId="77777777" w:rsidR="00000000" w:rsidRDefault="00EE5306">
            <w:pPr>
              <w:spacing w:after="100"/>
              <w:rPr>
                <w:rFonts w:eastAsia="Times New Roman"/>
                <w:sz w:val="20"/>
                <w:szCs w:val="20"/>
              </w:rPr>
            </w:pPr>
          </w:p>
        </w:tc>
        <w:tc>
          <w:tcPr>
            <w:tcW w:w="0" w:type="auto"/>
            <w:vAlign w:val="center"/>
            <w:hideMark/>
          </w:tcPr>
          <w:p w14:paraId="3F64A0F9" w14:textId="77777777" w:rsidR="00000000" w:rsidRDefault="00EE5306">
            <w:pPr>
              <w:spacing w:after="100"/>
              <w:rPr>
                <w:rFonts w:eastAsia="Times New Roman"/>
                <w:sz w:val="20"/>
                <w:szCs w:val="20"/>
              </w:rPr>
            </w:pPr>
          </w:p>
        </w:tc>
        <w:tc>
          <w:tcPr>
            <w:tcW w:w="0" w:type="auto"/>
            <w:vAlign w:val="center"/>
            <w:hideMark/>
          </w:tcPr>
          <w:p w14:paraId="128046DA" w14:textId="77777777" w:rsidR="00000000" w:rsidRDefault="00EE5306">
            <w:pPr>
              <w:spacing w:after="100"/>
              <w:rPr>
                <w:rFonts w:eastAsia="Times New Roman"/>
                <w:sz w:val="20"/>
                <w:szCs w:val="20"/>
              </w:rPr>
            </w:pPr>
          </w:p>
        </w:tc>
        <w:tc>
          <w:tcPr>
            <w:tcW w:w="0" w:type="auto"/>
            <w:vAlign w:val="center"/>
            <w:hideMark/>
          </w:tcPr>
          <w:p w14:paraId="5E2ADD3B" w14:textId="77777777" w:rsidR="00000000" w:rsidRDefault="00EE5306">
            <w:pPr>
              <w:spacing w:after="100"/>
              <w:rPr>
                <w:rFonts w:eastAsia="Times New Roman"/>
                <w:sz w:val="20"/>
                <w:szCs w:val="20"/>
              </w:rPr>
            </w:pPr>
          </w:p>
        </w:tc>
        <w:tc>
          <w:tcPr>
            <w:tcW w:w="0" w:type="auto"/>
            <w:vAlign w:val="center"/>
            <w:hideMark/>
          </w:tcPr>
          <w:p w14:paraId="2D75F794" w14:textId="77777777" w:rsidR="00000000" w:rsidRDefault="00EE5306">
            <w:pPr>
              <w:spacing w:after="100"/>
              <w:rPr>
                <w:rFonts w:eastAsia="Times New Roman"/>
                <w:sz w:val="20"/>
                <w:szCs w:val="20"/>
              </w:rPr>
            </w:pPr>
          </w:p>
        </w:tc>
        <w:tc>
          <w:tcPr>
            <w:tcW w:w="0" w:type="auto"/>
            <w:vAlign w:val="center"/>
            <w:hideMark/>
          </w:tcPr>
          <w:p w14:paraId="21A7A5C2" w14:textId="77777777" w:rsidR="00000000" w:rsidRDefault="00EE5306">
            <w:pPr>
              <w:spacing w:after="100"/>
              <w:rPr>
                <w:rFonts w:eastAsia="Times New Roman"/>
                <w:sz w:val="20"/>
                <w:szCs w:val="20"/>
              </w:rPr>
            </w:pPr>
          </w:p>
        </w:tc>
        <w:tc>
          <w:tcPr>
            <w:tcW w:w="0" w:type="auto"/>
            <w:vAlign w:val="center"/>
            <w:hideMark/>
          </w:tcPr>
          <w:p w14:paraId="378ED7C6" w14:textId="77777777" w:rsidR="00000000" w:rsidRDefault="00EE5306">
            <w:pPr>
              <w:spacing w:after="100"/>
              <w:rPr>
                <w:rFonts w:eastAsia="Times New Roman"/>
                <w:sz w:val="20"/>
                <w:szCs w:val="20"/>
              </w:rPr>
            </w:pPr>
          </w:p>
        </w:tc>
        <w:tc>
          <w:tcPr>
            <w:tcW w:w="0" w:type="auto"/>
            <w:vAlign w:val="center"/>
            <w:hideMark/>
          </w:tcPr>
          <w:p w14:paraId="7DF887AA" w14:textId="77777777" w:rsidR="00000000" w:rsidRDefault="00EE5306">
            <w:pPr>
              <w:spacing w:after="100"/>
              <w:rPr>
                <w:rFonts w:eastAsia="Times New Roman"/>
                <w:sz w:val="20"/>
                <w:szCs w:val="20"/>
              </w:rPr>
            </w:pPr>
          </w:p>
        </w:tc>
        <w:tc>
          <w:tcPr>
            <w:tcW w:w="0" w:type="auto"/>
            <w:vAlign w:val="center"/>
            <w:hideMark/>
          </w:tcPr>
          <w:p w14:paraId="42798290" w14:textId="77777777" w:rsidR="00000000" w:rsidRDefault="00EE5306">
            <w:pPr>
              <w:spacing w:after="100"/>
              <w:rPr>
                <w:rFonts w:eastAsia="Times New Roman"/>
                <w:sz w:val="20"/>
                <w:szCs w:val="20"/>
              </w:rPr>
            </w:pPr>
          </w:p>
        </w:tc>
        <w:tc>
          <w:tcPr>
            <w:tcW w:w="0" w:type="auto"/>
            <w:vAlign w:val="center"/>
            <w:hideMark/>
          </w:tcPr>
          <w:p w14:paraId="4A92A741" w14:textId="77777777" w:rsidR="00000000" w:rsidRDefault="00EE5306">
            <w:pPr>
              <w:spacing w:after="100"/>
              <w:rPr>
                <w:rFonts w:eastAsia="Times New Roman"/>
                <w:sz w:val="20"/>
                <w:szCs w:val="20"/>
              </w:rPr>
            </w:pPr>
          </w:p>
        </w:tc>
        <w:tc>
          <w:tcPr>
            <w:tcW w:w="0" w:type="auto"/>
            <w:vAlign w:val="center"/>
            <w:hideMark/>
          </w:tcPr>
          <w:p w14:paraId="77273364" w14:textId="77777777" w:rsidR="00000000" w:rsidRDefault="00EE5306">
            <w:pPr>
              <w:spacing w:after="100"/>
              <w:rPr>
                <w:rFonts w:eastAsia="Times New Roman"/>
                <w:sz w:val="20"/>
                <w:szCs w:val="20"/>
              </w:rPr>
            </w:pPr>
          </w:p>
        </w:tc>
        <w:tc>
          <w:tcPr>
            <w:tcW w:w="0" w:type="auto"/>
            <w:vAlign w:val="center"/>
            <w:hideMark/>
          </w:tcPr>
          <w:p w14:paraId="35EB67CF" w14:textId="77777777" w:rsidR="00000000" w:rsidRDefault="00EE5306">
            <w:pPr>
              <w:spacing w:after="100"/>
              <w:rPr>
                <w:rFonts w:eastAsia="Times New Roman"/>
                <w:sz w:val="20"/>
                <w:szCs w:val="20"/>
              </w:rPr>
            </w:pPr>
          </w:p>
        </w:tc>
        <w:tc>
          <w:tcPr>
            <w:tcW w:w="0" w:type="auto"/>
            <w:vAlign w:val="center"/>
            <w:hideMark/>
          </w:tcPr>
          <w:p w14:paraId="22FA3A01" w14:textId="77777777" w:rsidR="00000000" w:rsidRDefault="00EE5306">
            <w:pPr>
              <w:spacing w:after="100"/>
              <w:rPr>
                <w:rFonts w:eastAsia="Times New Roman"/>
                <w:sz w:val="20"/>
                <w:szCs w:val="20"/>
              </w:rPr>
            </w:pPr>
          </w:p>
        </w:tc>
        <w:tc>
          <w:tcPr>
            <w:tcW w:w="0" w:type="auto"/>
            <w:vAlign w:val="center"/>
            <w:hideMark/>
          </w:tcPr>
          <w:p w14:paraId="74900EFA" w14:textId="77777777" w:rsidR="00000000" w:rsidRDefault="00EE5306">
            <w:pPr>
              <w:spacing w:after="100"/>
              <w:rPr>
                <w:rFonts w:eastAsia="Times New Roman"/>
                <w:sz w:val="20"/>
                <w:szCs w:val="20"/>
              </w:rPr>
            </w:pPr>
          </w:p>
        </w:tc>
        <w:tc>
          <w:tcPr>
            <w:tcW w:w="0" w:type="auto"/>
            <w:vAlign w:val="center"/>
            <w:hideMark/>
          </w:tcPr>
          <w:p w14:paraId="559B8C1F" w14:textId="77777777" w:rsidR="00000000" w:rsidRDefault="00EE5306">
            <w:pPr>
              <w:spacing w:after="100"/>
              <w:rPr>
                <w:rFonts w:eastAsia="Times New Roman"/>
                <w:sz w:val="20"/>
                <w:szCs w:val="20"/>
              </w:rPr>
            </w:pPr>
          </w:p>
        </w:tc>
      </w:tr>
      <w:tr w:rsidR="00000000" w14:paraId="6D58E804" w14:textId="77777777">
        <w:trPr>
          <w:divId w:val="1747341039"/>
        </w:trPr>
        <w:tc>
          <w:tcPr>
            <w:tcW w:w="0" w:type="auto"/>
            <w:gridSpan w:val="3"/>
            <w:shd w:val="clear" w:color="auto" w:fill="CCEEFF"/>
            <w:tcMar>
              <w:top w:w="30" w:type="dxa"/>
              <w:left w:w="20" w:type="dxa"/>
              <w:bottom w:w="30" w:type="dxa"/>
              <w:right w:w="20" w:type="dxa"/>
            </w:tcMar>
            <w:vAlign w:val="bottom"/>
            <w:hideMark/>
          </w:tcPr>
          <w:p w14:paraId="0E439DC5" w14:textId="77777777" w:rsidR="00000000" w:rsidRDefault="00EE5306">
            <w:pPr>
              <w:spacing w:after="100"/>
              <w:rPr>
                <w:rFonts w:eastAsia="Times New Roman"/>
              </w:rPr>
            </w:pPr>
            <w:r>
              <w:rPr>
                <w:rFonts w:eastAsia="Times New Roman"/>
                <w:b/>
                <w:bCs/>
                <w:color w:val="000000"/>
                <w:sz w:val="20"/>
                <w:szCs w:val="20"/>
              </w:rPr>
              <w:t>Cash-related restructuring charges:</w:t>
            </w:r>
          </w:p>
        </w:tc>
        <w:tc>
          <w:tcPr>
            <w:tcW w:w="0" w:type="auto"/>
            <w:gridSpan w:val="3"/>
            <w:shd w:val="clear" w:color="auto" w:fill="CCEEFF"/>
            <w:tcMar>
              <w:top w:w="0" w:type="dxa"/>
              <w:left w:w="20" w:type="dxa"/>
              <w:bottom w:w="0" w:type="dxa"/>
              <w:right w:w="20" w:type="dxa"/>
            </w:tcMar>
            <w:vAlign w:val="center"/>
            <w:hideMark/>
          </w:tcPr>
          <w:p w14:paraId="5308542D"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921260" w14:textId="77777777" w:rsidR="00000000" w:rsidRDefault="00EE5306">
            <w:pPr>
              <w:spacing w:after="100"/>
              <w:rPr>
                <w:rFonts w:eastAsia="Times New Roman"/>
                <w:sz w:val="20"/>
                <w:szCs w:val="20"/>
              </w:rPr>
            </w:pPr>
          </w:p>
        </w:tc>
        <w:tc>
          <w:tcPr>
            <w:tcW w:w="0" w:type="auto"/>
            <w:gridSpan w:val="3"/>
            <w:vAlign w:val="center"/>
            <w:hideMark/>
          </w:tcPr>
          <w:p w14:paraId="5BD7A00D" w14:textId="77777777" w:rsidR="00000000" w:rsidRDefault="00EE5306">
            <w:pPr>
              <w:spacing w:after="100"/>
              <w:rPr>
                <w:rFonts w:eastAsia="Times New Roman"/>
                <w:sz w:val="20"/>
                <w:szCs w:val="20"/>
              </w:rPr>
            </w:pPr>
          </w:p>
        </w:tc>
        <w:tc>
          <w:tcPr>
            <w:tcW w:w="0" w:type="auto"/>
            <w:gridSpan w:val="3"/>
            <w:vAlign w:val="center"/>
            <w:hideMark/>
          </w:tcPr>
          <w:p w14:paraId="7A23EEE2" w14:textId="77777777" w:rsidR="00000000" w:rsidRDefault="00EE5306">
            <w:pPr>
              <w:spacing w:after="100"/>
              <w:rPr>
                <w:rFonts w:eastAsia="Times New Roman"/>
                <w:sz w:val="20"/>
                <w:szCs w:val="20"/>
              </w:rPr>
            </w:pPr>
          </w:p>
        </w:tc>
        <w:tc>
          <w:tcPr>
            <w:tcW w:w="0" w:type="auto"/>
            <w:gridSpan w:val="3"/>
            <w:vAlign w:val="center"/>
            <w:hideMark/>
          </w:tcPr>
          <w:p w14:paraId="4F904970" w14:textId="77777777" w:rsidR="00000000" w:rsidRDefault="00EE5306">
            <w:pPr>
              <w:spacing w:after="100"/>
              <w:rPr>
                <w:rFonts w:eastAsia="Times New Roman"/>
                <w:sz w:val="20"/>
                <w:szCs w:val="20"/>
              </w:rPr>
            </w:pPr>
          </w:p>
        </w:tc>
        <w:tc>
          <w:tcPr>
            <w:tcW w:w="0" w:type="auto"/>
            <w:gridSpan w:val="3"/>
            <w:vAlign w:val="center"/>
            <w:hideMark/>
          </w:tcPr>
          <w:p w14:paraId="6D5E38E8" w14:textId="77777777" w:rsidR="00000000" w:rsidRDefault="00EE5306">
            <w:pPr>
              <w:spacing w:after="100"/>
              <w:rPr>
                <w:rFonts w:eastAsia="Times New Roman"/>
                <w:sz w:val="20"/>
                <w:szCs w:val="20"/>
              </w:rPr>
            </w:pPr>
          </w:p>
        </w:tc>
        <w:tc>
          <w:tcPr>
            <w:tcW w:w="0" w:type="auto"/>
            <w:gridSpan w:val="3"/>
            <w:vAlign w:val="center"/>
            <w:hideMark/>
          </w:tcPr>
          <w:p w14:paraId="52BA19B6" w14:textId="77777777" w:rsidR="00000000" w:rsidRDefault="00EE5306">
            <w:pPr>
              <w:spacing w:after="100"/>
              <w:rPr>
                <w:rFonts w:eastAsia="Times New Roman"/>
                <w:sz w:val="20"/>
                <w:szCs w:val="20"/>
              </w:rPr>
            </w:pPr>
          </w:p>
        </w:tc>
        <w:tc>
          <w:tcPr>
            <w:tcW w:w="0" w:type="auto"/>
            <w:gridSpan w:val="3"/>
            <w:vAlign w:val="center"/>
            <w:hideMark/>
          </w:tcPr>
          <w:p w14:paraId="487937A7" w14:textId="77777777" w:rsidR="00000000" w:rsidRDefault="00EE5306">
            <w:pPr>
              <w:spacing w:after="100"/>
              <w:rPr>
                <w:rFonts w:eastAsia="Times New Roman"/>
                <w:sz w:val="20"/>
                <w:szCs w:val="20"/>
              </w:rPr>
            </w:pPr>
          </w:p>
        </w:tc>
      </w:tr>
      <w:tr w:rsidR="00000000" w14:paraId="53F9F34F" w14:textId="77777777">
        <w:trPr>
          <w:divId w:val="1747341039"/>
        </w:trPr>
        <w:tc>
          <w:tcPr>
            <w:tcW w:w="0" w:type="auto"/>
            <w:gridSpan w:val="3"/>
            <w:shd w:val="clear" w:color="auto" w:fill="FFFFFF"/>
            <w:tcMar>
              <w:top w:w="30" w:type="dxa"/>
              <w:left w:w="155" w:type="dxa"/>
              <w:bottom w:w="30" w:type="dxa"/>
              <w:right w:w="20" w:type="dxa"/>
            </w:tcMar>
            <w:vAlign w:val="bottom"/>
            <w:hideMark/>
          </w:tcPr>
          <w:p w14:paraId="06C9E64E" w14:textId="77777777" w:rsidR="00000000" w:rsidRDefault="00EE5306">
            <w:pPr>
              <w:spacing w:after="100"/>
              <w:rPr>
                <w:rFonts w:eastAsia="Times New Roman"/>
              </w:rPr>
            </w:pPr>
            <w:r>
              <w:rPr>
                <w:rFonts w:eastAsia="Times New Roman"/>
                <w:color w:val="000000"/>
                <w:sz w:val="20"/>
                <w:szCs w:val="20"/>
              </w:rPr>
              <w:t>Severance and benefit costs</w:t>
            </w:r>
          </w:p>
        </w:tc>
        <w:tc>
          <w:tcPr>
            <w:tcW w:w="0" w:type="auto"/>
            <w:gridSpan w:val="3"/>
            <w:shd w:val="clear" w:color="auto" w:fill="FFFFFF"/>
            <w:tcMar>
              <w:top w:w="0" w:type="dxa"/>
              <w:left w:w="20" w:type="dxa"/>
              <w:bottom w:w="0" w:type="dxa"/>
              <w:right w:w="20" w:type="dxa"/>
            </w:tcMar>
            <w:vAlign w:val="center"/>
            <w:hideMark/>
          </w:tcPr>
          <w:p w14:paraId="0A94F3C3"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F5846E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A3BA58" w14:textId="77777777" w:rsidR="00000000" w:rsidRDefault="00EE5306">
            <w:pPr>
              <w:spacing w:after="100"/>
              <w:jc w:val="right"/>
              <w:rPr>
                <w:rFonts w:eastAsia="Times New Roman"/>
              </w:rPr>
            </w:pPr>
            <w:r>
              <w:rPr>
                <w:rFonts w:eastAsia="Times New Roman"/>
                <w:color w:val="000000"/>
                <w:sz w:val="20"/>
                <w:szCs w:val="20"/>
              </w:rPr>
              <w:t>144.2 </w:t>
            </w:r>
          </w:p>
        </w:tc>
        <w:tc>
          <w:tcPr>
            <w:tcW w:w="0" w:type="auto"/>
            <w:shd w:val="clear" w:color="auto" w:fill="FFFFFF"/>
            <w:tcMar>
              <w:top w:w="30" w:type="dxa"/>
              <w:left w:w="0" w:type="dxa"/>
              <w:bottom w:w="30" w:type="dxa"/>
              <w:right w:w="20" w:type="dxa"/>
            </w:tcMar>
            <w:vAlign w:val="bottom"/>
            <w:hideMark/>
          </w:tcPr>
          <w:p w14:paraId="4C3099EF" w14:textId="77777777" w:rsidR="00000000" w:rsidRDefault="00EE5306">
            <w:pPr>
              <w:spacing w:after="100"/>
              <w:jc w:val="right"/>
              <w:rPr>
                <w:rFonts w:eastAsia="Times New Roman"/>
              </w:rPr>
            </w:pPr>
          </w:p>
        </w:tc>
        <w:tc>
          <w:tcPr>
            <w:tcW w:w="0" w:type="auto"/>
            <w:gridSpan w:val="3"/>
            <w:vAlign w:val="center"/>
            <w:hideMark/>
          </w:tcPr>
          <w:p w14:paraId="7F8E491A" w14:textId="77777777" w:rsidR="00000000" w:rsidRDefault="00EE5306">
            <w:pPr>
              <w:spacing w:after="100"/>
              <w:jc w:val="right"/>
              <w:rPr>
                <w:rFonts w:eastAsia="Times New Roman"/>
                <w:sz w:val="20"/>
                <w:szCs w:val="20"/>
              </w:rPr>
            </w:pPr>
          </w:p>
        </w:tc>
        <w:tc>
          <w:tcPr>
            <w:tcW w:w="0" w:type="auto"/>
            <w:gridSpan w:val="3"/>
            <w:vAlign w:val="center"/>
            <w:hideMark/>
          </w:tcPr>
          <w:p w14:paraId="10975E23" w14:textId="77777777" w:rsidR="00000000" w:rsidRDefault="00EE5306">
            <w:pPr>
              <w:spacing w:after="100"/>
              <w:rPr>
                <w:rFonts w:eastAsia="Times New Roman"/>
                <w:sz w:val="20"/>
                <w:szCs w:val="20"/>
              </w:rPr>
            </w:pPr>
          </w:p>
        </w:tc>
        <w:tc>
          <w:tcPr>
            <w:tcW w:w="0" w:type="auto"/>
            <w:gridSpan w:val="3"/>
            <w:vAlign w:val="center"/>
            <w:hideMark/>
          </w:tcPr>
          <w:p w14:paraId="1A032994" w14:textId="77777777" w:rsidR="00000000" w:rsidRDefault="00EE5306">
            <w:pPr>
              <w:spacing w:after="100"/>
              <w:rPr>
                <w:rFonts w:eastAsia="Times New Roman"/>
                <w:sz w:val="20"/>
                <w:szCs w:val="20"/>
              </w:rPr>
            </w:pPr>
          </w:p>
        </w:tc>
        <w:tc>
          <w:tcPr>
            <w:tcW w:w="0" w:type="auto"/>
            <w:gridSpan w:val="3"/>
            <w:vAlign w:val="center"/>
            <w:hideMark/>
          </w:tcPr>
          <w:p w14:paraId="065EC379" w14:textId="77777777" w:rsidR="00000000" w:rsidRDefault="00EE5306">
            <w:pPr>
              <w:spacing w:after="100"/>
              <w:rPr>
                <w:rFonts w:eastAsia="Times New Roman"/>
                <w:sz w:val="20"/>
                <w:szCs w:val="20"/>
              </w:rPr>
            </w:pPr>
          </w:p>
        </w:tc>
        <w:tc>
          <w:tcPr>
            <w:tcW w:w="0" w:type="auto"/>
            <w:gridSpan w:val="3"/>
            <w:vAlign w:val="center"/>
            <w:hideMark/>
          </w:tcPr>
          <w:p w14:paraId="7C7DAEFA" w14:textId="77777777" w:rsidR="00000000" w:rsidRDefault="00EE5306">
            <w:pPr>
              <w:spacing w:after="100"/>
              <w:rPr>
                <w:rFonts w:eastAsia="Times New Roman"/>
                <w:sz w:val="20"/>
                <w:szCs w:val="20"/>
              </w:rPr>
            </w:pPr>
          </w:p>
        </w:tc>
        <w:tc>
          <w:tcPr>
            <w:tcW w:w="0" w:type="auto"/>
            <w:gridSpan w:val="3"/>
            <w:vAlign w:val="center"/>
            <w:hideMark/>
          </w:tcPr>
          <w:p w14:paraId="7CAEAB98" w14:textId="77777777" w:rsidR="00000000" w:rsidRDefault="00EE5306">
            <w:pPr>
              <w:spacing w:after="100"/>
              <w:rPr>
                <w:rFonts w:eastAsia="Times New Roman"/>
                <w:sz w:val="20"/>
                <w:szCs w:val="20"/>
              </w:rPr>
            </w:pPr>
          </w:p>
        </w:tc>
      </w:tr>
      <w:tr w:rsidR="00000000" w14:paraId="0256EABF" w14:textId="77777777">
        <w:trPr>
          <w:divId w:val="1747341039"/>
        </w:trPr>
        <w:tc>
          <w:tcPr>
            <w:tcW w:w="0" w:type="auto"/>
            <w:gridSpan w:val="3"/>
            <w:vAlign w:val="center"/>
            <w:hideMark/>
          </w:tcPr>
          <w:p w14:paraId="36F7F8BD" w14:textId="77777777" w:rsidR="00000000" w:rsidRDefault="00EE5306">
            <w:pPr>
              <w:spacing w:after="100"/>
              <w:rPr>
                <w:rFonts w:eastAsia="Times New Roman"/>
                <w:sz w:val="20"/>
                <w:szCs w:val="20"/>
              </w:rPr>
            </w:pPr>
          </w:p>
        </w:tc>
        <w:tc>
          <w:tcPr>
            <w:tcW w:w="0" w:type="auto"/>
            <w:gridSpan w:val="3"/>
            <w:vAlign w:val="center"/>
            <w:hideMark/>
          </w:tcPr>
          <w:p w14:paraId="620E38BC" w14:textId="77777777" w:rsidR="00000000" w:rsidRDefault="00EE5306">
            <w:pPr>
              <w:spacing w:after="100"/>
              <w:rPr>
                <w:rFonts w:eastAsia="Times New Roman"/>
                <w:sz w:val="20"/>
                <w:szCs w:val="20"/>
              </w:rPr>
            </w:pPr>
          </w:p>
        </w:tc>
        <w:tc>
          <w:tcPr>
            <w:tcW w:w="0" w:type="auto"/>
            <w:gridSpan w:val="3"/>
            <w:vAlign w:val="center"/>
            <w:hideMark/>
          </w:tcPr>
          <w:p w14:paraId="56A3687A" w14:textId="77777777" w:rsidR="00000000" w:rsidRDefault="00EE5306">
            <w:pPr>
              <w:spacing w:after="100"/>
              <w:rPr>
                <w:rFonts w:eastAsia="Times New Roman"/>
                <w:sz w:val="20"/>
                <w:szCs w:val="20"/>
              </w:rPr>
            </w:pPr>
          </w:p>
        </w:tc>
        <w:tc>
          <w:tcPr>
            <w:tcW w:w="0" w:type="auto"/>
            <w:gridSpan w:val="3"/>
            <w:vAlign w:val="center"/>
            <w:hideMark/>
          </w:tcPr>
          <w:p w14:paraId="55EBE48A" w14:textId="77777777" w:rsidR="00000000" w:rsidRDefault="00EE5306">
            <w:pPr>
              <w:spacing w:after="100"/>
              <w:rPr>
                <w:rFonts w:eastAsia="Times New Roman"/>
                <w:sz w:val="20"/>
                <w:szCs w:val="20"/>
              </w:rPr>
            </w:pPr>
          </w:p>
        </w:tc>
        <w:tc>
          <w:tcPr>
            <w:tcW w:w="0" w:type="auto"/>
            <w:gridSpan w:val="3"/>
            <w:vAlign w:val="center"/>
            <w:hideMark/>
          </w:tcPr>
          <w:p w14:paraId="55AB6244" w14:textId="77777777" w:rsidR="00000000" w:rsidRDefault="00EE5306">
            <w:pPr>
              <w:spacing w:after="100"/>
              <w:rPr>
                <w:rFonts w:eastAsia="Times New Roman"/>
                <w:sz w:val="20"/>
                <w:szCs w:val="20"/>
              </w:rPr>
            </w:pPr>
          </w:p>
        </w:tc>
        <w:tc>
          <w:tcPr>
            <w:tcW w:w="0" w:type="auto"/>
            <w:gridSpan w:val="3"/>
            <w:vAlign w:val="center"/>
            <w:hideMark/>
          </w:tcPr>
          <w:p w14:paraId="2AE5A644" w14:textId="77777777" w:rsidR="00000000" w:rsidRDefault="00EE5306">
            <w:pPr>
              <w:spacing w:after="100"/>
              <w:rPr>
                <w:rFonts w:eastAsia="Times New Roman"/>
                <w:sz w:val="20"/>
                <w:szCs w:val="20"/>
              </w:rPr>
            </w:pPr>
          </w:p>
        </w:tc>
        <w:tc>
          <w:tcPr>
            <w:tcW w:w="0" w:type="auto"/>
            <w:gridSpan w:val="3"/>
            <w:vAlign w:val="center"/>
            <w:hideMark/>
          </w:tcPr>
          <w:p w14:paraId="47285731" w14:textId="77777777" w:rsidR="00000000" w:rsidRDefault="00EE5306">
            <w:pPr>
              <w:spacing w:after="100"/>
              <w:rPr>
                <w:rFonts w:eastAsia="Times New Roman"/>
                <w:sz w:val="20"/>
                <w:szCs w:val="20"/>
              </w:rPr>
            </w:pPr>
          </w:p>
        </w:tc>
        <w:tc>
          <w:tcPr>
            <w:tcW w:w="0" w:type="auto"/>
            <w:gridSpan w:val="3"/>
            <w:vAlign w:val="center"/>
            <w:hideMark/>
          </w:tcPr>
          <w:p w14:paraId="71A5E07E" w14:textId="77777777" w:rsidR="00000000" w:rsidRDefault="00EE5306">
            <w:pPr>
              <w:spacing w:after="100"/>
              <w:rPr>
                <w:rFonts w:eastAsia="Times New Roman"/>
                <w:sz w:val="20"/>
                <w:szCs w:val="20"/>
              </w:rPr>
            </w:pPr>
          </w:p>
        </w:tc>
        <w:tc>
          <w:tcPr>
            <w:tcW w:w="0" w:type="auto"/>
            <w:gridSpan w:val="3"/>
            <w:vAlign w:val="center"/>
            <w:hideMark/>
          </w:tcPr>
          <w:p w14:paraId="03A23EFC" w14:textId="77777777" w:rsidR="00000000" w:rsidRDefault="00EE5306">
            <w:pPr>
              <w:spacing w:after="100"/>
              <w:rPr>
                <w:rFonts w:eastAsia="Times New Roman"/>
                <w:sz w:val="20"/>
                <w:szCs w:val="20"/>
              </w:rPr>
            </w:pPr>
          </w:p>
        </w:tc>
      </w:tr>
      <w:tr w:rsidR="00000000" w14:paraId="29CFCCA5" w14:textId="77777777">
        <w:trPr>
          <w:divId w:val="1747341039"/>
        </w:trPr>
        <w:tc>
          <w:tcPr>
            <w:tcW w:w="0" w:type="auto"/>
            <w:gridSpan w:val="3"/>
            <w:shd w:val="clear" w:color="auto" w:fill="CCEEFF"/>
            <w:tcMar>
              <w:top w:w="30" w:type="dxa"/>
              <w:left w:w="155" w:type="dxa"/>
              <w:bottom w:w="30" w:type="dxa"/>
              <w:right w:w="20" w:type="dxa"/>
            </w:tcMar>
            <w:vAlign w:val="bottom"/>
            <w:hideMark/>
          </w:tcPr>
          <w:p w14:paraId="5B784068" w14:textId="77777777" w:rsidR="00000000" w:rsidRDefault="00EE5306">
            <w:pPr>
              <w:spacing w:after="100"/>
              <w:rPr>
                <w:rFonts w:eastAsia="Times New Roman"/>
              </w:rPr>
            </w:pPr>
            <w:r>
              <w:rPr>
                <w:rFonts w:eastAsia="Times New Roman"/>
                <w:color w:val="000000"/>
                <w:sz w:val="20"/>
                <w:szCs w:val="20"/>
              </w:rPr>
              <w:t>Other cash charges</w:t>
            </w:r>
          </w:p>
        </w:tc>
        <w:tc>
          <w:tcPr>
            <w:tcW w:w="0" w:type="auto"/>
            <w:gridSpan w:val="3"/>
            <w:shd w:val="clear" w:color="auto" w:fill="CCEEFF"/>
            <w:tcMar>
              <w:top w:w="0" w:type="dxa"/>
              <w:left w:w="20" w:type="dxa"/>
              <w:bottom w:w="0" w:type="dxa"/>
              <w:right w:w="20" w:type="dxa"/>
            </w:tcMar>
            <w:vAlign w:val="center"/>
            <w:hideMark/>
          </w:tcPr>
          <w:p w14:paraId="2F4BB744"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C28240" w14:textId="77777777" w:rsidR="00000000" w:rsidRDefault="00EE5306">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14:paraId="6F0B7CDB" w14:textId="77777777" w:rsidR="00000000" w:rsidRDefault="00EE5306">
            <w:pPr>
              <w:spacing w:after="100"/>
              <w:jc w:val="right"/>
              <w:rPr>
                <w:rFonts w:eastAsia="Times New Roman"/>
              </w:rPr>
            </w:pPr>
          </w:p>
        </w:tc>
        <w:tc>
          <w:tcPr>
            <w:tcW w:w="0" w:type="auto"/>
            <w:gridSpan w:val="3"/>
            <w:vAlign w:val="center"/>
            <w:hideMark/>
          </w:tcPr>
          <w:p w14:paraId="26C1D2D3" w14:textId="77777777" w:rsidR="00000000" w:rsidRDefault="00EE5306">
            <w:pPr>
              <w:spacing w:after="100"/>
              <w:jc w:val="right"/>
              <w:rPr>
                <w:rFonts w:eastAsia="Times New Roman"/>
                <w:sz w:val="20"/>
                <w:szCs w:val="20"/>
              </w:rPr>
            </w:pPr>
          </w:p>
        </w:tc>
        <w:tc>
          <w:tcPr>
            <w:tcW w:w="0" w:type="auto"/>
            <w:gridSpan w:val="3"/>
            <w:vAlign w:val="center"/>
            <w:hideMark/>
          </w:tcPr>
          <w:p w14:paraId="74C1A677" w14:textId="77777777" w:rsidR="00000000" w:rsidRDefault="00EE5306">
            <w:pPr>
              <w:spacing w:after="100"/>
              <w:rPr>
                <w:rFonts w:eastAsia="Times New Roman"/>
                <w:sz w:val="20"/>
                <w:szCs w:val="20"/>
              </w:rPr>
            </w:pPr>
          </w:p>
        </w:tc>
        <w:tc>
          <w:tcPr>
            <w:tcW w:w="0" w:type="auto"/>
            <w:gridSpan w:val="3"/>
            <w:vAlign w:val="center"/>
            <w:hideMark/>
          </w:tcPr>
          <w:p w14:paraId="441C1DD0" w14:textId="77777777" w:rsidR="00000000" w:rsidRDefault="00EE5306">
            <w:pPr>
              <w:spacing w:after="100"/>
              <w:rPr>
                <w:rFonts w:eastAsia="Times New Roman"/>
                <w:sz w:val="20"/>
                <w:szCs w:val="20"/>
              </w:rPr>
            </w:pPr>
          </w:p>
        </w:tc>
        <w:tc>
          <w:tcPr>
            <w:tcW w:w="0" w:type="auto"/>
            <w:gridSpan w:val="3"/>
            <w:vAlign w:val="center"/>
            <w:hideMark/>
          </w:tcPr>
          <w:p w14:paraId="05B094B3" w14:textId="77777777" w:rsidR="00000000" w:rsidRDefault="00EE5306">
            <w:pPr>
              <w:spacing w:after="100"/>
              <w:rPr>
                <w:rFonts w:eastAsia="Times New Roman"/>
                <w:sz w:val="20"/>
                <w:szCs w:val="20"/>
              </w:rPr>
            </w:pPr>
          </w:p>
        </w:tc>
        <w:tc>
          <w:tcPr>
            <w:tcW w:w="0" w:type="auto"/>
            <w:gridSpan w:val="3"/>
            <w:vAlign w:val="center"/>
            <w:hideMark/>
          </w:tcPr>
          <w:p w14:paraId="62454C3A" w14:textId="77777777" w:rsidR="00000000" w:rsidRDefault="00EE5306">
            <w:pPr>
              <w:spacing w:after="100"/>
              <w:rPr>
                <w:rFonts w:eastAsia="Times New Roman"/>
                <w:sz w:val="20"/>
                <w:szCs w:val="20"/>
              </w:rPr>
            </w:pPr>
          </w:p>
        </w:tc>
        <w:tc>
          <w:tcPr>
            <w:tcW w:w="0" w:type="auto"/>
            <w:gridSpan w:val="3"/>
            <w:vAlign w:val="center"/>
            <w:hideMark/>
          </w:tcPr>
          <w:p w14:paraId="178A2590" w14:textId="77777777" w:rsidR="00000000" w:rsidRDefault="00EE5306">
            <w:pPr>
              <w:spacing w:after="100"/>
              <w:rPr>
                <w:rFonts w:eastAsia="Times New Roman"/>
                <w:sz w:val="20"/>
                <w:szCs w:val="20"/>
              </w:rPr>
            </w:pPr>
          </w:p>
        </w:tc>
      </w:tr>
      <w:tr w:rsidR="00000000" w14:paraId="652DB7C8" w14:textId="77777777">
        <w:trPr>
          <w:divId w:val="1747341039"/>
        </w:trPr>
        <w:tc>
          <w:tcPr>
            <w:tcW w:w="0" w:type="auto"/>
            <w:gridSpan w:val="3"/>
            <w:shd w:val="clear" w:color="auto" w:fill="FFFFFF"/>
            <w:tcMar>
              <w:top w:w="30" w:type="dxa"/>
              <w:left w:w="245" w:type="dxa"/>
              <w:bottom w:w="30" w:type="dxa"/>
              <w:right w:w="20" w:type="dxa"/>
            </w:tcMar>
            <w:vAlign w:val="bottom"/>
            <w:hideMark/>
          </w:tcPr>
          <w:p w14:paraId="23EAACC9" w14:textId="77777777" w:rsidR="00000000" w:rsidRDefault="00EE5306">
            <w:pPr>
              <w:spacing w:after="100"/>
              <w:rPr>
                <w:rFonts w:eastAsia="Times New Roman"/>
              </w:rPr>
            </w:pPr>
            <w:r>
              <w:rPr>
                <w:rFonts w:eastAsia="Times New Roman"/>
                <w:color w:val="000000"/>
                <w:sz w:val="20"/>
                <w:szCs w:val="20"/>
              </w:rPr>
              <w:t>Total cash-related restructuring charges</w:t>
            </w:r>
          </w:p>
        </w:tc>
        <w:tc>
          <w:tcPr>
            <w:tcW w:w="0" w:type="auto"/>
            <w:gridSpan w:val="3"/>
            <w:shd w:val="clear" w:color="auto" w:fill="FFFFFF"/>
            <w:tcMar>
              <w:top w:w="0" w:type="dxa"/>
              <w:left w:w="20" w:type="dxa"/>
              <w:bottom w:w="0" w:type="dxa"/>
              <w:right w:w="20" w:type="dxa"/>
            </w:tcMar>
            <w:vAlign w:val="center"/>
            <w:hideMark/>
          </w:tcPr>
          <w:p w14:paraId="7CF3627F"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16AD48" w14:textId="77777777" w:rsidR="00000000" w:rsidRDefault="00EE5306">
            <w:pPr>
              <w:spacing w:after="100"/>
              <w:jc w:val="right"/>
              <w:rPr>
                <w:rFonts w:eastAsia="Times New Roman"/>
              </w:rPr>
            </w:pPr>
            <w:r>
              <w:rPr>
                <w:rFonts w:eastAsia="Times New Roman"/>
                <w:color w:val="000000"/>
                <w:sz w:val="20"/>
                <w:szCs w:val="20"/>
              </w:rPr>
              <w:t>159.1 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026279" w14:textId="77777777" w:rsidR="00000000" w:rsidRDefault="00EE5306">
            <w:pPr>
              <w:spacing w:after="100"/>
              <w:jc w:val="right"/>
              <w:rPr>
                <w:rFonts w:eastAsia="Times New Roman"/>
              </w:rPr>
            </w:pPr>
          </w:p>
        </w:tc>
        <w:tc>
          <w:tcPr>
            <w:tcW w:w="0" w:type="auto"/>
            <w:gridSpan w:val="3"/>
            <w:vAlign w:val="center"/>
            <w:hideMark/>
          </w:tcPr>
          <w:p w14:paraId="73888216" w14:textId="77777777" w:rsidR="00000000" w:rsidRDefault="00EE5306">
            <w:pPr>
              <w:spacing w:after="100"/>
              <w:jc w:val="right"/>
              <w:rPr>
                <w:rFonts w:eastAsia="Times New Roman"/>
                <w:sz w:val="20"/>
                <w:szCs w:val="20"/>
              </w:rPr>
            </w:pPr>
          </w:p>
        </w:tc>
        <w:tc>
          <w:tcPr>
            <w:tcW w:w="0" w:type="auto"/>
            <w:gridSpan w:val="3"/>
            <w:vAlign w:val="center"/>
            <w:hideMark/>
          </w:tcPr>
          <w:p w14:paraId="56F386CB" w14:textId="77777777" w:rsidR="00000000" w:rsidRDefault="00EE5306">
            <w:pPr>
              <w:spacing w:after="100"/>
              <w:rPr>
                <w:rFonts w:eastAsia="Times New Roman"/>
                <w:sz w:val="20"/>
                <w:szCs w:val="20"/>
              </w:rPr>
            </w:pPr>
          </w:p>
        </w:tc>
        <w:tc>
          <w:tcPr>
            <w:tcW w:w="0" w:type="auto"/>
            <w:gridSpan w:val="3"/>
            <w:vAlign w:val="center"/>
            <w:hideMark/>
          </w:tcPr>
          <w:p w14:paraId="5786FCE0" w14:textId="77777777" w:rsidR="00000000" w:rsidRDefault="00EE5306">
            <w:pPr>
              <w:spacing w:after="100"/>
              <w:rPr>
                <w:rFonts w:eastAsia="Times New Roman"/>
                <w:sz w:val="20"/>
                <w:szCs w:val="20"/>
              </w:rPr>
            </w:pPr>
          </w:p>
        </w:tc>
        <w:tc>
          <w:tcPr>
            <w:tcW w:w="0" w:type="auto"/>
            <w:gridSpan w:val="3"/>
            <w:vAlign w:val="center"/>
            <w:hideMark/>
          </w:tcPr>
          <w:p w14:paraId="70A00320" w14:textId="77777777" w:rsidR="00000000" w:rsidRDefault="00EE5306">
            <w:pPr>
              <w:spacing w:after="100"/>
              <w:rPr>
                <w:rFonts w:eastAsia="Times New Roman"/>
                <w:sz w:val="20"/>
                <w:szCs w:val="20"/>
              </w:rPr>
            </w:pPr>
          </w:p>
        </w:tc>
        <w:tc>
          <w:tcPr>
            <w:tcW w:w="0" w:type="auto"/>
            <w:gridSpan w:val="3"/>
            <w:vAlign w:val="center"/>
            <w:hideMark/>
          </w:tcPr>
          <w:p w14:paraId="45A4D617" w14:textId="77777777" w:rsidR="00000000" w:rsidRDefault="00EE5306">
            <w:pPr>
              <w:spacing w:after="100"/>
              <w:rPr>
                <w:rFonts w:eastAsia="Times New Roman"/>
                <w:sz w:val="20"/>
                <w:szCs w:val="20"/>
              </w:rPr>
            </w:pPr>
          </w:p>
        </w:tc>
        <w:tc>
          <w:tcPr>
            <w:tcW w:w="0" w:type="auto"/>
            <w:gridSpan w:val="3"/>
            <w:vAlign w:val="center"/>
            <w:hideMark/>
          </w:tcPr>
          <w:p w14:paraId="5FB606BF" w14:textId="77777777" w:rsidR="00000000" w:rsidRDefault="00EE5306">
            <w:pPr>
              <w:spacing w:after="100"/>
              <w:rPr>
                <w:rFonts w:eastAsia="Times New Roman"/>
                <w:sz w:val="20"/>
                <w:szCs w:val="20"/>
              </w:rPr>
            </w:pPr>
          </w:p>
        </w:tc>
      </w:tr>
      <w:tr w:rsidR="00000000" w14:paraId="3EBEB026" w14:textId="77777777">
        <w:trPr>
          <w:divId w:val="1747341039"/>
        </w:trPr>
        <w:tc>
          <w:tcPr>
            <w:tcW w:w="0" w:type="auto"/>
            <w:gridSpan w:val="3"/>
            <w:shd w:val="clear" w:color="auto" w:fill="CCEEFF"/>
            <w:tcMar>
              <w:top w:w="30" w:type="dxa"/>
              <w:left w:w="20" w:type="dxa"/>
              <w:bottom w:w="30" w:type="dxa"/>
              <w:right w:w="20" w:type="dxa"/>
            </w:tcMar>
            <w:vAlign w:val="bottom"/>
            <w:hideMark/>
          </w:tcPr>
          <w:p w14:paraId="25F0712A" w14:textId="77777777" w:rsidR="00000000" w:rsidRDefault="00EE5306">
            <w:pPr>
              <w:spacing w:after="100"/>
              <w:rPr>
                <w:rFonts w:eastAsia="Times New Roman"/>
              </w:rPr>
            </w:pPr>
            <w:r>
              <w:rPr>
                <w:rFonts w:eastAsia="Times New Roman"/>
                <w:b/>
                <w:bCs/>
                <w:color w:val="000000"/>
                <w:sz w:val="20"/>
                <w:szCs w:val="20"/>
              </w:rPr>
              <w:t>Non-cash charges:</w:t>
            </w:r>
          </w:p>
        </w:tc>
        <w:tc>
          <w:tcPr>
            <w:tcW w:w="0" w:type="auto"/>
            <w:gridSpan w:val="3"/>
            <w:shd w:val="clear" w:color="auto" w:fill="CCEEFF"/>
            <w:tcMar>
              <w:top w:w="0" w:type="dxa"/>
              <w:left w:w="20" w:type="dxa"/>
              <w:bottom w:w="0" w:type="dxa"/>
              <w:right w:w="20" w:type="dxa"/>
            </w:tcMar>
            <w:vAlign w:val="center"/>
            <w:hideMark/>
          </w:tcPr>
          <w:p w14:paraId="14321541"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660C8B" w14:textId="77777777" w:rsidR="00000000" w:rsidRDefault="00EE5306">
            <w:pPr>
              <w:spacing w:after="100"/>
              <w:rPr>
                <w:rFonts w:eastAsia="Times New Roman"/>
                <w:sz w:val="20"/>
                <w:szCs w:val="20"/>
              </w:rPr>
            </w:pPr>
          </w:p>
        </w:tc>
        <w:tc>
          <w:tcPr>
            <w:tcW w:w="0" w:type="auto"/>
            <w:gridSpan w:val="3"/>
            <w:vAlign w:val="center"/>
            <w:hideMark/>
          </w:tcPr>
          <w:p w14:paraId="45FC1799" w14:textId="77777777" w:rsidR="00000000" w:rsidRDefault="00EE5306">
            <w:pPr>
              <w:spacing w:after="100"/>
              <w:rPr>
                <w:rFonts w:eastAsia="Times New Roman"/>
                <w:sz w:val="20"/>
                <w:szCs w:val="20"/>
              </w:rPr>
            </w:pPr>
          </w:p>
        </w:tc>
        <w:tc>
          <w:tcPr>
            <w:tcW w:w="0" w:type="auto"/>
            <w:gridSpan w:val="3"/>
            <w:vAlign w:val="center"/>
            <w:hideMark/>
          </w:tcPr>
          <w:p w14:paraId="73222005" w14:textId="77777777" w:rsidR="00000000" w:rsidRDefault="00EE5306">
            <w:pPr>
              <w:spacing w:after="100"/>
              <w:rPr>
                <w:rFonts w:eastAsia="Times New Roman"/>
                <w:sz w:val="20"/>
                <w:szCs w:val="20"/>
              </w:rPr>
            </w:pPr>
          </w:p>
        </w:tc>
        <w:tc>
          <w:tcPr>
            <w:tcW w:w="0" w:type="auto"/>
            <w:gridSpan w:val="3"/>
            <w:vAlign w:val="center"/>
            <w:hideMark/>
          </w:tcPr>
          <w:p w14:paraId="7F335F0B" w14:textId="77777777" w:rsidR="00000000" w:rsidRDefault="00EE5306">
            <w:pPr>
              <w:spacing w:after="100"/>
              <w:rPr>
                <w:rFonts w:eastAsia="Times New Roman"/>
                <w:sz w:val="20"/>
                <w:szCs w:val="20"/>
              </w:rPr>
            </w:pPr>
          </w:p>
        </w:tc>
        <w:tc>
          <w:tcPr>
            <w:tcW w:w="0" w:type="auto"/>
            <w:gridSpan w:val="3"/>
            <w:vAlign w:val="center"/>
            <w:hideMark/>
          </w:tcPr>
          <w:p w14:paraId="70D21351" w14:textId="77777777" w:rsidR="00000000" w:rsidRDefault="00EE5306">
            <w:pPr>
              <w:spacing w:after="100"/>
              <w:rPr>
                <w:rFonts w:eastAsia="Times New Roman"/>
                <w:sz w:val="20"/>
                <w:szCs w:val="20"/>
              </w:rPr>
            </w:pPr>
          </w:p>
        </w:tc>
        <w:tc>
          <w:tcPr>
            <w:tcW w:w="0" w:type="auto"/>
            <w:gridSpan w:val="3"/>
            <w:vAlign w:val="center"/>
            <w:hideMark/>
          </w:tcPr>
          <w:p w14:paraId="463C010A" w14:textId="77777777" w:rsidR="00000000" w:rsidRDefault="00EE5306">
            <w:pPr>
              <w:spacing w:after="100"/>
              <w:rPr>
                <w:rFonts w:eastAsia="Times New Roman"/>
                <w:sz w:val="20"/>
                <w:szCs w:val="20"/>
              </w:rPr>
            </w:pPr>
          </w:p>
        </w:tc>
        <w:tc>
          <w:tcPr>
            <w:tcW w:w="0" w:type="auto"/>
            <w:gridSpan w:val="3"/>
            <w:vAlign w:val="center"/>
            <w:hideMark/>
          </w:tcPr>
          <w:p w14:paraId="0700A4CB" w14:textId="77777777" w:rsidR="00000000" w:rsidRDefault="00EE5306">
            <w:pPr>
              <w:spacing w:after="100"/>
              <w:rPr>
                <w:rFonts w:eastAsia="Times New Roman"/>
                <w:sz w:val="20"/>
                <w:szCs w:val="20"/>
              </w:rPr>
            </w:pPr>
          </w:p>
        </w:tc>
      </w:tr>
      <w:tr w:rsidR="00000000" w14:paraId="414A1F95" w14:textId="77777777">
        <w:trPr>
          <w:divId w:val="1747341039"/>
        </w:trPr>
        <w:tc>
          <w:tcPr>
            <w:tcW w:w="0" w:type="auto"/>
            <w:gridSpan w:val="3"/>
            <w:shd w:val="clear" w:color="auto" w:fill="FFFFFF"/>
            <w:tcMar>
              <w:top w:w="30" w:type="dxa"/>
              <w:left w:w="155" w:type="dxa"/>
              <w:bottom w:w="30" w:type="dxa"/>
              <w:right w:w="20" w:type="dxa"/>
            </w:tcMar>
            <w:vAlign w:val="bottom"/>
            <w:hideMark/>
          </w:tcPr>
          <w:p w14:paraId="347888AF" w14:textId="77777777" w:rsidR="00000000" w:rsidRDefault="00EE5306">
            <w:pPr>
              <w:spacing w:after="100"/>
              <w:rPr>
                <w:rFonts w:eastAsia="Times New Roman"/>
              </w:rPr>
            </w:pPr>
            <w:r>
              <w:rPr>
                <w:rFonts w:eastAsia="Times New Roman"/>
                <w:color w:val="000000"/>
                <w:sz w:val="20"/>
                <w:szCs w:val="20"/>
              </w:rPr>
              <w:t>Impairment of assets (see Note 8)</w:t>
            </w:r>
          </w:p>
        </w:tc>
        <w:tc>
          <w:tcPr>
            <w:tcW w:w="0" w:type="auto"/>
            <w:gridSpan w:val="3"/>
            <w:shd w:val="clear" w:color="auto" w:fill="FFFFFF"/>
            <w:tcMar>
              <w:top w:w="0" w:type="dxa"/>
              <w:left w:w="20" w:type="dxa"/>
              <w:bottom w:w="0" w:type="dxa"/>
              <w:right w:w="20" w:type="dxa"/>
            </w:tcMar>
            <w:vAlign w:val="center"/>
            <w:hideMark/>
          </w:tcPr>
          <w:p w14:paraId="0F20641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AD6B66" w14:textId="77777777" w:rsidR="00000000" w:rsidRDefault="00EE5306">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14:paraId="5FFE111A" w14:textId="77777777" w:rsidR="00000000" w:rsidRDefault="00EE5306">
            <w:pPr>
              <w:spacing w:after="100"/>
              <w:jc w:val="right"/>
              <w:rPr>
                <w:rFonts w:eastAsia="Times New Roman"/>
              </w:rPr>
            </w:pPr>
          </w:p>
        </w:tc>
        <w:tc>
          <w:tcPr>
            <w:tcW w:w="0" w:type="auto"/>
            <w:gridSpan w:val="3"/>
            <w:vAlign w:val="center"/>
            <w:hideMark/>
          </w:tcPr>
          <w:p w14:paraId="30E3059D" w14:textId="77777777" w:rsidR="00000000" w:rsidRDefault="00EE5306">
            <w:pPr>
              <w:spacing w:after="100"/>
              <w:jc w:val="right"/>
              <w:rPr>
                <w:rFonts w:eastAsia="Times New Roman"/>
                <w:sz w:val="20"/>
                <w:szCs w:val="20"/>
              </w:rPr>
            </w:pPr>
          </w:p>
        </w:tc>
        <w:tc>
          <w:tcPr>
            <w:tcW w:w="0" w:type="auto"/>
            <w:gridSpan w:val="3"/>
            <w:vAlign w:val="center"/>
            <w:hideMark/>
          </w:tcPr>
          <w:p w14:paraId="105B127C" w14:textId="77777777" w:rsidR="00000000" w:rsidRDefault="00EE5306">
            <w:pPr>
              <w:spacing w:after="100"/>
              <w:rPr>
                <w:rFonts w:eastAsia="Times New Roman"/>
                <w:sz w:val="20"/>
                <w:szCs w:val="20"/>
              </w:rPr>
            </w:pPr>
          </w:p>
        </w:tc>
        <w:tc>
          <w:tcPr>
            <w:tcW w:w="0" w:type="auto"/>
            <w:gridSpan w:val="3"/>
            <w:vAlign w:val="center"/>
            <w:hideMark/>
          </w:tcPr>
          <w:p w14:paraId="10E0C63D" w14:textId="77777777" w:rsidR="00000000" w:rsidRDefault="00EE5306">
            <w:pPr>
              <w:spacing w:after="100"/>
              <w:rPr>
                <w:rFonts w:eastAsia="Times New Roman"/>
                <w:sz w:val="20"/>
                <w:szCs w:val="20"/>
              </w:rPr>
            </w:pPr>
          </w:p>
        </w:tc>
        <w:tc>
          <w:tcPr>
            <w:tcW w:w="0" w:type="auto"/>
            <w:gridSpan w:val="3"/>
            <w:vAlign w:val="center"/>
            <w:hideMark/>
          </w:tcPr>
          <w:p w14:paraId="1A21C590" w14:textId="77777777" w:rsidR="00000000" w:rsidRDefault="00EE5306">
            <w:pPr>
              <w:spacing w:after="100"/>
              <w:rPr>
                <w:rFonts w:eastAsia="Times New Roman"/>
                <w:sz w:val="20"/>
                <w:szCs w:val="20"/>
              </w:rPr>
            </w:pPr>
          </w:p>
        </w:tc>
        <w:tc>
          <w:tcPr>
            <w:tcW w:w="0" w:type="auto"/>
            <w:gridSpan w:val="3"/>
            <w:vAlign w:val="center"/>
            <w:hideMark/>
          </w:tcPr>
          <w:p w14:paraId="1CA4F005" w14:textId="77777777" w:rsidR="00000000" w:rsidRDefault="00EE5306">
            <w:pPr>
              <w:spacing w:after="100"/>
              <w:rPr>
                <w:rFonts w:eastAsia="Times New Roman"/>
                <w:sz w:val="20"/>
                <w:szCs w:val="20"/>
              </w:rPr>
            </w:pPr>
          </w:p>
        </w:tc>
        <w:tc>
          <w:tcPr>
            <w:tcW w:w="0" w:type="auto"/>
            <w:gridSpan w:val="3"/>
            <w:vAlign w:val="center"/>
            <w:hideMark/>
          </w:tcPr>
          <w:p w14:paraId="7E98A6F6" w14:textId="77777777" w:rsidR="00000000" w:rsidRDefault="00EE5306">
            <w:pPr>
              <w:spacing w:after="100"/>
              <w:rPr>
                <w:rFonts w:eastAsia="Times New Roman"/>
                <w:sz w:val="20"/>
                <w:szCs w:val="20"/>
              </w:rPr>
            </w:pPr>
          </w:p>
        </w:tc>
      </w:tr>
      <w:tr w:rsidR="00000000" w14:paraId="61F53B90" w14:textId="77777777">
        <w:trPr>
          <w:divId w:val="1747341039"/>
        </w:trPr>
        <w:tc>
          <w:tcPr>
            <w:tcW w:w="0" w:type="auto"/>
            <w:gridSpan w:val="3"/>
            <w:shd w:val="clear" w:color="auto" w:fill="CCEEFF"/>
            <w:tcMar>
              <w:top w:w="30" w:type="dxa"/>
              <w:left w:w="20" w:type="dxa"/>
              <w:bottom w:w="30" w:type="dxa"/>
              <w:right w:w="20" w:type="dxa"/>
            </w:tcMar>
            <w:vAlign w:val="bottom"/>
            <w:hideMark/>
          </w:tcPr>
          <w:p w14:paraId="53AA667A" w14:textId="77777777" w:rsidR="00000000" w:rsidRDefault="00EE5306">
            <w:pPr>
              <w:spacing w:after="100"/>
              <w:divId w:val="1448307731"/>
              <w:rPr>
                <w:rFonts w:eastAsia="Times New Roman"/>
              </w:rPr>
            </w:pPr>
            <w:r>
              <w:rPr>
                <w:rFonts w:eastAsia="Times New Roman"/>
                <w:color w:val="000000"/>
                <w:sz w:val="20"/>
                <w:szCs w:val="20"/>
              </w:rPr>
              <w:t>Inventory-related charge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B2A3DD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946EE7" w14:textId="77777777" w:rsidR="00000000" w:rsidRDefault="00EE5306">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14:paraId="0F6F540F" w14:textId="77777777" w:rsidR="00000000" w:rsidRDefault="00EE5306">
            <w:pPr>
              <w:spacing w:after="100"/>
              <w:jc w:val="right"/>
              <w:rPr>
                <w:rFonts w:eastAsia="Times New Roman"/>
              </w:rPr>
            </w:pPr>
          </w:p>
        </w:tc>
        <w:tc>
          <w:tcPr>
            <w:tcW w:w="0" w:type="auto"/>
            <w:gridSpan w:val="3"/>
            <w:vAlign w:val="center"/>
            <w:hideMark/>
          </w:tcPr>
          <w:p w14:paraId="3CF88982" w14:textId="77777777" w:rsidR="00000000" w:rsidRDefault="00EE5306">
            <w:pPr>
              <w:spacing w:after="100"/>
              <w:jc w:val="right"/>
              <w:rPr>
                <w:rFonts w:eastAsia="Times New Roman"/>
                <w:sz w:val="20"/>
                <w:szCs w:val="20"/>
              </w:rPr>
            </w:pPr>
          </w:p>
        </w:tc>
        <w:tc>
          <w:tcPr>
            <w:tcW w:w="0" w:type="auto"/>
            <w:gridSpan w:val="3"/>
            <w:vAlign w:val="center"/>
            <w:hideMark/>
          </w:tcPr>
          <w:p w14:paraId="25C013B3" w14:textId="77777777" w:rsidR="00000000" w:rsidRDefault="00EE5306">
            <w:pPr>
              <w:spacing w:after="100"/>
              <w:rPr>
                <w:rFonts w:eastAsia="Times New Roman"/>
                <w:sz w:val="20"/>
                <w:szCs w:val="20"/>
              </w:rPr>
            </w:pPr>
          </w:p>
        </w:tc>
        <w:tc>
          <w:tcPr>
            <w:tcW w:w="0" w:type="auto"/>
            <w:gridSpan w:val="3"/>
            <w:vAlign w:val="center"/>
            <w:hideMark/>
          </w:tcPr>
          <w:p w14:paraId="54C07AD7" w14:textId="77777777" w:rsidR="00000000" w:rsidRDefault="00EE5306">
            <w:pPr>
              <w:spacing w:after="100"/>
              <w:rPr>
                <w:rFonts w:eastAsia="Times New Roman"/>
                <w:sz w:val="20"/>
                <w:szCs w:val="20"/>
              </w:rPr>
            </w:pPr>
          </w:p>
        </w:tc>
        <w:tc>
          <w:tcPr>
            <w:tcW w:w="0" w:type="auto"/>
            <w:gridSpan w:val="3"/>
            <w:vAlign w:val="center"/>
            <w:hideMark/>
          </w:tcPr>
          <w:p w14:paraId="77356883" w14:textId="77777777" w:rsidR="00000000" w:rsidRDefault="00EE5306">
            <w:pPr>
              <w:spacing w:after="100"/>
              <w:rPr>
                <w:rFonts w:eastAsia="Times New Roman"/>
                <w:sz w:val="20"/>
                <w:szCs w:val="20"/>
              </w:rPr>
            </w:pPr>
          </w:p>
        </w:tc>
        <w:tc>
          <w:tcPr>
            <w:tcW w:w="0" w:type="auto"/>
            <w:gridSpan w:val="3"/>
            <w:vAlign w:val="center"/>
            <w:hideMark/>
          </w:tcPr>
          <w:p w14:paraId="56F764B2" w14:textId="77777777" w:rsidR="00000000" w:rsidRDefault="00EE5306">
            <w:pPr>
              <w:spacing w:after="100"/>
              <w:rPr>
                <w:rFonts w:eastAsia="Times New Roman"/>
                <w:sz w:val="20"/>
                <w:szCs w:val="20"/>
              </w:rPr>
            </w:pPr>
          </w:p>
        </w:tc>
        <w:tc>
          <w:tcPr>
            <w:tcW w:w="0" w:type="auto"/>
            <w:gridSpan w:val="3"/>
            <w:vAlign w:val="center"/>
            <w:hideMark/>
          </w:tcPr>
          <w:p w14:paraId="6BDEEB49" w14:textId="77777777" w:rsidR="00000000" w:rsidRDefault="00EE5306">
            <w:pPr>
              <w:spacing w:after="100"/>
              <w:rPr>
                <w:rFonts w:eastAsia="Times New Roman"/>
                <w:sz w:val="20"/>
                <w:szCs w:val="20"/>
              </w:rPr>
            </w:pPr>
          </w:p>
        </w:tc>
      </w:tr>
      <w:tr w:rsidR="00000000" w14:paraId="1088AB04" w14:textId="77777777">
        <w:trPr>
          <w:divId w:val="1747341039"/>
        </w:trPr>
        <w:tc>
          <w:tcPr>
            <w:tcW w:w="0" w:type="auto"/>
            <w:gridSpan w:val="3"/>
            <w:vAlign w:val="center"/>
            <w:hideMark/>
          </w:tcPr>
          <w:p w14:paraId="17FB00D2" w14:textId="77777777" w:rsidR="00000000" w:rsidRDefault="00EE5306">
            <w:pPr>
              <w:spacing w:after="100"/>
              <w:rPr>
                <w:rFonts w:eastAsia="Times New Roman"/>
                <w:sz w:val="20"/>
                <w:szCs w:val="20"/>
              </w:rPr>
            </w:pPr>
          </w:p>
        </w:tc>
        <w:tc>
          <w:tcPr>
            <w:tcW w:w="0" w:type="auto"/>
            <w:gridSpan w:val="3"/>
            <w:vAlign w:val="center"/>
            <w:hideMark/>
          </w:tcPr>
          <w:p w14:paraId="135B3549" w14:textId="77777777" w:rsidR="00000000" w:rsidRDefault="00EE5306">
            <w:pPr>
              <w:spacing w:after="100"/>
              <w:rPr>
                <w:rFonts w:eastAsia="Times New Roman"/>
                <w:sz w:val="20"/>
                <w:szCs w:val="20"/>
              </w:rPr>
            </w:pPr>
          </w:p>
        </w:tc>
        <w:tc>
          <w:tcPr>
            <w:tcW w:w="0" w:type="auto"/>
            <w:gridSpan w:val="3"/>
            <w:vAlign w:val="center"/>
            <w:hideMark/>
          </w:tcPr>
          <w:p w14:paraId="2D17DF74" w14:textId="77777777" w:rsidR="00000000" w:rsidRDefault="00EE5306">
            <w:pPr>
              <w:spacing w:after="100"/>
              <w:rPr>
                <w:rFonts w:eastAsia="Times New Roman"/>
                <w:sz w:val="20"/>
                <w:szCs w:val="20"/>
              </w:rPr>
            </w:pPr>
          </w:p>
        </w:tc>
        <w:tc>
          <w:tcPr>
            <w:tcW w:w="0" w:type="auto"/>
            <w:gridSpan w:val="3"/>
            <w:vAlign w:val="center"/>
            <w:hideMark/>
          </w:tcPr>
          <w:p w14:paraId="07E425E2" w14:textId="77777777" w:rsidR="00000000" w:rsidRDefault="00EE5306">
            <w:pPr>
              <w:spacing w:after="100"/>
              <w:rPr>
                <w:rFonts w:eastAsia="Times New Roman"/>
                <w:sz w:val="20"/>
                <w:szCs w:val="20"/>
              </w:rPr>
            </w:pPr>
          </w:p>
        </w:tc>
        <w:tc>
          <w:tcPr>
            <w:tcW w:w="0" w:type="auto"/>
            <w:gridSpan w:val="3"/>
            <w:vAlign w:val="center"/>
            <w:hideMark/>
          </w:tcPr>
          <w:p w14:paraId="568E002E" w14:textId="77777777" w:rsidR="00000000" w:rsidRDefault="00EE5306">
            <w:pPr>
              <w:spacing w:after="100"/>
              <w:rPr>
                <w:rFonts w:eastAsia="Times New Roman"/>
                <w:sz w:val="20"/>
                <w:szCs w:val="20"/>
              </w:rPr>
            </w:pPr>
          </w:p>
        </w:tc>
        <w:tc>
          <w:tcPr>
            <w:tcW w:w="0" w:type="auto"/>
            <w:gridSpan w:val="3"/>
            <w:vAlign w:val="center"/>
            <w:hideMark/>
          </w:tcPr>
          <w:p w14:paraId="20A9BD94" w14:textId="77777777" w:rsidR="00000000" w:rsidRDefault="00EE5306">
            <w:pPr>
              <w:spacing w:after="100"/>
              <w:rPr>
                <w:rFonts w:eastAsia="Times New Roman"/>
                <w:sz w:val="20"/>
                <w:szCs w:val="20"/>
              </w:rPr>
            </w:pPr>
          </w:p>
        </w:tc>
        <w:tc>
          <w:tcPr>
            <w:tcW w:w="0" w:type="auto"/>
            <w:gridSpan w:val="3"/>
            <w:vAlign w:val="center"/>
            <w:hideMark/>
          </w:tcPr>
          <w:p w14:paraId="2ADA9A94" w14:textId="77777777" w:rsidR="00000000" w:rsidRDefault="00EE5306">
            <w:pPr>
              <w:spacing w:after="100"/>
              <w:rPr>
                <w:rFonts w:eastAsia="Times New Roman"/>
                <w:sz w:val="20"/>
                <w:szCs w:val="20"/>
              </w:rPr>
            </w:pPr>
          </w:p>
        </w:tc>
        <w:tc>
          <w:tcPr>
            <w:tcW w:w="0" w:type="auto"/>
            <w:gridSpan w:val="3"/>
            <w:vAlign w:val="center"/>
            <w:hideMark/>
          </w:tcPr>
          <w:p w14:paraId="1F68E201" w14:textId="77777777" w:rsidR="00000000" w:rsidRDefault="00EE5306">
            <w:pPr>
              <w:spacing w:after="100"/>
              <w:rPr>
                <w:rFonts w:eastAsia="Times New Roman"/>
                <w:sz w:val="20"/>
                <w:szCs w:val="20"/>
              </w:rPr>
            </w:pPr>
          </w:p>
        </w:tc>
        <w:tc>
          <w:tcPr>
            <w:tcW w:w="0" w:type="auto"/>
            <w:gridSpan w:val="3"/>
            <w:vAlign w:val="center"/>
            <w:hideMark/>
          </w:tcPr>
          <w:p w14:paraId="15B309B9" w14:textId="77777777" w:rsidR="00000000" w:rsidRDefault="00EE5306">
            <w:pPr>
              <w:spacing w:after="100"/>
              <w:rPr>
                <w:rFonts w:eastAsia="Times New Roman"/>
                <w:sz w:val="20"/>
                <w:szCs w:val="20"/>
              </w:rPr>
            </w:pPr>
          </w:p>
        </w:tc>
      </w:tr>
      <w:tr w:rsidR="00000000" w14:paraId="6E37DCE1" w14:textId="77777777">
        <w:trPr>
          <w:divId w:val="1747341039"/>
        </w:trPr>
        <w:tc>
          <w:tcPr>
            <w:tcW w:w="0" w:type="auto"/>
            <w:gridSpan w:val="3"/>
            <w:vAlign w:val="center"/>
            <w:hideMark/>
          </w:tcPr>
          <w:p w14:paraId="661583C1" w14:textId="77777777" w:rsidR="00000000" w:rsidRDefault="00EE5306">
            <w:pPr>
              <w:spacing w:after="100"/>
              <w:rPr>
                <w:rFonts w:eastAsia="Times New Roman"/>
                <w:sz w:val="20"/>
                <w:szCs w:val="20"/>
              </w:rPr>
            </w:pPr>
          </w:p>
        </w:tc>
        <w:tc>
          <w:tcPr>
            <w:tcW w:w="0" w:type="auto"/>
            <w:gridSpan w:val="3"/>
            <w:vAlign w:val="center"/>
            <w:hideMark/>
          </w:tcPr>
          <w:p w14:paraId="626C7201" w14:textId="77777777" w:rsidR="00000000" w:rsidRDefault="00EE5306">
            <w:pPr>
              <w:spacing w:after="100"/>
              <w:rPr>
                <w:rFonts w:eastAsia="Times New Roman"/>
                <w:sz w:val="20"/>
                <w:szCs w:val="20"/>
              </w:rPr>
            </w:pPr>
          </w:p>
        </w:tc>
        <w:tc>
          <w:tcPr>
            <w:tcW w:w="0" w:type="auto"/>
            <w:gridSpan w:val="3"/>
            <w:vAlign w:val="center"/>
            <w:hideMark/>
          </w:tcPr>
          <w:p w14:paraId="755E89F8" w14:textId="77777777" w:rsidR="00000000" w:rsidRDefault="00EE5306">
            <w:pPr>
              <w:spacing w:after="100"/>
              <w:rPr>
                <w:rFonts w:eastAsia="Times New Roman"/>
                <w:sz w:val="20"/>
                <w:szCs w:val="20"/>
              </w:rPr>
            </w:pPr>
          </w:p>
        </w:tc>
        <w:tc>
          <w:tcPr>
            <w:tcW w:w="0" w:type="auto"/>
            <w:gridSpan w:val="3"/>
            <w:vAlign w:val="center"/>
            <w:hideMark/>
          </w:tcPr>
          <w:p w14:paraId="46DFE7BA" w14:textId="77777777" w:rsidR="00000000" w:rsidRDefault="00EE5306">
            <w:pPr>
              <w:spacing w:after="100"/>
              <w:rPr>
                <w:rFonts w:eastAsia="Times New Roman"/>
                <w:sz w:val="20"/>
                <w:szCs w:val="20"/>
              </w:rPr>
            </w:pPr>
          </w:p>
        </w:tc>
        <w:tc>
          <w:tcPr>
            <w:tcW w:w="0" w:type="auto"/>
            <w:gridSpan w:val="3"/>
            <w:vAlign w:val="center"/>
            <w:hideMark/>
          </w:tcPr>
          <w:p w14:paraId="16C9B57F" w14:textId="77777777" w:rsidR="00000000" w:rsidRDefault="00EE5306">
            <w:pPr>
              <w:spacing w:after="100"/>
              <w:rPr>
                <w:rFonts w:eastAsia="Times New Roman"/>
                <w:sz w:val="20"/>
                <w:szCs w:val="20"/>
              </w:rPr>
            </w:pPr>
          </w:p>
        </w:tc>
        <w:tc>
          <w:tcPr>
            <w:tcW w:w="0" w:type="auto"/>
            <w:gridSpan w:val="3"/>
            <w:vAlign w:val="center"/>
            <w:hideMark/>
          </w:tcPr>
          <w:p w14:paraId="53448454" w14:textId="77777777" w:rsidR="00000000" w:rsidRDefault="00EE5306">
            <w:pPr>
              <w:spacing w:after="100"/>
              <w:rPr>
                <w:rFonts w:eastAsia="Times New Roman"/>
                <w:sz w:val="20"/>
                <w:szCs w:val="20"/>
              </w:rPr>
            </w:pPr>
          </w:p>
        </w:tc>
        <w:tc>
          <w:tcPr>
            <w:tcW w:w="0" w:type="auto"/>
            <w:gridSpan w:val="3"/>
            <w:vAlign w:val="center"/>
            <w:hideMark/>
          </w:tcPr>
          <w:p w14:paraId="06957764" w14:textId="77777777" w:rsidR="00000000" w:rsidRDefault="00EE5306">
            <w:pPr>
              <w:spacing w:after="100"/>
              <w:rPr>
                <w:rFonts w:eastAsia="Times New Roman"/>
                <w:sz w:val="20"/>
                <w:szCs w:val="20"/>
              </w:rPr>
            </w:pPr>
          </w:p>
        </w:tc>
        <w:tc>
          <w:tcPr>
            <w:tcW w:w="0" w:type="auto"/>
            <w:gridSpan w:val="3"/>
            <w:vAlign w:val="center"/>
            <w:hideMark/>
          </w:tcPr>
          <w:p w14:paraId="2F11E7E2" w14:textId="77777777" w:rsidR="00000000" w:rsidRDefault="00EE5306">
            <w:pPr>
              <w:spacing w:after="100"/>
              <w:rPr>
                <w:rFonts w:eastAsia="Times New Roman"/>
                <w:sz w:val="20"/>
                <w:szCs w:val="20"/>
              </w:rPr>
            </w:pPr>
          </w:p>
        </w:tc>
        <w:tc>
          <w:tcPr>
            <w:tcW w:w="0" w:type="auto"/>
            <w:gridSpan w:val="3"/>
            <w:vAlign w:val="center"/>
            <w:hideMark/>
          </w:tcPr>
          <w:p w14:paraId="5CF9978D" w14:textId="77777777" w:rsidR="00000000" w:rsidRDefault="00EE5306">
            <w:pPr>
              <w:spacing w:after="100"/>
              <w:rPr>
                <w:rFonts w:eastAsia="Times New Roman"/>
                <w:sz w:val="20"/>
                <w:szCs w:val="20"/>
              </w:rPr>
            </w:pPr>
          </w:p>
        </w:tc>
      </w:tr>
      <w:tr w:rsidR="00000000" w14:paraId="0B2A4DF6" w14:textId="77777777">
        <w:trPr>
          <w:divId w:val="1747341039"/>
        </w:trPr>
        <w:tc>
          <w:tcPr>
            <w:tcW w:w="0" w:type="auto"/>
            <w:gridSpan w:val="3"/>
            <w:shd w:val="clear" w:color="auto" w:fill="FFFFFF"/>
            <w:tcMar>
              <w:top w:w="30" w:type="dxa"/>
              <w:left w:w="245" w:type="dxa"/>
              <w:bottom w:w="30" w:type="dxa"/>
              <w:right w:w="20" w:type="dxa"/>
            </w:tcMar>
            <w:vAlign w:val="bottom"/>
            <w:hideMark/>
          </w:tcPr>
          <w:p w14:paraId="702189B7" w14:textId="77777777" w:rsidR="00000000" w:rsidRDefault="00EE5306">
            <w:pPr>
              <w:spacing w:after="100"/>
              <w:rPr>
                <w:rFonts w:eastAsia="Times New Roman"/>
              </w:rPr>
            </w:pPr>
            <w:r>
              <w:rPr>
                <w:rFonts w:eastAsia="Times New Roman"/>
                <w:color w:val="000000"/>
                <w:sz w:val="20"/>
                <w:szCs w:val="20"/>
              </w:rPr>
              <w:t>Total non-cash charges</w:t>
            </w:r>
          </w:p>
        </w:tc>
        <w:tc>
          <w:tcPr>
            <w:tcW w:w="0" w:type="auto"/>
            <w:gridSpan w:val="3"/>
            <w:shd w:val="clear" w:color="auto" w:fill="FFFFFF"/>
            <w:tcMar>
              <w:top w:w="0" w:type="dxa"/>
              <w:left w:w="20" w:type="dxa"/>
              <w:bottom w:w="0" w:type="dxa"/>
              <w:right w:w="20" w:type="dxa"/>
            </w:tcMar>
            <w:vAlign w:val="center"/>
            <w:hideMark/>
          </w:tcPr>
          <w:p w14:paraId="51AD1390"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D44C4F" w14:textId="77777777" w:rsidR="00000000" w:rsidRDefault="00EE5306">
            <w:pPr>
              <w:spacing w:after="100"/>
              <w:jc w:val="right"/>
              <w:rPr>
                <w:rFonts w:eastAsia="Times New Roman"/>
              </w:rPr>
            </w:pPr>
            <w:r>
              <w:rPr>
                <w:rFonts w:eastAsia="Times New Roman"/>
                <w:color w:val="000000"/>
                <w:sz w:val="20"/>
                <w:szCs w:val="20"/>
              </w:rPr>
              <w:t>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805A1A" w14:textId="77777777" w:rsidR="00000000" w:rsidRDefault="00EE5306">
            <w:pPr>
              <w:spacing w:after="100"/>
              <w:jc w:val="right"/>
              <w:rPr>
                <w:rFonts w:eastAsia="Times New Roman"/>
              </w:rPr>
            </w:pPr>
          </w:p>
        </w:tc>
        <w:tc>
          <w:tcPr>
            <w:tcW w:w="0" w:type="auto"/>
            <w:gridSpan w:val="3"/>
            <w:vAlign w:val="center"/>
            <w:hideMark/>
          </w:tcPr>
          <w:p w14:paraId="250D6466" w14:textId="77777777" w:rsidR="00000000" w:rsidRDefault="00EE5306">
            <w:pPr>
              <w:spacing w:after="100"/>
              <w:jc w:val="right"/>
              <w:rPr>
                <w:rFonts w:eastAsia="Times New Roman"/>
                <w:sz w:val="20"/>
                <w:szCs w:val="20"/>
              </w:rPr>
            </w:pPr>
          </w:p>
        </w:tc>
        <w:tc>
          <w:tcPr>
            <w:tcW w:w="0" w:type="auto"/>
            <w:gridSpan w:val="3"/>
            <w:vAlign w:val="center"/>
            <w:hideMark/>
          </w:tcPr>
          <w:p w14:paraId="0DD16570" w14:textId="77777777" w:rsidR="00000000" w:rsidRDefault="00EE5306">
            <w:pPr>
              <w:spacing w:after="100"/>
              <w:rPr>
                <w:rFonts w:eastAsia="Times New Roman"/>
                <w:sz w:val="20"/>
                <w:szCs w:val="20"/>
              </w:rPr>
            </w:pPr>
          </w:p>
        </w:tc>
        <w:tc>
          <w:tcPr>
            <w:tcW w:w="0" w:type="auto"/>
            <w:gridSpan w:val="3"/>
            <w:vAlign w:val="center"/>
            <w:hideMark/>
          </w:tcPr>
          <w:p w14:paraId="352D3EFF" w14:textId="77777777" w:rsidR="00000000" w:rsidRDefault="00EE5306">
            <w:pPr>
              <w:spacing w:after="100"/>
              <w:rPr>
                <w:rFonts w:eastAsia="Times New Roman"/>
                <w:sz w:val="20"/>
                <w:szCs w:val="20"/>
              </w:rPr>
            </w:pPr>
          </w:p>
        </w:tc>
        <w:tc>
          <w:tcPr>
            <w:tcW w:w="0" w:type="auto"/>
            <w:gridSpan w:val="3"/>
            <w:vAlign w:val="center"/>
            <w:hideMark/>
          </w:tcPr>
          <w:p w14:paraId="23D69727" w14:textId="77777777" w:rsidR="00000000" w:rsidRDefault="00EE5306">
            <w:pPr>
              <w:spacing w:after="100"/>
              <w:rPr>
                <w:rFonts w:eastAsia="Times New Roman"/>
                <w:sz w:val="20"/>
                <w:szCs w:val="20"/>
              </w:rPr>
            </w:pPr>
          </w:p>
        </w:tc>
        <w:tc>
          <w:tcPr>
            <w:tcW w:w="0" w:type="auto"/>
            <w:gridSpan w:val="3"/>
            <w:vAlign w:val="center"/>
            <w:hideMark/>
          </w:tcPr>
          <w:p w14:paraId="7A7176D3" w14:textId="77777777" w:rsidR="00000000" w:rsidRDefault="00EE5306">
            <w:pPr>
              <w:spacing w:after="100"/>
              <w:rPr>
                <w:rFonts w:eastAsia="Times New Roman"/>
                <w:sz w:val="20"/>
                <w:szCs w:val="20"/>
              </w:rPr>
            </w:pPr>
          </w:p>
        </w:tc>
        <w:tc>
          <w:tcPr>
            <w:tcW w:w="0" w:type="auto"/>
            <w:gridSpan w:val="3"/>
            <w:vAlign w:val="center"/>
            <w:hideMark/>
          </w:tcPr>
          <w:p w14:paraId="6DE87DAD" w14:textId="77777777" w:rsidR="00000000" w:rsidRDefault="00EE5306">
            <w:pPr>
              <w:spacing w:after="100"/>
              <w:rPr>
                <w:rFonts w:eastAsia="Times New Roman"/>
                <w:sz w:val="20"/>
                <w:szCs w:val="20"/>
              </w:rPr>
            </w:pPr>
          </w:p>
        </w:tc>
      </w:tr>
      <w:tr w:rsidR="00000000" w14:paraId="2C49D781" w14:textId="77777777">
        <w:trPr>
          <w:divId w:val="1747341039"/>
        </w:trPr>
        <w:tc>
          <w:tcPr>
            <w:tcW w:w="0" w:type="auto"/>
            <w:gridSpan w:val="3"/>
            <w:shd w:val="clear" w:color="auto" w:fill="CCEEFF"/>
            <w:tcMar>
              <w:top w:w="30" w:type="dxa"/>
              <w:left w:w="380" w:type="dxa"/>
              <w:bottom w:w="30" w:type="dxa"/>
              <w:right w:w="20" w:type="dxa"/>
            </w:tcMar>
            <w:vAlign w:val="bottom"/>
            <w:hideMark/>
          </w:tcPr>
          <w:p w14:paraId="70FD906F" w14:textId="77777777" w:rsidR="00000000" w:rsidRDefault="00EE5306">
            <w:pPr>
              <w:spacing w:after="100"/>
              <w:rPr>
                <w:rFonts w:eastAsia="Times New Roman"/>
              </w:rPr>
            </w:pPr>
            <w:r>
              <w:rPr>
                <w:rFonts w:eastAsia="Times New Roman"/>
                <w:color w:val="000000"/>
                <w:sz w:val="20"/>
                <w:szCs w:val="20"/>
              </w:rPr>
              <w:t>Total charges</w:t>
            </w:r>
          </w:p>
        </w:tc>
        <w:tc>
          <w:tcPr>
            <w:tcW w:w="0" w:type="auto"/>
            <w:gridSpan w:val="3"/>
            <w:shd w:val="clear" w:color="auto" w:fill="CCEEFF"/>
            <w:tcMar>
              <w:top w:w="0" w:type="dxa"/>
              <w:left w:w="20" w:type="dxa"/>
              <w:bottom w:w="0" w:type="dxa"/>
              <w:right w:w="20" w:type="dxa"/>
            </w:tcMar>
            <w:vAlign w:val="center"/>
            <w:hideMark/>
          </w:tcPr>
          <w:p w14:paraId="4A9AE9C2"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06A5F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1AFE66" w14:textId="77777777" w:rsidR="00000000" w:rsidRDefault="00EE5306">
            <w:pPr>
              <w:spacing w:after="100"/>
              <w:jc w:val="right"/>
              <w:rPr>
                <w:rFonts w:eastAsia="Times New Roman"/>
              </w:rPr>
            </w:pPr>
            <w:r>
              <w:rPr>
                <w:rFonts w:eastAsia="Times New Roman"/>
                <w:color w:val="000000"/>
                <w:sz w:val="20"/>
                <w:szCs w:val="20"/>
              </w:rPr>
              <w:t>236.8 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9E9C4B" w14:textId="77777777" w:rsidR="00000000" w:rsidRDefault="00EE5306">
            <w:pPr>
              <w:spacing w:after="100"/>
              <w:jc w:val="right"/>
              <w:rPr>
                <w:rFonts w:eastAsia="Times New Roman"/>
              </w:rPr>
            </w:pPr>
          </w:p>
        </w:tc>
        <w:tc>
          <w:tcPr>
            <w:tcW w:w="0" w:type="auto"/>
            <w:gridSpan w:val="3"/>
            <w:vAlign w:val="center"/>
            <w:hideMark/>
          </w:tcPr>
          <w:p w14:paraId="1BDED239" w14:textId="77777777" w:rsidR="00000000" w:rsidRDefault="00EE5306">
            <w:pPr>
              <w:spacing w:after="100"/>
              <w:jc w:val="right"/>
              <w:rPr>
                <w:rFonts w:eastAsia="Times New Roman"/>
                <w:sz w:val="20"/>
                <w:szCs w:val="20"/>
              </w:rPr>
            </w:pPr>
          </w:p>
        </w:tc>
        <w:tc>
          <w:tcPr>
            <w:tcW w:w="0" w:type="auto"/>
            <w:gridSpan w:val="3"/>
            <w:vAlign w:val="center"/>
            <w:hideMark/>
          </w:tcPr>
          <w:p w14:paraId="4E339A9D" w14:textId="77777777" w:rsidR="00000000" w:rsidRDefault="00EE5306">
            <w:pPr>
              <w:spacing w:after="100"/>
              <w:rPr>
                <w:rFonts w:eastAsia="Times New Roman"/>
                <w:sz w:val="20"/>
                <w:szCs w:val="20"/>
              </w:rPr>
            </w:pPr>
          </w:p>
        </w:tc>
        <w:tc>
          <w:tcPr>
            <w:tcW w:w="0" w:type="auto"/>
            <w:gridSpan w:val="3"/>
            <w:vAlign w:val="center"/>
            <w:hideMark/>
          </w:tcPr>
          <w:p w14:paraId="2CBF64EF" w14:textId="77777777" w:rsidR="00000000" w:rsidRDefault="00EE5306">
            <w:pPr>
              <w:spacing w:after="100"/>
              <w:rPr>
                <w:rFonts w:eastAsia="Times New Roman"/>
                <w:sz w:val="20"/>
                <w:szCs w:val="20"/>
              </w:rPr>
            </w:pPr>
          </w:p>
        </w:tc>
        <w:tc>
          <w:tcPr>
            <w:tcW w:w="0" w:type="auto"/>
            <w:gridSpan w:val="3"/>
            <w:vAlign w:val="center"/>
            <w:hideMark/>
          </w:tcPr>
          <w:p w14:paraId="458FEDE1" w14:textId="77777777" w:rsidR="00000000" w:rsidRDefault="00EE5306">
            <w:pPr>
              <w:spacing w:after="100"/>
              <w:rPr>
                <w:rFonts w:eastAsia="Times New Roman"/>
                <w:sz w:val="20"/>
                <w:szCs w:val="20"/>
              </w:rPr>
            </w:pPr>
          </w:p>
        </w:tc>
        <w:tc>
          <w:tcPr>
            <w:tcW w:w="0" w:type="auto"/>
            <w:gridSpan w:val="3"/>
            <w:vAlign w:val="center"/>
            <w:hideMark/>
          </w:tcPr>
          <w:p w14:paraId="3DA5AE66" w14:textId="77777777" w:rsidR="00000000" w:rsidRDefault="00EE5306">
            <w:pPr>
              <w:spacing w:after="100"/>
              <w:rPr>
                <w:rFonts w:eastAsia="Times New Roman"/>
                <w:sz w:val="20"/>
                <w:szCs w:val="20"/>
              </w:rPr>
            </w:pPr>
          </w:p>
        </w:tc>
        <w:tc>
          <w:tcPr>
            <w:tcW w:w="0" w:type="auto"/>
            <w:gridSpan w:val="3"/>
            <w:vAlign w:val="center"/>
            <w:hideMark/>
          </w:tcPr>
          <w:p w14:paraId="18205AD8" w14:textId="77777777" w:rsidR="00000000" w:rsidRDefault="00EE5306">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5F9F3893" w14:textId="77777777">
        <w:tc>
          <w:tcPr>
            <w:tcW w:w="50" w:type="pct"/>
            <w:vAlign w:val="center"/>
            <w:hideMark/>
          </w:tcPr>
          <w:p w14:paraId="27DD2AD5" w14:textId="77777777" w:rsidR="00000000" w:rsidRDefault="00EE5306">
            <w:pPr>
              <w:rPr>
                <w:rFonts w:eastAsia="Times New Roman"/>
              </w:rPr>
            </w:pPr>
          </w:p>
        </w:tc>
        <w:tc>
          <w:tcPr>
            <w:tcW w:w="4945" w:type="pct"/>
            <w:vAlign w:val="center"/>
            <w:hideMark/>
          </w:tcPr>
          <w:p w14:paraId="6AC10558" w14:textId="77777777" w:rsidR="00000000" w:rsidRDefault="00EE5306">
            <w:pPr>
              <w:spacing w:after="100"/>
              <w:rPr>
                <w:rFonts w:eastAsia="Times New Roman"/>
                <w:sz w:val="20"/>
                <w:szCs w:val="20"/>
              </w:rPr>
            </w:pPr>
          </w:p>
        </w:tc>
        <w:tc>
          <w:tcPr>
            <w:tcW w:w="5" w:type="pct"/>
            <w:vAlign w:val="center"/>
            <w:hideMark/>
          </w:tcPr>
          <w:p w14:paraId="09F6E441" w14:textId="77777777" w:rsidR="00000000" w:rsidRDefault="00EE5306">
            <w:pPr>
              <w:spacing w:after="100"/>
              <w:rPr>
                <w:rFonts w:eastAsia="Times New Roman"/>
                <w:sz w:val="20"/>
                <w:szCs w:val="20"/>
              </w:rPr>
            </w:pPr>
          </w:p>
        </w:tc>
      </w:tr>
      <w:tr w:rsidR="00000000" w14:paraId="0F1DB332"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7A4A4A9F" w14:textId="77777777" w:rsidR="00000000" w:rsidRDefault="00EE5306">
            <w:pPr>
              <w:spacing w:after="100"/>
              <w:rPr>
                <w:rFonts w:eastAsia="Times New Roman"/>
                <w:sz w:val="20"/>
                <w:szCs w:val="20"/>
              </w:rPr>
            </w:pPr>
          </w:p>
        </w:tc>
      </w:tr>
    </w:tbl>
    <w:p w14:paraId="01703B57" w14:textId="77777777" w:rsidR="00000000" w:rsidRDefault="00EE5306">
      <w:pPr>
        <w:rPr>
          <w:rFonts w:eastAsia="Times New Roman"/>
        </w:rPr>
      </w:pPr>
      <w:r>
        <w:rPr>
          <w:rFonts w:eastAsia="Times New Roman"/>
          <w:color w:val="000000"/>
          <w:sz w:val="20"/>
          <w:szCs w:val="20"/>
        </w:rPr>
        <w:t> </w:t>
      </w:r>
    </w:p>
    <w:p w14:paraId="49A13898" w14:textId="77777777" w:rsidR="00000000" w:rsidRDefault="00EE5306">
      <w:pPr>
        <w:ind w:hanging="360"/>
        <w:jc w:val="both"/>
        <w:divId w:val="722173657"/>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Inventory-related charges are recorded within cost of goods sold in the consolidated statements of operations.</w:t>
      </w:r>
    </w:p>
    <w:p w14:paraId="4904FDB4" w14:textId="77777777" w:rsidR="00000000" w:rsidRDefault="00EE5306">
      <w:pPr>
        <w:ind w:firstLine="360"/>
        <w:jc w:val="both"/>
        <w:divId w:val="1942031641"/>
        <w:rPr>
          <w:rFonts w:eastAsia="Times New Roman"/>
        </w:rPr>
      </w:pPr>
      <w:r>
        <w:rPr>
          <w:rFonts w:eastAsia="Times New Roman"/>
          <w:color w:val="000000"/>
          <w:sz w:val="20"/>
          <w:szCs w:val="20"/>
        </w:rPr>
        <w:t>A summary of the activity in the restructuring reserve related to the Fiscal 2021 Strategic Realignment Plan is as follows:</w:t>
      </w:r>
    </w:p>
    <w:tbl>
      <w:tblPr>
        <w:tblW w:w="4736" w:type="pct"/>
        <w:tblCellMar>
          <w:top w:w="15" w:type="dxa"/>
          <w:left w:w="15" w:type="dxa"/>
          <w:bottom w:w="15" w:type="dxa"/>
          <w:right w:w="15" w:type="dxa"/>
        </w:tblCellMar>
        <w:tblLook w:val="04A0" w:firstRow="1" w:lastRow="0" w:firstColumn="1" w:lastColumn="0" w:noHBand="0" w:noVBand="1"/>
      </w:tblPr>
      <w:tblGrid>
        <w:gridCol w:w="38"/>
        <w:gridCol w:w="4509"/>
        <w:gridCol w:w="37"/>
        <w:gridCol w:w="36"/>
        <w:gridCol w:w="64"/>
        <w:gridCol w:w="36"/>
        <w:gridCol w:w="121"/>
        <w:gridCol w:w="825"/>
        <w:gridCol w:w="36"/>
        <w:gridCol w:w="36"/>
        <w:gridCol w:w="36"/>
        <w:gridCol w:w="36"/>
        <w:gridCol w:w="36"/>
        <w:gridCol w:w="36"/>
        <w:gridCol w:w="121"/>
        <w:gridCol w:w="782"/>
        <w:gridCol w:w="36"/>
        <w:gridCol w:w="36"/>
        <w:gridCol w:w="36"/>
        <w:gridCol w:w="36"/>
        <w:gridCol w:w="120"/>
        <w:gridCol w:w="782"/>
        <w:gridCol w:w="36"/>
      </w:tblGrid>
      <w:tr w:rsidR="00000000" w14:paraId="22F96485" w14:textId="77777777">
        <w:trPr>
          <w:divId w:val="712654815"/>
        </w:trPr>
        <w:tc>
          <w:tcPr>
            <w:tcW w:w="50" w:type="pct"/>
            <w:vAlign w:val="center"/>
            <w:hideMark/>
          </w:tcPr>
          <w:p w14:paraId="5F85C991" w14:textId="77777777" w:rsidR="00000000" w:rsidRDefault="00EE5306">
            <w:pPr>
              <w:ind w:firstLine="360"/>
              <w:jc w:val="both"/>
              <w:rPr>
                <w:rFonts w:eastAsia="Times New Roman"/>
              </w:rPr>
            </w:pPr>
          </w:p>
        </w:tc>
        <w:tc>
          <w:tcPr>
            <w:tcW w:w="2931" w:type="pct"/>
            <w:vAlign w:val="center"/>
            <w:hideMark/>
          </w:tcPr>
          <w:p w14:paraId="2A929E16" w14:textId="77777777" w:rsidR="00000000" w:rsidRDefault="00EE5306">
            <w:pPr>
              <w:spacing w:after="100"/>
              <w:rPr>
                <w:rFonts w:eastAsia="Times New Roman"/>
                <w:sz w:val="20"/>
                <w:szCs w:val="20"/>
              </w:rPr>
            </w:pPr>
          </w:p>
        </w:tc>
        <w:tc>
          <w:tcPr>
            <w:tcW w:w="5" w:type="pct"/>
            <w:vAlign w:val="center"/>
            <w:hideMark/>
          </w:tcPr>
          <w:p w14:paraId="55C786BC" w14:textId="77777777" w:rsidR="00000000" w:rsidRDefault="00EE5306">
            <w:pPr>
              <w:spacing w:after="100"/>
              <w:rPr>
                <w:rFonts w:eastAsia="Times New Roman"/>
                <w:sz w:val="20"/>
                <w:szCs w:val="20"/>
              </w:rPr>
            </w:pPr>
          </w:p>
        </w:tc>
        <w:tc>
          <w:tcPr>
            <w:tcW w:w="5" w:type="pct"/>
            <w:vAlign w:val="center"/>
            <w:hideMark/>
          </w:tcPr>
          <w:p w14:paraId="6288C4D8" w14:textId="77777777" w:rsidR="00000000" w:rsidRDefault="00EE5306">
            <w:pPr>
              <w:spacing w:after="100"/>
              <w:rPr>
                <w:rFonts w:eastAsia="Times New Roman"/>
                <w:sz w:val="20"/>
                <w:szCs w:val="20"/>
              </w:rPr>
            </w:pPr>
          </w:p>
        </w:tc>
        <w:tc>
          <w:tcPr>
            <w:tcW w:w="74" w:type="pct"/>
            <w:vAlign w:val="center"/>
            <w:hideMark/>
          </w:tcPr>
          <w:p w14:paraId="33F4778C" w14:textId="77777777" w:rsidR="00000000" w:rsidRDefault="00EE5306">
            <w:pPr>
              <w:spacing w:after="100"/>
              <w:rPr>
                <w:rFonts w:eastAsia="Times New Roman"/>
                <w:sz w:val="20"/>
                <w:szCs w:val="20"/>
              </w:rPr>
            </w:pPr>
          </w:p>
        </w:tc>
        <w:tc>
          <w:tcPr>
            <w:tcW w:w="5" w:type="pct"/>
            <w:vAlign w:val="center"/>
            <w:hideMark/>
          </w:tcPr>
          <w:p w14:paraId="449B10F9" w14:textId="77777777" w:rsidR="00000000" w:rsidRDefault="00EE5306">
            <w:pPr>
              <w:spacing w:after="100"/>
              <w:rPr>
                <w:rFonts w:eastAsia="Times New Roman"/>
                <w:sz w:val="20"/>
                <w:szCs w:val="20"/>
              </w:rPr>
            </w:pPr>
          </w:p>
        </w:tc>
        <w:tc>
          <w:tcPr>
            <w:tcW w:w="50" w:type="pct"/>
            <w:vAlign w:val="center"/>
            <w:hideMark/>
          </w:tcPr>
          <w:p w14:paraId="0BE6F581" w14:textId="77777777" w:rsidR="00000000" w:rsidRDefault="00EE5306">
            <w:pPr>
              <w:spacing w:after="100"/>
              <w:rPr>
                <w:rFonts w:eastAsia="Times New Roman"/>
                <w:sz w:val="20"/>
                <w:szCs w:val="20"/>
              </w:rPr>
            </w:pPr>
          </w:p>
        </w:tc>
        <w:tc>
          <w:tcPr>
            <w:tcW w:w="562" w:type="pct"/>
            <w:vAlign w:val="center"/>
            <w:hideMark/>
          </w:tcPr>
          <w:p w14:paraId="36650F8F" w14:textId="77777777" w:rsidR="00000000" w:rsidRDefault="00EE5306">
            <w:pPr>
              <w:spacing w:after="100"/>
              <w:rPr>
                <w:rFonts w:eastAsia="Times New Roman"/>
                <w:sz w:val="20"/>
                <w:szCs w:val="20"/>
              </w:rPr>
            </w:pPr>
          </w:p>
        </w:tc>
        <w:tc>
          <w:tcPr>
            <w:tcW w:w="5" w:type="pct"/>
            <w:vAlign w:val="center"/>
            <w:hideMark/>
          </w:tcPr>
          <w:p w14:paraId="5E12B58B" w14:textId="77777777" w:rsidR="00000000" w:rsidRDefault="00EE5306">
            <w:pPr>
              <w:spacing w:after="100"/>
              <w:rPr>
                <w:rFonts w:eastAsia="Times New Roman"/>
                <w:sz w:val="20"/>
                <w:szCs w:val="20"/>
              </w:rPr>
            </w:pPr>
          </w:p>
        </w:tc>
        <w:tc>
          <w:tcPr>
            <w:tcW w:w="5" w:type="pct"/>
            <w:vAlign w:val="center"/>
            <w:hideMark/>
          </w:tcPr>
          <w:p w14:paraId="0ECB721C" w14:textId="77777777" w:rsidR="00000000" w:rsidRDefault="00EE5306">
            <w:pPr>
              <w:spacing w:after="100"/>
              <w:rPr>
                <w:rFonts w:eastAsia="Times New Roman"/>
                <w:sz w:val="20"/>
                <w:szCs w:val="20"/>
              </w:rPr>
            </w:pPr>
          </w:p>
        </w:tc>
        <w:tc>
          <w:tcPr>
            <w:tcW w:w="28" w:type="pct"/>
            <w:vAlign w:val="center"/>
            <w:hideMark/>
          </w:tcPr>
          <w:p w14:paraId="2DE56321" w14:textId="77777777" w:rsidR="00000000" w:rsidRDefault="00EE5306">
            <w:pPr>
              <w:spacing w:after="100"/>
              <w:rPr>
                <w:rFonts w:eastAsia="Times New Roman"/>
                <w:sz w:val="20"/>
                <w:szCs w:val="20"/>
              </w:rPr>
            </w:pPr>
          </w:p>
        </w:tc>
        <w:tc>
          <w:tcPr>
            <w:tcW w:w="5" w:type="pct"/>
            <w:vAlign w:val="center"/>
            <w:hideMark/>
          </w:tcPr>
          <w:p w14:paraId="5418C35A" w14:textId="77777777" w:rsidR="00000000" w:rsidRDefault="00EE5306">
            <w:pPr>
              <w:spacing w:after="100"/>
              <w:rPr>
                <w:rFonts w:eastAsia="Times New Roman"/>
                <w:sz w:val="20"/>
                <w:szCs w:val="20"/>
              </w:rPr>
            </w:pPr>
          </w:p>
        </w:tc>
        <w:tc>
          <w:tcPr>
            <w:tcW w:w="0" w:type="auto"/>
            <w:vAlign w:val="center"/>
            <w:hideMark/>
          </w:tcPr>
          <w:p w14:paraId="550B2FC8" w14:textId="77777777" w:rsidR="00000000" w:rsidRDefault="00EE5306">
            <w:pPr>
              <w:spacing w:after="100"/>
              <w:rPr>
                <w:rFonts w:eastAsia="Times New Roman"/>
                <w:sz w:val="20"/>
                <w:szCs w:val="20"/>
              </w:rPr>
            </w:pPr>
          </w:p>
        </w:tc>
        <w:tc>
          <w:tcPr>
            <w:tcW w:w="0" w:type="auto"/>
            <w:vAlign w:val="center"/>
            <w:hideMark/>
          </w:tcPr>
          <w:p w14:paraId="2934EE90" w14:textId="77777777" w:rsidR="00000000" w:rsidRDefault="00EE5306">
            <w:pPr>
              <w:spacing w:after="100"/>
              <w:rPr>
                <w:rFonts w:eastAsia="Times New Roman"/>
                <w:sz w:val="20"/>
                <w:szCs w:val="20"/>
              </w:rPr>
            </w:pPr>
          </w:p>
        </w:tc>
        <w:tc>
          <w:tcPr>
            <w:tcW w:w="50" w:type="pct"/>
            <w:vAlign w:val="center"/>
            <w:hideMark/>
          </w:tcPr>
          <w:p w14:paraId="6EB0DB28" w14:textId="77777777" w:rsidR="00000000" w:rsidRDefault="00EE5306">
            <w:pPr>
              <w:spacing w:after="100"/>
              <w:rPr>
                <w:rFonts w:eastAsia="Times New Roman"/>
                <w:sz w:val="20"/>
                <w:szCs w:val="20"/>
              </w:rPr>
            </w:pPr>
          </w:p>
        </w:tc>
        <w:tc>
          <w:tcPr>
            <w:tcW w:w="562" w:type="pct"/>
            <w:vAlign w:val="center"/>
            <w:hideMark/>
          </w:tcPr>
          <w:p w14:paraId="11D48D5D" w14:textId="77777777" w:rsidR="00000000" w:rsidRDefault="00EE5306">
            <w:pPr>
              <w:spacing w:after="100"/>
              <w:rPr>
                <w:rFonts w:eastAsia="Times New Roman"/>
                <w:sz w:val="20"/>
                <w:szCs w:val="20"/>
              </w:rPr>
            </w:pPr>
          </w:p>
        </w:tc>
        <w:tc>
          <w:tcPr>
            <w:tcW w:w="5" w:type="pct"/>
            <w:vAlign w:val="center"/>
            <w:hideMark/>
          </w:tcPr>
          <w:p w14:paraId="223FD7C4" w14:textId="77777777" w:rsidR="00000000" w:rsidRDefault="00EE5306">
            <w:pPr>
              <w:spacing w:after="100"/>
              <w:rPr>
                <w:rFonts w:eastAsia="Times New Roman"/>
                <w:sz w:val="20"/>
                <w:szCs w:val="20"/>
              </w:rPr>
            </w:pPr>
          </w:p>
        </w:tc>
        <w:tc>
          <w:tcPr>
            <w:tcW w:w="5" w:type="pct"/>
            <w:vAlign w:val="center"/>
            <w:hideMark/>
          </w:tcPr>
          <w:p w14:paraId="06454FC6" w14:textId="77777777" w:rsidR="00000000" w:rsidRDefault="00EE5306">
            <w:pPr>
              <w:spacing w:after="100"/>
              <w:rPr>
                <w:rFonts w:eastAsia="Times New Roman"/>
                <w:sz w:val="20"/>
                <w:szCs w:val="20"/>
              </w:rPr>
            </w:pPr>
          </w:p>
        </w:tc>
        <w:tc>
          <w:tcPr>
            <w:tcW w:w="28" w:type="pct"/>
            <w:vAlign w:val="center"/>
            <w:hideMark/>
          </w:tcPr>
          <w:p w14:paraId="2C12230B" w14:textId="77777777" w:rsidR="00000000" w:rsidRDefault="00EE5306">
            <w:pPr>
              <w:spacing w:after="100"/>
              <w:rPr>
                <w:rFonts w:eastAsia="Times New Roman"/>
                <w:sz w:val="20"/>
                <w:szCs w:val="20"/>
              </w:rPr>
            </w:pPr>
          </w:p>
        </w:tc>
        <w:tc>
          <w:tcPr>
            <w:tcW w:w="5" w:type="pct"/>
            <w:vAlign w:val="center"/>
            <w:hideMark/>
          </w:tcPr>
          <w:p w14:paraId="4ED714BE" w14:textId="77777777" w:rsidR="00000000" w:rsidRDefault="00EE5306">
            <w:pPr>
              <w:spacing w:after="100"/>
              <w:rPr>
                <w:rFonts w:eastAsia="Times New Roman"/>
                <w:sz w:val="20"/>
                <w:szCs w:val="20"/>
              </w:rPr>
            </w:pPr>
          </w:p>
        </w:tc>
        <w:tc>
          <w:tcPr>
            <w:tcW w:w="50" w:type="pct"/>
            <w:vAlign w:val="center"/>
            <w:hideMark/>
          </w:tcPr>
          <w:p w14:paraId="2C439C42" w14:textId="77777777" w:rsidR="00000000" w:rsidRDefault="00EE5306">
            <w:pPr>
              <w:spacing w:after="100"/>
              <w:rPr>
                <w:rFonts w:eastAsia="Times New Roman"/>
                <w:sz w:val="20"/>
                <w:szCs w:val="20"/>
              </w:rPr>
            </w:pPr>
          </w:p>
        </w:tc>
        <w:tc>
          <w:tcPr>
            <w:tcW w:w="562" w:type="pct"/>
            <w:vAlign w:val="center"/>
            <w:hideMark/>
          </w:tcPr>
          <w:p w14:paraId="38CE64A5" w14:textId="77777777" w:rsidR="00000000" w:rsidRDefault="00EE5306">
            <w:pPr>
              <w:spacing w:after="100"/>
              <w:rPr>
                <w:rFonts w:eastAsia="Times New Roman"/>
                <w:sz w:val="20"/>
                <w:szCs w:val="20"/>
              </w:rPr>
            </w:pPr>
          </w:p>
        </w:tc>
        <w:tc>
          <w:tcPr>
            <w:tcW w:w="5" w:type="pct"/>
            <w:vAlign w:val="center"/>
            <w:hideMark/>
          </w:tcPr>
          <w:p w14:paraId="60F7F185" w14:textId="77777777" w:rsidR="00000000" w:rsidRDefault="00EE5306">
            <w:pPr>
              <w:spacing w:after="100"/>
              <w:rPr>
                <w:rFonts w:eastAsia="Times New Roman"/>
                <w:sz w:val="20"/>
                <w:szCs w:val="20"/>
              </w:rPr>
            </w:pPr>
          </w:p>
        </w:tc>
      </w:tr>
      <w:tr w:rsidR="00000000" w14:paraId="67AF36A7" w14:textId="77777777">
        <w:trPr>
          <w:divId w:val="712654815"/>
        </w:trPr>
        <w:tc>
          <w:tcPr>
            <w:tcW w:w="0" w:type="auto"/>
            <w:gridSpan w:val="3"/>
            <w:tcMar>
              <w:top w:w="0" w:type="dxa"/>
              <w:left w:w="20" w:type="dxa"/>
              <w:bottom w:w="0" w:type="dxa"/>
              <w:right w:w="20" w:type="dxa"/>
            </w:tcMar>
            <w:vAlign w:val="center"/>
            <w:hideMark/>
          </w:tcPr>
          <w:p w14:paraId="5491F6B1"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B1BCDD"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3A75EF4" w14:textId="77777777" w:rsidR="00000000" w:rsidRDefault="00EE5306">
            <w:pPr>
              <w:spacing w:after="100"/>
              <w:jc w:val="center"/>
              <w:rPr>
                <w:rFonts w:eastAsia="Times New Roman"/>
              </w:rPr>
            </w:pPr>
            <w:r>
              <w:rPr>
                <w:rFonts w:eastAsia="Times New Roman"/>
                <w:b/>
                <w:bCs/>
                <w:color w:val="000000"/>
                <w:sz w:val="16"/>
                <w:szCs w:val="16"/>
              </w:rPr>
              <w:t>Severance and Benefit Costs</w:t>
            </w:r>
          </w:p>
        </w:tc>
        <w:tc>
          <w:tcPr>
            <w:tcW w:w="0" w:type="auto"/>
            <w:gridSpan w:val="3"/>
            <w:tcMar>
              <w:top w:w="0" w:type="dxa"/>
              <w:left w:w="20" w:type="dxa"/>
              <w:bottom w:w="0" w:type="dxa"/>
              <w:right w:w="20" w:type="dxa"/>
            </w:tcMar>
            <w:vAlign w:val="center"/>
            <w:hideMark/>
          </w:tcPr>
          <w:p w14:paraId="46F26313" w14:textId="77777777" w:rsidR="00000000" w:rsidRDefault="00EE5306">
            <w:pPr>
              <w:spacing w:after="100"/>
              <w:jc w:val="center"/>
              <w:rPr>
                <w:rFonts w:eastAsia="Times New Roman"/>
              </w:rPr>
            </w:pPr>
          </w:p>
        </w:tc>
        <w:tc>
          <w:tcPr>
            <w:tcW w:w="0" w:type="auto"/>
            <w:vAlign w:val="center"/>
            <w:hideMark/>
          </w:tcPr>
          <w:p w14:paraId="5BCF9EBA" w14:textId="77777777" w:rsidR="00000000" w:rsidRDefault="00EE5306">
            <w:pPr>
              <w:spacing w:after="100"/>
              <w:rPr>
                <w:rFonts w:eastAsia="Times New Roman"/>
                <w:sz w:val="20"/>
                <w:szCs w:val="20"/>
              </w:rPr>
            </w:pPr>
          </w:p>
        </w:tc>
        <w:tc>
          <w:tcPr>
            <w:tcW w:w="0" w:type="auto"/>
            <w:vAlign w:val="center"/>
            <w:hideMark/>
          </w:tcPr>
          <w:p w14:paraId="470922B5" w14:textId="77777777" w:rsidR="00000000" w:rsidRDefault="00EE5306">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44854B20" w14:textId="77777777" w:rsidR="00000000" w:rsidRDefault="00EE5306">
            <w:pPr>
              <w:spacing w:after="100"/>
              <w:jc w:val="center"/>
              <w:rPr>
                <w:rFonts w:eastAsia="Times New Roman"/>
              </w:rPr>
            </w:pPr>
            <w:r>
              <w:rPr>
                <w:rFonts w:eastAsia="Times New Roman"/>
                <w:b/>
                <w:bCs/>
                <w:color w:val="000000"/>
                <w:sz w:val="16"/>
                <w:szCs w:val="16"/>
              </w:rPr>
              <w:t>Other Cash Charges</w:t>
            </w:r>
          </w:p>
        </w:tc>
        <w:tc>
          <w:tcPr>
            <w:tcW w:w="0" w:type="auto"/>
            <w:gridSpan w:val="3"/>
            <w:tcMar>
              <w:top w:w="0" w:type="dxa"/>
              <w:left w:w="20" w:type="dxa"/>
              <w:bottom w:w="0" w:type="dxa"/>
              <w:right w:w="20" w:type="dxa"/>
            </w:tcMar>
            <w:vAlign w:val="center"/>
            <w:hideMark/>
          </w:tcPr>
          <w:p w14:paraId="489FEE81"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A8DA993" w14:textId="77777777" w:rsidR="00000000" w:rsidRDefault="00EE5306">
            <w:pPr>
              <w:spacing w:after="100"/>
              <w:jc w:val="center"/>
              <w:rPr>
                <w:rFonts w:eastAsia="Times New Roman"/>
              </w:rPr>
            </w:pPr>
            <w:r>
              <w:rPr>
                <w:rFonts w:eastAsia="Times New Roman"/>
                <w:b/>
                <w:bCs/>
                <w:color w:val="000000"/>
                <w:sz w:val="16"/>
                <w:szCs w:val="16"/>
              </w:rPr>
              <w:t>Total</w:t>
            </w:r>
          </w:p>
        </w:tc>
      </w:tr>
      <w:tr w:rsidR="00000000" w14:paraId="704BB9FD" w14:textId="77777777">
        <w:trPr>
          <w:divId w:val="712654815"/>
        </w:trPr>
        <w:tc>
          <w:tcPr>
            <w:tcW w:w="0" w:type="auto"/>
            <w:gridSpan w:val="3"/>
            <w:tcMar>
              <w:top w:w="0" w:type="dxa"/>
              <w:left w:w="20" w:type="dxa"/>
              <w:bottom w:w="0" w:type="dxa"/>
              <w:right w:w="20" w:type="dxa"/>
            </w:tcMar>
            <w:vAlign w:val="center"/>
            <w:hideMark/>
          </w:tcPr>
          <w:p w14:paraId="47D0A518"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A5A704C" w14:textId="77777777" w:rsidR="00000000" w:rsidRDefault="00EE5306">
            <w:pPr>
              <w:spacing w:after="100"/>
              <w:rPr>
                <w:rFonts w:eastAsia="Times New Roman"/>
                <w:sz w:val="20"/>
                <w:szCs w:val="20"/>
              </w:rPr>
            </w:pPr>
          </w:p>
        </w:tc>
        <w:tc>
          <w:tcPr>
            <w:tcW w:w="0" w:type="auto"/>
            <w:gridSpan w:val="11"/>
            <w:tcBorders>
              <w:top w:val="single" w:sz="8" w:space="0" w:color="000000"/>
            </w:tcBorders>
            <w:tcMar>
              <w:top w:w="30" w:type="dxa"/>
              <w:left w:w="20" w:type="dxa"/>
              <w:bottom w:w="30" w:type="dxa"/>
              <w:right w:w="20" w:type="dxa"/>
            </w:tcMar>
            <w:vAlign w:val="bottom"/>
            <w:hideMark/>
          </w:tcPr>
          <w:p w14:paraId="6A92E0A2"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vAlign w:val="center"/>
            <w:hideMark/>
          </w:tcPr>
          <w:p w14:paraId="1FC09C91" w14:textId="77777777" w:rsidR="00000000" w:rsidRDefault="00EE5306">
            <w:pPr>
              <w:spacing w:after="100"/>
              <w:rPr>
                <w:rFonts w:eastAsia="Times New Roman"/>
                <w:sz w:val="20"/>
                <w:szCs w:val="20"/>
              </w:rPr>
            </w:pPr>
          </w:p>
        </w:tc>
        <w:tc>
          <w:tcPr>
            <w:tcW w:w="0" w:type="auto"/>
            <w:vAlign w:val="center"/>
            <w:hideMark/>
          </w:tcPr>
          <w:p w14:paraId="3B4327DD" w14:textId="77777777" w:rsidR="00000000" w:rsidRDefault="00EE5306">
            <w:pPr>
              <w:spacing w:after="100"/>
              <w:rPr>
                <w:rFonts w:eastAsia="Times New Roman"/>
                <w:sz w:val="20"/>
                <w:szCs w:val="20"/>
              </w:rPr>
            </w:pPr>
          </w:p>
        </w:tc>
        <w:tc>
          <w:tcPr>
            <w:tcW w:w="0" w:type="auto"/>
            <w:vAlign w:val="center"/>
            <w:hideMark/>
          </w:tcPr>
          <w:p w14:paraId="1A5D242D" w14:textId="77777777" w:rsidR="00000000" w:rsidRDefault="00EE5306">
            <w:pPr>
              <w:spacing w:after="100"/>
              <w:rPr>
                <w:rFonts w:eastAsia="Times New Roman"/>
                <w:sz w:val="20"/>
                <w:szCs w:val="20"/>
              </w:rPr>
            </w:pPr>
          </w:p>
        </w:tc>
        <w:tc>
          <w:tcPr>
            <w:tcW w:w="0" w:type="auto"/>
            <w:vAlign w:val="center"/>
            <w:hideMark/>
          </w:tcPr>
          <w:p w14:paraId="0241927E" w14:textId="77777777" w:rsidR="00000000" w:rsidRDefault="00EE5306">
            <w:pPr>
              <w:spacing w:after="100"/>
              <w:rPr>
                <w:rFonts w:eastAsia="Times New Roman"/>
                <w:sz w:val="20"/>
                <w:szCs w:val="20"/>
              </w:rPr>
            </w:pPr>
          </w:p>
        </w:tc>
        <w:tc>
          <w:tcPr>
            <w:tcW w:w="0" w:type="auto"/>
            <w:vAlign w:val="center"/>
            <w:hideMark/>
          </w:tcPr>
          <w:p w14:paraId="289D8B78" w14:textId="77777777" w:rsidR="00000000" w:rsidRDefault="00EE5306">
            <w:pPr>
              <w:spacing w:after="100"/>
              <w:rPr>
                <w:rFonts w:eastAsia="Times New Roman"/>
                <w:sz w:val="20"/>
                <w:szCs w:val="20"/>
              </w:rPr>
            </w:pPr>
          </w:p>
        </w:tc>
        <w:tc>
          <w:tcPr>
            <w:tcW w:w="0" w:type="auto"/>
            <w:vAlign w:val="center"/>
            <w:hideMark/>
          </w:tcPr>
          <w:p w14:paraId="3EFC4E11" w14:textId="77777777" w:rsidR="00000000" w:rsidRDefault="00EE5306">
            <w:pPr>
              <w:spacing w:after="100"/>
              <w:rPr>
                <w:rFonts w:eastAsia="Times New Roman"/>
                <w:sz w:val="20"/>
                <w:szCs w:val="20"/>
              </w:rPr>
            </w:pPr>
          </w:p>
        </w:tc>
      </w:tr>
      <w:tr w:rsidR="00000000" w14:paraId="0DFDA419" w14:textId="77777777">
        <w:trPr>
          <w:divId w:val="712654815"/>
        </w:trPr>
        <w:tc>
          <w:tcPr>
            <w:tcW w:w="0" w:type="auto"/>
            <w:gridSpan w:val="3"/>
            <w:shd w:val="clear" w:color="auto" w:fill="CCEEFF"/>
            <w:tcMar>
              <w:top w:w="30" w:type="dxa"/>
              <w:left w:w="20" w:type="dxa"/>
              <w:bottom w:w="30" w:type="dxa"/>
              <w:right w:w="20" w:type="dxa"/>
            </w:tcMar>
            <w:vAlign w:val="bottom"/>
            <w:hideMark/>
          </w:tcPr>
          <w:p w14:paraId="242B1A9E" w14:textId="77777777" w:rsidR="00000000" w:rsidRDefault="00EE5306">
            <w:pPr>
              <w:spacing w:after="100"/>
              <w:rPr>
                <w:rFonts w:eastAsia="Times New Roman"/>
              </w:rPr>
            </w:pPr>
            <w:r>
              <w:rPr>
                <w:rFonts w:eastAsia="Times New Roman"/>
                <w:color w:val="000000"/>
                <w:sz w:val="20"/>
                <w:szCs w:val="20"/>
              </w:rPr>
              <w:t>Balance at March 28, 2020</w:t>
            </w:r>
          </w:p>
        </w:tc>
        <w:tc>
          <w:tcPr>
            <w:tcW w:w="0" w:type="auto"/>
            <w:gridSpan w:val="3"/>
            <w:shd w:val="clear" w:color="auto" w:fill="CCEEFF"/>
            <w:tcMar>
              <w:top w:w="0" w:type="dxa"/>
              <w:left w:w="20" w:type="dxa"/>
              <w:bottom w:w="0" w:type="dxa"/>
              <w:right w:w="20" w:type="dxa"/>
            </w:tcMar>
            <w:vAlign w:val="center"/>
            <w:hideMark/>
          </w:tcPr>
          <w:p w14:paraId="24A8F50B"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0CD721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49E1CE4"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C7367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0434D" w14:textId="77777777" w:rsidR="00000000" w:rsidRDefault="00EE5306">
            <w:pPr>
              <w:spacing w:after="100"/>
              <w:jc w:val="right"/>
              <w:rPr>
                <w:rFonts w:eastAsia="Times New Roman"/>
                <w:sz w:val="20"/>
                <w:szCs w:val="20"/>
              </w:rPr>
            </w:pPr>
          </w:p>
        </w:tc>
        <w:tc>
          <w:tcPr>
            <w:tcW w:w="0" w:type="auto"/>
            <w:vAlign w:val="center"/>
            <w:hideMark/>
          </w:tcPr>
          <w:p w14:paraId="74A2A7ED" w14:textId="77777777" w:rsidR="00000000" w:rsidRDefault="00EE5306">
            <w:pPr>
              <w:spacing w:after="100"/>
              <w:rPr>
                <w:rFonts w:eastAsia="Times New Roman"/>
                <w:sz w:val="20"/>
                <w:szCs w:val="20"/>
              </w:rPr>
            </w:pPr>
          </w:p>
        </w:tc>
        <w:tc>
          <w:tcPr>
            <w:tcW w:w="0" w:type="auto"/>
            <w:vAlign w:val="center"/>
            <w:hideMark/>
          </w:tcPr>
          <w:p w14:paraId="1F112FD4" w14:textId="77777777" w:rsidR="00000000" w:rsidRDefault="00EE5306">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648DE3"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A42E4F"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91557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82B4A"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F1A22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E69E11"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4ABB3B" w14:textId="77777777" w:rsidR="00000000" w:rsidRDefault="00EE5306">
            <w:pPr>
              <w:spacing w:after="100"/>
              <w:jc w:val="right"/>
              <w:rPr>
                <w:rFonts w:eastAsia="Times New Roman"/>
              </w:rPr>
            </w:pPr>
          </w:p>
        </w:tc>
      </w:tr>
      <w:tr w:rsidR="00000000" w14:paraId="51E72BA6" w14:textId="77777777">
        <w:trPr>
          <w:divId w:val="712654815"/>
        </w:trPr>
        <w:tc>
          <w:tcPr>
            <w:tcW w:w="0" w:type="auto"/>
            <w:gridSpan w:val="3"/>
            <w:shd w:val="clear" w:color="auto" w:fill="FFFFFF"/>
            <w:tcMar>
              <w:top w:w="30" w:type="dxa"/>
              <w:left w:w="155" w:type="dxa"/>
              <w:bottom w:w="30" w:type="dxa"/>
              <w:right w:w="20" w:type="dxa"/>
            </w:tcMar>
            <w:vAlign w:val="bottom"/>
            <w:hideMark/>
          </w:tcPr>
          <w:p w14:paraId="568D0881" w14:textId="77777777" w:rsidR="00000000" w:rsidRDefault="00EE5306">
            <w:pPr>
              <w:spacing w:after="100"/>
              <w:rPr>
                <w:rFonts w:eastAsia="Times New Roman"/>
              </w:rPr>
            </w:pPr>
            <w:r>
              <w:rPr>
                <w:rFonts w:eastAsia="Times New Roman"/>
                <w:color w:val="000000"/>
                <w:sz w:val="20"/>
                <w:szCs w:val="20"/>
              </w:rPr>
              <w:t>Additions charged to expense</w:t>
            </w:r>
          </w:p>
        </w:tc>
        <w:tc>
          <w:tcPr>
            <w:tcW w:w="0" w:type="auto"/>
            <w:gridSpan w:val="3"/>
            <w:shd w:val="clear" w:color="auto" w:fill="FFFFFF"/>
            <w:tcMar>
              <w:top w:w="0" w:type="dxa"/>
              <w:left w:w="20" w:type="dxa"/>
              <w:bottom w:w="0" w:type="dxa"/>
              <w:right w:w="20" w:type="dxa"/>
            </w:tcMar>
            <w:vAlign w:val="center"/>
            <w:hideMark/>
          </w:tcPr>
          <w:p w14:paraId="7B8C2A41"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3E074F" w14:textId="77777777" w:rsidR="00000000" w:rsidRDefault="00EE5306">
            <w:pPr>
              <w:spacing w:after="100"/>
              <w:jc w:val="right"/>
              <w:rPr>
                <w:rFonts w:eastAsia="Times New Roman"/>
              </w:rPr>
            </w:pPr>
            <w:r>
              <w:rPr>
                <w:rFonts w:eastAsia="Times New Roman"/>
                <w:color w:val="000000"/>
                <w:sz w:val="20"/>
                <w:szCs w:val="20"/>
              </w:rPr>
              <w:t>144.2 </w:t>
            </w:r>
          </w:p>
        </w:tc>
        <w:tc>
          <w:tcPr>
            <w:tcW w:w="0" w:type="auto"/>
            <w:shd w:val="clear" w:color="auto" w:fill="FFFFFF"/>
            <w:tcMar>
              <w:top w:w="30" w:type="dxa"/>
              <w:left w:w="0" w:type="dxa"/>
              <w:bottom w:w="30" w:type="dxa"/>
              <w:right w:w="20" w:type="dxa"/>
            </w:tcMar>
            <w:vAlign w:val="bottom"/>
            <w:hideMark/>
          </w:tcPr>
          <w:p w14:paraId="25AB39B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D2F1E9" w14:textId="77777777" w:rsidR="00000000" w:rsidRDefault="00EE5306">
            <w:pPr>
              <w:spacing w:after="100"/>
              <w:jc w:val="right"/>
              <w:rPr>
                <w:rFonts w:eastAsia="Times New Roman"/>
                <w:sz w:val="20"/>
                <w:szCs w:val="20"/>
              </w:rPr>
            </w:pPr>
          </w:p>
        </w:tc>
        <w:tc>
          <w:tcPr>
            <w:tcW w:w="0" w:type="auto"/>
            <w:vAlign w:val="center"/>
            <w:hideMark/>
          </w:tcPr>
          <w:p w14:paraId="1B9740DA" w14:textId="77777777" w:rsidR="00000000" w:rsidRDefault="00EE5306">
            <w:pPr>
              <w:spacing w:after="100"/>
              <w:rPr>
                <w:rFonts w:eastAsia="Times New Roman"/>
                <w:sz w:val="20"/>
                <w:szCs w:val="20"/>
              </w:rPr>
            </w:pPr>
          </w:p>
        </w:tc>
        <w:tc>
          <w:tcPr>
            <w:tcW w:w="0" w:type="auto"/>
            <w:vAlign w:val="center"/>
            <w:hideMark/>
          </w:tcPr>
          <w:p w14:paraId="149FB06F" w14:textId="77777777" w:rsidR="00000000" w:rsidRDefault="00EE530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403F81" w14:textId="77777777" w:rsidR="00000000" w:rsidRDefault="00EE5306">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14:paraId="34D1260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BF50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36F93" w14:textId="77777777" w:rsidR="00000000" w:rsidRDefault="00EE5306">
            <w:pPr>
              <w:spacing w:after="100"/>
              <w:jc w:val="right"/>
              <w:rPr>
                <w:rFonts w:eastAsia="Times New Roman"/>
              </w:rPr>
            </w:pPr>
            <w:r>
              <w:rPr>
                <w:rFonts w:eastAsia="Times New Roman"/>
                <w:color w:val="000000"/>
                <w:sz w:val="20"/>
                <w:szCs w:val="20"/>
              </w:rPr>
              <w:t>159.1 </w:t>
            </w:r>
          </w:p>
        </w:tc>
        <w:tc>
          <w:tcPr>
            <w:tcW w:w="0" w:type="auto"/>
            <w:shd w:val="clear" w:color="auto" w:fill="FFFFFF"/>
            <w:tcMar>
              <w:top w:w="30" w:type="dxa"/>
              <w:left w:w="0" w:type="dxa"/>
              <w:bottom w:w="30" w:type="dxa"/>
              <w:right w:w="20" w:type="dxa"/>
            </w:tcMar>
            <w:vAlign w:val="bottom"/>
            <w:hideMark/>
          </w:tcPr>
          <w:p w14:paraId="393C1B11" w14:textId="77777777" w:rsidR="00000000" w:rsidRDefault="00EE5306">
            <w:pPr>
              <w:spacing w:after="100"/>
              <w:jc w:val="right"/>
              <w:rPr>
                <w:rFonts w:eastAsia="Times New Roman"/>
              </w:rPr>
            </w:pPr>
          </w:p>
        </w:tc>
      </w:tr>
      <w:tr w:rsidR="00000000" w14:paraId="68814DAA" w14:textId="77777777">
        <w:trPr>
          <w:divId w:val="712654815"/>
        </w:trPr>
        <w:tc>
          <w:tcPr>
            <w:tcW w:w="0" w:type="auto"/>
            <w:gridSpan w:val="3"/>
            <w:shd w:val="clear" w:color="auto" w:fill="CCEEFF"/>
            <w:tcMar>
              <w:top w:w="30" w:type="dxa"/>
              <w:left w:w="155" w:type="dxa"/>
              <w:bottom w:w="30" w:type="dxa"/>
              <w:right w:w="20" w:type="dxa"/>
            </w:tcMar>
            <w:vAlign w:val="bottom"/>
            <w:hideMark/>
          </w:tcPr>
          <w:p w14:paraId="2C825C4B" w14:textId="77777777" w:rsidR="00000000" w:rsidRDefault="00EE5306">
            <w:pPr>
              <w:spacing w:after="100"/>
              <w:rPr>
                <w:rFonts w:eastAsia="Times New Roman"/>
              </w:rPr>
            </w:pPr>
            <w:r>
              <w:rPr>
                <w:rFonts w:eastAsia="Times New Roman"/>
                <w:color w:val="000000"/>
                <w:sz w:val="20"/>
                <w:szCs w:val="20"/>
              </w:rPr>
              <w:t>Cash payments charged against reserve</w:t>
            </w:r>
          </w:p>
        </w:tc>
        <w:tc>
          <w:tcPr>
            <w:tcW w:w="0" w:type="auto"/>
            <w:gridSpan w:val="3"/>
            <w:shd w:val="clear" w:color="auto" w:fill="CCEEFF"/>
            <w:tcMar>
              <w:top w:w="0" w:type="dxa"/>
              <w:left w:w="20" w:type="dxa"/>
              <w:bottom w:w="0" w:type="dxa"/>
              <w:right w:w="20" w:type="dxa"/>
            </w:tcMar>
            <w:vAlign w:val="center"/>
            <w:hideMark/>
          </w:tcPr>
          <w:p w14:paraId="201B6CA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253B55" w14:textId="77777777" w:rsidR="00000000" w:rsidRDefault="00EE5306">
            <w:pPr>
              <w:spacing w:after="100"/>
              <w:jc w:val="right"/>
              <w:rPr>
                <w:rFonts w:eastAsia="Times New Roman"/>
              </w:rPr>
            </w:pPr>
            <w:r>
              <w:rPr>
                <w:rFonts w:eastAsia="Times New Roman"/>
                <w:color w:val="000000"/>
                <w:sz w:val="20"/>
                <w:szCs w:val="20"/>
              </w:rPr>
              <w:t>(48.0)</w:t>
            </w:r>
          </w:p>
        </w:tc>
        <w:tc>
          <w:tcPr>
            <w:tcW w:w="0" w:type="auto"/>
            <w:shd w:val="clear" w:color="auto" w:fill="CCEEFF"/>
            <w:tcMar>
              <w:top w:w="30" w:type="dxa"/>
              <w:left w:w="0" w:type="dxa"/>
              <w:bottom w:w="30" w:type="dxa"/>
              <w:right w:w="20" w:type="dxa"/>
            </w:tcMar>
            <w:vAlign w:val="bottom"/>
            <w:hideMark/>
          </w:tcPr>
          <w:p w14:paraId="4A6209D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204E67" w14:textId="77777777" w:rsidR="00000000" w:rsidRDefault="00EE5306">
            <w:pPr>
              <w:spacing w:after="100"/>
              <w:jc w:val="right"/>
              <w:rPr>
                <w:rFonts w:eastAsia="Times New Roman"/>
                <w:sz w:val="20"/>
                <w:szCs w:val="20"/>
              </w:rPr>
            </w:pPr>
          </w:p>
        </w:tc>
        <w:tc>
          <w:tcPr>
            <w:tcW w:w="0" w:type="auto"/>
            <w:vAlign w:val="center"/>
            <w:hideMark/>
          </w:tcPr>
          <w:p w14:paraId="286CA255" w14:textId="77777777" w:rsidR="00000000" w:rsidRDefault="00EE5306">
            <w:pPr>
              <w:spacing w:after="100"/>
              <w:rPr>
                <w:rFonts w:eastAsia="Times New Roman"/>
                <w:sz w:val="20"/>
                <w:szCs w:val="20"/>
              </w:rPr>
            </w:pPr>
          </w:p>
        </w:tc>
        <w:tc>
          <w:tcPr>
            <w:tcW w:w="0" w:type="auto"/>
            <w:vAlign w:val="center"/>
            <w:hideMark/>
          </w:tcPr>
          <w:p w14:paraId="6A9C5358"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64737" w14:textId="77777777" w:rsidR="00000000" w:rsidRDefault="00EE5306">
            <w:pPr>
              <w:spacing w:after="100"/>
              <w:jc w:val="right"/>
              <w:rPr>
                <w:rFonts w:eastAsia="Times New Roman"/>
              </w:rPr>
            </w:pPr>
            <w:r>
              <w:rPr>
                <w:rFonts w:eastAsia="Times New Roman"/>
                <w:color w:val="000000"/>
                <w:sz w:val="20"/>
                <w:szCs w:val="20"/>
              </w:rPr>
              <w:t>(11.7)</w:t>
            </w:r>
          </w:p>
        </w:tc>
        <w:tc>
          <w:tcPr>
            <w:tcW w:w="0" w:type="auto"/>
            <w:shd w:val="clear" w:color="auto" w:fill="CCEEFF"/>
            <w:tcMar>
              <w:top w:w="30" w:type="dxa"/>
              <w:left w:w="0" w:type="dxa"/>
              <w:bottom w:w="30" w:type="dxa"/>
              <w:right w:w="20" w:type="dxa"/>
            </w:tcMar>
            <w:vAlign w:val="bottom"/>
            <w:hideMark/>
          </w:tcPr>
          <w:p w14:paraId="5F56C03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85FB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1C9446" w14:textId="77777777" w:rsidR="00000000" w:rsidRDefault="00EE5306">
            <w:pPr>
              <w:spacing w:after="100"/>
              <w:jc w:val="right"/>
              <w:rPr>
                <w:rFonts w:eastAsia="Times New Roman"/>
              </w:rPr>
            </w:pPr>
            <w:r>
              <w:rPr>
                <w:rFonts w:eastAsia="Times New Roman"/>
                <w:color w:val="000000"/>
                <w:sz w:val="20"/>
                <w:szCs w:val="20"/>
              </w:rPr>
              <w:t>(59.7)</w:t>
            </w:r>
          </w:p>
        </w:tc>
        <w:tc>
          <w:tcPr>
            <w:tcW w:w="0" w:type="auto"/>
            <w:shd w:val="clear" w:color="auto" w:fill="CCEEFF"/>
            <w:tcMar>
              <w:top w:w="30" w:type="dxa"/>
              <w:left w:w="0" w:type="dxa"/>
              <w:bottom w:w="30" w:type="dxa"/>
              <w:right w:w="20" w:type="dxa"/>
            </w:tcMar>
            <w:vAlign w:val="bottom"/>
            <w:hideMark/>
          </w:tcPr>
          <w:p w14:paraId="6B70FC05" w14:textId="77777777" w:rsidR="00000000" w:rsidRDefault="00EE5306">
            <w:pPr>
              <w:spacing w:after="100"/>
              <w:jc w:val="right"/>
              <w:rPr>
                <w:rFonts w:eastAsia="Times New Roman"/>
              </w:rPr>
            </w:pPr>
          </w:p>
        </w:tc>
      </w:tr>
      <w:tr w:rsidR="00000000" w14:paraId="3DDE3050" w14:textId="77777777">
        <w:trPr>
          <w:divId w:val="712654815"/>
        </w:trPr>
        <w:tc>
          <w:tcPr>
            <w:tcW w:w="0" w:type="auto"/>
            <w:gridSpan w:val="3"/>
            <w:vAlign w:val="center"/>
            <w:hideMark/>
          </w:tcPr>
          <w:p w14:paraId="438D6AB8" w14:textId="77777777" w:rsidR="00000000" w:rsidRDefault="00EE5306">
            <w:pPr>
              <w:spacing w:after="100"/>
              <w:jc w:val="right"/>
              <w:rPr>
                <w:rFonts w:eastAsia="Times New Roman"/>
                <w:sz w:val="20"/>
                <w:szCs w:val="20"/>
              </w:rPr>
            </w:pPr>
          </w:p>
        </w:tc>
        <w:tc>
          <w:tcPr>
            <w:tcW w:w="0" w:type="auto"/>
            <w:gridSpan w:val="3"/>
            <w:vAlign w:val="center"/>
            <w:hideMark/>
          </w:tcPr>
          <w:p w14:paraId="2343E744" w14:textId="77777777" w:rsidR="00000000" w:rsidRDefault="00EE5306">
            <w:pPr>
              <w:spacing w:after="100"/>
              <w:rPr>
                <w:rFonts w:eastAsia="Times New Roman"/>
                <w:sz w:val="20"/>
                <w:szCs w:val="20"/>
              </w:rPr>
            </w:pPr>
          </w:p>
        </w:tc>
        <w:tc>
          <w:tcPr>
            <w:tcW w:w="0" w:type="auto"/>
            <w:gridSpan w:val="3"/>
            <w:vAlign w:val="center"/>
            <w:hideMark/>
          </w:tcPr>
          <w:p w14:paraId="7F0BEE0C" w14:textId="77777777" w:rsidR="00000000" w:rsidRDefault="00EE5306">
            <w:pPr>
              <w:spacing w:after="100"/>
              <w:rPr>
                <w:rFonts w:eastAsia="Times New Roman"/>
                <w:sz w:val="20"/>
                <w:szCs w:val="20"/>
              </w:rPr>
            </w:pPr>
          </w:p>
        </w:tc>
        <w:tc>
          <w:tcPr>
            <w:tcW w:w="0" w:type="auto"/>
            <w:gridSpan w:val="3"/>
            <w:vAlign w:val="center"/>
            <w:hideMark/>
          </w:tcPr>
          <w:p w14:paraId="07B8341B" w14:textId="77777777" w:rsidR="00000000" w:rsidRDefault="00EE5306">
            <w:pPr>
              <w:spacing w:after="100"/>
              <w:rPr>
                <w:rFonts w:eastAsia="Times New Roman"/>
                <w:sz w:val="20"/>
                <w:szCs w:val="20"/>
              </w:rPr>
            </w:pPr>
          </w:p>
        </w:tc>
        <w:tc>
          <w:tcPr>
            <w:tcW w:w="0" w:type="auto"/>
            <w:vAlign w:val="center"/>
            <w:hideMark/>
          </w:tcPr>
          <w:p w14:paraId="40B39918" w14:textId="77777777" w:rsidR="00000000" w:rsidRDefault="00EE5306">
            <w:pPr>
              <w:spacing w:after="100"/>
              <w:rPr>
                <w:rFonts w:eastAsia="Times New Roman"/>
                <w:sz w:val="20"/>
                <w:szCs w:val="20"/>
              </w:rPr>
            </w:pPr>
          </w:p>
        </w:tc>
        <w:tc>
          <w:tcPr>
            <w:tcW w:w="0" w:type="auto"/>
            <w:vAlign w:val="center"/>
            <w:hideMark/>
          </w:tcPr>
          <w:p w14:paraId="45050AC8" w14:textId="77777777" w:rsidR="00000000" w:rsidRDefault="00EE5306">
            <w:pPr>
              <w:spacing w:after="100"/>
              <w:rPr>
                <w:rFonts w:eastAsia="Times New Roman"/>
                <w:sz w:val="20"/>
                <w:szCs w:val="20"/>
              </w:rPr>
            </w:pPr>
          </w:p>
        </w:tc>
        <w:tc>
          <w:tcPr>
            <w:tcW w:w="0" w:type="auto"/>
            <w:gridSpan w:val="3"/>
            <w:vAlign w:val="center"/>
            <w:hideMark/>
          </w:tcPr>
          <w:p w14:paraId="6D7B650F" w14:textId="77777777" w:rsidR="00000000" w:rsidRDefault="00EE5306">
            <w:pPr>
              <w:spacing w:after="100"/>
              <w:rPr>
                <w:rFonts w:eastAsia="Times New Roman"/>
                <w:sz w:val="20"/>
                <w:szCs w:val="20"/>
              </w:rPr>
            </w:pPr>
          </w:p>
        </w:tc>
        <w:tc>
          <w:tcPr>
            <w:tcW w:w="0" w:type="auto"/>
            <w:gridSpan w:val="3"/>
            <w:vAlign w:val="center"/>
            <w:hideMark/>
          </w:tcPr>
          <w:p w14:paraId="31E0D873" w14:textId="77777777" w:rsidR="00000000" w:rsidRDefault="00EE5306">
            <w:pPr>
              <w:spacing w:after="100"/>
              <w:rPr>
                <w:rFonts w:eastAsia="Times New Roman"/>
                <w:sz w:val="20"/>
                <w:szCs w:val="20"/>
              </w:rPr>
            </w:pPr>
          </w:p>
        </w:tc>
        <w:tc>
          <w:tcPr>
            <w:tcW w:w="0" w:type="auto"/>
            <w:gridSpan w:val="3"/>
            <w:vAlign w:val="center"/>
            <w:hideMark/>
          </w:tcPr>
          <w:p w14:paraId="19DC921D" w14:textId="77777777" w:rsidR="00000000" w:rsidRDefault="00EE5306">
            <w:pPr>
              <w:spacing w:after="100"/>
              <w:rPr>
                <w:rFonts w:eastAsia="Times New Roman"/>
                <w:sz w:val="20"/>
                <w:szCs w:val="20"/>
              </w:rPr>
            </w:pPr>
          </w:p>
        </w:tc>
      </w:tr>
      <w:tr w:rsidR="00000000" w14:paraId="7C42341D" w14:textId="77777777">
        <w:trPr>
          <w:divId w:val="712654815"/>
        </w:trPr>
        <w:tc>
          <w:tcPr>
            <w:tcW w:w="0" w:type="auto"/>
            <w:gridSpan w:val="3"/>
            <w:shd w:val="clear" w:color="auto" w:fill="FFFFFF"/>
            <w:tcMar>
              <w:top w:w="30" w:type="dxa"/>
              <w:left w:w="20" w:type="dxa"/>
              <w:bottom w:w="30" w:type="dxa"/>
              <w:right w:w="20" w:type="dxa"/>
            </w:tcMar>
            <w:vAlign w:val="bottom"/>
            <w:hideMark/>
          </w:tcPr>
          <w:p w14:paraId="0FF0355F" w14:textId="77777777" w:rsidR="00000000" w:rsidRDefault="00EE5306">
            <w:pPr>
              <w:spacing w:after="100"/>
              <w:rPr>
                <w:rFonts w:eastAsia="Times New Roman"/>
              </w:rPr>
            </w:pPr>
            <w:r>
              <w:rPr>
                <w:rFonts w:eastAsia="Times New Roman"/>
                <w:color w:val="000000"/>
                <w:sz w:val="20"/>
                <w:szCs w:val="20"/>
              </w:rPr>
              <w:t>Balance at March 27, 2021</w:t>
            </w:r>
          </w:p>
        </w:tc>
        <w:tc>
          <w:tcPr>
            <w:tcW w:w="0" w:type="auto"/>
            <w:gridSpan w:val="3"/>
            <w:shd w:val="clear" w:color="auto" w:fill="FFFFFF"/>
            <w:tcMar>
              <w:top w:w="0" w:type="dxa"/>
              <w:left w:w="20" w:type="dxa"/>
              <w:bottom w:w="0" w:type="dxa"/>
              <w:right w:w="20" w:type="dxa"/>
            </w:tcMar>
            <w:vAlign w:val="center"/>
            <w:hideMark/>
          </w:tcPr>
          <w:p w14:paraId="0D3C3BDB"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D0F8D4"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E6C6AB" w14:textId="77777777" w:rsidR="00000000" w:rsidRDefault="00EE5306">
            <w:pPr>
              <w:spacing w:after="100"/>
              <w:jc w:val="right"/>
              <w:rPr>
                <w:rFonts w:eastAsia="Times New Roman"/>
              </w:rPr>
            </w:pPr>
            <w:r>
              <w:rPr>
                <w:rFonts w:eastAsia="Times New Roman"/>
                <w:color w:val="000000"/>
                <w:sz w:val="20"/>
                <w:szCs w:val="20"/>
              </w:rPr>
              <w:t>96.2 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6045F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814C1" w14:textId="77777777" w:rsidR="00000000" w:rsidRDefault="00EE5306">
            <w:pPr>
              <w:spacing w:after="100"/>
              <w:jc w:val="right"/>
              <w:rPr>
                <w:rFonts w:eastAsia="Times New Roman"/>
                <w:sz w:val="20"/>
                <w:szCs w:val="20"/>
              </w:rPr>
            </w:pPr>
          </w:p>
        </w:tc>
        <w:tc>
          <w:tcPr>
            <w:tcW w:w="0" w:type="auto"/>
            <w:vAlign w:val="center"/>
            <w:hideMark/>
          </w:tcPr>
          <w:p w14:paraId="5CF100A9" w14:textId="77777777" w:rsidR="00000000" w:rsidRDefault="00EE5306">
            <w:pPr>
              <w:spacing w:after="100"/>
              <w:rPr>
                <w:rFonts w:eastAsia="Times New Roman"/>
                <w:sz w:val="20"/>
                <w:szCs w:val="20"/>
              </w:rPr>
            </w:pPr>
          </w:p>
        </w:tc>
        <w:tc>
          <w:tcPr>
            <w:tcW w:w="0" w:type="auto"/>
            <w:vAlign w:val="center"/>
            <w:hideMark/>
          </w:tcPr>
          <w:p w14:paraId="24B3375A" w14:textId="77777777" w:rsidR="00000000" w:rsidRDefault="00EE5306">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5F370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CE343A" w14:textId="77777777" w:rsidR="00000000" w:rsidRDefault="00EE5306">
            <w:pPr>
              <w:spacing w:after="100"/>
              <w:jc w:val="right"/>
              <w:rPr>
                <w:rFonts w:eastAsia="Times New Roman"/>
              </w:rPr>
            </w:pPr>
            <w:r>
              <w:rPr>
                <w:rFonts w:eastAsia="Times New Roman"/>
                <w:color w:val="000000"/>
                <w:sz w:val="20"/>
                <w:szCs w:val="20"/>
              </w:rPr>
              <w:t>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B6492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0F381"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2A44ED"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A30042" w14:textId="77777777" w:rsidR="00000000" w:rsidRDefault="00EE5306">
            <w:pPr>
              <w:spacing w:after="100"/>
              <w:jc w:val="right"/>
              <w:rPr>
                <w:rFonts w:eastAsia="Times New Roman"/>
              </w:rPr>
            </w:pPr>
            <w:r>
              <w:rPr>
                <w:rFonts w:eastAsia="Times New Roman"/>
                <w:color w:val="000000"/>
                <w:sz w:val="20"/>
                <w:szCs w:val="20"/>
              </w:rPr>
              <w:t>99.4 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4D9462" w14:textId="77777777" w:rsidR="00000000" w:rsidRDefault="00EE5306">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2030A10B" w14:textId="77777777">
        <w:trPr>
          <w:jc w:val="center"/>
        </w:trPr>
        <w:tc>
          <w:tcPr>
            <w:tcW w:w="50" w:type="pct"/>
            <w:vAlign w:val="center"/>
            <w:hideMark/>
          </w:tcPr>
          <w:p w14:paraId="12D62570" w14:textId="77777777" w:rsidR="00000000" w:rsidRDefault="00EE5306">
            <w:pPr>
              <w:rPr>
                <w:rFonts w:eastAsia="Times New Roman"/>
              </w:rPr>
            </w:pPr>
          </w:p>
        </w:tc>
        <w:tc>
          <w:tcPr>
            <w:tcW w:w="1699" w:type="pct"/>
            <w:vAlign w:val="center"/>
            <w:hideMark/>
          </w:tcPr>
          <w:p w14:paraId="3C66F88E" w14:textId="77777777" w:rsidR="00000000" w:rsidRDefault="00EE5306">
            <w:pPr>
              <w:spacing w:after="100"/>
              <w:rPr>
                <w:rFonts w:eastAsia="Times New Roman"/>
                <w:sz w:val="20"/>
                <w:szCs w:val="20"/>
              </w:rPr>
            </w:pPr>
          </w:p>
        </w:tc>
        <w:tc>
          <w:tcPr>
            <w:tcW w:w="5" w:type="pct"/>
            <w:vAlign w:val="center"/>
            <w:hideMark/>
          </w:tcPr>
          <w:p w14:paraId="555A2245" w14:textId="77777777" w:rsidR="00000000" w:rsidRDefault="00EE5306">
            <w:pPr>
              <w:spacing w:after="100"/>
              <w:rPr>
                <w:rFonts w:eastAsia="Times New Roman"/>
                <w:sz w:val="20"/>
                <w:szCs w:val="20"/>
              </w:rPr>
            </w:pPr>
          </w:p>
        </w:tc>
        <w:tc>
          <w:tcPr>
            <w:tcW w:w="50" w:type="pct"/>
            <w:vAlign w:val="center"/>
            <w:hideMark/>
          </w:tcPr>
          <w:p w14:paraId="7DE1A43A" w14:textId="77777777" w:rsidR="00000000" w:rsidRDefault="00EE5306">
            <w:pPr>
              <w:spacing w:after="100"/>
              <w:rPr>
                <w:rFonts w:eastAsia="Times New Roman"/>
                <w:sz w:val="20"/>
                <w:szCs w:val="20"/>
              </w:rPr>
            </w:pPr>
          </w:p>
        </w:tc>
        <w:tc>
          <w:tcPr>
            <w:tcW w:w="1436" w:type="pct"/>
            <w:vAlign w:val="center"/>
            <w:hideMark/>
          </w:tcPr>
          <w:p w14:paraId="54664C3D" w14:textId="77777777" w:rsidR="00000000" w:rsidRDefault="00EE5306">
            <w:pPr>
              <w:spacing w:after="100"/>
              <w:rPr>
                <w:rFonts w:eastAsia="Times New Roman"/>
                <w:sz w:val="20"/>
                <w:szCs w:val="20"/>
              </w:rPr>
            </w:pPr>
          </w:p>
        </w:tc>
        <w:tc>
          <w:tcPr>
            <w:tcW w:w="5" w:type="pct"/>
            <w:vAlign w:val="center"/>
            <w:hideMark/>
          </w:tcPr>
          <w:p w14:paraId="7387B412" w14:textId="77777777" w:rsidR="00000000" w:rsidRDefault="00EE5306">
            <w:pPr>
              <w:spacing w:after="100"/>
              <w:rPr>
                <w:rFonts w:eastAsia="Times New Roman"/>
                <w:sz w:val="20"/>
                <w:szCs w:val="20"/>
              </w:rPr>
            </w:pPr>
          </w:p>
        </w:tc>
        <w:tc>
          <w:tcPr>
            <w:tcW w:w="50" w:type="pct"/>
            <w:vAlign w:val="center"/>
            <w:hideMark/>
          </w:tcPr>
          <w:p w14:paraId="381416AB" w14:textId="77777777" w:rsidR="00000000" w:rsidRDefault="00EE5306">
            <w:pPr>
              <w:spacing w:after="100"/>
              <w:rPr>
                <w:rFonts w:eastAsia="Times New Roman"/>
                <w:sz w:val="20"/>
                <w:szCs w:val="20"/>
              </w:rPr>
            </w:pPr>
          </w:p>
        </w:tc>
        <w:tc>
          <w:tcPr>
            <w:tcW w:w="1699" w:type="pct"/>
            <w:vAlign w:val="center"/>
            <w:hideMark/>
          </w:tcPr>
          <w:p w14:paraId="75B668F9" w14:textId="77777777" w:rsidR="00000000" w:rsidRDefault="00EE5306">
            <w:pPr>
              <w:spacing w:after="100"/>
              <w:rPr>
                <w:rFonts w:eastAsia="Times New Roman"/>
                <w:sz w:val="20"/>
                <w:szCs w:val="20"/>
              </w:rPr>
            </w:pPr>
          </w:p>
        </w:tc>
        <w:tc>
          <w:tcPr>
            <w:tcW w:w="5" w:type="pct"/>
            <w:vAlign w:val="center"/>
            <w:hideMark/>
          </w:tcPr>
          <w:p w14:paraId="71E603E7" w14:textId="77777777" w:rsidR="00000000" w:rsidRDefault="00EE5306">
            <w:pPr>
              <w:spacing w:after="100"/>
              <w:rPr>
                <w:rFonts w:eastAsia="Times New Roman"/>
                <w:sz w:val="20"/>
                <w:szCs w:val="20"/>
              </w:rPr>
            </w:pPr>
          </w:p>
        </w:tc>
      </w:tr>
      <w:tr w:rsidR="00000000" w14:paraId="2F427F52" w14:textId="77777777">
        <w:trPr>
          <w:jc w:val="center"/>
        </w:trPr>
        <w:tc>
          <w:tcPr>
            <w:tcW w:w="0" w:type="auto"/>
            <w:gridSpan w:val="3"/>
            <w:tcMar>
              <w:top w:w="0" w:type="dxa"/>
              <w:left w:w="20" w:type="dxa"/>
              <w:bottom w:w="0" w:type="dxa"/>
              <w:right w:w="20" w:type="dxa"/>
            </w:tcMar>
            <w:vAlign w:val="center"/>
            <w:hideMark/>
          </w:tcPr>
          <w:p w14:paraId="049EDAA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D37AA63" w14:textId="77777777" w:rsidR="00000000" w:rsidRDefault="00EE5306">
            <w:pPr>
              <w:spacing w:after="100"/>
              <w:jc w:val="center"/>
              <w:rPr>
                <w:rFonts w:eastAsia="Times New Roman"/>
              </w:rPr>
            </w:pPr>
            <w:r>
              <w:rPr>
                <w:rFonts w:eastAsia="Times New Roman"/>
                <w:color w:val="000000"/>
                <w:sz w:val="20"/>
                <w:szCs w:val="20"/>
              </w:rPr>
              <w:t>F-25</w:t>
            </w:r>
          </w:p>
        </w:tc>
        <w:tc>
          <w:tcPr>
            <w:tcW w:w="0" w:type="auto"/>
            <w:gridSpan w:val="3"/>
            <w:tcMar>
              <w:top w:w="0" w:type="dxa"/>
              <w:left w:w="20" w:type="dxa"/>
              <w:bottom w:w="0" w:type="dxa"/>
              <w:right w:w="20" w:type="dxa"/>
            </w:tcMar>
            <w:vAlign w:val="center"/>
            <w:hideMark/>
          </w:tcPr>
          <w:p w14:paraId="3B9070C1" w14:textId="77777777" w:rsidR="00000000" w:rsidRDefault="00EE5306">
            <w:pPr>
              <w:spacing w:after="100"/>
              <w:jc w:val="center"/>
              <w:rPr>
                <w:rFonts w:eastAsia="Times New Roman"/>
              </w:rPr>
            </w:pPr>
          </w:p>
        </w:tc>
      </w:tr>
    </w:tbl>
    <w:p w14:paraId="251B3326" w14:textId="77777777" w:rsidR="00000000" w:rsidRDefault="00EE5306">
      <w:pPr>
        <w:rPr>
          <w:rFonts w:eastAsia="Times New Roman"/>
        </w:rPr>
      </w:pPr>
      <w:r>
        <w:rPr>
          <w:rFonts w:eastAsia="Times New Roman"/>
        </w:rPr>
        <w:pict w14:anchorId="30F66925">
          <v:rect id="_x0000_i1135" style="width:0;height:1.5pt" o:hralign="center" o:hrstd="t" o:hr="t" fillcolor="#a0a0a0" stroked="f"/>
        </w:pict>
      </w:r>
    </w:p>
    <w:p w14:paraId="1F8601CA" w14:textId="77777777" w:rsidR="00000000" w:rsidRDefault="00EE5306">
      <w:pPr>
        <w:jc w:val="center"/>
        <w:divId w:val="1864400364"/>
        <w:rPr>
          <w:rFonts w:eastAsia="Times New Roman"/>
        </w:rPr>
      </w:pPr>
    </w:p>
    <w:p w14:paraId="72FF52B5" w14:textId="77777777" w:rsidR="00000000" w:rsidRDefault="00EE5306">
      <w:pPr>
        <w:jc w:val="center"/>
        <w:divId w:val="1864400364"/>
        <w:rPr>
          <w:rFonts w:eastAsia="Times New Roman"/>
        </w:rPr>
      </w:pPr>
      <w:r>
        <w:rPr>
          <w:rFonts w:eastAsia="Times New Roman"/>
          <w:b/>
          <w:bCs/>
          <w:color w:val="000000"/>
          <w:sz w:val="20"/>
          <w:szCs w:val="20"/>
        </w:rPr>
        <w:t>RALPH LAUREN CORPORATION</w:t>
      </w:r>
    </w:p>
    <w:p w14:paraId="4814F006" w14:textId="77777777" w:rsidR="00000000" w:rsidRDefault="00EE5306">
      <w:pPr>
        <w:jc w:val="center"/>
        <w:divId w:val="694355361"/>
        <w:rPr>
          <w:rFonts w:eastAsia="Times New Roman"/>
        </w:rPr>
      </w:pPr>
      <w:r>
        <w:rPr>
          <w:rFonts w:eastAsia="Times New Roman"/>
          <w:b/>
          <w:bCs/>
          <w:color w:val="000000"/>
          <w:sz w:val="20"/>
          <w:szCs w:val="20"/>
        </w:rPr>
        <w:t>NOTES TO CONSOLIDATED FINANCIAL STATEMENTS (Continued)</w:t>
      </w:r>
    </w:p>
    <w:p w14:paraId="66490333" w14:textId="77777777" w:rsidR="00000000" w:rsidRDefault="00EE5306">
      <w:pPr>
        <w:ind w:firstLine="360"/>
        <w:jc w:val="both"/>
        <w:divId w:val="80033817"/>
        <w:rPr>
          <w:rFonts w:eastAsia="Times New Roman"/>
        </w:rPr>
      </w:pPr>
      <w:r>
        <w:rPr>
          <w:rFonts w:eastAsia="Times New Roman"/>
          <w:b/>
          <w:bCs/>
          <w:i/>
          <w:iCs/>
          <w:color w:val="000000"/>
          <w:sz w:val="20"/>
          <w:szCs w:val="20"/>
        </w:rPr>
        <w:t>Fiscal 2019 Restructuring Plan</w:t>
      </w:r>
    </w:p>
    <w:p w14:paraId="1A0CA062" w14:textId="77777777" w:rsidR="00000000" w:rsidRDefault="00EE5306">
      <w:pPr>
        <w:ind w:firstLine="540"/>
        <w:jc w:val="both"/>
        <w:divId w:val="1003776601"/>
        <w:rPr>
          <w:rFonts w:eastAsia="Times New Roman"/>
        </w:rPr>
      </w:pPr>
      <w:r>
        <w:rPr>
          <w:rFonts w:eastAsia="Times New Roman"/>
          <w:color w:val="000000"/>
          <w:sz w:val="20"/>
          <w:szCs w:val="20"/>
        </w:rPr>
        <w:t>On June 4, 2018, the Company's Board of Directors approved a restructuring plan associated with the Company</w:t>
      </w:r>
      <w:r>
        <w:rPr>
          <w:rFonts w:eastAsia="Times New Roman"/>
          <w:color w:val="000000"/>
          <w:sz w:val="20"/>
          <w:szCs w:val="20"/>
        </w:rPr>
        <w:t>'s strategic objective of operating with discipline to drive sustainable growth (the "Fiscal 2019 Restructuring Plan"). The Fiscal 2019 Restructuring Plan included the following activities: (i) rightsizing and consolidation of the Company's global distribu</w:t>
      </w:r>
      <w:r>
        <w:rPr>
          <w:rFonts w:eastAsia="Times New Roman"/>
          <w:color w:val="000000"/>
          <w:sz w:val="20"/>
          <w:szCs w:val="20"/>
        </w:rPr>
        <w:t>tion network and corporate offices; (ii) targeted severance-related actions; and (iii) closure of certain of its stores and shop-within-shops.</w:t>
      </w:r>
    </w:p>
    <w:p w14:paraId="717195CF" w14:textId="77777777" w:rsidR="00000000" w:rsidRDefault="00EE5306">
      <w:pPr>
        <w:ind w:firstLine="540"/>
        <w:jc w:val="both"/>
        <w:divId w:val="1832864957"/>
        <w:rPr>
          <w:rFonts w:eastAsia="Times New Roman"/>
        </w:rPr>
      </w:pPr>
      <w:r>
        <w:rPr>
          <w:rFonts w:eastAsia="Times New Roman"/>
          <w:color w:val="000000"/>
          <w:sz w:val="20"/>
          <w:szCs w:val="20"/>
        </w:rPr>
        <w:t>Actions associated with the Fiscal 2019 Restructuring Plan are complete and no additional charges are expected to be incurred in connection with this plan. A summary of the charges recorded in connection with the Fiscal 2019 Restructuring Plan during the f</w:t>
      </w:r>
      <w:r>
        <w:rPr>
          <w:rFonts w:eastAsia="Times New Roman"/>
          <w:color w:val="000000"/>
          <w:sz w:val="20"/>
          <w:szCs w:val="20"/>
        </w:rPr>
        <w:t>iscal periods presented, as well as the cumulative charges recorded since its inception, is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4563"/>
        <w:gridCol w:w="37"/>
        <w:gridCol w:w="36"/>
        <w:gridCol w:w="36"/>
        <w:gridCol w:w="36"/>
        <w:gridCol w:w="120"/>
        <w:gridCol w:w="824"/>
        <w:gridCol w:w="36"/>
        <w:gridCol w:w="36"/>
        <w:gridCol w:w="36"/>
        <w:gridCol w:w="36"/>
        <w:gridCol w:w="120"/>
        <w:gridCol w:w="775"/>
        <w:gridCol w:w="36"/>
        <w:gridCol w:w="36"/>
        <w:gridCol w:w="36"/>
        <w:gridCol w:w="36"/>
        <w:gridCol w:w="121"/>
        <w:gridCol w:w="826"/>
        <w:gridCol w:w="36"/>
      </w:tblGrid>
      <w:tr w:rsidR="00000000" w14:paraId="218FB611" w14:textId="77777777">
        <w:trPr>
          <w:divId w:val="1243754362"/>
        </w:trPr>
        <w:tc>
          <w:tcPr>
            <w:tcW w:w="50" w:type="pct"/>
            <w:vAlign w:val="center"/>
            <w:hideMark/>
          </w:tcPr>
          <w:p w14:paraId="2D8D079C" w14:textId="77777777" w:rsidR="00000000" w:rsidRDefault="00EE5306">
            <w:pPr>
              <w:ind w:firstLine="540"/>
              <w:jc w:val="both"/>
              <w:rPr>
                <w:rFonts w:eastAsia="Times New Roman"/>
              </w:rPr>
            </w:pPr>
          </w:p>
        </w:tc>
        <w:tc>
          <w:tcPr>
            <w:tcW w:w="2951" w:type="pct"/>
            <w:vAlign w:val="center"/>
            <w:hideMark/>
          </w:tcPr>
          <w:p w14:paraId="1669A43F" w14:textId="77777777" w:rsidR="00000000" w:rsidRDefault="00EE5306">
            <w:pPr>
              <w:spacing w:after="100"/>
              <w:rPr>
                <w:rFonts w:eastAsia="Times New Roman"/>
                <w:sz w:val="20"/>
                <w:szCs w:val="20"/>
              </w:rPr>
            </w:pPr>
          </w:p>
        </w:tc>
        <w:tc>
          <w:tcPr>
            <w:tcW w:w="5" w:type="pct"/>
            <w:vAlign w:val="center"/>
            <w:hideMark/>
          </w:tcPr>
          <w:p w14:paraId="6DCEBDAE" w14:textId="77777777" w:rsidR="00000000" w:rsidRDefault="00EE5306">
            <w:pPr>
              <w:spacing w:after="100"/>
              <w:rPr>
                <w:rFonts w:eastAsia="Times New Roman"/>
                <w:sz w:val="20"/>
                <w:szCs w:val="20"/>
              </w:rPr>
            </w:pPr>
          </w:p>
        </w:tc>
        <w:tc>
          <w:tcPr>
            <w:tcW w:w="5" w:type="pct"/>
            <w:vAlign w:val="center"/>
            <w:hideMark/>
          </w:tcPr>
          <w:p w14:paraId="2F4FB047" w14:textId="77777777" w:rsidR="00000000" w:rsidRDefault="00EE5306">
            <w:pPr>
              <w:spacing w:after="100"/>
              <w:rPr>
                <w:rFonts w:eastAsia="Times New Roman"/>
                <w:sz w:val="20"/>
                <w:szCs w:val="20"/>
              </w:rPr>
            </w:pPr>
          </w:p>
        </w:tc>
        <w:tc>
          <w:tcPr>
            <w:tcW w:w="59" w:type="pct"/>
            <w:vAlign w:val="center"/>
            <w:hideMark/>
          </w:tcPr>
          <w:p w14:paraId="1F2A5535" w14:textId="77777777" w:rsidR="00000000" w:rsidRDefault="00EE5306">
            <w:pPr>
              <w:spacing w:after="100"/>
              <w:rPr>
                <w:rFonts w:eastAsia="Times New Roman"/>
                <w:sz w:val="20"/>
                <w:szCs w:val="20"/>
              </w:rPr>
            </w:pPr>
          </w:p>
        </w:tc>
        <w:tc>
          <w:tcPr>
            <w:tcW w:w="5" w:type="pct"/>
            <w:vAlign w:val="center"/>
            <w:hideMark/>
          </w:tcPr>
          <w:p w14:paraId="36139BAF" w14:textId="77777777" w:rsidR="00000000" w:rsidRDefault="00EE5306">
            <w:pPr>
              <w:spacing w:after="100"/>
              <w:rPr>
                <w:rFonts w:eastAsia="Times New Roman"/>
                <w:sz w:val="20"/>
                <w:szCs w:val="20"/>
              </w:rPr>
            </w:pPr>
          </w:p>
        </w:tc>
        <w:tc>
          <w:tcPr>
            <w:tcW w:w="50" w:type="pct"/>
            <w:vAlign w:val="center"/>
            <w:hideMark/>
          </w:tcPr>
          <w:p w14:paraId="294862B7" w14:textId="77777777" w:rsidR="00000000" w:rsidRDefault="00EE5306">
            <w:pPr>
              <w:spacing w:after="100"/>
              <w:rPr>
                <w:rFonts w:eastAsia="Times New Roman"/>
                <w:sz w:val="20"/>
                <w:szCs w:val="20"/>
              </w:rPr>
            </w:pPr>
          </w:p>
        </w:tc>
        <w:tc>
          <w:tcPr>
            <w:tcW w:w="563" w:type="pct"/>
            <w:vAlign w:val="center"/>
            <w:hideMark/>
          </w:tcPr>
          <w:p w14:paraId="58FFCDA9" w14:textId="77777777" w:rsidR="00000000" w:rsidRDefault="00EE5306">
            <w:pPr>
              <w:spacing w:after="100"/>
              <w:rPr>
                <w:rFonts w:eastAsia="Times New Roman"/>
                <w:sz w:val="20"/>
                <w:szCs w:val="20"/>
              </w:rPr>
            </w:pPr>
          </w:p>
        </w:tc>
        <w:tc>
          <w:tcPr>
            <w:tcW w:w="5" w:type="pct"/>
            <w:vAlign w:val="center"/>
            <w:hideMark/>
          </w:tcPr>
          <w:p w14:paraId="6881BBA9" w14:textId="77777777" w:rsidR="00000000" w:rsidRDefault="00EE5306">
            <w:pPr>
              <w:spacing w:after="100"/>
              <w:rPr>
                <w:rFonts w:eastAsia="Times New Roman"/>
                <w:sz w:val="20"/>
                <w:szCs w:val="20"/>
              </w:rPr>
            </w:pPr>
          </w:p>
        </w:tc>
        <w:tc>
          <w:tcPr>
            <w:tcW w:w="5" w:type="pct"/>
            <w:vAlign w:val="center"/>
            <w:hideMark/>
          </w:tcPr>
          <w:p w14:paraId="5409387B" w14:textId="77777777" w:rsidR="00000000" w:rsidRDefault="00EE5306">
            <w:pPr>
              <w:spacing w:after="100"/>
              <w:rPr>
                <w:rFonts w:eastAsia="Times New Roman"/>
                <w:sz w:val="20"/>
                <w:szCs w:val="20"/>
              </w:rPr>
            </w:pPr>
          </w:p>
        </w:tc>
        <w:tc>
          <w:tcPr>
            <w:tcW w:w="28" w:type="pct"/>
            <w:vAlign w:val="center"/>
            <w:hideMark/>
          </w:tcPr>
          <w:p w14:paraId="00C8AAB8" w14:textId="77777777" w:rsidR="00000000" w:rsidRDefault="00EE5306">
            <w:pPr>
              <w:spacing w:after="100"/>
              <w:rPr>
                <w:rFonts w:eastAsia="Times New Roman"/>
                <w:sz w:val="20"/>
                <w:szCs w:val="20"/>
              </w:rPr>
            </w:pPr>
          </w:p>
        </w:tc>
        <w:tc>
          <w:tcPr>
            <w:tcW w:w="5" w:type="pct"/>
            <w:vAlign w:val="center"/>
            <w:hideMark/>
          </w:tcPr>
          <w:p w14:paraId="2D49F4C4" w14:textId="77777777" w:rsidR="00000000" w:rsidRDefault="00EE5306">
            <w:pPr>
              <w:spacing w:after="100"/>
              <w:rPr>
                <w:rFonts w:eastAsia="Times New Roman"/>
                <w:sz w:val="20"/>
                <w:szCs w:val="20"/>
              </w:rPr>
            </w:pPr>
          </w:p>
        </w:tc>
        <w:tc>
          <w:tcPr>
            <w:tcW w:w="50" w:type="pct"/>
            <w:vAlign w:val="center"/>
            <w:hideMark/>
          </w:tcPr>
          <w:p w14:paraId="093FC538" w14:textId="77777777" w:rsidR="00000000" w:rsidRDefault="00EE5306">
            <w:pPr>
              <w:spacing w:after="100"/>
              <w:rPr>
                <w:rFonts w:eastAsia="Times New Roman"/>
                <w:sz w:val="20"/>
                <w:szCs w:val="20"/>
              </w:rPr>
            </w:pPr>
          </w:p>
        </w:tc>
        <w:tc>
          <w:tcPr>
            <w:tcW w:w="563" w:type="pct"/>
            <w:vAlign w:val="center"/>
            <w:hideMark/>
          </w:tcPr>
          <w:p w14:paraId="6E7DB54B" w14:textId="77777777" w:rsidR="00000000" w:rsidRDefault="00EE5306">
            <w:pPr>
              <w:spacing w:after="100"/>
              <w:rPr>
                <w:rFonts w:eastAsia="Times New Roman"/>
                <w:sz w:val="20"/>
                <w:szCs w:val="20"/>
              </w:rPr>
            </w:pPr>
          </w:p>
        </w:tc>
        <w:tc>
          <w:tcPr>
            <w:tcW w:w="5" w:type="pct"/>
            <w:vAlign w:val="center"/>
            <w:hideMark/>
          </w:tcPr>
          <w:p w14:paraId="67A0EC6D" w14:textId="77777777" w:rsidR="00000000" w:rsidRDefault="00EE5306">
            <w:pPr>
              <w:spacing w:after="100"/>
              <w:rPr>
                <w:rFonts w:eastAsia="Times New Roman"/>
                <w:sz w:val="20"/>
                <w:szCs w:val="20"/>
              </w:rPr>
            </w:pPr>
          </w:p>
        </w:tc>
        <w:tc>
          <w:tcPr>
            <w:tcW w:w="5" w:type="pct"/>
            <w:vAlign w:val="center"/>
            <w:hideMark/>
          </w:tcPr>
          <w:p w14:paraId="239B02AB" w14:textId="77777777" w:rsidR="00000000" w:rsidRDefault="00EE5306">
            <w:pPr>
              <w:spacing w:after="100"/>
              <w:rPr>
                <w:rFonts w:eastAsia="Times New Roman"/>
                <w:sz w:val="20"/>
                <w:szCs w:val="20"/>
              </w:rPr>
            </w:pPr>
          </w:p>
        </w:tc>
        <w:tc>
          <w:tcPr>
            <w:tcW w:w="20" w:type="pct"/>
            <w:vAlign w:val="center"/>
            <w:hideMark/>
          </w:tcPr>
          <w:p w14:paraId="0CC21146" w14:textId="77777777" w:rsidR="00000000" w:rsidRDefault="00EE5306">
            <w:pPr>
              <w:spacing w:after="100"/>
              <w:rPr>
                <w:rFonts w:eastAsia="Times New Roman"/>
                <w:sz w:val="20"/>
                <w:szCs w:val="20"/>
              </w:rPr>
            </w:pPr>
          </w:p>
        </w:tc>
        <w:tc>
          <w:tcPr>
            <w:tcW w:w="5" w:type="pct"/>
            <w:vAlign w:val="center"/>
            <w:hideMark/>
          </w:tcPr>
          <w:p w14:paraId="0C1D51EC" w14:textId="77777777" w:rsidR="00000000" w:rsidRDefault="00EE5306">
            <w:pPr>
              <w:spacing w:after="100"/>
              <w:rPr>
                <w:rFonts w:eastAsia="Times New Roman"/>
                <w:sz w:val="20"/>
                <w:szCs w:val="20"/>
              </w:rPr>
            </w:pPr>
          </w:p>
        </w:tc>
        <w:tc>
          <w:tcPr>
            <w:tcW w:w="50" w:type="pct"/>
            <w:vAlign w:val="center"/>
            <w:hideMark/>
          </w:tcPr>
          <w:p w14:paraId="5BDC73A5" w14:textId="77777777" w:rsidR="00000000" w:rsidRDefault="00EE5306">
            <w:pPr>
              <w:spacing w:after="100"/>
              <w:rPr>
                <w:rFonts w:eastAsia="Times New Roman"/>
                <w:sz w:val="20"/>
                <w:szCs w:val="20"/>
              </w:rPr>
            </w:pPr>
          </w:p>
        </w:tc>
        <w:tc>
          <w:tcPr>
            <w:tcW w:w="563" w:type="pct"/>
            <w:vAlign w:val="center"/>
            <w:hideMark/>
          </w:tcPr>
          <w:p w14:paraId="334D6186" w14:textId="77777777" w:rsidR="00000000" w:rsidRDefault="00EE5306">
            <w:pPr>
              <w:spacing w:after="100"/>
              <w:rPr>
                <w:rFonts w:eastAsia="Times New Roman"/>
                <w:sz w:val="20"/>
                <w:szCs w:val="20"/>
              </w:rPr>
            </w:pPr>
          </w:p>
        </w:tc>
        <w:tc>
          <w:tcPr>
            <w:tcW w:w="5" w:type="pct"/>
            <w:vAlign w:val="center"/>
            <w:hideMark/>
          </w:tcPr>
          <w:p w14:paraId="3AA330B0" w14:textId="77777777" w:rsidR="00000000" w:rsidRDefault="00EE5306">
            <w:pPr>
              <w:spacing w:after="100"/>
              <w:rPr>
                <w:rFonts w:eastAsia="Times New Roman"/>
                <w:sz w:val="20"/>
                <w:szCs w:val="20"/>
              </w:rPr>
            </w:pPr>
          </w:p>
        </w:tc>
      </w:tr>
      <w:tr w:rsidR="00000000" w14:paraId="4E7A6602" w14:textId="77777777">
        <w:trPr>
          <w:divId w:val="1243754362"/>
          <w:trHeight w:val="240"/>
        </w:trPr>
        <w:tc>
          <w:tcPr>
            <w:tcW w:w="0" w:type="auto"/>
            <w:gridSpan w:val="3"/>
            <w:tcMar>
              <w:top w:w="0" w:type="dxa"/>
              <w:left w:w="20" w:type="dxa"/>
              <w:bottom w:w="0" w:type="dxa"/>
              <w:right w:w="20" w:type="dxa"/>
            </w:tcMar>
            <w:vAlign w:val="center"/>
            <w:hideMark/>
          </w:tcPr>
          <w:p w14:paraId="214873C2"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8D9B30"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A8765BE" w14:textId="77777777" w:rsidR="00000000" w:rsidRDefault="00EE5306">
            <w:pPr>
              <w:spacing w:after="100"/>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5756F3AD" w14:textId="77777777" w:rsidR="00000000" w:rsidRDefault="00EE5306">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3DCF22E4" w14:textId="77777777" w:rsidR="00000000" w:rsidRDefault="00EE5306">
            <w:pPr>
              <w:spacing w:after="100"/>
              <w:jc w:val="center"/>
              <w:rPr>
                <w:rFonts w:eastAsia="Times New Roman"/>
              </w:rPr>
            </w:pPr>
            <w:r>
              <w:rPr>
                <w:rFonts w:eastAsia="Times New Roman"/>
                <w:b/>
                <w:bCs/>
                <w:color w:val="000000"/>
                <w:sz w:val="16"/>
                <w:szCs w:val="16"/>
              </w:rPr>
              <w:t>Cumulative Charges</w:t>
            </w:r>
          </w:p>
        </w:tc>
      </w:tr>
      <w:tr w:rsidR="00000000" w14:paraId="08253CE5" w14:textId="77777777">
        <w:trPr>
          <w:divId w:val="1243754362"/>
          <w:trHeight w:val="420"/>
        </w:trPr>
        <w:tc>
          <w:tcPr>
            <w:tcW w:w="0" w:type="auto"/>
            <w:gridSpan w:val="3"/>
            <w:tcMar>
              <w:top w:w="0" w:type="dxa"/>
              <w:left w:w="20" w:type="dxa"/>
              <w:bottom w:w="0" w:type="dxa"/>
              <w:right w:w="20" w:type="dxa"/>
            </w:tcMar>
            <w:vAlign w:val="center"/>
            <w:hideMark/>
          </w:tcPr>
          <w:p w14:paraId="48A84B1E"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B56A96B"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6AE60D0"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AC4D79E"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C9089E2"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300699DD" w14:textId="77777777" w:rsidR="00000000" w:rsidRDefault="00EE5306">
            <w:pPr>
              <w:spacing w:after="100"/>
              <w:jc w:val="center"/>
              <w:rPr>
                <w:rFonts w:eastAsia="Times New Roman"/>
              </w:rPr>
            </w:pPr>
          </w:p>
        </w:tc>
        <w:tc>
          <w:tcPr>
            <w:tcW w:w="0" w:type="auto"/>
            <w:gridSpan w:val="3"/>
            <w:vMerge/>
            <w:tcBorders>
              <w:bottom w:val="single" w:sz="8" w:space="0" w:color="000000"/>
            </w:tcBorders>
            <w:vAlign w:val="center"/>
            <w:hideMark/>
          </w:tcPr>
          <w:p w14:paraId="0849894E" w14:textId="77777777" w:rsidR="00000000" w:rsidRDefault="00EE5306">
            <w:pPr>
              <w:spacing w:after="100"/>
              <w:rPr>
                <w:rFonts w:eastAsia="Times New Roman"/>
              </w:rPr>
            </w:pPr>
          </w:p>
        </w:tc>
      </w:tr>
      <w:tr w:rsidR="00000000" w14:paraId="2C77C767" w14:textId="77777777">
        <w:trPr>
          <w:divId w:val="1243754362"/>
        </w:trPr>
        <w:tc>
          <w:tcPr>
            <w:tcW w:w="0" w:type="auto"/>
            <w:gridSpan w:val="3"/>
            <w:tcMar>
              <w:top w:w="30" w:type="dxa"/>
              <w:left w:w="20" w:type="dxa"/>
              <w:bottom w:w="30" w:type="dxa"/>
              <w:right w:w="20" w:type="dxa"/>
            </w:tcMar>
            <w:vAlign w:val="bottom"/>
            <w:hideMark/>
          </w:tcPr>
          <w:p w14:paraId="179DE294"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F0A02E3"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E1D7E01"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2E7F87D7" w14:textId="77777777">
        <w:trPr>
          <w:divId w:val="1243754362"/>
        </w:trPr>
        <w:tc>
          <w:tcPr>
            <w:tcW w:w="0" w:type="auto"/>
            <w:gridSpan w:val="3"/>
            <w:shd w:val="clear" w:color="auto" w:fill="CCEEFF"/>
            <w:tcMar>
              <w:top w:w="30" w:type="dxa"/>
              <w:left w:w="20" w:type="dxa"/>
              <w:bottom w:w="30" w:type="dxa"/>
              <w:right w:w="20" w:type="dxa"/>
            </w:tcMar>
            <w:vAlign w:val="bottom"/>
            <w:hideMark/>
          </w:tcPr>
          <w:p w14:paraId="0A29887F" w14:textId="77777777" w:rsidR="00000000" w:rsidRDefault="00EE5306">
            <w:pPr>
              <w:spacing w:after="100"/>
              <w:rPr>
                <w:rFonts w:eastAsia="Times New Roman"/>
              </w:rPr>
            </w:pPr>
            <w:r>
              <w:rPr>
                <w:rFonts w:eastAsia="Times New Roman"/>
                <w:b/>
                <w:bCs/>
                <w:color w:val="000000"/>
                <w:sz w:val="20"/>
                <w:szCs w:val="20"/>
              </w:rPr>
              <w:t>Cash-related restructuring charges:</w:t>
            </w:r>
          </w:p>
        </w:tc>
        <w:tc>
          <w:tcPr>
            <w:tcW w:w="0" w:type="auto"/>
            <w:gridSpan w:val="3"/>
            <w:shd w:val="clear" w:color="auto" w:fill="CCEEFF"/>
            <w:tcMar>
              <w:top w:w="0" w:type="dxa"/>
              <w:left w:w="20" w:type="dxa"/>
              <w:bottom w:w="0" w:type="dxa"/>
              <w:right w:w="20" w:type="dxa"/>
            </w:tcMar>
            <w:vAlign w:val="center"/>
            <w:hideMark/>
          </w:tcPr>
          <w:p w14:paraId="76662DF3"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DBDD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69810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88D1A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DFA5C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E84A85" w14:textId="77777777" w:rsidR="00000000" w:rsidRDefault="00EE5306">
            <w:pPr>
              <w:spacing w:after="100"/>
              <w:rPr>
                <w:rFonts w:eastAsia="Times New Roman"/>
                <w:sz w:val="20"/>
                <w:szCs w:val="20"/>
              </w:rPr>
            </w:pPr>
          </w:p>
        </w:tc>
      </w:tr>
      <w:tr w:rsidR="00000000" w14:paraId="0F48E766" w14:textId="77777777">
        <w:trPr>
          <w:divId w:val="1243754362"/>
        </w:trPr>
        <w:tc>
          <w:tcPr>
            <w:tcW w:w="0" w:type="auto"/>
            <w:gridSpan w:val="3"/>
            <w:shd w:val="clear" w:color="auto" w:fill="FFFFFF"/>
            <w:tcMar>
              <w:top w:w="30" w:type="dxa"/>
              <w:left w:w="155" w:type="dxa"/>
              <w:bottom w:w="30" w:type="dxa"/>
              <w:right w:w="20" w:type="dxa"/>
            </w:tcMar>
            <w:vAlign w:val="bottom"/>
            <w:hideMark/>
          </w:tcPr>
          <w:p w14:paraId="6D8B0D6F" w14:textId="77777777" w:rsidR="00000000" w:rsidRDefault="00EE5306">
            <w:pPr>
              <w:spacing w:after="100"/>
              <w:rPr>
                <w:rFonts w:eastAsia="Times New Roman"/>
              </w:rPr>
            </w:pPr>
            <w:r>
              <w:rPr>
                <w:rFonts w:eastAsia="Times New Roman"/>
                <w:color w:val="000000"/>
                <w:sz w:val="20"/>
                <w:szCs w:val="20"/>
              </w:rPr>
              <w:t>Severance and benefit costs</w:t>
            </w:r>
          </w:p>
        </w:tc>
        <w:tc>
          <w:tcPr>
            <w:tcW w:w="0" w:type="auto"/>
            <w:gridSpan w:val="3"/>
            <w:shd w:val="clear" w:color="auto" w:fill="FFFFFF"/>
            <w:tcMar>
              <w:top w:w="0" w:type="dxa"/>
              <w:left w:w="20" w:type="dxa"/>
              <w:bottom w:w="0" w:type="dxa"/>
              <w:right w:w="20" w:type="dxa"/>
            </w:tcMar>
            <w:vAlign w:val="center"/>
            <w:hideMark/>
          </w:tcPr>
          <w:p w14:paraId="0A8F3C5C"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40B519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45E23A" w14:textId="77777777" w:rsidR="00000000" w:rsidRDefault="00EE5306">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14:paraId="610492C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FAF9E"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80F34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01AB16" w14:textId="77777777" w:rsidR="00000000" w:rsidRDefault="00EE5306">
            <w:pPr>
              <w:spacing w:after="100"/>
              <w:jc w:val="right"/>
              <w:rPr>
                <w:rFonts w:eastAsia="Times New Roman"/>
              </w:rPr>
            </w:pPr>
            <w:r>
              <w:rPr>
                <w:rFonts w:eastAsia="Times New Roman"/>
                <w:color w:val="000000"/>
                <w:sz w:val="20"/>
                <w:szCs w:val="20"/>
              </w:rPr>
              <w:t>60.2 </w:t>
            </w:r>
          </w:p>
        </w:tc>
        <w:tc>
          <w:tcPr>
            <w:tcW w:w="0" w:type="auto"/>
            <w:shd w:val="clear" w:color="auto" w:fill="FFFFFF"/>
            <w:tcMar>
              <w:top w:w="30" w:type="dxa"/>
              <w:left w:w="0" w:type="dxa"/>
              <w:bottom w:w="30" w:type="dxa"/>
              <w:right w:w="20" w:type="dxa"/>
            </w:tcMar>
            <w:vAlign w:val="bottom"/>
            <w:hideMark/>
          </w:tcPr>
          <w:p w14:paraId="590D189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67D5A"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B3CD9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EE42422" w14:textId="77777777" w:rsidR="00000000" w:rsidRDefault="00EE5306">
            <w:pPr>
              <w:spacing w:after="100"/>
              <w:jc w:val="right"/>
              <w:rPr>
                <w:rFonts w:eastAsia="Times New Roman"/>
              </w:rPr>
            </w:pPr>
            <w:r>
              <w:rPr>
                <w:rFonts w:eastAsia="Times New Roman"/>
                <w:color w:val="000000"/>
                <w:sz w:val="20"/>
                <w:szCs w:val="20"/>
              </w:rPr>
              <w:t>90.3 </w:t>
            </w:r>
          </w:p>
        </w:tc>
        <w:tc>
          <w:tcPr>
            <w:tcW w:w="0" w:type="auto"/>
            <w:shd w:val="clear" w:color="auto" w:fill="FFFFFF"/>
            <w:tcMar>
              <w:top w:w="30" w:type="dxa"/>
              <w:left w:w="0" w:type="dxa"/>
              <w:bottom w:w="30" w:type="dxa"/>
              <w:right w:w="20" w:type="dxa"/>
            </w:tcMar>
            <w:vAlign w:val="bottom"/>
            <w:hideMark/>
          </w:tcPr>
          <w:p w14:paraId="614AD7E2" w14:textId="77777777" w:rsidR="00000000" w:rsidRDefault="00EE5306">
            <w:pPr>
              <w:spacing w:after="100"/>
              <w:jc w:val="right"/>
              <w:rPr>
                <w:rFonts w:eastAsia="Times New Roman"/>
              </w:rPr>
            </w:pPr>
          </w:p>
        </w:tc>
      </w:tr>
      <w:tr w:rsidR="00000000" w14:paraId="7A0DE664" w14:textId="77777777">
        <w:trPr>
          <w:divId w:val="1243754362"/>
        </w:trPr>
        <w:tc>
          <w:tcPr>
            <w:tcW w:w="0" w:type="auto"/>
            <w:gridSpan w:val="3"/>
            <w:shd w:val="clear" w:color="auto" w:fill="CCEEFF"/>
            <w:tcMar>
              <w:top w:w="30" w:type="dxa"/>
              <w:left w:w="155" w:type="dxa"/>
              <w:bottom w:w="30" w:type="dxa"/>
              <w:right w:w="20" w:type="dxa"/>
            </w:tcMar>
            <w:vAlign w:val="bottom"/>
            <w:hideMark/>
          </w:tcPr>
          <w:p w14:paraId="7AE1F5EA" w14:textId="77777777" w:rsidR="00000000" w:rsidRDefault="00EE5306">
            <w:pPr>
              <w:spacing w:after="100"/>
              <w:rPr>
                <w:rFonts w:eastAsia="Times New Roman"/>
              </w:rPr>
            </w:pPr>
            <w:r>
              <w:rPr>
                <w:rFonts w:eastAsia="Times New Roman"/>
                <w:color w:val="000000"/>
                <w:sz w:val="20"/>
                <w:szCs w:val="20"/>
              </w:rPr>
              <w:t>Lease termination and store closure costs</w:t>
            </w:r>
          </w:p>
        </w:tc>
        <w:tc>
          <w:tcPr>
            <w:tcW w:w="0" w:type="auto"/>
            <w:gridSpan w:val="3"/>
            <w:shd w:val="clear" w:color="auto" w:fill="CCEEFF"/>
            <w:tcMar>
              <w:top w:w="0" w:type="dxa"/>
              <w:left w:w="20" w:type="dxa"/>
              <w:bottom w:w="0" w:type="dxa"/>
              <w:right w:w="20" w:type="dxa"/>
            </w:tcMar>
            <w:vAlign w:val="center"/>
            <w:hideMark/>
          </w:tcPr>
          <w:p w14:paraId="49A4053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6A29D0" w14:textId="77777777" w:rsidR="00000000" w:rsidRDefault="00EE5306">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14:paraId="67D2E7E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8675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41FC5A" w14:textId="77777777" w:rsidR="00000000" w:rsidRDefault="00EE5306">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3E7AF0E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95A9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95FA74" w14:textId="77777777" w:rsidR="00000000" w:rsidRDefault="00EE5306">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2BB5D735" w14:textId="77777777" w:rsidR="00000000" w:rsidRDefault="00EE5306">
            <w:pPr>
              <w:spacing w:after="100"/>
              <w:jc w:val="right"/>
              <w:rPr>
                <w:rFonts w:eastAsia="Times New Roman"/>
              </w:rPr>
            </w:pPr>
          </w:p>
        </w:tc>
      </w:tr>
      <w:tr w:rsidR="00000000" w14:paraId="18D99A6F" w14:textId="77777777">
        <w:trPr>
          <w:divId w:val="1243754362"/>
        </w:trPr>
        <w:tc>
          <w:tcPr>
            <w:tcW w:w="0" w:type="auto"/>
            <w:gridSpan w:val="3"/>
            <w:shd w:val="clear" w:color="auto" w:fill="FFFFFF"/>
            <w:tcMar>
              <w:top w:w="30" w:type="dxa"/>
              <w:left w:w="155" w:type="dxa"/>
              <w:bottom w:w="30" w:type="dxa"/>
              <w:right w:w="20" w:type="dxa"/>
            </w:tcMar>
            <w:vAlign w:val="bottom"/>
            <w:hideMark/>
          </w:tcPr>
          <w:p w14:paraId="024C77E1" w14:textId="77777777" w:rsidR="00000000" w:rsidRDefault="00EE5306">
            <w:pPr>
              <w:spacing w:after="100"/>
              <w:rPr>
                <w:rFonts w:eastAsia="Times New Roman"/>
              </w:rPr>
            </w:pPr>
            <w:r>
              <w:rPr>
                <w:rFonts w:eastAsia="Times New Roman"/>
                <w:color w:val="000000"/>
                <w:sz w:val="20"/>
                <w:szCs w:val="20"/>
              </w:rPr>
              <w:t>Other cash charges</w:t>
            </w:r>
          </w:p>
        </w:tc>
        <w:tc>
          <w:tcPr>
            <w:tcW w:w="0" w:type="auto"/>
            <w:gridSpan w:val="3"/>
            <w:shd w:val="clear" w:color="auto" w:fill="FFFFFF"/>
            <w:tcMar>
              <w:top w:w="0" w:type="dxa"/>
              <w:left w:w="20" w:type="dxa"/>
              <w:bottom w:w="0" w:type="dxa"/>
              <w:right w:w="20" w:type="dxa"/>
            </w:tcMar>
            <w:vAlign w:val="center"/>
            <w:hideMark/>
          </w:tcPr>
          <w:p w14:paraId="4A9F956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347A9F" w14:textId="77777777" w:rsidR="00000000" w:rsidRDefault="00EE5306">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6351188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7BD8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9FAC61" w14:textId="77777777" w:rsidR="00000000" w:rsidRDefault="00EE5306">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14:paraId="3CA4DD2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4174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BEB66B" w14:textId="77777777" w:rsidR="00000000" w:rsidRDefault="00EE5306">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14:paraId="4B6911B8" w14:textId="77777777" w:rsidR="00000000" w:rsidRDefault="00EE5306">
            <w:pPr>
              <w:spacing w:after="100"/>
              <w:jc w:val="right"/>
              <w:rPr>
                <w:rFonts w:eastAsia="Times New Roman"/>
              </w:rPr>
            </w:pPr>
          </w:p>
        </w:tc>
      </w:tr>
      <w:tr w:rsidR="00000000" w14:paraId="726DA99D" w14:textId="77777777">
        <w:trPr>
          <w:divId w:val="1243754362"/>
        </w:trPr>
        <w:tc>
          <w:tcPr>
            <w:tcW w:w="0" w:type="auto"/>
            <w:gridSpan w:val="3"/>
            <w:shd w:val="clear" w:color="auto" w:fill="CCEEFF"/>
            <w:tcMar>
              <w:top w:w="30" w:type="dxa"/>
              <w:left w:w="245" w:type="dxa"/>
              <w:bottom w:w="30" w:type="dxa"/>
              <w:right w:w="20" w:type="dxa"/>
            </w:tcMar>
            <w:vAlign w:val="bottom"/>
            <w:hideMark/>
          </w:tcPr>
          <w:p w14:paraId="6F065EF3" w14:textId="77777777" w:rsidR="00000000" w:rsidRDefault="00EE5306">
            <w:pPr>
              <w:spacing w:after="100"/>
              <w:rPr>
                <w:rFonts w:eastAsia="Times New Roman"/>
              </w:rPr>
            </w:pPr>
            <w:r>
              <w:rPr>
                <w:rFonts w:eastAsia="Times New Roman"/>
                <w:color w:val="000000"/>
                <w:sz w:val="20"/>
                <w:szCs w:val="20"/>
              </w:rPr>
              <w:t>Total cash-related restructuring charges</w:t>
            </w:r>
          </w:p>
        </w:tc>
        <w:tc>
          <w:tcPr>
            <w:tcW w:w="0" w:type="auto"/>
            <w:gridSpan w:val="3"/>
            <w:shd w:val="clear" w:color="auto" w:fill="CCEEFF"/>
            <w:tcMar>
              <w:top w:w="0" w:type="dxa"/>
              <w:left w:w="20" w:type="dxa"/>
              <w:bottom w:w="0" w:type="dxa"/>
              <w:right w:w="20" w:type="dxa"/>
            </w:tcMar>
            <w:vAlign w:val="center"/>
            <w:hideMark/>
          </w:tcPr>
          <w:p w14:paraId="62758D2E"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B6161F" w14:textId="77777777" w:rsidR="00000000" w:rsidRDefault="00EE5306">
            <w:pPr>
              <w:spacing w:after="100"/>
              <w:jc w:val="right"/>
              <w:rPr>
                <w:rFonts w:eastAsia="Times New Roman"/>
              </w:rPr>
            </w:pPr>
            <w:r>
              <w:rPr>
                <w:rFonts w:eastAsia="Times New Roman"/>
                <w:color w:val="000000"/>
                <w:sz w:val="20"/>
                <w:szCs w:val="20"/>
              </w:rPr>
              <w:t>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7B792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2C6F8"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F80C16" w14:textId="77777777" w:rsidR="00000000" w:rsidRDefault="00EE5306">
            <w:pPr>
              <w:spacing w:after="100"/>
              <w:jc w:val="right"/>
              <w:rPr>
                <w:rFonts w:eastAsia="Times New Roman"/>
              </w:rPr>
            </w:pPr>
            <w:r>
              <w:rPr>
                <w:rFonts w:eastAsia="Times New Roman"/>
                <w:color w:val="000000"/>
                <w:sz w:val="20"/>
                <w:szCs w:val="20"/>
              </w:rPr>
              <w:t>69.4 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F4625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E505F"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0E0409" w14:textId="77777777" w:rsidR="00000000" w:rsidRDefault="00EE5306">
            <w:pPr>
              <w:spacing w:after="100"/>
              <w:jc w:val="right"/>
              <w:rPr>
                <w:rFonts w:eastAsia="Times New Roman"/>
              </w:rPr>
            </w:pPr>
            <w:r>
              <w:rPr>
                <w:rFonts w:eastAsia="Times New Roman"/>
                <w:color w:val="000000"/>
                <w:sz w:val="20"/>
                <w:szCs w:val="20"/>
              </w:rPr>
              <w:t>103.4 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BD9799" w14:textId="77777777" w:rsidR="00000000" w:rsidRDefault="00EE5306">
            <w:pPr>
              <w:spacing w:after="100"/>
              <w:jc w:val="right"/>
              <w:rPr>
                <w:rFonts w:eastAsia="Times New Roman"/>
              </w:rPr>
            </w:pPr>
          </w:p>
        </w:tc>
      </w:tr>
      <w:tr w:rsidR="00000000" w14:paraId="52FAFA27" w14:textId="77777777">
        <w:trPr>
          <w:divId w:val="1243754362"/>
        </w:trPr>
        <w:tc>
          <w:tcPr>
            <w:tcW w:w="0" w:type="auto"/>
            <w:gridSpan w:val="3"/>
            <w:shd w:val="clear" w:color="auto" w:fill="FFFFFF"/>
            <w:tcMar>
              <w:top w:w="30" w:type="dxa"/>
              <w:left w:w="20" w:type="dxa"/>
              <w:bottom w:w="30" w:type="dxa"/>
              <w:right w:w="20" w:type="dxa"/>
            </w:tcMar>
            <w:vAlign w:val="bottom"/>
            <w:hideMark/>
          </w:tcPr>
          <w:p w14:paraId="7410CE7D" w14:textId="77777777" w:rsidR="00000000" w:rsidRDefault="00EE5306">
            <w:pPr>
              <w:spacing w:after="100"/>
              <w:rPr>
                <w:rFonts w:eastAsia="Times New Roman"/>
              </w:rPr>
            </w:pPr>
            <w:r>
              <w:rPr>
                <w:rFonts w:eastAsia="Times New Roman"/>
                <w:b/>
                <w:bCs/>
                <w:color w:val="000000"/>
                <w:sz w:val="20"/>
                <w:szCs w:val="20"/>
              </w:rPr>
              <w:t>Non-cash charges:</w:t>
            </w:r>
          </w:p>
        </w:tc>
        <w:tc>
          <w:tcPr>
            <w:tcW w:w="0" w:type="auto"/>
            <w:gridSpan w:val="3"/>
            <w:shd w:val="clear" w:color="auto" w:fill="FFFFFF"/>
            <w:tcMar>
              <w:top w:w="0" w:type="dxa"/>
              <w:left w:w="20" w:type="dxa"/>
              <w:bottom w:w="0" w:type="dxa"/>
              <w:right w:w="20" w:type="dxa"/>
            </w:tcMar>
            <w:vAlign w:val="center"/>
            <w:hideMark/>
          </w:tcPr>
          <w:p w14:paraId="43CE8553" w14:textId="77777777" w:rsidR="00000000" w:rsidRDefault="00EE530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DD9AF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8FD3F3"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CC2C44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F1B290"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15C0A10" w14:textId="77777777" w:rsidR="00000000" w:rsidRDefault="00EE5306">
            <w:pPr>
              <w:spacing w:after="100"/>
              <w:rPr>
                <w:rFonts w:eastAsia="Times New Roman"/>
                <w:sz w:val="20"/>
                <w:szCs w:val="20"/>
              </w:rPr>
            </w:pPr>
          </w:p>
        </w:tc>
      </w:tr>
      <w:tr w:rsidR="00000000" w14:paraId="33A240CE" w14:textId="77777777">
        <w:trPr>
          <w:divId w:val="1243754362"/>
        </w:trPr>
        <w:tc>
          <w:tcPr>
            <w:tcW w:w="0" w:type="auto"/>
            <w:gridSpan w:val="3"/>
            <w:shd w:val="clear" w:color="auto" w:fill="CCEEFF"/>
            <w:tcMar>
              <w:top w:w="30" w:type="dxa"/>
              <w:left w:w="155" w:type="dxa"/>
              <w:bottom w:w="30" w:type="dxa"/>
              <w:right w:w="20" w:type="dxa"/>
            </w:tcMar>
            <w:vAlign w:val="bottom"/>
            <w:hideMark/>
          </w:tcPr>
          <w:p w14:paraId="015B8B0E" w14:textId="77777777" w:rsidR="00000000" w:rsidRDefault="00EE5306">
            <w:pPr>
              <w:spacing w:after="100"/>
              <w:rPr>
                <w:rFonts w:eastAsia="Times New Roman"/>
              </w:rPr>
            </w:pPr>
            <w:r>
              <w:rPr>
                <w:rFonts w:eastAsia="Times New Roman"/>
                <w:color w:val="000000"/>
                <w:sz w:val="20"/>
                <w:szCs w:val="20"/>
              </w:rPr>
              <w:t>Impairment of assets (see Note 8)</w:t>
            </w:r>
          </w:p>
        </w:tc>
        <w:tc>
          <w:tcPr>
            <w:tcW w:w="0" w:type="auto"/>
            <w:gridSpan w:val="3"/>
            <w:shd w:val="clear" w:color="auto" w:fill="CCEEFF"/>
            <w:tcMar>
              <w:top w:w="0" w:type="dxa"/>
              <w:left w:w="20" w:type="dxa"/>
              <w:bottom w:w="0" w:type="dxa"/>
              <w:right w:w="20" w:type="dxa"/>
            </w:tcMar>
            <w:vAlign w:val="center"/>
            <w:hideMark/>
          </w:tcPr>
          <w:p w14:paraId="2FF2463E"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7D8E2A" w14:textId="77777777" w:rsidR="00000000" w:rsidRDefault="00EE5306">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14:paraId="77C3DE3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0333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29224A" w14:textId="77777777" w:rsidR="00000000" w:rsidRDefault="00EE5306">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14:paraId="791546E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DD37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B6B4C8" w14:textId="77777777" w:rsidR="00000000" w:rsidRDefault="00EE5306">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bottom"/>
            <w:hideMark/>
          </w:tcPr>
          <w:p w14:paraId="70421EBE" w14:textId="77777777" w:rsidR="00000000" w:rsidRDefault="00EE5306">
            <w:pPr>
              <w:spacing w:after="100"/>
              <w:jc w:val="right"/>
              <w:rPr>
                <w:rFonts w:eastAsia="Times New Roman"/>
              </w:rPr>
            </w:pPr>
          </w:p>
        </w:tc>
      </w:tr>
      <w:tr w:rsidR="00000000" w14:paraId="0F3326EF" w14:textId="77777777">
        <w:trPr>
          <w:divId w:val="1243754362"/>
        </w:trPr>
        <w:tc>
          <w:tcPr>
            <w:tcW w:w="0" w:type="auto"/>
            <w:gridSpan w:val="3"/>
            <w:shd w:val="clear" w:color="auto" w:fill="FFFFFF"/>
            <w:tcMar>
              <w:top w:w="30" w:type="dxa"/>
              <w:left w:w="20" w:type="dxa"/>
              <w:bottom w:w="30" w:type="dxa"/>
              <w:right w:w="20" w:type="dxa"/>
            </w:tcMar>
            <w:vAlign w:val="bottom"/>
            <w:hideMark/>
          </w:tcPr>
          <w:p w14:paraId="729CFA52" w14:textId="77777777" w:rsidR="00000000" w:rsidRDefault="00EE5306">
            <w:pPr>
              <w:spacing w:after="100"/>
              <w:divId w:val="475535348"/>
              <w:rPr>
                <w:rFonts w:eastAsia="Times New Roman"/>
              </w:rPr>
            </w:pPr>
            <w:r>
              <w:rPr>
                <w:rFonts w:eastAsia="Times New Roman"/>
                <w:color w:val="000000"/>
                <w:sz w:val="20"/>
                <w:szCs w:val="20"/>
              </w:rPr>
              <w:t>Inventory-related charge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B3C13A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CB9F4E" w14:textId="77777777" w:rsidR="00000000" w:rsidRDefault="00EE5306">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10AB237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B710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ACF91B" w14:textId="77777777" w:rsidR="00000000" w:rsidRDefault="00EE5306">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08DD648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6D2E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B5E0C6" w14:textId="77777777" w:rsidR="00000000" w:rsidRDefault="00EE5306">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14:paraId="237D0B9C" w14:textId="77777777" w:rsidR="00000000" w:rsidRDefault="00EE5306">
            <w:pPr>
              <w:spacing w:after="100"/>
              <w:jc w:val="right"/>
              <w:rPr>
                <w:rFonts w:eastAsia="Times New Roman"/>
              </w:rPr>
            </w:pPr>
          </w:p>
        </w:tc>
      </w:tr>
      <w:tr w:rsidR="00000000" w14:paraId="3EF87D88" w14:textId="77777777">
        <w:trPr>
          <w:divId w:val="1243754362"/>
        </w:trPr>
        <w:tc>
          <w:tcPr>
            <w:tcW w:w="0" w:type="auto"/>
            <w:gridSpan w:val="3"/>
            <w:shd w:val="clear" w:color="auto" w:fill="CCEEFF"/>
            <w:tcMar>
              <w:top w:w="30" w:type="dxa"/>
              <w:left w:w="20" w:type="dxa"/>
              <w:bottom w:w="30" w:type="dxa"/>
              <w:right w:w="20" w:type="dxa"/>
            </w:tcMar>
            <w:vAlign w:val="bottom"/>
            <w:hideMark/>
          </w:tcPr>
          <w:p w14:paraId="38694856" w14:textId="77777777" w:rsidR="00000000" w:rsidRDefault="00EE5306">
            <w:pPr>
              <w:spacing w:after="100"/>
              <w:divId w:val="37317664"/>
              <w:rPr>
                <w:rFonts w:eastAsia="Times New Roman"/>
              </w:rPr>
            </w:pPr>
            <w:r>
              <w:rPr>
                <w:rFonts w:eastAsia="Times New Roman"/>
                <w:color w:val="000000"/>
                <w:sz w:val="20"/>
                <w:szCs w:val="20"/>
              </w:rPr>
              <w:t>Accelerated stock-based compensation expens</w:t>
            </w:r>
            <w:r>
              <w:rPr>
                <w:rFonts w:eastAsia="Times New Roman"/>
                <w:color w:val="000000"/>
                <w:sz w:val="20"/>
                <w:szCs w:val="20"/>
              </w:rPr>
              <w:t>e</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A08D6D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2700E0" w14:textId="77777777" w:rsidR="00000000" w:rsidRDefault="00EE5306">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7359542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D967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82FE1E"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5BB46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444F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7642C0" w14:textId="77777777" w:rsidR="00000000" w:rsidRDefault="00EE5306">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01EB67C4" w14:textId="77777777" w:rsidR="00000000" w:rsidRDefault="00EE5306">
            <w:pPr>
              <w:spacing w:after="100"/>
              <w:jc w:val="right"/>
              <w:rPr>
                <w:rFonts w:eastAsia="Times New Roman"/>
              </w:rPr>
            </w:pPr>
          </w:p>
        </w:tc>
      </w:tr>
      <w:tr w:rsidR="00000000" w14:paraId="00B51AD2" w14:textId="77777777">
        <w:trPr>
          <w:divId w:val="1243754362"/>
        </w:trPr>
        <w:tc>
          <w:tcPr>
            <w:tcW w:w="0" w:type="auto"/>
            <w:gridSpan w:val="3"/>
            <w:shd w:val="clear" w:color="auto" w:fill="FFFFFF"/>
            <w:tcMar>
              <w:top w:w="30" w:type="dxa"/>
              <w:left w:w="20" w:type="dxa"/>
              <w:bottom w:w="30" w:type="dxa"/>
              <w:right w:w="20" w:type="dxa"/>
            </w:tcMar>
            <w:vAlign w:val="bottom"/>
            <w:hideMark/>
          </w:tcPr>
          <w:p w14:paraId="5DF48E24" w14:textId="77777777" w:rsidR="00000000" w:rsidRDefault="00EE5306">
            <w:pPr>
              <w:spacing w:after="100"/>
              <w:divId w:val="642931709"/>
              <w:rPr>
                <w:rFonts w:eastAsia="Times New Roman"/>
              </w:rPr>
            </w:pPr>
            <w:r>
              <w:rPr>
                <w:rFonts w:eastAsia="Times New Roman"/>
                <w:color w:val="000000"/>
                <w:sz w:val="20"/>
                <w:szCs w:val="20"/>
              </w:rPr>
              <w:t>Loss on sale of propert</w:t>
            </w:r>
            <w:r>
              <w:rPr>
                <w:rFonts w:eastAsia="Times New Roman"/>
                <w:color w:val="000000"/>
                <w:sz w:val="20"/>
                <w:szCs w:val="20"/>
              </w:rPr>
              <w:t>y</w:t>
            </w:r>
            <w:r>
              <w:rPr>
                <w:rFonts w:eastAsia="Times New Roman"/>
                <w:b/>
                <w:bCs/>
                <w:color w:val="000000"/>
                <w:sz w:val="13"/>
                <w:szCs w:val="13"/>
              </w:rPr>
              <w:t>(c</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9FDF3B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7B77E3"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B3397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FBF8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537436" w14:textId="77777777" w:rsidR="00000000" w:rsidRDefault="00EE5306">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249E111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342A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21C915" w14:textId="77777777" w:rsidR="00000000" w:rsidRDefault="00EE5306">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7A2BE31F" w14:textId="77777777" w:rsidR="00000000" w:rsidRDefault="00EE5306">
            <w:pPr>
              <w:spacing w:after="100"/>
              <w:jc w:val="right"/>
              <w:rPr>
                <w:rFonts w:eastAsia="Times New Roman"/>
              </w:rPr>
            </w:pPr>
          </w:p>
        </w:tc>
      </w:tr>
      <w:tr w:rsidR="00000000" w14:paraId="3A360E75" w14:textId="77777777">
        <w:trPr>
          <w:divId w:val="1243754362"/>
        </w:trPr>
        <w:tc>
          <w:tcPr>
            <w:tcW w:w="0" w:type="auto"/>
            <w:gridSpan w:val="3"/>
            <w:shd w:val="clear" w:color="auto" w:fill="CCEEFF"/>
            <w:tcMar>
              <w:top w:w="30" w:type="dxa"/>
              <w:left w:w="245" w:type="dxa"/>
              <w:bottom w:w="30" w:type="dxa"/>
              <w:right w:w="20" w:type="dxa"/>
            </w:tcMar>
            <w:vAlign w:val="bottom"/>
            <w:hideMark/>
          </w:tcPr>
          <w:p w14:paraId="3ED295D3" w14:textId="77777777" w:rsidR="00000000" w:rsidRDefault="00EE5306">
            <w:pPr>
              <w:spacing w:after="100"/>
              <w:rPr>
                <w:rFonts w:eastAsia="Times New Roman"/>
              </w:rPr>
            </w:pPr>
            <w:r>
              <w:rPr>
                <w:rFonts w:eastAsia="Times New Roman"/>
                <w:color w:val="000000"/>
                <w:sz w:val="20"/>
                <w:szCs w:val="20"/>
              </w:rPr>
              <w:t>Total non-cash charges</w:t>
            </w:r>
          </w:p>
        </w:tc>
        <w:tc>
          <w:tcPr>
            <w:tcW w:w="0" w:type="auto"/>
            <w:gridSpan w:val="3"/>
            <w:shd w:val="clear" w:color="auto" w:fill="CCEEFF"/>
            <w:tcMar>
              <w:top w:w="0" w:type="dxa"/>
              <w:left w:w="20" w:type="dxa"/>
              <w:bottom w:w="0" w:type="dxa"/>
              <w:right w:w="20" w:type="dxa"/>
            </w:tcMar>
            <w:vAlign w:val="center"/>
            <w:hideMark/>
          </w:tcPr>
          <w:p w14:paraId="2FCA8796"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C052D2" w14:textId="77777777" w:rsidR="00000000" w:rsidRDefault="00EE5306">
            <w:pPr>
              <w:spacing w:after="100"/>
              <w:jc w:val="right"/>
              <w:rPr>
                <w:rFonts w:eastAsia="Times New Roman"/>
              </w:rPr>
            </w:pPr>
            <w:r>
              <w:rPr>
                <w:rFonts w:eastAsia="Times New Roman"/>
                <w:color w:val="000000"/>
                <w:sz w:val="20"/>
                <w:szCs w:val="20"/>
              </w:rPr>
              <w:t>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36072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D13DF"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B02E8D" w14:textId="77777777" w:rsidR="00000000" w:rsidRDefault="00EE5306">
            <w:pPr>
              <w:spacing w:after="100"/>
              <w:jc w:val="right"/>
              <w:rPr>
                <w:rFonts w:eastAsia="Times New Roman"/>
              </w:rPr>
            </w:pPr>
            <w:r>
              <w:rPr>
                <w:rFonts w:eastAsia="Times New Roman"/>
                <w:color w:val="000000"/>
                <w:sz w:val="20"/>
                <w:szCs w:val="20"/>
              </w:rPr>
              <w:t>27.9 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F6973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3D11A"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49AE29" w14:textId="77777777" w:rsidR="00000000" w:rsidRDefault="00EE5306">
            <w:pPr>
              <w:spacing w:after="100"/>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AB1AF6" w14:textId="77777777" w:rsidR="00000000" w:rsidRDefault="00EE5306">
            <w:pPr>
              <w:spacing w:after="100"/>
              <w:jc w:val="right"/>
              <w:rPr>
                <w:rFonts w:eastAsia="Times New Roman"/>
              </w:rPr>
            </w:pPr>
          </w:p>
        </w:tc>
      </w:tr>
      <w:tr w:rsidR="00000000" w14:paraId="459B28EF" w14:textId="77777777">
        <w:trPr>
          <w:divId w:val="1243754362"/>
        </w:trPr>
        <w:tc>
          <w:tcPr>
            <w:tcW w:w="0" w:type="auto"/>
            <w:gridSpan w:val="3"/>
            <w:shd w:val="clear" w:color="auto" w:fill="FFFFFF"/>
            <w:tcMar>
              <w:top w:w="30" w:type="dxa"/>
              <w:left w:w="380" w:type="dxa"/>
              <w:bottom w:w="30" w:type="dxa"/>
              <w:right w:w="20" w:type="dxa"/>
            </w:tcMar>
            <w:vAlign w:val="bottom"/>
            <w:hideMark/>
          </w:tcPr>
          <w:p w14:paraId="46D57618" w14:textId="77777777" w:rsidR="00000000" w:rsidRDefault="00EE5306">
            <w:pPr>
              <w:spacing w:after="100"/>
              <w:rPr>
                <w:rFonts w:eastAsia="Times New Roman"/>
              </w:rPr>
            </w:pPr>
            <w:r>
              <w:rPr>
                <w:rFonts w:eastAsia="Times New Roman"/>
                <w:color w:val="000000"/>
                <w:sz w:val="20"/>
                <w:szCs w:val="20"/>
              </w:rPr>
              <w:t>Total charges</w:t>
            </w:r>
          </w:p>
        </w:tc>
        <w:tc>
          <w:tcPr>
            <w:tcW w:w="0" w:type="auto"/>
            <w:gridSpan w:val="3"/>
            <w:shd w:val="clear" w:color="auto" w:fill="FFFFFF"/>
            <w:tcMar>
              <w:top w:w="0" w:type="dxa"/>
              <w:left w:w="20" w:type="dxa"/>
              <w:bottom w:w="0" w:type="dxa"/>
              <w:right w:w="20" w:type="dxa"/>
            </w:tcMar>
            <w:vAlign w:val="center"/>
            <w:hideMark/>
          </w:tcPr>
          <w:p w14:paraId="06205D86"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B0994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F3EF3C" w14:textId="77777777" w:rsidR="00000000" w:rsidRDefault="00EE5306">
            <w:pPr>
              <w:spacing w:after="100"/>
              <w:jc w:val="right"/>
              <w:rPr>
                <w:rFonts w:eastAsia="Times New Roman"/>
              </w:rPr>
            </w:pPr>
            <w:r>
              <w:rPr>
                <w:rFonts w:eastAsia="Times New Roman"/>
                <w:color w:val="000000"/>
                <w:sz w:val="20"/>
                <w:szCs w:val="20"/>
              </w:rPr>
              <w:t>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2DB97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1275B"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BFA414"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065AD2" w14:textId="77777777" w:rsidR="00000000" w:rsidRDefault="00EE5306">
            <w:pPr>
              <w:spacing w:after="100"/>
              <w:jc w:val="right"/>
              <w:rPr>
                <w:rFonts w:eastAsia="Times New Roman"/>
              </w:rPr>
            </w:pPr>
            <w:r>
              <w:rPr>
                <w:rFonts w:eastAsia="Times New Roman"/>
                <w:color w:val="000000"/>
                <w:sz w:val="20"/>
                <w:szCs w:val="20"/>
              </w:rPr>
              <w:t>97.3 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D7160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538E6"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14C366"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98CC7C" w14:textId="77777777" w:rsidR="00000000" w:rsidRDefault="00EE5306">
            <w:pPr>
              <w:spacing w:after="100"/>
              <w:jc w:val="right"/>
              <w:rPr>
                <w:rFonts w:eastAsia="Times New Roman"/>
              </w:rPr>
            </w:pPr>
            <w:r>
              <w:rPr>
                <w:rFonts w:eastAsia="Times New Roman"/>
                <w:color w:val="000000"/>
                <w:sz w:val="20"/>
                <w:szCs w:val="20"/>
              </w:rPr>
              <w:t>145.8 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E9A63C"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51AA81E1" w14:textId="77777777">
        <w:tc>
          <w:tcPr>
            <w:tcW w:w="50" w:type="pct"/>
            <w:vAlign w:val="center"/>
            <w:hideMark/>
          </w:tcPr>
          <w:p w14:paraId="6C7E2A32" w14:textId="77777777" w:rsidR="00000000" w:rsidRDefault="00EE5306">
            <w:pPr>
              <w:rPr>
                <w:rFonts w:eastAsia="Times New Roman"/>
              </w:rPr>
            </w:pPr>
          </w:p>
        </w:tc>
        <w:tc>
          <w:tcPr>
            <w:tcW w:w="4945" w:type="pct"/>
            <w:vAlign w:val="center"/>
            <w:hideMark/>
          </w:tcPr>
          <w:p w14:paraId="3F25A40B" w14:textId="77777777" w:rsidR="00000000" w:rsidRDefault="00EE5306">
            <w:pPr>
              <w:spacing w:after="100"/>
              <w:rPr>
                <w:rFonts w:eastAsia="Times New Roman"/>
                <w:sz w:val="20"/>
                <w:szCs w:val="20"/>
              </w:rPr>
            </w:pPr>
          </w:p>
        </w:tc>
        <w:tc>
          <w:tcPr>
            <w:tcW w:w="5" w:type="pct"/>
            <w:vAlign w:val="center"/>
            <w:hideMark/>
          </w:tcPr>
          <w:p w14:paraId="221318C8" w14:textId="77777777" w:rsidR="00000000" w:rsidRDefault="00EE5306">
            <w:pPr>
              <w:spacing w:after="100"/>
              <w:rPr>
                <w:rFonts w:eastAsia="Times New Roman"/>
                <w:sz w:val="20"/>
                <w:szCs w:val="20"/>
              </w:rPr>
            </w:pPr>
          </w:p>
        </w:tc>
      </w:tr>
      <w:tr w:rsidR="00000000" w14:paraId="231A7C2A"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15456AAF" w14:textId="77777777" w:rsidR="00000000" w:rsidRDefault="00EE5306">
            <w:pPr>
              <w:spacing w:after="100"/>
              <w:rPr>
                <w:rFonts w:eastAsia="Times New Roman"/>
                <w:sz w:val="20"/>
                <w:szCs w:val="20"/>
              </w:rPr>
            </w:pPr>
          </w:p>
        </w:tc>
      </w:tr>
    </w:tbl>
    <w:p w14:paraId="4A1A20C3" w14:textId="77777777" w:rsidR="00000000" w:rsidRDefault="00EE5306">
      <w:pPr>
        <w:rPr>
          <w:rFonts w:eastAsia="Times New Roman"/>
        </w:rPr>
      </w:pPr>
      <w:r>
        <w:rPr>
          <w:rFonts w:eastAsia="Times New Roman"/>
          <w:color w:val="000000"/>
          <w:sz w:val="20"/>
          <w:szCs w:val="20"/>
        </w:rPr>
        <w:t> </w:t>
      </w:r>
    </w:p>
    <w:p w14:paraId="6767B9F2" w14:textId="77777777" w:rsidR="00000000" w:rsidRDefault="00EE5306">
      <w:pPr>
        <w:ind w:hanging="360"/>
        <w:jc w:val="both"/>
        <w:divId w:val="1325820092"/>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Inventory-related charges are recorded within cost of goods sold in the consolidated statements of operations.</w:t>
      </w:r>
    </w:p>
    <w:p w14:paraId="11556257" w14:textId="77777777" w:rsidR="00000000" w:rsidRDefault="00EE5306">
      <w:pPr>
        <w:ind w:hanging="360"/>
        <w:jc w:val="both"/>
        <w:divId w:val="362512157"/>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Accelerated stock-based compensation expense, which is recorded within restructuring and other charges in the consolidated statements of opera</w:t>
      </w:r>
      <w:r>
        <w:rPr>
          <w:rFonts w:eastAsia="Times New Roman"/>
          <w:color w:val="000000"/>
          <w:sz w:val="20"/>
          <w:szCs w:val="20"/>
        </w:rPr>
        <w:t>tions, was recorded in connection with vesting provisions associated with certain separation agreements.</w:t>
      </w:r>
    </w:p>
    <w:p w14:paraId="13AA6CE3" w14:textId="77777777" w:rsidR="00000000" w:rsidRDefault="00EE5306">
      <w:pPr>
        <w:ind w:hanging="360"/>
        <w:jc w:val="both"/>
        <w:divId w:val="893393593"/>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Loss on sale of property, which was recorded within restructuring and other charges in the consolidated statements of operations, was incurred in co</w:t>
      </w:r>
      <w:r>
        <w:rPr>
          <w:rFonts w:eastAsia="Times New Roman"/>
          <w:color w:val="000000"/>
          <w:sz w:val="20"/>
          <w:szCs w:val="20"/>
        </w:rPr>
        <w:t>nnection with the sale of one of the Company's distribution centers in North America. Total cash proceeds from the sale were $20.0 million.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5001E3C" w14:textId="77777777">
        <w:trPr>
          <w:divId w:val="1721974349"/>
          <w:jc w:val="center"/>
        </w:trPr>
        <w:tc>
          <w:tcPr>
            <w:tcW w:w="50" w:type="pct"/>
            <w:vAlign w:val="center"/>
            <w:hideMark/>
          </w:tcPr>
          <w:p w14:paraId="0C200CAC" w14:textId="77777777" w:rsidR="00000000" w:rsidRDefault="00EE5306">
            <w:pPr>
              <w:ind w:hanging="360"/>
              <w:jc w:val="both"/>
              <w:rPr>
                <w:rFonts w:eastAsia="Times New Roman"/>
              </w:rPr>
            </w:pPr>
          </w:p>
        </w:tc>
        <w:tc>
          <w:tcPr>
            <w:tcW w:w="1699" w:type="pct"/>
            <w:vAlign w:val="center"/>
            <w:hideMark/>
          </w:tcPr>
          <w:p w14:paraId="4492CB8C" w14:textId="77777777" w:rsidR="00000000" w:rsidRDefault="00EE5306">
            <w:pPr>
              <w:spacing w:after="100"/>
              <w:rPr>
                <w:rFonts w:eastAsia="Times New Roman"/>
                <w:sz w:val="20"/>
                <w:szCs w:val="20"/>
              </w:rPr>
            </w:pPr>
          </w:p>
        </w:tc>
        <w:tc>
          <w:tcPr>
            <w:tcW w:w="5" w:type="pct"/>
            <w:vAlign w:val="center"/>
            <w:hideMark/>
          </w:tcPr>
          <w:p w14:paraId="4E978204" w14:textId="77777777" w:rsidR="00000000" w:rsidRDefault="00EE5306">
            <w:pPr>
              <w:spacing w:after="100"/>
              <w:rPr>
                <w:rFonts w:eastAsia="Times New Roman"/>
                <w:sz w:val="20"/>
                <w:szCs w:val="20"/>
              </w:rPr>
            </w:pPr>
          </w:p>
        </w:tc>
        <w:tc>
          <w:tcPr>
            <w:tcW w:w="50" w:type="pct"/>
            <w:vAlign w:val="center"/>
            <w:hideMark/>
          </w:tcPr>
          <w:p w14:paraId="2563AA39" w14:textId="77777777" w:rsidR="00000000" w:rsidRDefault="00EE5306">
            <w:pPr>
              <w:spacing w:after="100"/>
              <w:rPr>
                <w:rFonts w:eastAsia="Times New Roman"/>
                <w:sz w:val="20"/>
                <w:szCs w:val="20"/>
              </w:rPr>
            </w:pPr>
          </w:p>
        </w:tc>
        <w:tc>
          <w:tcPr>
            <w:tcW w:w="1436" w:type="pct"/>
            <w:vAlign w:val="center"/>
            <w:hideMark/>
          </w:tcPr>
          <w:p w14:paraId="7B860D38" w14:textId="77777777" w:rsidR="00000000" w:rsidRDefault="00EE5306">
            <w:pPr>
              <w:spacing w:after="100"/>
              <w:rPr>
                <w:rFonts w:eastAsia="Times New Roman"/>
                <w:sz w:val="20"/>
                <w:szCs w:val="20"/>
              </w:rPr>
            </w:pPr>
          </w:p>
        </w:tc>
        <w:tc>
          <w:tcPr>
            <w:tcW w:w="5" w:type="pct"/>
            <w:vAlign w:val="center"/>
            <w:hideMark/>
          </w:tcPr>
          <w:p w14:paraId="60B6063E" w14:textId="77777777" w:rsidR="00000000" w:rsidRDefault="00EE5306">
            <w:pPr>
              <w:spacing w:after="100"/>
              <w:rPr>
                <w:rFonts w:eastAsia="Times New Roman"/>
                <w:sz w:val="20"/>
                <w:szCs w:val="20"/>
              </w:rPr>
            </w:pPr>
          </w:p>
        </w:tc>
        <w:tc>
          <w:tcPr>
            <w:tcW w:w="50" w:type="pct"/>
            <w:vAlign w:val="center"/>
            <w:hideMark/>
          </w:tcPr>
          <w:p w14:paraId="421A5DC0" w14:textId="77777777" w:rsidR="00000000" w:rsidRDefault="00EE5306">
            <w:pPr>
              <w:spacing w:after="100"/>
              <w:rPr>
                <w:rFonts w:eastAsia="Times New Roman"/>
                <w:sz w:val="20"/>
                <w:szCs w:val="20"/>
              </w:rPr>
            </w:pPr>
          </w:p>
        </w:tc>
        <w:tc>
          <w:tcPr>
            <w:tcW w:w="1699" w:type="pct"/>
            <w:vAlign w:val="center"/>
            <w:hideMark/>
          </w:tcPr>
          <w:p w14:paraId="088B77CE" w14:textId="77777777" w:rsidR="00000000" w:rsidRDefault="00EE5306">
            <w:pPr>
              <w:spacing w:after="100"/>
              <w:rPr>
                <w:rFonts w:eastAsia="Times New Roman"/>
                <w:sz w:val="20"/>
                <w:szCs w:val="20"/>
              </w:rPr>
            </w:pPr>
          </w:p>
        </w:tc>
        <w:tc>
          <w:tcPr>
            <w:tcW w:w="5" w:type="pct"/>
            <w:vAlign w:val="center"/>
            <w:hideMark/>
          </w:tcPr>
          <w:p w14:paraId="697FC046" w14:textId="77777777" w:rsidR="00000000" w:rsidRDefault="00EE5306">
            <w:pPr>
              <w:spacing w:after="100"/>
              <w:rPr>
                <w:rFonts w:eastAsia="Times New Roman"/>
                <w:sz w:val="20"/>
                <w:szCs w:val="20"/>
              </w:rPr>
            </w:pPr>
          </w:p>
        </w:tc>
      </w:tr>
      <w:tr w:rsidR="00000000" w14:paraId="0A524E6D" w14:textId="77777777">
        <w:trPr>
          <w:divId w:val="1721974349"/>
          <w:jc w:val="center"/>
        </w:trPr>
        <w:tc>
          <w:tcPr>
            <w:tcW w:w="0" w:type="auto"/>
            <w:gridSpan w:val="3"/>
            <w:tcMar>
              <w:top w:w="0" w:type="dxa"/>
              <w:left w:w="20" w:type="dxa"/>
              <w:bottom w:w="0" w:type="dxa"/>
              <w:right w:w="20" w:type="dxa"/>
            </w:tcMar>
            <w:vAlign w:val="center"/>
            <w:hideMark/>
          </w:tcPr>
          <w:p w14:paraId="5094D7B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243AE1" w14:textId="77777777" w:rsidR="00000000" w:rsidRDefault="00EE5306">
            <w:pPr>
              <w:spacing w:after="100"/>
              <w:jc w:val="center"/>
              <w:rPr>
                <w:rFonts w:eastAsia="Times New Roman"/>
              </w:rPr>
            </w:pPr>
            <w:r>
              <w:rPr>
                <w:rFonts w:eastAsia="Times New Roman"/>
                <w:color w:val="000000"/>
                <w:sz w:val="20"/>
                <w:szCs w:val="20"/>
              </w:rPr>
              <w:t>F-26</w:t>
            </w:r>
          </w:p>
        </w:tc>
        <w:tc>
          <w:tcPr>
            <w:tcW w:w="0" w:type="auto"/>
            <w:gridSpan w:val="3"/>
            <w:tcMar>
              <w:top w:w="0" w:type="dxa"/>
              <w:left w:w="20" w:type="dxa"/>
              <w:bottom w:w="0" w:type="dxa"/>
              <w:right w:w="20" w:type="dxa"/>
            </w:tcMar>
            <w:vAlign w:val="center"/>
            <w:hideMark/>
          </w:tcPr>
          <w:p w14:paraId="7DF3BACD" w14:textId="77777777" w:rsidR="00000000" w:rsidRDefault="00EE5306">
            <w:pPr>
              <w:spacing w:after="100"/>
              <w:jc w:val="center"/>
              <w:rPr>
                <w:rFonts w:eastAsia="Times New Roman"/>
              </w:rPr>
            </w:pPr>
          </w:p>
        </w:tc>
      </w:tr>
    </w:tbl>
    <w:p w14:paraId="12975A22" w14:textId="77777777" w:rsidR="00000000" w:rsidRDefault="00EE5306">
      <w:pPr>
        <w:rPr>
          <w:rFonts w:eastAsia="Times New Roman"/>
        </w:rPr>
      </w:pPr>
      <w:r>
        <w:rPr>
          <w:rFonts w:eastAsia="Times New Roman"/>
        </w:rPr>
        <w:pict w14:anchorId="782C6EB4">
          <v:rect id="_x0000_i1136" style="width:0;height:1.5pt" o:hralign="center" o:hrstd="t" o:hr="t" fillcolor="#a0a0a0" stroked="f"/>
        </w:pict>
      </w:r>
    </w:p>
    <w:p w14:paraId="5369761C" w14:textId="77777777" w:rsidR="00000000" w:rsidRDefault="00EE5306">
      <w:pPr>
        <w:jc w:val="center"/>
        <w:divId w:val="353114984"/>
        <w:rPr>
          <w:rFonts w:eastAsia="Times New Roman"/>
        </w:rPr>
      </w:pPr>
    </w:p>
    <w:p w14:paraId="0FE4ED03" w14:textId="77777777" w:rsidR="00000000" w:rsidRDefault="00EE5306">
      <w:pPr>
        <w:jc w:val="center"/>
        <w:divId w:val="353114984"/>
        <w:rPr>
          <w:rFonts w:eastAsia="Times New Roman"/>
        </w:rPr>
      </w:pPr>
      <w:r>
        <w:rPr>
          <w:rFonts w:eastAsia="Times New Roman"/>
          <w:b/>
          <w:bCs/>
          <w:color w:val="000000"/>
          <w:sz w:val="20"/>
          <w:szCs w:val="20"/>
        </w:rPr>
        <w:t>RALPH LAUREN CORPORATION</w:t>
      </w:r>
    </w:p>
    <w:p w14:paraId="5C654196" w14:textId="77777777" w:rsidR="00000000" w:rsidRDefault="00EE5306">
      <w:pPr>
        <w:jc w:val="center"/>
        <w:divId w:val="2034265987"/>
        <w:rPr>
          <w:rFonts w:eastAsia="Times New Roman"/>
        </w:rPr>
      </w:pPr>
      <w:r>
        <w:rPr>
          <w:rFonts w:eastAsia="Times New Roman"/>
          <w:b/>
          <w:bCs/>
          <w:color w:val="000000"/>
          <w:sz w:val="20"/>
          <w:szCs w:val="20"/>
        </w:rPr>
        <w:t>NOTES TO CONSOLIDATED FINANCIAL STATEMENTS (Continued)</w:t>
      </w:r>
    </w:p>
    <w:p w14:paraId="33920BDB" w14:textId="77777777" w:rsidR="00000000" w:rsidRDefault="00EE5306">
      <w:pPr>
        <w:ind w:firstLine="540"/>
        <w:jc w:val="both"/>
        <w:divId w:val="2132360110"/>
        <w:rPr>
          <w:rFonts w:eastAsia="Times New Roman"/>
        </w:rPr>
      </w:pPr>
      <w:r>
        <w:rPr>
          <w:rFonts w:eastAsia="Times New Roman"/>
          <w:color w:val="000000"/>
          <w:sz w:val="20"/>
          <w:szCs w:val="20"/>
        </w:rPr>
        <w:t>A summary of the activity in the restructuring reserve related to the Fiscal 2019 Restructuring Plan is as follows:</w:t>
      </w:r>
    </w:p>
    <w:tbl>
      <w:tblPr>
        <w:tblW w:w="4729" w:type="pct"/>
        <w:tblCellMar>
          <w:top w:w="15" w:type="dxa"/>
          <w:left w:w="15" w:type="dxa"/>
          <w:bottom w:w="15" w:type="dxa"/>
          <w:right w:w="15" w:type="dxa"/>
        </w:tblCellMar>
        <w:tblLook w:val="04A0" w:firstRow="1" w:lastRow="0" w:firstColumn="1" w:lastColumn="0" w:noHBand="0" w:noVBand="1"/>
      </w:tblPr>
      <w:tblGrid>
        <w:gridCol w:w="39"/>
        <w:gridCol w:w="3527"/>
        <w:gridCol w:w="38"/>
        <w:gridCol w:w="36"/>
        <w:gridCol w:w="39"/>
        <w:gridCol w:w="36"/>
        <w:gridCol w:w="121"/>
        <w:gridCol w:w="831"/>
        <w:gridCol w:w="36"/>
        <w:gridCol w:w="36"/>
        <w:gridCol w:w="36"/>
        <w:gridCol w:w="36"/>
        <w:gridCol w:w="121"/>
        <w:gridCol w:w="822"/>
        <w:gridCol w:w="36"/>
        <w:gridCol w:w="36"/>
        <w:gridCol w:w="36"/>
        <w:gridCol w:w="36"/>
        <w:gridCol w:w="121"/>
        <w:gridCol w:w="749"/>
        <w:gridCol w:w="36"/>
        <w:gridCol w:w="36"/>
        <w:gridCol w:w="36"/>
        <w:gridCol w:w="36"/>
        <w:gridCol w:w="121"/>
        <w:gridCol w:w="787"/>
        <w:gridCol w:w="36"/>
      </w:tblGrid>
      <w:tr w:rsidR="00000000" w14:paraId="1C592A4C" w14:textId="77777777">
        <w:trPr>
          <w:divId w:val="1169906160"/>
        </w:trPr>
        <w:tc>
          <w:tcPr>
            <w:tcW w:w="50" w:type="pct"/>
            <w:vAlign w:val="center"/>
            <w:hideMark/>
          </w:tcPr>
          <w:p w14:paraId="04DDADC6" w14:textId="77777777" w:rsidR="00000000" w:rsidRDefault="00EE5306">
            <w:pPr>
              <w:ind w:firstLine="540"/>
              <w:jc w:val="both"/>
              <w:rPr>
                <w:rFonts w:eastAsia="Times New Roman"/>
              </w:rPr>
            </w:pPr>
          </w:p>
        </w:tc>
        <w:tc>
          <w:tcPr>
            <w:tcW w:w="2286" w:type="pct"/>
            <w:vAlign w:val="center"/>
            <w:hideMark/>
          </w:tcPr>
          <w:p w14:paraId="476036E8" w14:textId="77777777" w:rsidR="00000000" w:rsidRDefault="00EE5306">
            <w:pPr>
              <w:spacing w:after="100"/>
              <w:rPr>
                <w:rFonts w:eastAsia="Times New Roman"/>
                <w:sz w:val="20"/>
                <w:szCs w:val="20"/>
              </w:rPr>
            </w:pPr>
          </w:p>
        </w:tc>
        <w:tc>
          <w:tcPr>
            <w:tcW w:w="5" w:type="pct"/>
            <w:vAlign w:val="center"/>
            <w:hideMark/>
          </w:tcPr>
          <w:p w14:paraId="5127420A" w14:textId="77777777" w:rsidR="00000000" w:rsidRDefault="00EE5306">
            <w:pPr>
              <w:spacing w:after="100"/>
              <w:rPr>
                <w:rFonts w:eastAsia="Times New Roman"/>
                <w:sz w:val="20"/>
                <w:szCs w:val="20"/>
              </w:rPr>
            </w:pPr>
          </w:p>
        </w:tc>
        <w:tc>
          <w:tcPr>
            <w:tcW w:w="5" w:type="pct"/>
            <w:vAlign w:val="center"/>
            <w:hideMark/>
          </w:tcPr>
          <w:p w14:paraId="6A1D58B7" w14:textId="77777777" w:rsidR="00000000" w:rsidRDefault="00EE5306">
            <w:pPr>
              <w:spacing w:after="100"/>
              <w:rPr>
                <w:rFonts w:eastAsia="Times New Roman"/>
                <w:sz w:val="20"/>
                <w:szCs w:val="20"/>
              </w:rPr>
            </w:pPr>
          </w:p>
        </w:tc>
        <w:tc>
          <w:tcPr>
            <w:tcW w:w="59" w:type="pct"/>
            <w:vAlign w:val="center"/>
            <w:hideMark/>
          </w:tcPr>
          <w:p w14:paraId="02E15195" w14:textId="77777777" w:rsidR="00000000" w:rsidRDefault="00EE5306">
            <w:pPr>
              <w:spacing w:after="100"/>
              <w:rPr>
                <w:rFonts w:eastAsia="Times New Roman"/>
                <w:sz w:val="20"/>
                <w:szCs w:val="20"/>
              </w:rPr>
            </w:pPr>
          </w:p>
        </w:tc>
        <w:tc>
          <w:tcPr>
            <w:tcW w:w="5" w:type="pct"/>
            <w:vAlign w:val="center"/>
            <w:hideMark/>
          </w:tcPr>
          <w:p w14:paraId="1903603A" w14:textId="77777777" w:rsidR="00000000" w:rsidRDefault="00EE5306">
            <w:pPr>
              <w:spacing w:after="100"/>
              <w:rPr>
                <w:rFonts w:eastAsia="Times New Roman"/>
                <w:sz w:val="20"/>
                <w:szCs w:val="20"/>
              </w:rPr>
            </w:pPr>
          </w:p>
        </w:tc>
        <w:tc>
          <w:tcPr>
            <w:tcW w:w="50" w:type="pct"/>
            <w:vAlign w:val="center"/>
            <w:hideMark/>
          </w:tcPr>
          <w:p w14:paraId="318F5329" w14:textId="77777777" w:rsidR="00000000" w:rsidRDefault="00EE5306">
            <w:pPr>
              <w:spacing w:after="100"/>
              <w:rPr>
                <w:rFonts w:eastAsia="Times New Roman"/>
                <w:sz w:val="20"/>
                <w:szCs w:val="20"/>
              </w:rPr>
            </w:pPr>
          </w:p>
        </w:tc>
        <w:tc>
          <w:tcPr>
            <w:tcW w:w="563" w:type="pct"/>
            <w:vAlign w:val="center"/>
            <w:hideMark/>
          </w:tcPr>
          <w:p w14:paraId="62761E50" w14:textId="77777777" w:rsidR="00000000" w:rsidRDefault="00EE5306">
            <w:pPr>
              <w:spacing w:after="100"/>
              <w:rPr>
                <w:rFonts w:eastAsia="Times New Roman"/>
                <w:sz w:val="20"/>
                <w:szCs w:val="20"/>
              </w:rPr>
            </w:pPr>
          </w:p>
        </w:tc>
        <w:tc>
          <w:tcPr>
            <w:tcW w:w="5" w:type="pct"/>
            <w:vAlign w:val="center"/>
            <w:hideMark/>
          </w:tcPr>
          <w:p w14:paraId="6875DBC5" w14:textId="77777777" w:rsidR="00000000" w:rsidRDefault="00EE5306">
            <w:pPr>
              <w:spacing w:after="100"/>
              <w:rPr>
                <w:rFonts w:eastAsia="Times New Roman"/>
                <w:sz w:val="20"/>
                <w:szCs w:val="20"/>
              </w:rPr>
            </w:pPr>
          </w:p>
        </w:tc>
        <w:tc>
          <w:tcPr>
            <w:tcW w:w="5" w:type="pct"/>
            <w:vAlign w:val="center"/>
            <w:hideMark/>
          </w:tcPr>
          <w:p w14:paraId="0C7D0650" w14:textId="77777777" w:rsidR="00000000" w:rsidRDefault="00EE5306">
            <w:pPr>
              <w:spacing w:after="100"/>
              <w:rPr>
                <w:rFonts w:eastAsia="Times New Roman"/>
                <w:sz w:val="20"/>
                <w:szCs w:val="20"/>
              </w:rPr>
            </w:pPr>
          </w:p>
        </w:tc>
        <w:tc>
          <w:tcPr>
            <w:tcW w:w="28" w:type="pct"/>
            <w:vAlign w:val="center"/>
            <w:hideMark/>
          </w:tcPr>
          <w:p w14:paraId="3367D433" w14:textId="77777777" w:rsidR="00000000" w:rsidRDefault="00EE5306">
            <w:pPr>
              <w:spacing w:after="100"/>
              <w:rPr>
                <w:rFonts w:eastAsia="Times New Roman"/>
                <w:sz w:val="20"/>
                <w:szCs w:val="20"/>
              </w:rPr>
            </w:pPr>
          </w:p>
        </w:tc>
        <w:tc>
          <w:tcPr>
            <w:tcW w:w="5" w:type="pct"/>
            <w:vAlign w:val="center"/>
            <w:hideMark/>
          </w:tcPr>
          <w:p w14:paraId="314477A7" w14:textId="77777777" w:rsidR="00000000" w:rsidRDefault="00EE5306">
            <w:pPr>
              <w:spacing w:after="100"/>
              <w:rPr>
                <w:rFonts w:eastAsia="Times New Roman"/>
                <w:sz w:val="20"/>
                <w:szCs w:val="20"/>
              </w:rPr>
            </w:pPr>
          </w:p>
        </w:tc>
        <w:tc>
          <w:tcPr>
            <w:tcW w:w="50" w:type="pct"/>
            <w:vAlign w:val="center"/>
            <w:hideMark/>
          </w:tcPr>
          <w:p w14:paraId="2AAF1451" w14:textId="77777777" w:rsidR="00000000" w:rsidRDefault="00EE5306">
            <w:pPr>
              <w:spacing w:after="100"/>
              <w:rPr>
                <w:rFonts w:eastAsia="Times New Roman"/>
                <w:sz w:val="20"/>
                <w:szCs w:val="20"/>
              </w:rPr>
            </w:pPr>
          </w:p>
        </w:tc>
        <w:tc>
          <w:tcPr>
            <w:tcW w:w="563" w:type="pct"/>
            <w:vAlign w:val="center"/>
            <w:hideMark/>
          </w:tcPr>
          <w:p w14:paraId="19AB2851" w14:textId="77777777" w:rsidR="00000000" w:rsidRDefault="00EE5306">
            <w:pPr>
              <w:spacing w:after="100"/>
              <w:rPr>
                <w:rFonts w:eastAsia="Times New Roman"/>
                <w:sz w:val="20"/>
                <w:szCs w:val="20"/>
              </w:rPr>
            </w:pPr>
          </w:p>
        </w:tc>
        <w:tc>
          <w:tcPr>
            <w:tcW w:w="5" w:type="pct"/>
            <w:vAlign w:val="center"/>
            <w:hideMark/>
          </w:tcPr>
          <w:p w14:paraId="56366A70" w14:textId="77777777" w:rsidR="00000000" w:rsidRDefault="00EE5306">
            <w:pPr>
              <w:spacing w:after="100"/>
              <w:rPr>
                <w:rFonts w:eastAsia="Times New Roman"/>
                <w:sz w:val="20"/>
                <w:szCs w:val="20"/>
              </w:rPr>
            </w:pPr>
          </w:p>
        </w:tc>
        <w:tc>
          <w:tcPr>
            <w:tcW w:w="5" w:type="pct"/>
            <w:vAlign w:val="center"/>
            <w:hideMark/>
          </w:tcPr>
          <w:p w14:paraId="009E41AE" w14:textId="77777777" w:rsidR="00000000" w:rsidRDefault="00EE5306">
            <w:pPr>
              <w:spacing w:after="100"/>
              <w:rPr>
                <w:rFonts w:eastAsia="Times New Roman"/>
                <w:sz w:val="20"/>
                <w:szCs w:val="20"/>
              </w:rPr>
            </w:pPr>
          </w:p>
        </w:tc>
        <w:tc>
          <w:tcPr>
            <w:tcW w:w="28" w:type="pct"/>
            <w:vAlign w:val="center"/>
            <w:hideMark/>
          </w:tcPr>
          <w:p w14:paraId="524A4E68" w14:textId="77777777" w:rsidR="00000000" w:rsidRDefault="00EE5306">
            <w:pPr>
              <w:spacing w:after="100"/>
              <w:rPr>
                <w:rFonts w:eastAsia="Times New Roman"/>
                <w:sz w:val="20"/>
                <w:szCs w:val="20"/>
              </w:rPr>
            </w:pPr>
          </w:p>
        </w:tc>
        <w:tc>
          <w:tcPr>
            <w:tcW w:w="5" w:type="pct"/>
            <w:vAlign w:val="center"/>
            <w:hideMark/>
          </w:tcPr>
          <w:p w14:paraId="07AECD58" w14:textId="77777777" w:rsidR="00000000" w:rsidRDefault="00EE5306">
            <w:pPr>
              <w:spacing w:after="100"/>
              <w:rPr>
                <w:rFonts w:eastAsia="Times New Roman"/>
                <w:sz w:val="20"/>
                <w:szCs w:val="20"/>
              </w:rPr>
            </w:pPr>
          </w:p>
        </w:tc>
        <w:tc>
          <w:tcPr>
            <w:tcW w:w="50" w:type="pct"/>
            <w:vAlign w:val="center"/>
            <w:hideMark/>
          </w:tcPr>
          <w:p w14:paraId="58085493" w14:textId="77777777" w:rsidR="00000000" w:rsidRDefault="00EE5306">
            <w:pPr>
              <w:spacing w:after="100"/>
              <w:rPr>
                <w:rFonts w:eastAsia="Times New Roman"/>
                <w:sz w:val="20"/>
                <w:szCs w:val="20"/>
              </w:rPr>
            </w:pPr>
          </w:p>
        </w:tc>
        <w:tc>
          <w:tcPr>
            <w:tcW w:w="563" w:type="pct"/>
            <w:vAlign w:val="center"/>
            <w:hideMark/>
          </w:tcPr>
          <w:p w14:paraId="52A180AA" w14:textId="77777777" w:rsidR="00000000" w:rsidRDefault="00EE5306">
            <w:pPr>
              <w:spacing w:after="100"/>
              <w:rPr>
                <w:rFonts w:eastAsia="Times New Roman"/>
                <w:sz w:val="20"/>
                <w:szCs w:val="20"/>
              </w:rPr>
            </w:pPr>
          </w:p>
        </w:tc>
        <w:tc>
          <w:tcPr>
            <w:tcW w:w="5" w:type="pct"/>
            <w:vAlign w:val="center"/>
            <w:hideMark/>
          </w:tcPr>
          <w:p w14:paraId="18D1DDDD" w14:textId="77777777" w:rsidR="00000000" w:rsidRDefault="00EE5306">
            <w:pPr>
              <w:spacing w:after="100"/>
              <w:rPr>
                <w:rFonts w:eastAsia="Times New Roman"/>
                <w:sz w:val="20"/>
                <w:szCs w:val="20"/>
              </w:rPr>
            </w:pPr>
          </w:p>
        </w:tc>
        <w:tc>
          <w:tcPr>
            <w:tcW w:w="5" w:type="pct"/>
            <w:vAlign w:val="center"/>
            <w:hideMark/>
          </w:tcPr>
          <w:p w14:paraId="46393489" w14:textId="77777777" w:rsidR="00000000" w:rsidRDefault="00EE5306">
            <w:pPr>
              <w:spacing w:after="100"/>
              <w:rPr>
                <w:rFonts w:eastAsia="Times New Roman"/>
                <w:sz w:val="20"/>
                <w:szCs w:val="20"/>
              </w:rPr>
            </w:pPr>
          </w:p>
        </w:tc>
        <w:tc>
          <w:tcPr>
            <w:tcW w:w="28" w:type="pct"/>
            <w:vAlign w:val="center"/>
            <w:hideMark/>
          </w:tcPr>
          <w:p w14:paraId="1BA15007" w14:textId="77777777" w:rsidR="00000000" w:rsidRDefault="00EE5306">
            <w:pPr>
              <w:spacing w:after="100"/>
              <w:rPr>
                <w:rFonts w:eastAsia="Times New Roman"/>
                <w:sz w:val="20"/>
                <w:szCs w:val="20"/>
              </w:rPr>
            </w:pPr>
          </w:p>
        </w:tc>
        <w:tc>
          <w:tcPr>
            <w:tcW w:w="5" w:type="pct"/>
            <w:vAlign w:val="center"/>
            <w:hideMark/>
          </w:tcPr>
          <w:p w14:paraId="1687D15F" w14:textId="77777777" w:rsidR="00000000" w:rsidRDefault="00EE5306">
            <w:pPr>
              <w:spacing w:after="100"/>
              <w:rPr>
                <w:rFonts w:eastAsia="Times New Roman"/>
                <w:sz w:val="20"/>
                <w:szCs w:val="20"/>
              </w:rPr>
            </w:pPr>
          </w:p>
        </w:tc>
        <w:tc>
          <w:tcPr>
            <w:tcW w:w="50" w:type="pct"/>
            <w:vAlign w:val="center"/>
            <w:hideMark/>
          </w:tcPr>
          <w:p w14:paraId="7377DF28" w14:textId="77777777" w:rsidR="00000000" w:rsidRDefault="00EE5306">
            <w:pPr>
              <w:spacing w:after="100"/>
              <w:rPr>
                <w:rFonts w:eastAsia="Times New Roman"/>
                <w:sz w:val="20"/>
                <w:szCs w:val="20"/>
              </w:rPr>
            </w:pPr>
          </w:p>
        </w:tc>
        <w:tc>
          <w:tcPr>
            <w:tcW w:w="563" w:type="pct"/>
            <w:vAlign w:val="center"/>
            <w:hideMark/>
          </w:tcPr>
          <w:p w14:paraId="58B903D5" w14:textId="77777777" w:rsidR="00000000" w:rsidRDefault="00EE5306">
            <w:pPr>
              <w:spacing w:after="100"/>
              <w:rPr>
                <w:rFonts w:eastAsia="Times New Roman"/>
                <w:sz w:val="20"/>
                <w:szCs w:val="20"/>
              </w:rPr>
            </w:pPr>
          </w:p>
        </w:tc>
        <w:tc>
          <w:tcPr>
            <w:tcW w:w="5" w:type="pct"/>
            <w:vAlign w:val="center"/>
            <w:hideMark/>
          </w:tcPr>
          <w:p w14:paraId="4CD4D76C" w14:textId="77777777" w:rsidR="00000000" w:rsidRDefault="00EE5306">
            <w:pPr>
              <w:spacing w:after="100"/>
              <w:rPr>
                <w:rFonts w:eastAsia="Times New Roman"/>
                <w:sz w:val="20"/>
                <w:szCs w:val="20"/>
              </w:rPr>
            </w:pPr>
          </w:p>
        </w:tc>
      </w:tr>
      <w:tr w:rsidR="00000000" w14:paraId="4B73BB4B" w14:textId="77777777">
        <w:trPr>
          <w:divId w:val="1169906160"/>
        </w:trPr>
        <w:tc>
          <w:tcPr>
            <w:tcW w:w="0" w:type="auto"/>
            <w:gridSpan w:val="3"/>
            <w:tcMar>
              <w:top w:w="0" w:type="dxa"/>
              <w:left w:w="20" w:type="dxa"/>
              <w:bottom w:w="0" w:type="dxa"/>
              <w:right w:w="20" w:type="dxa"/>
            </w:tcMar>
            <w:vAlign w:val="center"/>
            <w:hideMark/>
          </w:tcPr>
          <w:p w14:paraId="23B853D8"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753BB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980C8CD" w14:textId="77777777" w:rsidR="00000000" w:rsidRDefault="00EE5306">
            <w:pPr>
              <w:spacing w:after="100"/>
              <w:jc w:val="center"/>
              <w:rPr>
                <w:rFonts w:eastAsia="Times New Roman"/>
              </w:rPr>
            </w:pPr>
            <w:r>
              <w:rPr>
                <w:rFonts w:eastAsia="Times New Roman"/>
                <w:b/>
                <w:bCs/>
                <w:color w:val="000000"/>
                <w:sz w:val="16"/>
                <w:szCs w:val="16"/>
              </w:rPr>
              <w:t>Severance and Benefit Costs</w:t>
            </w:r>
          </w:p>
        </w:tc>
        <w:tc>
          <w:tcPr>
            <w:tcW w:w="0" w:type="auto"/>
            <w:gridSpan w:val="3"/>
            <w:tcMar>
              <w:top w:w="0" w:type="dxa"/>
              <w:left w:w="20" w:type="dxa"/>
              <w:bottom w:w="0" w:type="dxa"/>
              <w:right w:w="20" w:type="dxa"/>
            </w:tcMar>
            <w:vAlign w:val="center"/>
            <w:hideMark/>
          </w:tcPr>
          <w:p w14:paraId="1CA43AEA"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374DFB3" w14:textId="77777777" w:rsidR="00000000" w:rsidRDefault="00EE5306">
            <w:pPr>
              <w:spacing w:after="100"/>
              <w:jc w:val="center"/>
              <w:rPr>
                <w:rFonts w:eastAsia="Times New Roman"/>
              </w:rPr>
            </w:pPr>
            <w:r>
              <w:rPr>
                <w:rFonts w:eastAsia="Times New Roman"/>
                <w:b/>
                <w:bCs/>
                <w:color w:val="000000"/>
                <w:sz w:val="16"/>
                <w:szCs w:val="16"/>
              </w:rPr>
              <w:t>Lease Termination</w:t>
            </w:r>
            <w:r>
              <w:rPr>
                <w:rFonts w:eastAsia="Times New Roman"/>
                <w:b/>
                <w:bCs/>
                <w:color w:val="000000"/>
                <w:sz w:val="16"/>
                <w:szCs w:val="16"/>
              </w:rPr>
              <w:br/>
              <w:t>and Store</w:t>
            </w:r>
            <w:r>
              <w:rPr>
                <w:rFonts w:eastAsia="Times New Roman"/>
                <w:b/>
                <w:bCs/>
                <w:color w:val="000000"/>
                <w:sz w:val="16"/>
                <w:szCs w:val="16"/>
              </w:rPr>
              <w:br/>
              <w:t>Closure Costs</w:t>
            </w:r>
          </w:p>
        </w:tc>
        <w:tc>
          <w:tcPr>
            <w:tcW w:w="0" w:type="auto"/>
            <w:gridSpan w:val="3"/>
            <w:tcMar>
              <w:top w:w="0" w:type="dxa"/>
              <w:left w:w="20" w:type="dxa"/>
              <w:bottom w:w="0" w:type="dxa"/>
              <w:right w:w="20" w:type="dxa"/>
            </w:tcMar>
            <w:vAlign w:val="center"/>
            <w:hideMark/>
          </w:tcPr>
          <w:p w14:paraId="15B6B4D1"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D4360CA" w14:textId="77777777" w:rsidR="00000000" w:rsidRDefault="00EE5306">
            <w:pPr>
              <w:spacing w:after="100"/>
              <w:jc w:val="center"/>
              <w:rPr>
                <w:rFonts w:eastAsia="Times New Roman"/>
              </w:rPr>
            </w:pPr>
            <w:r>
              <w:rPr>
                <w:rFonts w:eastAsia="Times New Roman"/>
                <w:b/>
                <w:bCs/>
                <w:color w:val="000000"/>
                <w:sz w:val="16"/>
                <w:szCs w:val="16"/>
              </w:rPr>
              <w:t>Other Cash Charges</w:t>
            </w:r>
          </w:p>
        </w:tc>
        <w:tc>
          <w:tcPr>
            <w:tcW w:w="0" w:type="auto"/>
            <w:gridSpan w:val="3"/>
            <w:tcMar>
              <w:top w:w="0" w:type="dxa"/>
              <w:left w:w="20" w:type="dxa"/>
              <w:bottom w:w="0" w:type="dxa"/>
              <w:right w:w="20" w:type="dxa"/>
            </w:tcMar>
            <w:vAlign w:val="center"/>
            <w:hideMark/>
          </w:tcPr>
          <w:p w14:paraId="3CE4D4F6"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1CAC852" w14:textId="77777777" w:rsidR="00000000" w:rsidRDefault="00EE5306">
            <w:pPr>
              <w:spacing w:after="100"/>
              <w:jc w:val="center"/>
              <w:rPr>
                <w:rFonts w:eastAsia="Times New Roman"/>
              </w:rPr>
            </w:pPr>
            <w:r>
              <w:rPr>
                <w:rFonts w:eastAsia="Times New Roman"/>
                <w:b/>
                <w:bCs/>
                <w:color w:val="000000"/>
                <w:sz w:val="16"/>
                <w:szCs w:val="16"/>
              </w:rPr>
              <w:t>Total</w:t>
            </w:r>
          </w:p>
        </w:tc>
      </w:tr>
      <w:tr w:rsidR="00000000" w14:paraId="0873EDB4" w14:textId="77777777">
        <w:trPr>
          <w:divId w:val="1169906160"/>
        </w:trPr>
        <w:tc>
          <w:tcPr>
            <w:tcW w:w="0" w:type="auto"/>
            <w:gridSpan w:val="3"/>
            <w:tcMar>
              <w:top w:w="0" w:type="dxa"/>
              <w:left w:w="20" w:type="dxa"/>
              <w:bottom w:w="0" w:type="dxa"/>
              <w:right w:w="20" w:type="dxa"/>
            </w:tcMar>
            <w:vAlign w:val="center"/>
            <w:hideMark/>
          </w:tcPr>
          <w:p w14:paraId="31E50D5B"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B3E1F1F" w14:textId="77777777" w:rsidR="00000000" w:rsidRDefault="00EE5306">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14:paraId="593CB18A"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23B4D137" w14:textId="77777777">
        <w:trPr>
          <w:divId w:val="1169906160"/>
        </w:trPr>
        <w:tc>
          <w:tcPr>
            <w:tcW w:w="0" w:type="auto"/>
            <w:gridSpan w:val="3"/>
            <w:shd w:val="clear" w:color="auto" w:fill="CCEEFF"/>
            <w:tcMar>
              <w:top w:w="30" w:type="dxa"/>
              <w:left w:w="20" w:type="dxa"/>
              <w:bottom w:w="30" w:type="dxa"/>
              <w:right w:w="20" w:type="dxa"/>
            </w:tcMar>
            <w:vAlign w:val="bottom"/>
            <w:hideMark/>
          </w:tcPr>
          <w:p w14:paraId="6272BB73" w14:textId="77777777" w:rsidR="00000000" w:rsidRDefault="00EE5306">
            <w:pPr>
              <w:spacing w:after="100"/>
              <w:rPr>
                <w:rFonts w:eastAsia="Times New Roman"/>
              </w:rPr>
            </w:pPr>
            <w:r>
              <w:rPr>
                <w:rFonts w:eastAsia="Times New Roman"/>
                <w:color w:val="000000"/>
                <w:sz w:val="20"/>
                <w:szCs w:val="20"/>
              </w:rPr>
              <w:t>Balance at March 31, 2018</w:t>
            </w:r>
          </w:p>
        </w:tc>
        <w:tc>
          <w:tcPr>
            <w:tcW w:w="0" w:type="auto"/>
            <w:gridSpan w:val="3"/>
            <w:shd w:val="clear" w:color="auto" w:fill="CCEEFF"/>
            <w:tcMar>
              <w:top w:w="0" w:type="dxa"/>
              <w:left w:w="20" w:type="dxa"/>
              <w:bottom w:w="0" w:type="dxa"/>
              <w:right w:w="20" w:type="dxa"/>
            </w:tcMar>
            <w:vAlign w:val="center"/>
            <w:hideMark/>
          </w:tcPr>
          <w:p w14:paraId="668E194B"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46D4F6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8AFCC1"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0F3AB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CB76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24CF5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335683"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8A968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CFEE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8B993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80CC42"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28E98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49D85"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6B9BE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47F928"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2E3505" w14:textId="77777777" w:rsidR="00000000" w:rsidRDefault="00EE5306">
            <w:pPr>
              <w:spacing w:after="100"/>
              <w:jc w:val="right"/>
              <w:rPr>
                <w:rFonts w:eastAsia="Times New Roman"/>
              </w:rPr>
            </w:pPr>
          </w:p>
        </w:tc>
      </w:tr>
      <w:tr w:rsidR="00000000" w14:paraId="559C4B86" w14:textId="77777777">
        <w:trPr>
          <w:divId w:val="1169906160"/>
        </w:trPr>
        <w:tc>
          <w:tcPr>
            <w:tcW w:w="0" w:type="auto"/>
            <w:gridSpan w:val="3"/>
            <w:shd w:val="clear" w:color="auto" w:fill="FFFFFF"/>
            <w:tcMar>
              <w:top w:w="30" w:type="dxa"/>
              <w:left w:w="155" w:type="dxa"/>
              <w:bottom w:w="30" w:type="dxa"/>
              <w:right w:w="20" w:type="dxa"/>
            </w:tcMar>
            <w:vAlign w:val="bottom"/>
            <w:hideMark/>
          </w:tcPr>
          <w:p w14:paraId="6ACB00FF" w14:textId="77777777" w:rsidR="00000000" w:rsidRDefault="00EE5306">
            <w:pPr>
              <w:spacing w:after="100"/>
              <w:rPr>
                <w:rFonts w:eastAsia="Times New Roman"/>
              </w:rPr>
            </w:pPr>
            <w:r>
              <w:rPr>
                <w:rFonts w:eastAsia="Times New Roman"/>
                <w:color w:val="000000"/>
                <w:sz w:val="20"/>
                <w:szCs w:val="20"/>
              </w:rPr>
              <w:t>Additions charged to expense</w:t>
            </w:r>
          </w:p>
        </w:tc>
        <w:tc>
          <w:tcPr>
            <w:tcW w:w="0" w:type="auto"/>
            <w:gridSpan w:val="3"/>
            <w:shd w:val="clear" w:color="auto" w:fill="FFFFFF"/>
            <w:tcMar>
              <w:top w:w="0" w:type="dxa"/>
              <w:left w:w="20" w:type="dxa"/>
              <w:bottom w:w="0" w:type="dxa"/>
              <w:right w:w="20" w:type="dxa"/>
            </w:tcMar>
            <w:vAlign w:val="center"/>
            <w:hideMark/>
          </w:tcPr>
          <w:p w14:paraId="08F2248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714768" w14:textId="77777777" w:rsidR="00000000" w:rsidRDefault="00EE5306">
            <w:pPr>
              <w:spacing w:after="100"/>
              <w:jc w:val="right"/>
              <w:rPr>
                <w:rFonts w:eastAsia="Times New Roman"/>
              </w:rPr>
            </w:pPr>
            <w:r>
              <w:rPr>
                <w:rFonts w:eastAsia="Times New Roman"/>
                <w:color w:val="000000"/>
                <w:sz w:val="20"/>
                <w:szCs w:val="20"/>
              </w:rPr>
              <w:t>60.2 </w:t>
            </w:r>
          </w:p>
        </w:tc>
        <w:tc>
          <w:tcPr>
            <w:tcW w:w="0" w:type="auto"/>
            <w:shd w:val="clear" w:color="auto" w:fill="FFFFFF"/>
            <w:tcMar>
              <w:top w:w="30" w:type="dxa"/>
              <w:left w:w="0" w:type="dxa"/>
              <w:bottom w:w="30" w:type="dxa"/>
              <w:right w:w="20" w:type="dxa"/>
            </w:tcMar>
            <w:vAlign w:val="bottom"/>
            <w:hideMark/>
          </w:tcPr>
          <w:p w14:paraId="30CD493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F3E3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29F66" w14:textId="77777777" w:rsidR="00000000" w:rsidRDefault="00EE5306">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6829B03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B307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F0BF7" w14:textId="77777777" w:rsidR="00000000" w:rsidRDefault="00EE5306">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14:paraId="1C5AC83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EC1E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1033E" w14:textId="77777777" w:rsidR="00000000" w:rsidRDefault="00EE5306">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14:paraId="0386634E" w14:textId="77777777" w:rsidR="00000000" w:rsidRDefault="00EE5306">
            <w:pPr>
              <w:spacing w:after="100"/>
              <w:jc w:val="right"/>
              <w:rPr>
                <w:rFonts w:eastAsia="Times New Roman"/>
              </w:rPr>
            </w:pPr>
          </w:p>
        </w:tc>
      </w:tr>
      <w:tr w:rsidR="00000000" w14:paraId="55979922" w14:textId="77777777">
        <w:trPr>
          <w:divId w:val="1169906160"/>
        </w:trPr>
        <w:tc>
          <w:tcPr>
            <w:tcW w:w="0" w:type="auto"/>
            <w:gridSpan w:val="3"/>
            <w:shd w:val="clear" w:color="auto" w:fill="CCEEFF"/>
            <w:tcMar>
              <w:top w:w="30" w:type="dxa"/>
              <w:left w:w="155" w:type="dxa"/>
              <w:bottom w:w="30" w:type="dxa"/>
              <w:right w:w="20" w:type="dxa"/>
            </w:tcMar>
            <w:vAlign w:val="bottom"/>
            <w:hideMark/>
          </w:tcPr>
          <w:p w14:paraId="680A499D" w14:textId="77777777" w:rsidR="00000000" w:rsidRDefault="00EE5306">
            <w:pPr>
              <w:spacing w:after="100"/>
              <w:rPr>
                <w:rFonts w:eastAsia="Times New Roman"/>
              </w:rPr>
            </w:pPr>
            <w:r>
              <w:rPr>
                <w:rFonts w:eastAsia="Times New Roman"/>
                <w:color w:val="000000"/>
                <w:sz w:val="20"/>
                <w:szCs w:val="20"/>
              </w:rPr>
              <w:t>Cash payments charged against reserve</w:t>
            </w:r>
          </w:p>
        </w:tc>
        <w:tc>
          <w:tcPr>
            <w:tcW w:w="0" w:type="auto"/>
            <w:gridSpan w:val="3"/>
            <w:shd w:val="clear" w:color="auto" w:fill="CCEEFF"/>
            <w:tcMar>
              <w:top w:w="0" w:type="dxa"/>
              <w:left w:w="20" w:type="dxa"/>
              <w:bottom w:w="0" w:type="dxa"/>
              <w:right w:w="20" w:type="dxa"/>
            </w:tcMar>
            <w:vAlign w:val="center"/>
            <w:hideMark/>
          </w:tcPr>
          <w:p w14:paraId="6DB7087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CD984D" w14:textId="77777777" w:rsidR="00000000" w:rsidRDefault="00EE5306">
            <w:pPr>
              <w:spacing w:after="100"/>
              <w:jc w:val="right"/>
              <w:rPr>
                <w:rFonts w:eastAsia="Times New Roman"/>
              </w:rPr>
            </w:pPr>
            <w:r>
              <w:rPr>
                <w:rFonts w:eastAsia="Times New Roman"/>
                <w:color w:val="000000"/>
                <w:sz w:val="20"/>
                <w:szCs w:val="20"/>
              </w:rPr>
              <w:t>(19.0)</w:t>
            </w:r>
          </w:p>
        </w:tc>
        <w:tc>
          <w:tcPr>
            <w:tcW w:w="0" w:type="auto"/>
            <w:shd w:val="clear" w:color="auto" w:fill="CCEEFF"/>
            <w:tcMar>
              <w:top w:w="30" w:type="dxa"/>
              <w:left w:w="0" w:type="dxa"/>
              <w:bottom w:w="30" w:type="dxa"/>
              <w:right w:w="20" w:type="dxa"/>
            </w:tcMar>
            <w:vAlign w:val="bottom"/>
            <w:hideMark/>
          </w:tcPr>
          <w:p w14:paraId="6758833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F76A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67C70C" w14:textId="77777777" w:rsidR="00000000" w:rsidRDefault="00EE5306">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074C042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8427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2B3B42" w14:textId="77777777" w:rsidR="00000000" w:rsidRDefault="00EE5306">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14:paraId="428D0CE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496B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85D48C" w14:textId="77777777" w:rsidR="00000000" w:rsidRDefault="00EE5306">
            <w:pPr>
              <w:spacing w:after="100"/>
              <w:jc w:val="right"/>
              <w:rPr>
                <w:rFonts w:eastAsia="Times New Roman"/>
              </w:rPr>
            </w:pPr>
            <w:r>
              <w:rPr>
                <w:rFonts w:eastAsia="Times New Roman"/>
                <w:color w:val="000000"/>
                <w:sz w:val="20"/>
                <w:szCs w:val="20"/>
              </w:rPr>
              <w:t>(28.4)</w:t>
            </w:r>
          </w:p>
        </w:tc>
        <w:tc>
          <w:tcPr>
            <w:tcW w:w="0" w:type="auto"/>
            <w:shd w:val="clear" w:color="auto" w:fill="CCEEFF"/>
            <w:tcMar>
              <w:top w:w="30" w:type="dxa"/>
              <w:left w:w="0" w:type="dxa"/>
              <w:bottom w:w="30" w:type="dxa"/>
              <w:right w:w="20" w:type="dxa"/>
            </w:tcMar>
            <w:vAlign w:val="bottom"/>
            <w:hideMark/>
          </w:tcPr>
          <w:p w14:paraId="2D37ED4E" w14:textId="77777777" w:rsidR="00000000" w:rsidRDefault="00EE5306">
            <w:pPr>
              <w:spacing w:after="100"/>
              <w:jc w:val="right"/>
              <w:rPr>
                <w:rFonts w:eastAsia="Times New Roman"/>
              </w:rPr>
            </w:pPr>
          </w:p>
        </w:tc>
      </w:tr>
      <w:tr w:rsidR="00000000" w14:paraId="16AE3769" w14:textId="77777777">
        <w:trPr>
          <w:divId w:val="1169906160"/>
        </w:trPr>
        <w:tc>
          <w:tcPr>
            <w:tcW w:w="0" w:type="auto"/>
            <w:gridSpan w:val="3"/>
            <w:shd w:val="clear" w:color="auto" w:fill="FFFFFF"/>
            <w:tcMar>
              <w:top w:w="30" w:type="dxa"/>
              <w:left w:w="155" w:type="dxa"/>
              <w:bottom w:w="30" w:type="dxa"/>
              <w:right w:w="20" w:type="dxa"/>
            </w:tcMar>
            <w:vAlign w:val="bottom"/>
            <w:hideMark/>
          </w:tcPr>
          <w:p w14:paraId="33DA985A" w14:textId="77777777" w:rsidR="00000000" w:rsidRDefault="00EE5306">
            <w:pPr>
              <w:spacing w:after="100"/>
              <w:rPr>
                <w:rFonts w:eastAsia="Times New Roman"/>
              </w:rPr>
            </w:pPr>
            <w:r>
              <w:rPr>
                <w:rFonts w:eastAsia="Times New Roman"/>
                <w:color w:val="000000"/>
                <w:sz w:val="20"/>
                <w:szCs w:val="20"/>
              </w:rPr>
              <w:t>Non-cash adjustments</w:t>
            </w:r>
          </w:p>
        </w:tc>
        <w:tc>
          <w:tcPr>
            <w:tcW w:w="0" w:type="auto"/>
            <w:gridSpan w:val="3"/>
            <w:shd w:val="clear" w:color="auto" w:fill="FFFFFF"/>
            <w:tcMar>
              <w:top w:w="0" w:type="dxa"/>
              <w:left w:w="20" w:type="dxa"/>
              <w:bottom w:w="0" w:type="dxa"/>
              <w:right w:w="20" w:type="dxa"/>
            </w:tcMar>
            <w:vAlign w:val="center"/>
            <w:hideMark/>
          </w:tcPr>
          <w:p w14:paraId="641376D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C3984F" w14:textId="77777777" w:rsidR="00000000" w:rsidRDefault="00EE5306">
            <w:pPr>
              <w:spacing w:after="100"/>
              <w:jc w:val="right"/>
              <w:rPr>
                <w:rFonts w:eastAsia="Times New Roman"/>
              </w:rPr>
            </w:pPr>
            <w:r>
              <w:rPr>
                <w:rFonts w:eastAsia="Times New Roman"/>
                <w:color w:val="000000"/>
                <w:sz w:val="20"/>
                <w:szCs w:val="20"/>
              </w:rPr>
              <w:t>(0.2)</w:t>
            </w:r>
          </w:p>
        </w:tc>
        <w:tc>
          <w:tcPr>
            <w:tcW w:w="0" w:type="auto"/>
            <w:shd w:val="clear" w:color="auto" w:fill="FFFFFF"/>
            <w:tcMar>
              <w:top w:w="30" w:type="dxa"/>
              <w:left w:w="0" w:type="dxa"/>
              <w:bottom w:w="30" w:type="dxa"/>
              <w:right w:w="20" w:type="dxa"/>
            </w:tcMar>
            <w:vAlign w:val="bottom"/>
            <w:hideMark/>
          </w:tcPr>
          <w:p w14:paraId="3FB6E5F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20C3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AF2F1" w14:textId="77777777" w:rsidR="00000000" w:rsidRDefault="00EE5306">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14:paraId="2C06EF6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1B12F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B371B0"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1D2C4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77FB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2C9CD4" w14:textId="77777777" w:rsidR="00000000" w:rsidRDefault="00EE5306">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14:paraId="51892DC8" w14:textId="77777777" w:rsidR="00000000" w:rsidRDefault="00EE5306">
            <w:pPr>
              <w:spacing w:after="100"/>
              <w:jc w:val="right"/>
              <w:rPr>
                <w:rFonts w:eastAsia="Times New Roman"/>
              </w:rPr>
            </w:pPr>
          </w:p>
        </w:tc>
      </w:tr>
      <w:tr w:rsidR="00000000" w14:paraId="1D4E6CCA" w14:textId="77777777">
        <w:trPr>
          <w:divId w:val="1169906160"/>
        </w:trPr>
        <w:tc>
          <w:tcPr>
            <w:tcW w:w="0" w:type="auto"/>
            <w:gridSpan w:val="3"/>
            <w:shd w:val="clear" w:color="auto" w:fill="CCEEFF"/>
            <w:tcMar>
              <w:top w:w="30" w:type="dxa"/>
              <w:left w:w="20" w:type="dxa"/>
              <w:bottom w:w="30" w:type="dxa"/>
              <w:right w:w="20" w:type="dxa"/>
            </w:tcMar>
            <w:vAlign w:val="bottom"/>
            <w:hideMark/>
          </w:tcPr>
          <w:p w14:paraId="3490843F" w14:textId="77777777" w:rsidR="00000000" w:rsidRDefault="00EE5306">
            <w:pPr>
              <w:spacing w:after="100"/>
              <w:rPr>
                <w:rFonts w:eastAsia="Times New Roman"/>
              </w:rPr>
            </w:pPr>
            <w:r>
              <w:rPr>
                <w:rFonts w:eastAsia="Times New Roman"/>
                <w:color w:val="000000"/>
                <w:sz w:val="20"/>
                <w:szCs w:val="20"/>
              </w:rPr>
              <w:t>Balance at March 30, 2019</w:t>
            </w:r>
          </w:p>
        </w:tc>
        <w:tc>
          <w:tcPr>
            <w:tcW w:w="0" w:type="auto"/>
            <w:gridSpan w:val="3"/>
            <w:shd w:val="clear" w:color="auto" w:fill="CCEEFF"/>
            <w:tcMar>
              <w:top w:w="0" w:type="dxa"/>
              <w:left w:w="20" w:type="dxa"/>
              <w:bottom w:w="0" w:type="dxa"/>
              <w:right w:w="20" w:type="dxa"/>
            </w:tcMar>
            <w:vAlign w:val="center"/>
            <w:hideMark/>
          </w:tcPr>
          <w:p w14:paraId="272E3B35"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A21D52" w14:textId="77777777" w:rsidR="00000000" w:rsidRDefault="00EE5306">
            <w:pPr>
              <w:spacing w:after="100"/>
              <w:jc w:val="right"/>
              <w:rPr>
                <w:rFonts w:eastAsia="Times New Roman"/>
              </w:rPr>
            </w:pPr>
            <w:r>
              <w:rPr>
                <w:rFonts w:eastAsia="Times New Roman"/>
                <w:color w:val="000000"/>
                <w:sz w:val="20"/>
                <w:szCs w:val="20"/>
              </w:rPr>
              <w:t>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4BAE0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610BB5"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0AD049" w14:textId="77777777" w:rsidR="00000000" w:rsidRDefault="00EE5306">
            <w:pPr>
              <w:spacing w:after="100"/>
              <w:jc w:val="right"/>
              <w:rPr>
                <w:rFonts w:eastAsia="Times New Roman"/>
              </w:rPr>
            </w:pPr>
            <w:r>
              <w:rPr>
                <w:rFonts w:eastAsia="Times New Roman"/>
                <w:color w:val="000000"/>
                <w:sz w:val="20"/>
                <w:szCs w:val="20"/>
              </w:rPr>
              <w:t>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E5367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676B0B"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82497B" w14:textId="77777777" w:rsidR="00000000" w:rsidRDefault="00EE5306">
            <w:pPr>
              <w:spacing w:after="100"/>
              <w:jc w:val="right"/>
              <w:rPr>
                <w:rFonts w:eastAsia="Times New Roman"/>
              </w:rPr>
            </w:pPr>
            <w:r>
              <w:rPr>
                <w:rFonts w:eastAsia="Times New Roman"/>
                <w:color w:val="000000"/>
                <w:sz w:val="20"/>
                <w:szCs w:val="20"/>
              </w:rPr>
              <w:t>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49CE4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B1E10"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3CFBFE" w14:textId="77777777" w:rsidR="00000000" w:rsidRDefault="00EE5306">
            <w:pPr>
              <w:spacing w:after="100"/>
              <w:jc w:val="right"/>
              <w:rPr>
                <w:rFonts w:eastAsia="Times New Roman"/>
              </w:rPr>
            </w:pPr>
            <w:r>
              <w:rPr>
                <w:rFonts w:eastAsia="Times New Roman"/>
                <w:color w:val="000000"/>
                <w:sz w:val="20"/>
                <w:szCs w:val="20"/>
              </w:rPr>
              <w:t>41.6 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9C113F" w14:textId="77777777" w:rsidR="00000000" w:rsidRDefault="00EE5306">
            <w:pPr>
              <w:spacing w:after="100"/>
              <w:jc w:val="right"/>
              <w:rPr>
                <w:rFonts w:eastAsia="Times New Roman"/>
              </w:rPr>
            </w:pPr>
          </w:p>
        </w:tc>
      </w:tr>
      <w:tr w:rsidR="00000000" w14:paraId="786BD652" w14:textId="77777777">
        <w:trPr>
          <w:divId w:val="1169906160"/>
        </w:trPr>
        <w:tc>
          <w:tcPr>
            <w:tcW w:w="0" w:type="auto"/>
            <w:gridSpan w:val="3"/>
            <w:shd w:val="clear" w:color="auto" w:fill="FFFFFF"/>
            <w:tcMar>
              <w:top w:w="30" w:type="dxa"/>
              <w:left w:w="155" w:type="dxa"/>
              <w:bottom w:w="30" w:type="dxa"/>
              <w:right w:w="20" w:type="dxa"/>
            </w:tcMar>
            <w:vAlign w:val="bottom"/>
            <w:hideMark/>
          </w:tcPr>
          <w:p w14:paraId="64B03F1F" w14:textId="77777777" w:rsidR="00000000" w:rsidRDefault="00EE5306">
            <w:pPr>
              <w:spacing w:after="100"/>
              <w:rPr>
                <w:rFonts w:eastAsia="Times New Roman"/>
              </w:rPr>
            </w:pPr>
            <w:r>
              <w:rPr>
                <w:rFonts w:eastAsia="Times New Roman"/>
                <w:color w:val="000000"/>
                <w:sz w:val="20"/>
                <w:szCs w:val="20"/>
              </w:rPr>
              <w:t>Additions charged to expense</w:t>
            </w:r>
          </w:p>
        </w:tc>
        <w:tc>
          <w:tcPr>
            <w:tcW w:w="0" w:type="auto"/>
            <w:gridSpan w:val="3"/>
            <w:shd w:val="clear" w:color="auto" w:fill="FFFFFF"/>
            <w:tcMar>
              <w:top w:w="0" w:type="dxa"/>
              <w:left w:w="20" w:type="dxa"/>
              <w:bottom w:w="0" w:type="dxa"/>
              <w:right w:w="20" w:type="dxa"/>
            </w:tcMar>
            <w:vAlign w:val="center"/>
            <w:hideMark/>
          </w:tcPr>
          <w:p w14:paraId="58727BE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0724A1" w14:textId="77777777" w:rsidR="00000000" w:rsidRDefault="00EE5306">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14:paraId="1C150FA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73BD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042DD" w14:textId="77777777" w:rsidR="00000000" w:rsidRDefault="00EE5306">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14:paraId="5061C6F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AD1C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F06FA" w14:textId="77777777" w:rsidR="00000000" w:rsidRDefault="00EE5306">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11EB816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1464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821286" w14:textId="77777777" w:rsidR="00000000" w:rsidRDefault="00EE5306">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14:paraId="760D5466" w14:textId="77777777" w:rsidR="00000000" w:rsidRDefault="00EE5306">
            <w:pPr>
              <w:spacing w:after="100"/>
              <w:jc w:val="right"/>
              <w:rPr>
                <w:rFonts w:eastAsia="Times New Roman"/>
              </w:rPr>
            </w:pPr>
          </w:p>
        </w:tc>
      </w:tr>
      <w:tr w:rsidR="00000000" w14:paraId="0E003469" w14:textId="77777777">
        <w:trPr>
          <w:divId w:val="1169906160"/>
        </w:trPr>
        <w:tc>
          <w:tcPr>
            <w:tcW w:w="0" w:type="auto"/>
            <w:gridSpan w:val="3"/>
            <w:shd w:val="clear" w:color="auto" w:fill="CCEEFF"/>
            <w:tcMar>
              <w:top w:w="30" w:type="dxa"/>
              <w:left w:w="155" w:type="dxa"/>
              <w:bottom w:w="30" w:type="dxa"/>
              <w:right w:w="20" w:type="dxa"/>
            </w:tcMar>
            <w:vAlign w:val="bottom"/>
            <w:hideMark/>
          </w:tcPr>
          <w:p w14:paraId="5C0A0A8A" w14:textId="77777777" w:rsidR="00000000" w:rsidRDefault="00EE5306">
            <w:pPr>
              <w:spacing w:after="100"/>
              <w:rPr>
                <w:rFonts w:eastAsia="Times New Roman"/>
              </w:rPr>
            </w:pPr>
            <w:r>
              <w:rPr>
                <w:rFonts w:eastAsia="Times New Roman"/>
                <w:color w:val="000000"/>
                <w:sz w:val="20"/>
                <w:szCs w:val="20"/>
              </w:rPr>
              <w:t>Cash payments charged against reserve</w:t>
            </w:r>
          </w:p>
        </w:tc>
        <w:tc>
          <w:tcPr>
            <w:tcW w:w="0" w:type="auto"/>
            <w:gridSpan w:val="3"/>
            <w:shd w:val="clear" w:color="auto" w:fill="CCEEFF"/>
            <w:tcMar>
              <w:top w:w="0" w:type="dxa"/>
              <w:left w:w="20" w:type="dxa"/>
              <w:bottom w:w="0" w:type="dxa"/>
              <w:right w:w="20" w:type="dxa"/>
            </w:tcMar>
            <w:vAlign w:val="center"/>
            <w:hideMark/>
          </w:tcPr>
          <w:p w14:paraId="084328A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7A4976" w14:textId="77777777" w:rsidR="00000000" w:rsidRDefault="00EE5306">
            <w:pPr>
              <w:spacing w:after="100"/>
              <w:jc w:val="right"/>
              <w:rPr>
                <w:rFonts w:eastAsia="Times New Roman"/>
              </w:rPr>
            </w:pPr>
            <w:r>
              <w:rPr>
                <w:rFonts w:eastAsia="Times New Roman"/>
                <w:color w:val="000000"/>
                <w:sz w:val="20"/>
                <w:szCs w:val="20"/>
              </w:rPr>
              <w:t>(47.6)</w:t>
            </w:r>
          </w:p>
        </w:tc>
        <w:tc>
          <w:tcPr>
            <w:tcW w:w="0" w:type="auto"/>
            <w:shd w:val="clear" w:color="auto" w:fill="CCEEFF"/>
            <w:tcMar>
              <w:top w:w="30" w:type="dxa"/>
              <w:left w:w="0" w:type="dxa"/>
              <w:bottom w:w="30" w:type="dxa"/>
              <w:right w:w="20" w:type="dxa"/>
            </w:tcMar>
            <w:vAlign w:val="bottom"/>
            <w:hideMark/>
          </w:tcPr>
          <w:p w14:paraId="5560E45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4F1D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D9D58" w14:textId="77777777" w:rsidR="00000000" w:rsidRDefault="00EE5306">
            <w:pPr>
              <w:spacing w:after="100"/>
              <w:jc w:val="right"/>
              <w:rPr>
                <w:rFonts w:eastAsia="Times New Roman"/>
              </w:rPr>
            </w:pPr>
            <w:r>
              <w:rPr>
                <w:rFonts w:eastAsia="Times New Roman"/>
                <w:color w:val="000000"/>
                <w:sz w:val="20"/>
                <w:szCs w:val="20"/>
              </w:rPr>
              <w:t>(0.6)</w:t>
            </w:r>
          </w:p>
        </w:tc>
        <w:tc>
          <w:tcPr>
            <w:tcW w:w="0" w:type="auto"/>
            <w:shd w:val="clear" w:color="auto" w:fill="CCEEFF"/>
            <w:tcMar>
              <w:top w:w="30" w:type="dxa"/>
              <w:left w:w="0" w:type="dxa"/>
              <w:bottom w:w="30" w:type="dxa"/>
              <w:right w:w="20" w:type="dxa"/>
            </w:tcMar>
            <w:vAlign w:val="bottom"/>
            <w:hideMark/>
          </w:tcPr>
          <w:p w14:paraId="7F69F83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3FA4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857266" w14:textId="77777777" w:rsidR="00000000" w:rsidRDefault="00EE5306">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6F828F8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89A5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D5B7EC" w14:textId="77777777" w:rsidR="00000000" w:rsidRDefault="00EE5306">
            <w:pPr>
              <w:spacing w:after="100"/>
              <w:jc w:val="right"/>
              <w:rPr>
                <w:rFonts w:eastAsia="Times New Roman"/>
              </w:rPr>
            </w:pPr>
            <w:r>
              <w:rPr>
                <w:rFonts w:eastAsia="Times New Roman"/>
                <w:color w:val="000000"/>
                <w:sz w:val="20"/>
                <w:szCs w:val="20"/>
              </w:rPr>
              <w:t>(51.1)</w:t>
            </w:r>
          </w:p>
        </w:tc>
        <w:tc>
          <w:tcPr>
            <w:tcW w:w="0" w:type="auto"/>
            <w:shd w:val="clear" w:color="auto" w:fill="CCEEFF"/>
            <w:tcMar>
              <w:top w:w="30" w:type="dxa"/>
              <w:left w:w="0" w:type="dxa"/>
              <w:bottom w:w="30" w:type="dxa"/>
              <w:right w:w="20" w:type="dxa"/>
            </w:tcMar>
            <w:vAlign w:val="bottom"/>
            <w:hideMark/>
          </w:tcPr>
          <w:p w14:paraId="51FDBB1D" w14:textId="77777777" w:rsidR="00000000" w:rsidRDefault="00EE5306">
            <w:pPr>
              <w:spacing w:after="100"/>
              <w:jc w:val="right"/>
              <w:rPr>
                <w:rFonts w:eastAsia="Times New Roman"/>
              </w:rPr>
            </w:pPr>
          </w:p>
        </w:tc>
      </w:tr>
      <w:tr w:rsidR="00000000" w14:paraId="3C5319E8" w14:textId="77777777">
        <w:trPr>
          <w:divId w:val="1169906160"/>
        </w:trPr>
        <w:tc>
          <w:tcPr>
            <w:tcW w:w="0" w:type="auto"/>
            <w:gridSpan w:val="3"/>
            <w:shd w:val="clear" w:color="auto" w:fill="FFFFFF"/>
            <w:tcMar>
              <w:top w:w="30" w:type="dxa"/>
              <w:left w:w="20" w:type="dxa"/>
              <w:bottom w:w="30" w:type="dxa"/>
              <w:right w:w="20" w:type="dxa"/>
            </w:tcMar>
            <w:vAlign w:val="bottom"/>
            <w:hideMark/>
          </w:tcPr>
          <w:p w14:paraId="38E750B3" w14:textId="77777777" w:rsidR="00000000" w:rsidRDefault="00EE5306">
            <w:pPr>
              <w:spacing w:after="100"/>
              <w:divId w:val="755396112"/>
              <w:rPr>
                <w:rFonts w:eastAsia="Times New Roman"/>
              </w:rPr>
            </w:pPr>
            <w:r>
              <w:rPr>
                <w:rFonts w:eastAsia="Times New Roman"/>
                <w:color w:val="000000"/>
                <w:sz w:val="20"/>
                <w:szCs w:val="20"/>
              </w:rPr>
              <w:t>Non-cash adjustment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D0FB17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1875F9"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72DDC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B3BD3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6DD1BA" w14:textId="77777777" w:rsidR="00000000" w:rsidRDefault="00EE5306">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14:paraId="021386A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112A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D558AE"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B7C4A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12D4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24C50" w14:textId="77777777" w:rsidR="00000000" w:rsidRDefault="00EE5306">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14:paraId="11A68543" w14:textId="77777777" w:rsidR="00000000" w:rsidRDefault="00EE5306">
            <w:pPr>
              <w:spacing w:after="100"/>
              <w:jc w:val="right"/>
              <w:rPr>
                <w:rFonts w:eastAsia="Times New Roman"/>
              </w:rPr>
            </w:pPr>
          </w:p>
        </w:tc>
      </w:tr>
      <w:tr w:rsidR="00000000" w14:paraId="02D810DC" w14:textId="77777777">
        <w:trPr>
          <w:divId w:val="1169906160"/>
        </w:trPr>
        <w:tc>
          <w:tcPr>
            <w:tcW w:w="0" w:type="auto"/>
            <w:gridSpan w:val="3"/>
            <w:shd w:val="clear" w:color="auto" w:fill="CCEEFF"/>
            <w:tcMar>
              <w:top w:w="30" w:type="dxa"/>
              <w:left w:w="20" w:type="dxa"/>
              <w:bottom w:w="30" w:type="dxa"/>
              <w:right w:w="20" w:type="dxa"/>
            </w:tcMar>
            <w:vAlign w:val="bottom"/>
            <w:hideMark/>
          </w:tcPr>
          <w:p w14:paraId="5B15A675" w14:textId="77777777" w:rsidR="00000000" w:rsidRDefault="00EE5306">
            <w:pPr>
              <w:spacing w:after="100"/>
              <w:rPr>
                <w:rFonts w:eastAsia="Times New Roman"/>
              </w:rPr>
            </w:pPr>
            <w:r>
              <w:rPr>
                <w:rFonts w:eastAsia="Times New Roman"/>
                <w:color w:val="000000"/>
                <w:sz w:val="20"/>
                <w:szCs w:val="20"/>
              </w:rPr>
              <w:t>Balance at March 28, 2020</w:t>
            </w:r>
          </w:p>
        </w:tc>
        <w:tc>
          <w:tcPr>
            <w:tcW w:w="0" w:type="auto"/>
            <w:gridSpan w:val="3"/>
            <w:shd w:val="clear" w:color="auto" w:fill="CCEEFF"/>
            <w:tcMar>
              <w:top w:w="0" w:type="dxa"/>
              <w:left w:w="20" w:type="dxa"/>
              <w:bottom w:w="0" w:type="dxa"/>
              <w:right w:w="20" w:type="dxa"/>
            </w:tcMar>
            <w:vAlign w:val="center"/>
            <w:hideMark/>
          </w:tcPr>
          <w:p w14:paraId="689FB3CA"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C12BB1" w14:textId="77777777" w:rsidR="00000000" w:rsidRDefault="00EE5306">
            <w:pPr>
              <w:spacing w:after="100"/>
              <w:jc w:val="right"/>
              <w:rPr>
                <w:rFonts w:eastAsia="Times New Roman"/>
              </w:rPr>
            </w:pPr>
            <w:r>
              <w:rPr>
                <w:rFonts w:eastAsia="Times New Roman"/>
                <w:color w:val="000000"/>
                <w:sz w:val="20"/>
                <w:szCs w:val="20"/>
              </w:rPr>
              <w:t>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B600E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ED6A6"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8D61AA" w14:textId="77777777" w:rsidR="00000000" w:rsidRDefault="00EE530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E89BE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21BE0"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E43F3B" w14:textId="77777777" w:rsidR="00000000" w:rsidRDefault="00EE5306">
            <w:pPr>
              <w:spacing w:after="100"/>
              <w:jc w:val="right"/>
              <w:rPr>
                <w:rFonts w:eastAsia="Times New Roman"/>
              </w:rPr>
            </w:pPr>
            <w:r>
              <w:rPr>
                <w:rFonts w:eastAsia="Times New Roman"/>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5AB8F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793CF"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6E3422" w14:textId="77777777" w:rsidR="00000000" w:rsidRDefault="00EE5306">
            <w:pPr>
              <w:spacing w:after="100"/>
              <w:jc w:val="right"/>
              <w:rPr>
                <w:rFonts w:eastAsia="Times New Roman"/>
              </w:rPr>
            </w:pPr>
            <w:r>
              <w:rPr>
                <w:rFonts w:eastAsia="Times New Roman"/>
                <w:color w:val="000000"/>
                <w:sz w:val="20"/>
                <w:szCs w:val="20"/>
              </w:rPr>
              <w:t>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D2BE36" w14:textId="77777777" w:rsidR="00000000" w:rsidRDefault="00EE5306">
            <w:pPr>
              <w:spacing w:after="100"/>
              <w:jc w:val="right"/>
              <w:rPr>
                <w:rFonts w:eastAsia="Times New Roman"/>
              </w:rPr>
            </w:pPr>
          </w:p>
        </w:tc>
      </w:tr>
      <w:tr w:rsidR="00000000" w14:paraId="462E8884" w14:textId="77777777">
        <w:trPr>
          <w:divId w:val="1169906160"/>
        </w:trPr>
        <w:tc>
          <w:tcPr>
            <w:tcW w:w="0" w:type="auto"/>
            <w:gridSpan w:val="3"/>
            <w:shd w:val="clear" w:color="auto" w:fill="FFFFFF"/>
            <w:tcMar>
              <w:top w:w="30" w:type="dxa"/>
              <w:left w:w="155" w:type="dxa"/>
              <w:bottom w:w="30" w:type="dxa"/>
              <w:right w:w="20" w:type="dxa"/>
            </w:tcMar>
            <w:vAlign w:val="bottom"/>
            <w:hideMark/>
          </w:tcPr>
          <w:p w14:paraId="360B897C" w14:textId="77777777" w:rsidR="00000000" w:rsidRDefault="00EE5306">
            <w:pPr>
              <w:spacing w:after="100"/>
              <w:rPr>
                <w:rFonts w:eastAsia="Times New Roman"/>
              </w:rPr>
            </w:pPr>
            <w:r>
              <w:rPr>
                <w:rFonts w:eastAsia="Times New Roman"/>
                <w:color w:val="000000"/>
                <w:sz w:val="20"/>
                <w:szCs w:val="20"/>
              </w:rPr>
              <w:t>Additions charged to expense</w:t>
            </w:r>
          </w:p>
        </w:tc>
        <w:tc>
          <w:tcPr>
            <w:tcW w:w="0" w:type="auto"/>
            <w:gridSpan w:val="3"/>
            <w:shd w:val="clear" w:color="auto" w:fill="FFFFFF"/>
            <w:tcMar>
              <w:top w:w="0" w:type="dxa"/>
              <w:left w:w="20" w:type="dxa"/>
              <w:bottom w:w="0" w:type="dxa"/>
              <w:right w:w="20" w:type="dxa"/>
            </w:tcMar>
            <w:vAlign w:val="center"/>
            <w:hideMark/>
          </w:tcPr>
          <w:p w14:paraId="73A6316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C29868"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5DB30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93CC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8D6B18"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52588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1B009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F2A0FC"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16B9B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F76F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411F5"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91EC99" w14:textId="77777777" w:rsidR="00000000" w:rsidRDefault="00EE5306">
            <w:pPr>
              <w:spacing w:after="100"/>
              <w:jc w:val="right"/>
              <w:rPr>
                <w:rFonts w:eastAsia="Times New Roman"/>
              </w:rPr>
            </w:pPr>
          </w:p>
        </w:tc>
      </w:tr>
      <w:tr w:rsidR="00000000" w14:paraId="7CAB576B" w14:textId="77777777">
        <w:trPr>
          <w:divId w:val="1169906160"/>
        </w:trPr>
        <w:tc>
          <w:tcPr>
            <w:tcW w:w="0" w:type="auto"/>
            <w:gridSpan w:val="3"/>
            <w:shd w:val="clear" w:color="auto" w:fill="CCEEFF"/>
            <w:tcMar>
              <w:top w:w="30" w:type="dxa"/>
              <w:left w:w="155" w:type="dxa"/>
              <w:bottom w:w="30" w:type="dxa"/>
              <w:right w:w="20" w:type="dxa"/>
            </w:tcMar>
            <w:vAlign w:val="bottom"/>
            <w:hideMark/>
          </w:tcPr>
          <w:p w14:paraId="02380F1E" w14:textId="77777777" w:rsidR="00000000" w:rsidRDefault="00EE5306">
            <w:pPr>
              <w:spacing w:after="100"/>
              <w:rPr>
                <w:rFonts w:eastAsia="Times New Roman"/>
              </w:rPr>
            </w:pPr>
            <w:r>
              <w:rPr>
                <w:rFonts w:eastAsia="Times New Roman"/>
                <w:color w:val="000000"/>
                <w:sz w:val="20"/>
                <w:szCs w:val="20"/>
              </w:rPr>
              <w:t>Cash payments charged against reserve</w:t>
            </w:r>
          </w:p>
        </w:tc>
        <w:tc>
          <w:tcPr>
            <w:tcW w:w="0" w:type="auto"/>
            <w:gridSpan w:val="3"/>
            <w:shd w:val="clear" w:color="auto" w:fill="CCEEFF"/>
            <w:tcMar>
              <w:top w:w="0" w:type="dxa"/>
              <w:left w:w="20" w:type="dxa"/>
              <w:bottom w:w="0" w:type="dxa"/>
              <w:right w:w="20" w:type="dxa"/>
            </w:tcMar>
            <w:vAlign w:val="center"/>
            <w:hideMark/>
          </w:tcPr>
          <w:p w14:paraId="3BA8993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0B7A80" w14:textId="77777777" w:rsidR="00000000" w:rsidRDefault="00EE5306">
            <w:pPr>
              <w:spacing w:after="100"/>
              <w:jc w:val="right"/>
              <w:rPr>
                <w:rFonts w:eastAsia="Times New Roman"/>
              </w:rPr>
            </w:pPr>
            <w:r>
              <w:rPr>
                <w:rFonts w:eastAsia="Times New Roman"/>
                <w:color w:val="000000"/>
                <w:sz w:val="20"/>
                <w:szCs w:val="20"/>
              </w:rPr>
              <w:t>(20.8)</w:t>
            </w:r>
          </w:p>
        </w:tc>
        <w:tc>
          <w:tcPr>
            <w:tcW w:w="0" w:type="auto"/>
            <w:shd w:val="clear" w:color="auto" w:fill="CCEEFF"/>
            <w:tcMar>
              <w:top w:w="30" w:type="dxa"/>
              <w:left w:w="0" w:type="dxa"/>
              <w:bottom w:w="30" w:type="dxa"/>
              <w:right w:w="20" w:type="dxa"/>
            </w:tcMar>
            <w:vAlign w:val="bottom"/>
            <w:hideMark/>
          </w:tcPr>
          <w:p w14:paraId="296759F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F32DE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35A4BB"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FD664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49DBE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852D04" w14:textId="77777777" w:rsidR="00000000" w:rsidRDefault="00EE5306">
            <w:pPr>
              <w:spacing w:after="100"/>
              <w:jc w:val="right"/>
              <w:rPr>
                <w:rFonts w:eastAsia="Times New Roman"/>
              </w:rPr>
            </w:pPr>
            <w:r>
              <w:rPr>
                <w:rFonts w:eastAsia="Times New Roman"/>
                <w:color w:val="000000"/>
                <w:sz w:val="20"/>
                <w:szCs w:val="20"/>
              </w:rPr>
              <w:t>(0.6)</w:t>
            </w:r>
          </w:p>
        </w:tc>
        <w:tc>
          <w:tcPr>
            <w:tcW w:w="0" w:type="auto"/>
            <w:shd w:val="clear" w:color="auto" w:fill="CCEEFF"/>
            <w:tcMar>
              <w:top w:w="30" w:type="dxa"/>
              <w:left w:w="0" w:type="dxa"/>
              <w:bottom w:w="30" w:type="dxa"/>
              <w:right w:w="20" w:type="dxa"/>
            </w:tcMar>
            <w:vAlign w:val="bottom"/>
            <w:hideMark/>
          </w:tcPr>
          <w:p w14:paraId="0C1CC9F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D1D5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DA6752" w14:textId="77777777" w:rsidR="00000000" w:rsidRDefault="00EE5306">
            <w:pPr>
              <w:spacing w:after="100"/>
              <w:jc w:val="right"/>
              <w:rPr>
                <w:rFonts w:eastAsia="Times New Roman"/>
              </w:rPr>
            </w:pPr>
            <w:r>
              <w:rPr>
                <w:rFonts w:eastAsia="Times New Roman"/>
                <w:color w:val="000000"/>
                <w:sz w:val="20"/>
                <w:szCs w:val="20"/>
              </w:rPr>
              <w:t>(21.4)</w:t>
            </w:r>
          </w:p>
        </w:tc>
        <w:tc>
          <w:tcPr>
            <w:tcW w:w="0" w:type="auto"/>
            <w:shd w:val="clear" w:color="auto" w:fill="CCEEFF"/>
            <w:tcMar>
              <w:top w:w="30" w:type="dxa"/>
              <w:left w:w="0" w:type="dxa"/>
              <w:bottom w:w="30" w:type="dxa"/>
              <w:right w:w="20" w:type="dxa"/>
            </w:tcMar>
            <w:vAlign w:val="bottom"/>
            <w:hideMark/>
          </w:tcPr>
          <w:p w14:paraId="46BA85C9" w14:textId="77777777" w:rsidR="00000000" w:rsidRDefault="00EE5306">
            <w:pPr>
              <w:spacing w:after="100"/>
              <w:jc w:val="right"/>
              <w:rPr>
                <w:rFonts w:eastAsia="Times New Roman"/>
              </w:rPr>
            </w:pPr>
          </w:p>
        </w:tc>
      </w:tr>
      <w:tr w:rsidR="00000000" w14:paraId="044E1DDB" w14:textId="77777777">
        <w:trPr>
          <w:divId w:val="1169906160"/>
        </w:trPr>
        <w:tc>
          <w:tcPr>
            <w:tcW w:w="0" w:type="auto"/>
            <w:gridSpan w:val="3"/>
            <w:vAlign w:val="center"/>
            <w:hideMark/>
          </w:tcPr>
          <w:p w14:paraId="5445972F" w14:textId="77777777" w:rsidR="00000000" w:rsidRDefault="00EE5306">
            <w:pPr>
              <w:spacing w:after="100"/>
              <w:jc w:val="right"/>
              <w:rPr>
                <w:rFonts w:eastAsia="Times New Roman"/>
                <w:sz w:val="20"/>
                <w:szCs w:val="20"/>
              </w:rPr>
            </w:pPr>
          </w:p>
        </w:tc>
        <w:tc>
          <w:tcPr>
            <w:tcW w:w="0" w:type="auto"/>
            <w:gridSpan w:val="3"/>
            <w:vAlign w:val="center"/>
            <w:hideMark/>
          </w:tcPr>
          <w:p w14:paraId="0CC5D4E6" w14:textId="77777777" w:rsidR="00000000" w:rsidRDefault="00EE5306">
            <w:pPr>
              <w:spacing w:after="100"/>
              <w:rPr>
                <w:rFonts w:eastAsia="Times New Roman"/>
                <w:sz w:val="20"/>
                <w:szCs w:val="20"/>
              </w:rPr>
            </w:pPr>
          </w:p>
        </w:tc>
        <w:tc>
          <w:tcPr>
            <w:tcW w:w="0" w:type="auto"/>
            <w:gridSpan w:val="3"/>
            <w:vAlign w:val="center"/>
            <w:hideMark/>
          </w:tcPr>
          <w:p w14:paraId="1C852179" w14:textId="77777777" w:rsidR="00000000" w:rsidRDefault="00EE5306">
            <w:pPr>
              <w:spacing w:after="100"/>
              <w:rPr>
                <w:rFonts w:eastAsia="Times New Roman"/>
                <w:sz w:val="20"/>
                <w:szCs w:val="20"/>
              </w:rPr>
            </w:pPr>
          </w:p>
        </w:tc>
        <w:tc>
          <w:tcPr>
            <w:tcW w:w="0" w:type="auto"/>
            <w:gridSpan w:val="3"/>
            <w:vAlign w:val="center"/>
            <w:hideMark/>
          </w:tcPr>
          <w:p w14:paraId="3A61CEFD" w14:textId="77777777" w:rsidR="00000000" w:rsidRDefault="00EE5306">
            <w:pPr>
              <w:spacing w:after="100"/>
              <w:rPr>
                <w:rFonts w:eastAsia="Times New Roman"/>
                <w:sz w:val="20"/>
                <w:szCs w:val="20"/>
              </w:rPr>
            </w:pPr>
          </w:p>
        </w:tc>
        <w:tc>
          <w:tcPr>
            <w:tcW w:w="0" w:type="auto"/>
            <w:gridSpan w:val="3"/>
            <w:vAlign w:val="center"/>
            <w:hideMark/>
          </w:tcPr>
          <w:p w14:paraId="554E83F2" w14:textId="77777777" w:rsidR="00000000" w:rsidRDefault="00EE5306">
            <w:pPr>
              <w:spacing w:after="100"/>
              <w:rPr>
                <w:rFonts w:eastAsia="Times New Roman"/>
                <w:sz w:val="20"/>
                <w:szCs w:val="20"/>
              </w:rPr>
            </w:pPr>
          </w:p>
        </w:tc>
        <w:tc>
          <w:tcPr>
            <w:tcW w:w="0" w:type="auto"/>
            <w:gridSpan w:val="3"/>
            <w:vAlign w:val="center"/>
            <w:hideMark/>
          </w:tcPr>
          <w:p w14:paraId="4028B20E" w14:textId="77777777" w:rsidR="00000000" w:rsidRDefault="00EE5306">
            <w:pPr>
              <w:spacing w:after="100"/>
              <w:rPr>
                <w:rFonts w:eastAsia="Times New Roman"/>
                <w:sz w:val="20"/>
                <w:szCs w:val="20"/>
              </w:rPr>
            </w:pPr>
          </w:p>
        </w:tc>
        <w:tc>
          <w:tcPr>
            <w:tcW w:w="0" w:type="auto"/>
            <w:gridSpan w:val="3"/>
            <w:vAlign w:val="center"/>
            <w:hideMark/>
          </w:tcPr>
          <w:p w14:paraId="7443A670" w14:textId="77777777" w:rsidR="00000000" w:rsidRDefault="00EE5306">
            <w:pPr>
              <w:spacing w:after="100"/>
              <w:rPr>
                <w:rFonts w:eastAsia="Times New Roman"/>
                <w:sz w:val="20"/>
                <w:szCs w:val="20"/>
              </w:rPr>
            </w:pPr>
          </w:p>
        </w:tc>
        <w:tc>
          <w:tcPr>
            <w:tcW w:w="0" w:type="auto"/>
            <w:gridSpan w:val="3"/>
            <w:vAlign w:val="center"/>
            <w:hideMark/>
          </w:tcPr>
          <w:p w14:paraId="62551158" w14:textId="77777777" w:rsidR="00000000" w:rsidRDefault="00EE5306">
            <w:pPr>
              <w:spacing w:after="100"/>
              <w:rPr>
                <w:rFonts w:eastAsia="Times New Roman"/>
                <w:sz w:val="20"/>
                <w:szCs w:val="20"/>
              </w:rPr>
            </w:pPr>
          </w:p>
        </w:tc>
        <w:tc>
          <w:tcPr>
            <w:tcW w:w="0" w:type="auto"/>
            <w:gridSpan w:val="3"/>
            <w:vAlign w:val="center"/>
            <w:hideMark/>
          </w:tcPr>
          <w:p w14:paraId="74874424" w14:textId="77777777" w:rsidR="00000000" w:rsidRDefault="00EE5306">
            <w:pPr>
              <w:spacing w:after="100"/>
              <w:rPr>
                <w:rFonts w:eastAsia="Times New Roman"/>
                <w:sz w:val="20"/>
                <w:szCs w:val="20"/>
              </w:rPr>
            </w:pPr>
          </w:p>
        </w:tc>
      </w:tr>
      <w:tr w:rsidR="00000000" w14:paraId="3AADCD3E" w14:textId="77777777">
        <w:trPr>
          <w:divId w:val="1169906160"/>
        </w:trPr>
        <w:tc>
          <w:tcPr>
            <w:tcW w:w="0" w:type="auto"/>
            <w:gridSpan w:val="3"/>
            <w:shd w:val="clear" w:color="auto" w:fill="FFFFFF"/>
            <w:tcMar>
              <w:top w:w="30" w:type="dxa"/>
              <w:left w:w="20" w:type="dxa"/>
              <w:bottom w:w="30" w:type="dxa"/>
              <w:right w:w="20" w:type="dxa"/>
            </w:tcMar>
            <w:vAlign w:val="bottom"/>
            <w:hideMark/>
          </w:tcPr>
          <w:p w14:paraId="43DC08F0" w14:textId="77777777" w:rsidR="00000000" w:rsidRDefault="00EE5306">
            <w:pPr>
              <w:spacing w:after="100"/>
              <w:rPr>
                <w:rFonts w:eastAsia="Times New Roman"/>
              </w:rPr>
            </w:pPr>
            <w:r>
              <w:rPr>
                <w:rFonts w:eastAsia="Times New Roman"/>
                <w:color w:val="000000"/>
                <w:sz w:val="20"/>
                <w:szCs w:val="20"/>
              </w:rPr>
              <w:t>Balance at March 27, 2021</w:t>
            </w:r>
          </w:p>
        </w:tc>
        <w:tc>
          <w:tcPr>
            <w:tcW w:w="0" w:type="auto"/>
            <w:gridSpan w:val="3"/>
            <w:shd w:val="clear" w:color="auto" w:fill="FFFFFF"/>
            <w:tcMar>
              <w:top w:w="0" w:type="dxa"/>
              <w:left w:w="20" w:type="dxa"/>
              <w:bottom w:w="0" w:type="dxa"/>
              <w:right w:w="20" w:type="dxa"/>
            </w:tcMar>
            <w:vAlign w:val="center"/>
            <w:hideMark/>
          </w:tcPr>
          <w:p w14:paraId="6B4FC9BC"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FB165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963C10" w14:textId="77777777" w:rsidR="00000000" w:rsidRDefault="00EE5306">
            <w:pPr>
              <w:spacing w:after="100"/>
              <w:jc w:val="right"/>
              <w:rPr>
                <w:rFonts w:eastAsia="Times New Roman"/>
              </w:rPr>
            </w:pPr>
            <w:r>
              <w:rPr>
                <w:rFonts w:eastAsia="Times New Roman"/>
                <w:color w:val="000000"/>
                <w:sz w:val="20"/>
                <w:szCs w:val="20"/>
              </w:rPr>
              <w:t>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8B0DE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11376"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7466B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9553F1" w14:textId="77777777" w:rsidR="00000000" w:rsidRDefault="00EE530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C2401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2239CD"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10603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346EECC" w14:textId="77777777" w:rsidR="00000000" w:rsidRDefault="00EE530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43EE6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D238E"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E9E564"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11FFE7" w14:textId="77777777" w:rsidR="00000000" w:rsidRDefault="00EE5306">
            <w:pPr>
              <w:spacing w:after="100"/>
              <w:jc w:val="right"/>
              <w:rPr>
                <w:rFonts w:eastAsia="Times New Roman"/>
              </w:rPr>
            </w:pPr>
            <w:r>
              <w:rPr>
                <w:rFonts w:eastAsia="Times New Roman"/>
                <w:color w:val="000000"/>
                <w:sz w:val="20"/>
                <w:szCs w:val="20"/>
              </w:rPr>
              <w:t>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92FAD6"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4DE2DC76" w14:textId="77777777">
        <w:tc>
          <w:tcPr>
            <w:tcW w:w="50" w:type="pct"/>
            <w:vAlign w:val="center"/>
            <w:hideMark/>
          </w:tcPr>
          <w:p w14:paraId="38A793C6" w14:textId="77777777" w:rsidR="00000000" w:rsidRDefault="00EE5306">
            <w:pPr>
              <w:rPr>
                <w:rFonts w:eastAsia="Times New Roman"/>
              </w:rPr>
            </w:pPr>
          </w:p>
        </w:tc>
        <w:tc>
          <w:tcPr>
            <w:tcW w:w="4945" w:type="pct"/>
            <w:vAlign w:val="center"/>
            <w:hideMark/>
          </w:tcPr>
          <w:p w14:paraId="0FDCDB04" w14:textId="77777777" w:rsidR="00000000" w:rsidRDefault="00EE5306">
            <w:pPr>
              <w:spacing w:after="100"/>
              <w:rPr>
                <w:rFonts w:eastAsia="Times New Roman"/>
                <w:sz w:val="20"/>
                <w:szCs w:val="20"/>
              </w:rPr>
            </w:pPr>
          </w:p>
        </w:tc>
        <w:tc>
          <w:tcPr>
            <w:tcW w:w="5" w:type="pct"/>
            <w:vAlign w:val="center"/>
            <w:hideMark/>
          </w:tcPr>
          <w:p w14:paraId="26CAD1E4" w14:textId="77777777" w:rsidR="00000000" w:rsidRDefault="00EE5306">
            <w:pPr>
              <w:spacing w:after="100"/>
              <w:rPr>
                <w:rFonts w:eastAsia="Times New Roman"/>
                <w:sz w:val="20"/>
                <w:szCs w:val="20"/>
              </w:rPr>
            </w:pPr>
          </w:p>
        </w:tc>
      </w:tr>
      <w:tr w:rsidR="00000000" w14:paraId="472D7C14"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13308365" w14:textId="77777777" w:rsidR="00000000" w:rsidRDefault="00EE5306">
            <w:pPr>
              <w:spacing w:after="100"/>
              <w:rPr>
                <w:rFonts w:eastAsia="Times New Roman"/>
                <w:sz w:val="20"/>
                <w:szCs w:val="20"/>
              </w:rPr>
            </w:pPr>
          </w:p>
        </w:tc>
      </w:tr>
    </w:tbl>
    <w:p w14:paraId="36FDE28F" w14:textId="77777777" w:rsidR="00000000" w:rsidRDefault="00EE5306">
      <w:pPr>
        <w:rPr>
          <w:rFonts w:eastAsia="Times New Roman"/>
        </w:rPr>
      </w:pPr>
      <w:r>
        <w:rPr>
          <w:rFonts w:eastAsia="Times New Roman"/>
          <w:color w:val="000000"/>
          <w:sz w:val="20"/>
          <w:szCs w:val="20"/>
        </w:rPr>
        <w:t> </w:t>
      </w:r>
    </w:p>
    <w:p w14:paraId="44E952E1" w14:textId="77777777" w:rsidR="00000000" w:rsidRDefault="00EE5306">
      <w:pPr>
        <w:ind w:hanging="360"/>
        <w:jc w:val="both"/>
        <w:divId w:val="709843926"/>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Certain lease-related liabilities previously recognized in connection with the Company's closure and cessation of use of real estate locations were reclassified and reflected as reductions of the respective operating lease ROU assets initially recognized a</w:t>
      </w:r>
      <w:r>
        <w:rPr>
          <w:rFonts w:eastAsia="Times New Roman"/>
          <w:color w:val="000000"/>
          <w:sz w:val="20"/>
          <w:szCs w:val="20"/>
        </w:rPr>
        <w:t>s of the beginning of Fiscal 2020, upon adoption of new lease accounting rules prescribed by ASU No. 2016-02, "Leases" ("ASU 2016-02").</w:t>
      </w:r>
    </w:p>
    <w:p w14:paraId="461D4DCA" w14:textId="77777777" w:rsidR="00000000" w:rsidRDefault="00EE5306">
      <w:pPr>
        <w:ind w:firstLine="360"/>
        <w:jc w:val="both"/>
        <w:divId w:val="1053964420"/>
        <w:rPr>
          <w:rFonts w:eastAsia="Times New Roman"/>
        </w:rPr>
      </w:pPr>
      <w:r>
        <w:rPr>
          <w:rFonts w:eastAsia="Times New Roman"/>
          <w:b/>
          <w:bCs/>
          <w:i/>
          <w:iCs/>
          <w:color w:val="000000"/>
          <w:sz w:val="20"/>
          <w:szCs w:val="20"/>
        </w:rPr>
        <w:t>Other Restructuring Plans</w:t>
      </w:r>
    </w:p>
    <w:p w14:paraId="6D3E263B" w14:textId="77777777" w:rsidR="00000000" w:rsidRDefault="00EE5306">
      <w:pPr>
        <w:ind w:firstLine="360"/>
        <w:jc w:val="both"/>
        <w:divId w:val="789670261"/>
        <w:rPr>
          <w:rFonts w:eastAsia="Times New Roman"/>
        </w:rPr>
      </w:pPr>
      <w:r>
        <w:rPr>
          <w:rFonts w:eastAsia="Times New Roman"/>
          <w:color w:val="000000"/>
          <w:sz w:val="20"/>
          <w:szCs w:val="20"/>
        </w:rPr>
        <w:t>During Fiscal 2019, the Company recorded charges of $14.2 million in connection with its restr</w:t>
      </w:r>
      <w:r>
        <w:rPr>
          <w:rFonts w:eastAsia="Times New Roman"/>
          <w:color w:val="000000"/>
          <w:sz w:val="20"/>
          <w:szCs w:val="20"/>
        </w:rPr>
        <w:t xml:space="preserve">ucturing plan initiated during its fiscal year ended April 1, 2017, comprised of cash-related restructuring charges of $9.2 million and non-cash charges of $5.0 million. Actions associated with this plan are complete and no additional charges are expected </w:t>
      </w:r>
      <w:r>
        <w:rPr>
          <w:rFonts w:eastAsia="Times New Roman"/>
          <w:color w:val="000000"/>
          <w:sz w:val="20"/>
          <w:szCs w:val="20"/>
        </w:rPr>
        <w:t>to be incurred. The Company made cash payments of $2.1 million, $7.1 million, and $73.5 million during Fiscal 2021, Fiscal 2020, and Fiscal 2019, respectively, which were applied against the reserve associated with this restructuring plan. Additionally, du</w:t>
      </w:r>
      <w:r>
        <w:rPr>
          <w:rFonts w:eastAsia="Times New Roman"/>
          <w:color w:val="000000"/>
          <w:sz w:val="20"/>
          <w:szCs w:val="20"/>
        </w:rPr>
        <w:t>ring Fiscal 2020, $17.7 million of lease-related liabilities previously recognized in connection with the Company's closure and cessation of use of real estate locations were reclassified and reflected as reductions of the respective operating lease ROU as</w:t>
      </w:r>
      <w:r>
        <w:rPr>
          <w:rFonts w:eastAsia="Times New Roman"/>
          <w:color w:val="000000"/>
          <w:sz w:val="20"/>
          <w:szCs w:val="20"/>
        </w:rPr>
        <w:t>sets initially recognized upon adoption of ASU 2016-02. As of March 27, 2021 and March 28, 2020, the remaining restructuring reserve associated with this plan was $1.3 million and $3.4 million, respectively.</w:t>
      </w:r>
    </w:p>
    <w:p w14:paraId="044D9C33" w14:textId="77777777" w:rsidR="00000000" w:rsidRDefault="00EE5306">
      <w:pPr>
        <w:ind w:firstLine="360"/>
        <w:jc w:val="both"/>
        <w:divId w:val="1220239316"/>
        <w:rPr>
          <w:rFonts w:eastAsia="Times New Roman"/>
        </w:rPr>
      </w:pPr>
      <w:r>
        <w:rPr>
          <w:rFonts w:eastAsia="Times New Roman"/>
          <w:color w:val="000000"/>
          <w:sz w:val="20"/>
          <w:szCs w:val="20"/>
        </w:rPr>
        <w:t>Refer to Note 9 of the Fiscal 2020 10-K for addi</w:t>
      </w:r>
      <w:r>
        <w:rPr>
          <w:rFonts w:eastAsia="Times New Roman"/>
          <w:color w:val="000000"/>
          <w:sz w:val="20"/>
          <w:szCs w:val="20"/>
        </w:rPr>
        <w:t xml:space="preserve">tional discussion regarding this restructuring plan. </w:t>
      </w:r>
    </w:p>
    <w:p w14:paraId="306E0042" w14:textId="77777777" w:rsidR="00000000" w:rsidRDefault="00EE5306">
      <w:pPr>
        <w:ind w:firstLine="360"/>
        <w:jc w:val="both"/>
        <w:divId w:val="2009676416"/>
        <w:rPr>
          <w:rFonts w:eastAsia="Times New Roman"/>
        </w:rPr>
      </w:pPr>
      <w:r>
        <w:rPr>
          <w:rFonts w:eastAsia="Times New Roman"/>
          <w:b/>
          <w:bCs/>
          <w:i/>
          <w:iCs/>
          <w:color w:val="000000"/>
          <w:sz w:val="20"/>
          <w:szCs w:val="20"/>
        </w:rPr>
        <w:t>Other Charges</w:t>
      </w:r>
    </w:p>
    <w:p w14:paraId="070CB281" w14:textId="77777777" w:rsidR="00000000" w:rsidRDefault="00EE5306">
      <w:pPr>
        <w:ind w:firstLine="540"/>
        <w:jc w:val="both"/>
        <w:divId w:val="1654985615"/>
        <w:rPr>
          <w:rFonts w:eastAsia="Times New Roman"/>
        </w:rPr>
      </w:pPr>
      <w:r>
        <w:rPr>
          <w:rFonts w:eastAsia="Times New Roman"/>
          <w:color w:val="000000"/>
          <w:sz w:val="20"/>
          <w:szCs w:val="20"/>
        </w:rPr>
        <w:t>During Fiscal 2021, the Company recorded other charges of $11.4 million primarily related to rent and occupancy costs associated with certain previously exited real estate locations for wh</w:t>
      </w:r>
      <w:r>
        <w:rPr>
          <w:rFonts w:eastAsia="Times New Roman"/>
          <w:color w:val="000000"/>
          <w:sz w:val="20"/>
          <w:szCs w:val="20"/>
        </w:rPr>
        <w:t>ich the related lease agreements have not yet expired.</w:t>
      </w:r>
    </w:p>
    <w:p w14:paraId="0D28C021" w14:textId="77777777" w:rsidR="00000000" w:rsidRDefault="00EE5306">
      <w:pPr>
        <w:ind w:firstLine="540"/>
        <w:jc w:val="both"/>
        <w:divId w:val="1596011689"/>
        <w:rPr>
          <w:rFonts w:eastAsia="Times New Roman"/>
        </w:rPr>
      </w:pPr>
      <w:r>
        <w:rPr>
          <w:rFonts w:eastAsia="Times New Roman"/>
          <w:color w:val="000000"/>
          <w:sz w:val="20"/>
          <w:szCs w:val="20"/>
        </w:rPr>
        <w:t>During Fiscal 2020, the Company recorded other charges of $20.8 million related to the donation of net cash proceeds received from the sale of its corporate jet. This donation was made to the Ralph Lau</w:t>
      </w:r>
      <w:r>
        <w:rPr>
          <w:rFonts w:eastAsia="Times New Roman"/>
          <w:color w:val="000000"/>
          <w:sz w:val="20"/>
          <w:szCs w:val="20"/>
        </w:rPr>
        <w:t xml:space="preserve">ren Corporate Foundation (formerly known as the Polo Ralph Lauren Foundation), a non-profit, charitable foundation that supports various philanthropic programs. Additionally, during Fiscal 2020, the Company recorded other charges of $8.8 million primarily </w:t>
      </w:r>
      <w:r>
        <w:rPr>
          <w:rFonts w:eastAsia="Times New Roman"/>
          <w:color w:val="000000"/>
          <w:sz w:val="20"/>
          <w:szCs w:val="20"/>
        </w:rPr>
        <w:t>related to rent and occupancy costs associated with certain previously exited real estate locations for which the related lease agreements had not yet expired.</w:t>
      </w:r>
    </w:p>
    <w:p w14:paraId="6F5F6D7B" w14:textId="77777777" w:rsidR="00000000" w:rsidRDefault="00EE5306">
      <w:pPr>
        <w:ind w:firstLine="540"/>
        <w:jc w:val="both"/>
        <w:divId w:val="1569149008"/>
        <w:rPr>
          <w:rFonts w:eastAsia="Times New Roman"/>
        </w:rPr>
      </w:pPr>
      <w:r>
        <w:rPr>
          <w:rFonts w:eastAsia="Times New Roman"/>
          <w:color w:val="000000"/>
          <w:sz w:val="20"/>
          <w:szCs w:val="20"/>
        </w:rPr>
        <w:t xml:space="preserve">During Fiscal 2019, the Company recorded other charges of $14.1 million related to depreciation </w:t>
      </w:r>
      <w:r>
        <w:rPr>
          <w:rFonts w:eastAsia="Times New Roman"/>
          <w:color w:val="000000"/>
          <w:sz w:val="20"/>
          <w:szCs w:val="20"/>
        </w:rPr>
        <w:t>expense associated with its former Polo store at 711 Fifth Avenue in New York City, recorded after the store closed during the first quarter of its fiscal year ended March 31, 2018 ("Fiscal 2018"). Additionally, during Fiscal 2019, the Company recorded oth</w:t>
      </w:r>
      <w:r>
        <w:rPr>
          <w:rFonts w:eastAsia="Times New Roman"/>
          <w:color w:val="000000"/>
          <w:sz w:val="20"/>
          <w:szCs w:val="20"/>
        </w:rPr>
        <w:t xml:space="preserve">er charges of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5DB474D" w14:textId="77777777">
        <w:trPr>
          <w:divId w:val="450586795"/>
          <w:jc w:val="center"/>
        </w:trPr>
        <w:tc>
          <w:tcPr>
            <w:tcW w:w="50" w:type="pct"/>
            <w:vAlign w:val="center"/>
            <w:hideMark/>
          </w:tcPr>
          <w:p w14:paraId="3AF7EA11" w14:textId="77777777" w:rsidR="00000000" w:rsidRDefault="00EE5306">
            <w:pPr>
              <w:ind w:firstLine="540"/>
              <w:jc w:val="both"/>
              <w:rPr>
                <w:rFonts w:eastAsia="Times New Roman"/>
              </w:rPr>
            </w:pPr>
          </w:p>
        </w:tc>
        <w:tc>
          <w:tcPr>
            <w:tcW w:w="1699" w:type="pct"/>
            <w:vAlign w:val="center"/>
            <w:hideMark/>
          </w:tcPr>
          <w:p w14:paraId="53DB54AF" w14:textId="77777777" w:rsidR="00000000" w:rsidRDefault="00EE5306">
            <w:pPr>
              <w:spacing w:after="100"/>
              <w:rPr>
                <w:rFonts w:eastAsia="Times New Roman"/>
                <w:sz w:val="20"/>
                <w:szCs w:val="20"/>
              </w:rPr>
            </w:pPr>
          </w:p>
        </w:tc>
        <w:tc>
          <w:tcPr>
            <w:tcW w:w="5" w:type="pct"/>
            <w:vAlign w:val="center"/>
            <w:hideMark/>
          </w:tcPr>
          <w:p w14:paraId="204C947E" w14:textId="77777777" w:rsidR="00000000" w:rsidRDefault="00EE5306">
            <w:pPr>
              <w:spacing w:after="100"/>
              <w:rPr>
                <w:rFonts w:eastAsia="Times New Roman"/>
                <w:sz w:val="20"/>
                <w:szCs w:val="20"/>
              </w:rPr>
            </w:pPr>
          </w:p>
        </w:tc>
        <w:tc>
          <w:tcPr>
            <w:tcW w:w="50" w:type="pct"/>
            <w:vAlign w:val="center"/>
            <w:hideMark/>
          </w:tcPr>
          <w:p w14:paraId="34E97439" w14:textId="77777777" w:rsidR="00000000" w:rsidRDefault="00EE5306">
            <w:pPr>
              <w:spacing w:after="100"/>
              <w:rPr>
                <w:rFonts w:eastAsia="Times New Roman"/>
                <w:sz w:val="20"/>
                <w:szCs w:val="20"/>
              </w:rPr>
            </w:pPr>
          </w:p>
        </w:tc>
        <w:tc>
          <w:tcPr>
            <w:tcW w:w="1436" w:type="pct"/>
            <w:vAlign w:val="center"/>
            <w:hideMark/>
          </w:tcPr>
          <w:p w14:paraId="7B1C8F5C" w14:textId="77777777" w:rsidR="00000000" w:rsidRDefault="00EE5306">
            <w:pPr>
              <w:spacing w:after="100"/>
              <w:rPr>
                <w:rFonts w:eastAsia="Times New Roman"/>
                <w:sz w:val="20"/>
                <w:szCs w:val="20"/>
              </w:rPr>
            </w:pPr>
          </w:p>
        </w:tc>
        <w:tc>
          <w:tcPr>
            <w:tcW w:w="5" w:type="pct"/>
            <w:vAlign w:val="center"/>
            <w:hideMark/>
          </w:tcPr>
          <w:p w14:paraId="11B4C8C4" w14:textId="77777777" w:rsidR="00000000" w:rsidRDefault="00EE5306">
            <w:pPr>
              <w:spacing w:after="100"/>
              <w:rPr>
                <w:rFonts w:eastAsia="Times New Roman"/>
                <w:sz w:val="20"/>
                <w:szCs w:val="20"/>
              </w:rPr>
            </w:pPr>
          </w:p>
        </w:tc>
        <w:tc>
          <w:tcPr>
            <w:tcW w:w="50" w:type="pct"/>
            <w:vAlign w:val="center"/>
            <w:hideMark/>
          </w:tcPr>
          <w:p w14:paraId="5F86C2EB" w14:textId="77777777" w:rsidR="00000000" w:rsidRDefault="00EE5306">
            <w:pPr>
              <w:spacing w:after="100"/>
              <w:rPr>
                <w:rFonts w:eastAsia="Times New Roman"/>
                <w:sz w:val="20"/>
                <w:szCs w:val="20"/>
              </w:rPr>
            </w:pPr>
          </w:p>
        </w:tc>
        <w:tc>
          <w:tcPr>
            <w:tcW w:w="1699" w:type="pct"/>
            <w:vAlign w:val="center"/>
            <w:hideMark/>
          </w:tcPr>
          <w:p w14:paraId="4FF0A8A8" w14:textId="77777777" w:rsidR="00000000" w:rsidRDefault="00EE5306">
            <w:pPr>
              <w:spacing w:after="100"/>
              <w:rPr>
                <w:rFonts w:eastAsia="Times New Roman"/>
                <w:sz w:val="20"/>
                <w:szCs w:val="20"/>
              </w:rPr>
            </w:pPr>
          </w:p>
        </w:tc>
        <w:tc>
          <w:tcPr>
            <w:tcW w:w="5" w:type="pct"/>
            <w:vAlign w:val="center"/>
            <w:hideMark/>
          </w:tcPr>
          <w:p w14:paraId="5E831576" w14:textId="77777777" w:rsidR="00000000" w:rsidRDefault="00EE5306">
            <w:pPr>
              <w:spacing w:after="100"/>
              <w:rPr>
                <w:rFonts w:eastAsia="Times New Roman"/>
                <w:sz w:val="20"/>
                <w:szCs w:val="20"/>
              </w:rPr>
            </w:pPr>
          </w:p>
        </w:tc>
      </w:tr>
      <w:tr w:rsidR="00000000" w14:paraId="39557D39" w14:textId="77777777">
        <w:trPr>
          <w:divId w:val="450586795"/>
          <w:jc w:val="center"/>
        </w:trPr>
        <w:tc>
          <w:tcPr>
            <w:tcW w:w="0" w:type="auto"/>
            <w:gridSpan w:val="3"/>
            <w:tcMar>
              <w:top w:w="0" w:type="dxa"/>
              <w:left w:w="20" w:type="dxa"/>
              <w:bottom w:w="0" w:type="dxa"/>
              <w:right w:w="20" w:type="dxa"/>
            </w:tcMar>
            <w:vAlign w:val="center"/>
            <w:hideMark/>
          </w:tcPr>
          <w:p w14:paraId="284B4358"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A634FCC" w14:textId="77777777" w:rsidR="00000000" w:rsidRDefault="00EE5306">
            <w:pPr>
              <w:spacing w:after="100"/>
              <w:jc w:val="center"/>
              <w:rPr>
                <w:rFonts w:eastAsia="Times New Roman"/>
              </w:rPr>
            </w:pPr>
            <w:r>
              <w:rPr>
                <w:rFonts w:eastAsia="Times New Roman"/>
                <w:color w:val="000000"/>
                <w:sz w:val="20"/>
                <w:szCs w:val="20"/>
              </w:rPr>
              <w:t>F-27</w:t>
            </w:r>
          </w:p>
        </w:tc>
        <w:tc>
          <w:tcPr>
            <w:tcW w:w="0" w:type="auto"/>
            <w:gridSpan w:val="3"/>
            <w:tcMar>
              <w:top w:w="0" w:type="dxa"/>
              <w:left w:w="20" w:type="dxa"/>
              <w:bottom w:w="0" w:type="dxa"/>
              <w:right w:w="20" w:type="dxa"/>
            </w:tcMar>
            <w:vAlign w:val="center"/>
            <w:hideMark/>
          </w:tcPr>
          <w:p w14:paraId="7EF93439" w14:textId="77777777" w:rsidR="00000000" w:rsidRDefault="00EE5306">
            <w:pPr>
              <w:spacing w:after="100"/>
              <w:jc w:val="center"/>
              <w:rPr>
                <w:rFonts w:eastAsia="Times New Roman"/>
              </w:rPr>
            </w:pPr>
          </w:p>
        </w:tc>
      </w:tr>
    </w:tbl>
    <w:p w14:paraId="1FB1B9C4" w14:textId="77777777" w:rsidR="00000000" w:rsidRDefault="00EE5306">
      <w:pPr>
        <w:rPr>
          <w:rFonts w:eastAsia="Times New Roman"/>
        </w:rPr>
      </w:pPr>
      <w:r>
        <w:rPr>
          <w:rFonts w:eastAsia="Times New Roman"/>
        </w:rPr>
        <w:pict w14:anchorId="5B9FED6B">
          <v:rect id="_x0000_i1137" style="width:0;height:1.5pt" o:hralign="center" o:hrstd="t" o:hr="t" fillcolor="#a0a0a0" stroked="f"/>
        </w:pict>
      </w:r>
    </w:p>
    <w:p w14:paraId="003067AD" w14:textId="77777777" w:rsidR="00000000" w:rsidRDefault="00EE5306">
      <w:pPr>
        <w:jc w:val="center"/>
        <w:divId w:val="1532648597"/>
        <w:rPr>
          <w:rFonts w:eastAsia="Times New Roman"/>
        </w:rPr>
      </w:pPr>
    </w:p>
    <w:p w14:paraId="5C0618A9" w14:textId="77777777" w:rsidR="00000000" w:rsidRDefault="00EE5306">
      <w:pPr>
        <w:jc w:val="center"/>
        <w:divId w:val="1532648597"/>
        <w:rPr>
          <w:rFonts w:eastAsia="Times New Roman"/>
        </w:rPr>
      </w:pPr>
      <w:r>
        <w:rPr>
          <w:rFonts w:eastAsia="Times New Roman"/>
          <w:b/>
          <w:bCs/>
          <w:color w:val="000000"/>
          <w:sz w:val="20"/>
          <w:szCs w:val="20"/>
        </w:rPr>
        <w:t>RALPH LAUREN CORPORATION</w:t>
      </w:r>
    </w:p>
    <w:p w14:paraId="70ECE9CE" w14:textId="77777777" w:rsidR="00000000" w:rsidRDefault="00EE5306">
      <w:pPr>
        <w:jc w:val="center"/>
        <w:divId w:val="1058018942"/>
        <w:rPr>
          <w:rFonts w:eastAsia="Times New Roman"/>
        </w:rPr>
      </w:pPr>
      <w:r>
        <w:rPr>
          <w:rFonts w:eastAsia="Times New Roman"/>
          <w:b/>
          <w:bCs/>
          <w:color w:val="000000"/>
          <w:sz w:val="20"/>
          <w:szCs w:val="20"/>
        </w:rPr>
        <w:t>NOTES TO CONSOLIDATED FINANCIAL STATEMENTS (Continued)</w:t>
      </w:r>
    </w:p>
    <w:p w14:paraId="4BD266F7" w14:textId="77777777" w:rsidR="00000000" w:rsidRDefault="00EE5306">
      <w:pPr>
        <w:jc w:val="both"/>
        <w:divId w:val="1632635792"/>
        <w:rPr>
          <w:rFonts w:eastAsia="Times New Roman"/>
        </w:rPr>
      </w:pPr>
      <w:r>
        <w:rPr>
          <w:rFonts w:eastAsia="Times New Roman"/>
          <w:color w:val="000000"/>
          <w:sz w:val="20"/>
          <w:szCs w:val="20"/>
        </w:rPr>
        <w:t>$4.2 million primarily related to a customs audit, as well as $18.2 million primarily related to the launch of its new sabbatical leave pr</w:t>
      </w:r>
      <w:r>
        <w:rPr>
          <w:rFonts w:eastAsia="Times New Roman"/>
          <w:color w:val="000000"/>
          <w:sz w:val="20"/>
          <w:szCs w:val="20"/>
        </w:rPr>
        <w:t xml:space="preserve">ogram, which entitles eligible employees to periodic paid leave based on the attainment of certain employment tenure milestones. Other than this initial charge to establish its estimated liability for services rendered to-date, the Company does not expect </w:t>
      </w:r>
      <w:r>
        <w:rPr>
          <w:rFonts w:eastAsia="Times New Roman"/>
          <w:color w:val="000000"/>
          <w:sz w:val="20"/>
          <w:szCs w:val="20"/>
        </w:rPr>
        <w:t>there will be a significant, ongoing impact to the consolidated financial statements in future periods related to its sabbatical leave program.</w:t>
      </w:r>
    </w:p>
    <w:p w14:paraId="61C4F78E" w14:textId="77777777" w:rsidR="00000000" w:rsidRDefault="00EE5306">
      <w:pPr>
        <w:ind w:hanging="540"/>
        <w:divId w:val="601186664"/>
        <w:rPr>
          <w:rFonts w:eastAsia="Times New Roman"/>
        </w:rPr>
      </w:pPr>
      <w:r>
        <w:rPr>
          <w:rFonts w:eastAsia="Times New Roman"/>
          <w:b/>
          <w:bCs/>
          <w:color w:val="000000"/>
          <w:sz w:val="20"/>
          <w:szCs w:val="20"/>
        </w:rPr>
        <w:t>10.    Income Taxes</w:t>
      </w:r>
    </w:p>
    <w:p w14:paraId="5C59FD04" w14:textId="77777777" w:rsidR="00000000" w:rsidRDefault="00EE5306">
      <w:pPr>
        <w:ind w:firstLine="360"/>
        <w:jc w:val="both"/>
        <w:divId w:val="2101681741"/>
        <w:rPr>
          <w:rFonts w:eastAsia="Times New Roman"/>
        </w:rPr>
      </w:pPr>
      <w:r>
        <w:rPr>
          <w:rFonts w:eastAsia="Times New Roman"/>
          <w:b/>
          <w:bCs/>
          <w:i/>
          <w:iCs/>
          <w:color w:val="000000"/>
          <w:sz w:val="20"/>
          <w:szCs w:val="20"/>
        </w:rPr>
        <w:t>Swiss Tax Reform</w:t>
      </w:r>
    </w:p>
    <w:p w14:paraId="034C7B04" w14:textId="77777777" w:rsidR="00000000" w:rsidRDefault="00EE5306">
      <w:pPr>
        <w:ind w:firstLine="540"/>
        <w:jc w:val="both"/>
        <w:divId w:val="1902326448"/>
        <w:rPr>
          <w:rFonts w:eastAsia="Times New Roman"/>
        </w:rPr>
      </w:pPr>
      <w:r>
        <w:rPr>
          <w:rFonts w:eastAsia="Times New Roman"/>
          <w:color w:val="000000"/>
          <w:sz w:val="20"/>
          <w:szCs w:val="20"/>
        </w:rPr>
        <w:t xml:space="preserve">In May 2019, a public referendum was held in Switzerland that approved the </w:t>
      </w:r>
      <w:r>
        <w:rPr>
          <w:rFonts w:eastAsia="Times New Roman"/>
          <w:color w:val="000000"/>
          <w:sz w:val="20"/>
          <w:szCs w:val="20"/>
        </w:rPr>
        <w:t>Federal Act on Tax Reform and AHV Financing (the "Swiss Tax Act"), which became effective January 1, 2020. The Swiss Tax Act eliminates certain preferential tax items at both the federal and cantonal levels for multinational companies and provides the cant</w:t>
      </w:r>
      <w:r>
        <w:rPr>
          <w:rFonts w:eastAsia="Times New Roman"/>
          <w:color w:val="000000"/>
          <w:sz w:val="20"/>
          <w:szCs w:val="20"/>
        </w:rPr>
        <w:t>ons with parameters for establishing local tax rates and regulations. The Swiss Tax Act also provides transitional provisions, one of which allows eligible companies to increase the tax basis of certain assets based on the value generated by their business</w:t>
      </w:r>
      <w:r>
        <w:rPr>
          <w:rFonts w:eastAsia="Times New Roman"/>
          <w:color w:val="000000"/>
          <w:sz w:val="20"/>
          <w:szCs w:val="20"/>
        </w:rPr>
        <w:t xml:space="preserve"> in previous years, and to amortize such adjustment as a tax deduction over a transitional period.</w:t>
      </w:r>
    </w:p>
    <w:p w14:paraId="281805E5" w14:textId="77777777" w:rsidR="00000000" w:rsidRDefault="00EE5306">
      <w:pPr>
        <w:ind w:firstLine="540"/>
        <w:jc w:val="both"/>
        <w:divId w:val="266887264"/>
        <w:rPr>
          <w:rFonts w:eastAsia="Times New Roman"/>
        </w:rPr>
      </w:pPr>
      <w:r>
        <w:rPr>
          <w:rFonts w:eastAsia="Times New Roman"/>
          <w:color w:val="000000"/>
          <w:sz w:val="20"/>
          <w:szCs w:val="20"/>
        </w:rPr>
        <w:t>During the second quarter of Fiscal 2020, the Swiss Tax Act was enacted into law, resulting in an immaterial adjustment associated with the revaluation of th</w:t>
      </w:r>
      <w:r>
        <w:rPr>
          <w:rFonts w:eastAsia="Times New Roman"/>
          <w:color w:val="000000"/>
          <w:sz w:val="20"/>
          <w:szCs w:val="20"/>
        </w:rPr>
        <w:t>e Company's Swiss deferred tax assets and liabilities and the then estimated annual effective tax rate. Subsequently, as a result of additional information received from the tax authorities and analyses performed related to the transitional provision noted</w:t>
      </w:r>
      <w:r>
        <w:rPr>
          <w:rFonts w:eastAsia="Times New Roman"/>
          <w:color w:val="000000"/>
          <w:sz w:val="20"/>
          <w:szCs w:val="20"/>
        </w:rPr>
        <w:t xml:space="preserve"> above, the Company recorded a one-time income tax benefit and corresponding deferred tax asset of $122.9 million during Fiscal 2020, which reduced the Company's effective tax rate by 3,760 basis points.</w:t>
      </w:r>
    </w:p>
    <w:p w14:paraId="3CA6F9EF" w14:textId="77777777" w:rsidR="00000000" w:rsidRDefault="00EE5306">
      <w:pPr>
        <w:ind w:firstLine="540"/>
        <w:jc w:val="both"/>
        <w:divId w:val="1690176919"/>
        <w:rPr>
          <w:rFonts w:eastAsia="Times New Roman"/>
        </w:rPr>
      </w:pPr>
      <w:r>
        <w:rPr>
          <w:rFonts w:eastAsia="Times New Roman"/>
          <w:color w:val="000000"/>
          <w:sz w:val="20"/>
          <w:szCs w:val="20"/>
        </w:rPr>
        <w:t>During Fiscal 2021, the Company reduced its one-time</w:t>
      </w:r>
      <w:r>
        <w:rPr>
          <w:rFonts w:eastAsia="Times New Roman"/>
          <w:color w:val="000000"/>
          <w:sz w:val="20"/>
          <w:szCs w:val="20"/>
        </w:rPr>
        <w:t xml:space="preserve"> tax benefit by $13.8 million due to new legislation enacted in connection with the European Union's anti-tax avoidance directive, which increased the Company's effective tax rate by 1,840 basis points.</w:t>
      </w:r>
    </w:p>
    <w:p w14:paraId="6CCF2B33" w14:textId="77777777" w:rsidR="00000000" w:rsidRDefault="00EE5306">
      <w:pPr>
        <w:ind w:firstLine="360"/>
        <w:divId w:val="1841047390"/>
        <w:rPr>
          <w:rFonts w:eastAsia="Times New Roman"/>
        </w:rPr>
      </w:pPr>
      <w:r>
        <w:rPr>
          <w:rFonts w:eastAsia="Times New Roman"/>
          <w:b/>
          <w:bCs/>
          <w:i/>
          <w:iCs/>
          <w:color w:val="000000"/>
          <w:sz w:val="20"/>
          <w:szCs w:val="20"/>
        </w:rPr>
        <w:t>U.S. Tax Reform</w:t>
      </w:r>
    </w:p>
    <w:p w14:paraId="62B93A83" w14:textId="77777777" w:rsidR="00000000" w:rsidRDefault="00EE5306">
      <w:pPr>
        <w:ind w:firstLine="540"/>
        <w:jc w:val="both"/>
        <w:divId w:val="1447112946"/>
        <w:rPr>
          <w:rFonts w:eastAsia="Times New Roman"/>
        </w:rPr>
      </w:pPr>
      <w:r>
        <w:rPr>
          <w:rFonts w:eastAsia="Times New Roman"/>
          <w:color w:val="000000"/>
          <w:sz w:val="20"/>
          <w:szCs w:val="20"/>
        </w:rPr>
        <w:t>In January 2018, new U.S. tax legisla</w:t>
      </w:r>
      <w:r>
        <w:rPr>
          <w:rFonts w:eastAsia="Times New Roman"/>
          <w:color w:val="000000"/>
          <w:sz w:val="20"/>
          <w:szCs w:val="20"/>
        </w:rPr>
        <w:t>tion commonly referred to as the Tax Cuts and Jobs Act (the "TCJA") became effective. The TCJA significantly revised U.S. tax law by, among other provisions, lowering the U.S. federal statutory income tax rate from 35% to 21%, creating a territorial tax sy</w:t>
      </w:r>
      <w:r>
        <w:rPr>
          <w:rFonts w:eastAsia="Times New Roman"/>
          <w:color w:val="000000"/>
          <w:sz w:val="20"/>
          <w:szCs w:val="20"/>
        </w:rPr>
        <w:t>stem that includes a one-time mandatory transition tax on previously deferred foreign earnings, and eliminating or reducing certain income tax deductions.</w:t>
      </w:r>
    </w:p>
    <w:p w14:paraId="77069E82" w14:textId="77777777" w:rsidR="00000000" w:rsidRDefault="00EE5306">
      <w:pPr>
        <w:ind w:firstLine="540"/>
        <w:jc w:val="both"/>
        <w:divId w:val="935672250"/>
        <w:rPr>
          <w:rFonts w:eastAsia="Times New Roman"/>
        </w:rPr>
      </w:pPr>
      <w:r>
        <w:rPr>
          <w:rFonts w:eastAsia="Times New Roman"/>
          <w:color w:val="000000"/>
          <w:sz w:val="20"/>
          <w:szCs w:val="20"/>
        </w:rPr>
        <w:t>U.S. GAAP requires that the effects of changes in tax laws be recognized in the period in which the l</w:t>
      </w:r>
      <w:r>
        <w:rPr>
          <w:rFonts w:eastAsia="Times New Roman"/>
          <w:color w:val="000000"/>
          <w:sz w:val="20"/>
          <w:szCs w:val="20"/>
        </w:rPr>
        <w:t xml:space="preserve">egislation is enacted. However, due to the complexity and significance of the TCJA's provisions, the SEC staff issued Staff Accounting Bulletin No. 118 ("SAB 118"), which allowed companies to record the tax effects of the TCJA on a provisional basis based </w:t>
      </w:r>
      <w:r>
        <w:rPr>
          <w:rFonts w:eastAsia="Times New Roman"/>
          <w:color w:val="000000"/>
          <w:sz w:val="20"/>
          <w:szCs w:val="20"/>
        </w:rPr>
        <w:t xml:space="preserve">on a reasonable estimate, and then, if necessary, subsequently adjust such amounts during a limited measurement period as additional information became available and further analyses were completed. The measurement period ends when a company has obtained, </w:t>
      </w:r>
      <w:r>
        <w:rPr>
          <w:rFonts w:eastAsia="Times New Roman"/>
          <w:color w:val="000000"/>
          <w:sz w:val="20"/>
          <w:szCs w:val="20"/>
        </w:rPr>
        <w:t>prepared, and analyzed the information necessary to finalize its accounting, not to extend beyond one year from enactment.</w:t>
      </w:r>
    </w:p>
    <w:p w14:paraId="53FBE925" w14:textId="77777777" w:rsidR="00000000" w:rsidRDefault="00EE5306">
      <w:pPr>
        <w:ind w:firstLine="540"/>
        <w:jc w:val="both"/>
        <w:divId w:val="778571750"/>
        <w:rPr>
          <w:rFonts w:eastAsia="Times New Roman"/>
        </w:rPr>
      </w:pPr>
      <w:r>
        <w:rPr>
          <w:rFonts w:eastAsia="Times New Roman"/>
          <w:color w:val="000000"/>
          <w:sz w:val="20"/>
          <w:szCs w:val="20"/>
        </w:rPr>
        <w:t>During Fiscal 2018, the Company recorded net charges of $221.4 million on a provisional basis, inclusive of measurement period adjust</w:t>
      </w:r>
      <w:r>
        <w:rPr>
          <w:rFonts w:eastAsia="Times New Roman"/>
          <w:color w:val="000000"/>
          <w:sz w:val="20"/>
          <w:szCs w:val="20"/>
        </w:rPr>
        <w:t>ments. Subsequently, during Fiscal 2019, the Company completed its analyses and recorded additional net unfavorable measurement period adjustments of $27.6 million as a result of the issuance of new interpretive guidance related to stock-based compensation</w:t>
      </w:r>
      <w:r>
        <w:rPr>
          <w:rFonts w:eastAsia="Times New Roman"/>
          <w:color w:val="000000"/>
          <w:sz w:val="20"/>
          <w:szCs w:val="20"/>
        </w:rPr>
        <w:t xml:space="preserve"> for certain executives and other analyses performed. These measurement period adjustments increased the Company's effective tax rate by 470 basis points during Fiscal 2019. Approximately $241 million of the cumulative TCJA enactment-related charges record</w:t>
      </w:r>
      <w:r>
        <w:rPr>
          <w:rFonts w:eastAsia="Times New Roman"/>
          <w:color w:val="000000"/>
          <w:sz w:val="20"/>
          <w:szCs w:val="20"/>
        </w:rPr>
        <w:t>ed related to the mandatory transition tax (see Note 15).</w:t>
      </w:r>
    </w:p>
    <w:p w14:paraId="022C1D77" w14:textId="77777777" w:rsidR="00000000" w:rsidRDefault="00EE5306">
      <w:pPr>
        <w:ind w:firstLine="540"/>
        <w:jc w:val="both"/>
        <w:divId w:val="126122009"/>
        <w:rPr>
          <w:rFonts w:eastAsia="Times New Roman"/>
        </w:rPr>
      </w:pPr>
      <w:r>
        <w:rPr>
          <w:rFonts w:eastAsia="Times New Roman"/>
          <w:color w:val="000000"/>
          <w:sz w:val="20"/>
          <w:szCs w:val="20"/>
        </w:rPr>
        <w:t>Additionally, during the fourth quarter of Fiscal 2018 the Company reevaluated its permanent reinvestment assertion and determined that undistributed foreign earnings that were subject to the one-time mandatory transition tax were no longer considered to b</w:t>
      </w:r>
      <w:r>
        <w:rPr>
          <w:rFonts w:eastAsia="Times New Roman"/>
          <w:color w:val="000000"/>
          <w:sz w:val="20"/>
          <w:szCs w:val="20"/>
        </w:rPr>
        <w:t>e permanently reinvested, effective December 31, 2017. The mandatory transition tax does not apply to undistributed foreign earnings generated after December 31, 2017, and therefore the Company intends to permanently reinvest such earnings. See "</w:t>
      </w:r>
      <w:r>
        <w:rPr>
          <w:rFonts w:eastAsia="Times New Roman"/>
          <w:i/>
          <w:iCs/>
          <w:color w:val="000000"/>
          <w:sz w:val="20"/>
          <w:szCs w:val="20"/>
        </w:rPr>
        <w:t>Deferred T</w:t>
      </w:r>
      <w:r>
        <w:rPr>
          <w:rFonts w:eastAsia="Times New Roman"/>
          <w:i/>
          <w:iCs/>
          <w:color w:val="000000"/>
          <w:sz w:val="20"/>
          <w:szCs w:val="20"/>
        </w:rPr>
        <w:t>axes</w:t>
      </w:r>
      <w:r>
        <w:rPr>
          <w:rFonts w:eastAsia="Times New Roman"/>
          <w:color w:val="000000"/>
          <w:sz w:val="20"/>
          <w:szCs w:val="20"/>
        </w:rPr>
        <w:t>" for additional discussion.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C556C4C" w14:textId="77777777">
        <w:trPr>
          <w:divId w:val="1944341055"/>
          <w:jc w:val="center"/>
        </w:trPr>
        <w:tc>
          <w:tcPr>
            <w:tcW w:w="50" w:type="pct"/>
            <w:vAlign w:val="center"/>
            <w:hideMark/>
          </w:tcPr>
          <w:p w14:paraId="71731CB8" w14:textId="77777777" w:rsidR="00000000" w:rsidRDefault="00EE5306">
            <w:pPr>
              <w:ind w:firstLine="540"/>
              <w:jc w:val="both"/>
              <w:rPr>
                <w:rFonts w:eastAsia="Times New Roman"/>
              </w:rPr>
            </w:pPr>
          </w:p>
        </w:tc>
        <w:tc>
          <w:tcPr>
            <w:tcW w:w="1699" w:type="pct"/>
            <w:vAlign w:val="center"/>
            <w:hideMark/>
          </w:tcPr>
          <w:p w14:paraId="6821AB6A" w14:textId="77777777" w:rsidR="00000000" w:rsidRDefault="00EE5306">
            <w:pPr>
              <w:spacing w:after="100"/>
              <w:rPr>
                <w:rFonts w:eastAsia="Times New Roman"/>
                <w:sz w:val="20"/>
                <w:szCs w:val="20"/>
              </w:rPr>
            </w:pPr>
          </w:p>
        </w:tc>
        <w:tc>
          <w:tcPr>
            <w:tcW w:w="5" w:type="pct"/>
            <w:vAlign w:val="center"/>
            <w:hideMark/>
          </w:tcPr>
          <w:p w14:paraId="6EB9F9EA" w14:textId="77777777" w:rsidR="00000000" w:rsidRDefault="00EE5306">
            <w:pPr>
              <w:spacing w:after="100"/>
              <w:rPr>
                <w:rFonts w:eastAsia="Times New Roman"/>
                <w:sz w:val="20"/>
                <w:szCs w:val="20"/>
              </w:rPr>
            </w:pPr>
          </w:p>
        </w:tc>
        <w:tc>
          <w:tcPr>
            <w:tcW w:w="50" w:type="pct"/>
            <w:vAlign w:val="center"/>
            <w:hideMark/>
          </w:tcPr>
          <w:p w14:paraId="6FB5823D" w14:textId="77777777" w:rsidR="00000000" w:rsidRDefault="00EE5306">
            <w:pPr>
              <w:spacing w:after="100"/>
              <w:rPr>
                <w:rFonts w:eastAsia="Times New Roman"/>
                <w:sz w:val="20"/>
                <w:szCs w:val="20"/>
              </w:rPr>
            </w:pPr>
          </w:p>
        </w:tc>
        <w:tc>
          <w:tcPr>
            <w:tcW w:w="1436" w:type="pct"/>
            <w:vAlign w:val="center"/>
            <w:hideMark/>
          </w:tcPr>
          <w:p w14:paraId="21523E4C" w14:textId="77777777" w:rsidR="00000000" w:rsidRDefault="00EE5306">
            <w:pPr>
              <w:spacing w:after="100"/>
              <w:rPr>
                <w:rFonts w:eastAsia="Times New Roman"/>
                <w:sz w:val="20"/>
                <w:szCs w:val="20"/>
              </w:rPr>
            </w:pPr>
          </w:p>
        </w:tc>
        <w:tc>
          <w:tcPr>
            <w:tcW w:w="5" w:type="pct"/>
            <w:vAlign w:val="center"/>
            <w:hideMark/>
          </w:tcPr>
          <w:p w14:paraId="6B2C9EE2" w14:textId="77777777" w:rsidR="00000000" w:rsidRDefault="00EE5306">
            <w:pPr>
              <w:spacing w:after="100"/>
              <w:rPr>
                <w:rFonts w:eastAsia="Times New Roman"/>
                <w:sz w:val="20"/>
                <w:szCs w:val="20"/>
              </w:rPr>
            </w:pPr>
          </w:p>
        </w:tc>
        <w:tc>
          <w:tcPr>
            <w:tcW w:w="50" w:type="pct"/>
            <w:vAlign w:val="center"/>
            <w:hideMark/>
          </w:tcPr>
          <w:p w14:paraId="29D82390" w14:textId="77777777" w:rsidR="00000000" w:rsidRDefault="00EE5306">
            <w:pPr>
              <w:spacing w:after="100"/>
              <w:rPr>
                <w:rFonts w:eastAsia="Times New Roman"/>
                <w:sz w:val="20"/>
                <w:szCs w:val="20"/>
              </w:rPr>
            </w:pPr>
          </w:p>
        </w:tc>
        <w:tc>
          <w:tcPr>
            <w:tcW w:w="1699" w:type="pct"/>
            <w:vAlign w:val="center"/>
            <w:hideMark/>
          </w:tcPr>
          <w:p w14:paraId="63D90EAC" w14:textId="77777777" w:rsidR="00000000" w:rsidRDefault="00EE5306">
            <w:pPr>
              <w:spacing w:after="100"/>
              <w:rPr>
                <w:rFonts w:eastAsia="Times New Roman"/>
                <w:sz w:val="20"/>
                <w:szCs w:val="20"/>
              </w:rPr>
            </w:pPr>
          </w:p>
        </w:tc>
        <w:tc>
          <w:tcPr>
            <w:tcW w:w="5" w:type="pct"/>
            <w:vAlign w:val="center"/>
            <w:hideMark/>
          </w:tcPr>
          <w:p w14:paraId="1914C1A4" w14:textId="77777777" w:rsidR="00000000" w:rsidRDefault="00EE5306">
            <w:pPr>
              <w:spacing w:after="100"/>
              <w:rPr>
                <w:rFonts w:eastAsia="Times New Roman"/>
                <w:sz w:val="20"/>
                <w:szCs w:val="20"/>
              </w:rPr>
            </w:pPr>
          </w:p>
        </w:tc>
      </w:tr>
      <w:tr w:rsidR="00000000" w14:paraId="7F292AB7" w14:textId="77777777">
        <w:trPr>
          <w:divId w:val="1944341055"/>
          <w:jc w:val="center"/>
        </w:trPr>
        <w:tc>
          <w:tcPr>
            <w:tcW w:w="0" w:type="auto"/>
            <w:gridSpan w:val="3"/>
            <w:tcMar>
              <w:top w:w="0" w:type="dxa"/>
              <w:left w:w="20" w:type="dxa"/>
              <w:bottom w:w="0" w:type="dxa"/>
              <w:right w:w="20" w:type="dxa"/>
            </w:tcMar>
            <w:vAlign w:val="center"/>
            <w:hideMark/>
          </w:tcPr>
          <w:p w14:paraId="0428708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E71F1D7" w14:textId="77777777" w:rsidR="00000000" w:rsidRDefault="00EE5306">
            <w:pPr>
              <w:spacing w:after="100"/>
              <w:jc w:val="center"/>
              <w:rPr>
                <w:rFonts w:eastAsia="Times New Roman"/>
              </w:rPr>
            </w:pPr>
            <w:r>
              <w:rPr>
                <w:rFonts w:eastAsia="Times New Roman"/>
                <w:color w:val="000000"/>
                <w:sz w:val="20"/>
                <w:szCs w:val="20"/>
              </w:rPr>
              <w:t>F-28</w:t>
            </w:r>
          </w:p>
        </w:tc>
        <w:tc>
          <w:tcPr>
            <w:tcW w:w="0" w:type="auto"/>
            <w:gridSpan w:val="3"/>
            <w:tcMar>
              <w:top w:w="0" w:type="dxa"/>
              <w:left w:w="20" w:type="dxa"/>
              <w:bottom w:w="0" w:type="dxa"/>
              <w:right w:w="20" w:type="dxa"/>
            </w:tcMar>
            <w:vAlign w:val="center"/>
            <w:hideMark/>
          </w:tcPr>
          <w:p w14:paraId="1457962E" w14:textId="77777777" w:rsidR="00000000" w:rsidRDefault="00EE5306">
            <w:pPr>
              <w:spacing w:after="100"/>
              <w:jc w:val="center"/>
              <w:rPr>
                <w:rFonts w:eastAsia="Times New Roman"/>
              </w:rPr>
            </w:pPr>
          </w:p>
        </w:tc>
      </w:tr>
    </w:tbl>
    <w:p w14:paraId="69589DAC" w14:textId="77777777" w:rsidR="00000000" w:rsidRDefault="00EE5306">
      <w:pPr>
        <w:rPr>
          <w:rFonts w:eastAsia="Times New Roman"/>
        </w:rPr>
      </w:pPr>
      <w:r>
        <w:rPr>
          <w:rFonts w:eastAsia="Times New Roman"/>
        </w:rPr>
        <w:pict w14:anchorId="21640FCB">
          <v:rect id="_x0000_i1138" style="width:0;height:1.5pt" o:hralign="center" o:hrstd="t" o:hr="t" fillcolor="#a0a0a0" stroked="f"/>
        </w:pict>
      </w:r>
    </w:p>
    <w:p w14:paraId="07A5BE9B" w14:textId="77777777" w:rsidR="00000000" w:rsidRDefault="00EE5306">
      <w:pPr>
        <w:jc w:val="center"/>
        <w:divId w:val="1225994909"/>
        <w:rPr>
          <w:rFonts w:eastAsia="Times New Roman"/>
        </w:rPr>
      </w:pPr>
    </w:p>
    <w:p w14:paraId="7C8E0218" w14:textId="77777777" w:rsidR="00000000" w:rsidRDefault="00EE5306">
      <w:pPr>
        <w:jc w:val="center"/>
        <w:divId w:val="1225994909"/>
        <w:rPr>
          <w:rFonts w:eastAsia="Times New Roman"/>
        </w:rPr>
      </w:pPr>
      <w:r>
        <w:rPr>
          <w:rFonts w:eastAsia="Times New Roman"/>
          <w:b/>
          <w:bCs/>
          <w:color w:val="000000"/>
          <w:sz w:val="20"/>
          <w:szCs w:val="20"/>
        </w:rPr>
        <w:t>RALPH LAUREN CORPORATION</w:t>
      </w:r>
    </w:p>
    <w:p w14:paraId="6EF33EFD" w14:textId="77777777" w:rsidR="00000000" w:rsidRDefault="00EE5306">
      <w:pPr>
        <w:jc w:val="center"/>
        <w:divId w:val="1882205262"/>
        <w:rPr>
          <w:rFonts w:eastAsia="Times New Roman"/>
        </w:rPr>
      </w:pPr>
      <w:r>
        <w:rPr>
          <w:rFonts w:eastAsia="Times New Roman"/>
          <w:b/>
          <w:bCs/>
          <w:color w:val="000000"/>
          <w:sz w:val="20"/>
          <w:szCs w:val="20"/>
        </w:rPr>
        <w:t>NOTES TO CONSOLIDATED FINANCIAL STATEMENTS (Continued)</w:t>
      </w:r>
    </w:p>
    <w:p w14:paraId="04C45BE3" w14:textId="77777777" w:rsidR="00000000" w:rsidRDefault="00EE5306">
      <w:pPr>
        <w:ind w:firstLine="540"/>
        <w:jc w:val="both"/>
        <w:divId w:val="1526598003"/>
        <w:rPr>
          <w:rFonts w:eastAsia="Times New Roman"/>
        </w:rPr>
      </w:pPr>
      <w:r>
        <w:rPr>
          <w:rFonts w:eastAsia="Times New Roman"/>
          <w:color w:val="000000"/>
          <w:sz w:val="20"/>
          <w:szCs w:val="20"/>
        </w:rPr>
        <w:t>The Company also decided to account for the minimum tax on global intangible low-taxed income ("GILTI") in the period in which it is incur</w:t>
      </w:r>
      <w:r>
        <w:rPr>
          <w:rFonts w:eastAsia="Times New Roman"/>
          <w:color w:val="000000"/>
          <w:sz w:val="20"/>
          <w:szCs w:val="20"/>
        </w:rPr>
        <w:t>red and therefore has not provided any deferred tax impacts of GILTI in its consolidated financial statements.</w:t>
      </w:r>
    </w:p>
    <w:p w14:paraId="7C05BD32" w14:textId="77777777" w:rsidR="00000000" w:rsidRDefault="00EE5306">
      <w:pPr>
        <w:ind w:firstLine="360"/>
        <w:divId w:val="453646069"/>
        <w:rPr>
          <w:rFonts w:eastAsia="Times New Roman"/>
        </w:rPr>
      </w:pPr>
      <w:r>
        <w:rPr>
          <w:rFonts w:eastAsia="Times New Roman"/>
          <w:b/>
          <w:bCs/>
          <w:i/>
          <w:iCs/>
          <w:color w:val="000000"/>
          <w:sz w:val="20"/>
          <w:szCs w:val="20"/>
        </w:rPr>
        <w:t>Taxes on Income</w:t>
      </w:r>
    </w:p>
    <w:p w14:paraId="03382E0A" w14:textId="77777777" w:rsidR="00000000" w:rsidRDefault="00EE5306">
      <w:pPr>
        <w:ind w:firstLine="540"/>
        <w:jc w:val="both"/>
        <w:divId w:val="1167401881"/>
        <w:rPr>
          <w:rFonts w:eastAsia="Times New Roman"/>
        </w:rPr>
      </w:pPr>
      <w:r>
        <w:rPr>
          <w:rFonts w:eastAsia="Times New Roman"/>
          <w:color w:val="000000"/>
          <w:sz w:val="20"/>
          <w:szCs w:val="20"/>
        </w:rPr>
        <w:t>Domestic and foreign pretax income (loss) are as follows:</w:t>
      </w:r>
    </w:p>
    <w:tbl>
      <w:tblPr>
        <w:tblW w:w="4722" w:type="pct"/>
        <w:tblCellMar>
          <w:top w:w="15" w:type="dxa"/>
          <w:left w:w="15" w:type="dxa"/>
          <w:bottom w:w="15" w:type="dxa"/>
          <w:right w:w="15" w:type="dxa"/>
        </w:tblCellMar>
        <w:tblLook w:val="04A0" w:firstRow="1" w:lastRow="0" w:firstColumn="1" w:lastColumn="0" w:noHBand="0" w:noVBand="1"/>
      </w:tblPr>
      <w:tblGrid>
        <w:gridCol w:w="37"/>
        <w:gridCol w:w="4713"/>
        <w:gridCol w:w="36"/>
        <w:gridCol w:w="36"/>
        <w:gridCol w:w="36"/>
        <w:gridCol w:w="36"/>
        <w:gridCol w:w="120"/>
        <w:gridCol w:w="755"/>
        <w:gridCol w:w="36"/>
        <w:gridCol w:w="36"/>
        <w:gridCol w:w="36"/>
        <w:gridCol w:w="36"/>
        <w:gridCol w:w="120"/>
        <w:gridCol w:w="755"/>
        <w:gridCol w:w="36"/>
        <w:gridCol w:w="36"/>
        <w:gridCol w:w="36"/>
        <w:gridCol w:w="36"/>
        <w:gridCol w:w="120"/>
        <w:gridCol w:w="756"/>
        <w:gridCol w:w="36"/>
      </w:tblGrid>
      <w:tr w:rsidR="00000000" w14:paraId="5DE44AF5" w14:textId="77777777">
        <w:trPr>
          <w:divId w:val="398671647"/>
        </w:trPr>
        <w:tc>
          <w:tcPr>
            <w:tcW w:w="50" w:type="pct"/>
            <w:vAlign w:val="center"/>
            <w:hideMark/>
          </w:tcPr>
          <w:p w14:paraId="1D4AE750" w14:textId="77777777" w:rsidR="00000000" w:rsidRDefault="00EE5306">
            <w:pPr>
              <w:ind w:firstLine="540"/>
              <w:jc w:val="both"/>
              <w:rPr>
                <w:rFonts w:eastAsia="Times New Roman"/>
              </w:rPr>
            </w:pPr>
          </w:p>
        </w:tc>
        <w:tc>
          <w:tcPr>
            <w:tcW w:w="3040" w:type="pct"/>
            <w:vAlign w:val="center"/>
            <w:hideMark/>
          </w:tcPr>
          <w:p w14:paraId="5D98ABF3" w14:textId="77777777" w:rsidR="00000000" w:rsidRDefault="00EE5306">
            <w:pPr>
              <w:spacing w:after="100"/>
              <w:rPr>
                <w:rFonts w:eastAsia="Times New Roman"/>
                <w:sz w:val="20"/>
                <w:szCs w:val="20"/>
              </w:rPr>
            </w:pPr>
          </w:p>
        </w:tc>
        <w:tc>
          <w:tcPr>
            <w:tcW w:w="5" w:type="pct"/>
            <w:vAlign w:val="center"/>
            <w:hideMark/>
          </w:tcPr>
          <w:p w14:paraId="4509697C" w14:textId="77777777" w:rsidR="00000000" w:rsidRDefault="00EE5306">
            <w:pPr>
              <w:spacing w:after="100"/>
              <w:rPr>
                <w:rFonts w:eastAsia="Times New Roman"/>
                <w:sz w:val="20"/>
                <w:szCs w:val="20"/>
              </w:rPr>
            </w:pPr>
          </w:p>
        </w:tc>
        <w:tc>
          <w:tcPr>
            <w:tcW w:w="5" w:type="pct"/>
            <w:vAlign w:val="center"/>
            <w:hideMark/>
          </w:tcPr>
          <w:p w14:paraId="15209C95" w14:textId="77777777" w:rsidR="00000000" w:rsidRDefault="00EE5306">
            <w:pPr>
              <w:spacing w:after="100"/>
              <w:rPr>
                <w:rFonts w:eastAsia="Times New Roman"/>
                <w:sz w:val="20"/>
                <w:szCs w:val="20"/>
              </w:rPr>
            </w:pPr>
          </w:p>
        </w:tc>
        <w:tc>
          <w:tcPr>
            <w:tcW w:w="28" w:type="pct"/>
            <w:vAlign w:val="center"/>
            <w:hideMark/>
          </w:tcPr>
          <w:p w14:paraId="1F23AE23" w14:textId="77777777" w:rsidR="00000000" w:rsidRDefault="00EE5306">
            <w:pPr>
              <w:spacing w:after="100"/>
              <w:rPr>
                <w:rFonts w:eastAsia="Times New Roman"/>
                <w:sz w:val="20"/>
                <w:szCs w:val="20"/>
              </w:rPr>
            </w:pPr>
          </w:p>
        </w:tc>
        <w:tc>
          <w:tcPr>
            <w:tcW w:w="5" w:type="pct"/>
            <w:vAlign w:val="center"/>
            <w:hideMark/>
          </w:tcPr>
          <w:p w14:paraId="36DC3C6C" w14:textId="77777777" w:rsidR="00000000" w:rsidRDefault="00EE5306">
            <w:pPr>
              <w:spacing w:after="100"/>
              <w:rPr>
                <w:rFonts w:eastAsia="Times New Roman"/>
                <w:sz w:val="20"/>
                <w:szCs w:val="20"/>
              </w:rPr>
            </w:pPr>
          </w:p>
        </w:tc>
        <w:tc>
          <w:tcPr>
            <w:tcW w:w="50" w:type="pct"/>
            <w:vAlign w:val="center"/>
            <w:hideMark/>
          </w:tcPr>
          <w:p w14:paraId="3A06CE8E" w14:textId="77777777" w:rsidR="00000000" w:rsidRDefault="00EE5306">
            <w:pPr>
              <w:spacing w:after="100"/>
              <w:rPr>
                <w:rFonts w:eastAsia="Times New Roman"/>
                <w:sz w:val="20"/>
                <w:szCs w:val="20"/>
              </w:rPr>
            </w:pPr>
          </w:p>
        </w:tc>
        <w:tc>
          <w:tcPr>
            <w:tcW w:w="540" w:type="pct"/>
            <w:vAlign w:val="center"/>
            <w:hideMark/>
          </w:tcPr>
          <w:p w14:paraId="322EF6D4" w14:textId="77777777" w:rsidR="00000000" w:rsidRDefault="00EE5306">
            <w:pPr>
              <w:spacing w:after="100"/>
              <w:rPr>
                <w:rFonts w:eastAsia="Times New Roman"/>
                <w:sz w:val="20"/>
                <w:szCs w:val="20"/>
              </w:rPr>
            </w:pPr>
          </w:p>
        </w:tc>
        <w:tc>
          <w:tcPr>
            <w:tcW w:w="5" w:type="pct"/>
            <w:vAlign w:val="center"/>
            <w:hideMark/>
          </w:tcPr>
          <w:p w14:paraId="4EBFE34E" w14:textId="77777777" w:rsidR="00000000" w:rsidRDefault="00EE5306">
            <w:pPr>
              <w:spacing w:after="100"/>
              <w:rPr>
                <w:rFonts w:eastAsia="Times New Roman"/>
                <w:sz w:val="20"/>
                <w:szCs w:val="20"/>
              </w:rPr>
            </w:pPr>
          </w:p>
        </w:tc>
        <w:tc>
          <w:tcPr>
            <w:tcW w:w="5" w:type="pct"/>
            <w:vAlign w:val="center"/>
            <w:hideMark/>
          </w:tcPr>
          <w:p w14:paraId="327FFB55" w14:textId="77777777" w:rsidR="00000000" w:rsidRDefault="00EE5306">
            <w:pPr>
              <w:spacing w:after="100"/>
              <w:rPr>
                <w:rFonts w:eastAsia="Times New Roman"/>
                <w:sz w:val="20"/>
                <w:szCs w:val="20"/>
              </w:rPr>
            </w:pPr>
          </w:p>
        </w:tc>
        <w:tc>
          <w:tcPr>
            <w:tcW w:w="28" w:type="pct"/>
            <w:vAlign w:val="center"/>
            <w:hideMark/>
          </w:tcPr>
          <w:p w14:paraId="72D9B71B" w14:textId="77777777" w:rsidR="00000000" w:rsidRDefault="00EE5306">
            <w:pPr>
              <w:spacing w:after="100"/>
              <w:rPr>
                <w:rFonts w:eastAsia="Times New Roman"/>
                <w:sz w:val="20"/>
                <w:szCs w:val="20"/>
              </w:rPr>
            </w:pPr>
          </w:p>
        </w:tc>
        <w:tc>
          <w:tcPr>
            <w:tcW w:w="5" w:type="pct"/>
            <w:vAlign w:val="center"/>
            <w:hideMark/>
          </w:tcPr>
          <w:p w14:paraId="25526EBC" w14:textId="77777777" w:rsidR="00000000" w:rsidRDefault="00EE5306">
            <w:pPr>
              <w:spacing w:after="100"/>
              <w:rPr>
                <w:rFonts w:eastAsia="Times New Roman"/>
                <w:sz w:val="20"/>
                <w:szCs w:val="20"/>
              </w:rPr>
            </w:pPr>
          </w:p>
        </w:tc>
        <w:tc>
          <w:tcPr>
            <w:tcW w:w="50" w:type="pct"/>
            <w:vAlign w:val="center"/>
            <w:hideMark/>
          </w:tcPr>
          <w:p w14:paraId="666EF9BC" w14:textId="77777777" w:rsidR="00000000" w:rsidRDefault="00EE5306">
            <w:pPr>
              <w:spacing w:after="100"/>
              <w:rPr>
                <w:rFonts w:eastAsia="Times New Roman"/>
                <w:sz w:val="20"/>
                <w:szCs w:val="20"/>
              </w:rPr>
            </w:pPr>
          </w:p>
        </w:tc>
        <w:tc>
          <w:tcPr>
            <w:tcW w:w="540" w:type="pct"/>
            <w:vAlign w:val="center"/>
            <w:hideMark/>
          </w:tcPr>
          <w:p w14:paraId="4A6FA086" w14:textId="77777777" w:rsidR="00000000" w:rsidRDefault="00EE5306">
            <w:pPr>
              <w:spacing w:after="100"/>
              <w:rPr>
                <w:rFonts w:eastAsia="Times New Roman"/>
                <w:sz w:val="20"/>
                <w:szCs w:val="20"/>
              </w:rPr>
            </w:pPr>
          </w:p>
        </w:tc>
        <w:tc>
          <w:tcPr>
            <w:tcW w:w="5" w:type="pct"/>
            <w:vAlign w:val="center"/>
            <w:hideMark/>
          </w:tcPr>
          <w:p w14:paraId="376E1EDB" w14:textId="77777777" w:rsidR="00000000" w:rsidRDefault="00EE5306">
            <w:pPr>
              <w:spacing w:after="100"/>
              <w:rPr>
                <w:rFonts w:eastAsia="Times New Roman"/>
                <w:sz w:val="20"/>
                <w:szCs w:val="20"/>
              </w:rPr>
            </w:pPr>
          </w:p>
        </w:tc>
        <w:tc>
          <w:tcPr>
            <w:tcW w:w="5" w:type="pct"/>
            <w:vAlign w:val="center"/>
            <w:hideMark/>
          </w:tcPr>
          <w:p w14:paraId="16A279CC" w14:textId="77777777" w:rsidR="00000000" w:rsidRDefault="00EE5306">
            <w:pPr>
              <w:spacing w:after="100"/>
              <w:rPr>
                <w:rFonts w:eastAsia="Times New Roman"/>
                <w:sz w:val="20"/>
                <w:szCs w:val="20"/>
              </w:rPr>
            </w:pPr>
          </w:p>
        </w:tc>
        <w:tc>
          <w:tcPr>
            <w:tcW w:w="28" w:type="pct"/>
            <w:vAlign w:val="center"/>
            <w:hideMark/>
          </w:tcPr>
          <w:p w14:paraId="72275076" w14:textId="77777777" w:rsidR="00000000" w:rsidRDefault="00EE5306">
            <w:pPr>
              <w:spacing w:after="100"/>
              <w:rPr>
                <w:rFonts w:eastAsia="Times New Roman"/>
                <w:sz w:val="20"/>
                <w:szCs w:val="20"/>
              </w:rPr>
            </w:pPr>
          </w:p>
        </w:tc>
        <w:tc>
          <w:tcPr>
            <w:tcW w:w="5" w:type="pct"/>
            <w:vAlign w:val="center"/>
            <w:hideMark/>
          </w:tcPr>
          <w:p w14:paraId="6946B866" w14:textId="77777777" w:rsidR="00000000" w:rsidRDefault="00EE5306">
            <w:pPr>
              <w:spacing w:after="100"/>
              <w:rPr>
                <w:rFonts w:eastAsia="Times New Roman"/>
                <w:sz w:val="20"/>
                <w:szCs w:val="20"/>
              </w:rPr>
            </w:pPr>
          </w:p>
        </w:tc>
        <w:tc>
          <w:tcPr>
            <w:tcW w:w="50" w:type="pct"/>
            <w:vAlign w:val="center"/>
            <w:hideMark/>
          </w:tcPr>
          <w:p w14:paraId="591D12DF" w14:textId="77777777" w:rsidR="00000000" w:rsidRDefault="00EE5306">
            <w:pPr>
              <w:spacing w:after="100"/>
              <w:rPr>
                <w:rFonts w:eastAsia="Times New Roman"/>
                <w:sz w:val="20"/>
                <w:szCs w:val="20"/>
              </w:rPr>
            </w:pPr>
          </w:p>
        </w:tc>
        <w:tc>
          <w:tcPr>
            <w:tcW w:w="541" w:type="pct"/>
            <w:vAlign w:val="center"/>
            <w:hideMark/>
          </w:tcPr>
          <w:p w14:paraId="4B69CB7B" w14:textId="77777777" w:rsidR="00000000" w:rsidRDefault="00EE5306">
            <w:pPr>
              <w:spacing w:after="100"/>
              <w:rPr>
                <w:rFonts w:eastAsia="Times New Roman"/>
                <w:sz w:val="20"/>
                <w:szCs w:val="20"/>
              </w:rPr>
            </w:pPr>
          </w:p>
        </w:tc>
        <w:tc>
          <w:tcPr>
            <w:tcW w:w="5" w:type="pct"/>
            <w:vAlign w:val="center"/>
            <w:hideMark/>
          </w:tcPr>
          <w:p w14:paraId="34AFF8B0" w14:textId="77777777" w:rsidR="00000000" w:rsidRDefault="00EE5306">
            <w:pPr>
              <w:spacing w:after="100"/>
              <w:rPr>
                <w:rFonts w:eastAsia="Times New Roman"/>
                <w:sz w:val="20"/>
                <w:szCs w:val="20"/>
              </w:rPr>
            </w:pPr>
          </w:p>
        </w:tc>
      </w:tr>
      <w:tr w:rsidR="00000000" w14:paraId="0DD59496" w14:textId="77777777">
        <w:trPr>
          <w:divId w:val="398671647"/>
        </w:trPr>
        <w:tc>
          <w:tcPr>
            <w:tcW w:w="0" w:type="auto"/>
            <w:gridSpan w:val="3"/>
            <w:tcMar>
              <w:top w:w="30" w:type="dxa"/>
              <w:left w:w="20" w:type="dxa"/>
              <w:bottom w:w="30" w:type="dxa"/>
              <w:right w:w="20" w:type="dxa"/>
            </w:tcMar>
            <w:vAlign w:val="bottom"/>
            <w:hideMark/>
          </w:tcPr>
          <w:p w14:paraId="1A1C7CB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1EA0912"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1A6ACA0A"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55A82C49" w14:textId="77777777">
        <w:trPr>
          <w:divId w:val="398671647"/>
        </w:trPr>
        <w:tc>
          <w:tcPr>
            <w:tcW w:w="0" w:type="auto"/>
            <w:gridSpan w:val="3"/>
            <w:tcMar>
              <w:top w:w="30" w:type="dxa"/>
              <w:left w:w="20" w:type="dxa"/>
              <w:bottom w:w="30" w:type="dxa"/>
              <w:right w:w="20" w:type="dxa"/>
            </w:tcMar>
            <w:vAlign w:val="bottom"/>
            <w:hideMark/>
          </w:tcPr>
          <w:p w14:paraId="55B205B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99366A0"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D4D3BB"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DCB6AF9"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FD3BB94"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8D016F8"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0E322F"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15126A63" w14:textId="77777777">
        <w:trPr>
          <w:divId w:val="398671647"/>
        </w:trPr>
        <w:tc>
          <w:tcPr>
            <w:tcW w:w="0" w:type="auto"/>
            <w:gridSpan w:val="3"/>
            <w:tcMar>
              <w:top w:w="0" w:type="dxa"/>
              <w:left w:w="20" w:type="dxa"/>
              <w:bottom w:w="0" w:type="dxa"/>
              <w:right w:w="20" w:type="dxa"/>
            </w:tcMar>
            <w:vAlign w:val="center"/>
            <w:hideMark/>
          </w:tcPr>
          <w:p w14:paraId="2FB7C5FC"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83329BE" w14:textId="77777777" w:rsidR="00000000" w:rsidRDefault="00EE530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1DD525A8"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59AA7EBD" w14:textId="77777777">
        <w:trPr>
          <w:divId w:val="398671647"/>
        </w:trPr>
        <w:tc>
          <w:tcPr>
            <w:tcW w:w="0" w:type="auto"/>
            <w:gridSpan w:val="3"/>
            <w:shd w:val="clear" w:color="auto" w:fill="CCEEFF"/>
            <w:tcMar>
              <w:top w:w="30" w:type="dxa"/>
              <w:left w:w="20" w:type="dxa"/>
              <w:bottom w:w="30" w:type="dxa"/>
              <w:right w:w="20" w:type="dxa"/>
            </w:tcMar>
            <w:vAlign w:val="bottom"/>
            <w:hideMark/>
          </w:tcPr>
          <w:p w14:paraId="7E880EF5" w14:textId="77777777" w:rsidR="00000000" w:rsidRDefault="00EE5306">
            <w:pPr>
              <w:spacing w:after="100"/>
              <w:rPr>
                <w:rFonts w:eastAsia="Times New Roman"/>
              </w:rPr>
            </w:pPr>
            <w:r>
              <w:rPr>
                <w:rFonts w:eastAsia="Times New Roman"/>
                <w:color w:val="000000"/>
                <w:sz w:val="20"/>
                <w:szCs w:val="20"/>
              </w:rPr>
              <w:t>Domestic</w:t>
            </w:r>
          </w:p>
        </w:tc>
        <w:tc>
          <w:tcPr>
            <w:tcW w:w="0" w:type="auto"/>
            <w:gridSpan w:val="3"/>
            <w:shd w:val="clear" w:color="auto" w:fill="CCEEFF"/>
            <w:tcMar>
              <w:top w:w="0" w:type="dxa"/>
              <w:left w:w="20" w:type="dxa"/>
              <w:bottom w:w="0" w:type="dxa"/>
              <w:right w:w="20" w:type="dxa"/>
            </w:tcMar>
            <w:vAlign w:val="center"/>
            <w:hideMark/>
          </w:tcPr>
          <w:p w14:paraId="44B2D9A5"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C54668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EE5635" w14:textId="77777777" w:rsidR="00000000" w:rsidRDefault="00EE5306">
            <w:pPr>
              <w:spacing w:after="100"/>
              <w:jc w:val="right"/>
              <w:rPr>
                <w:rFonts w:eastAsia="Times New Roman"/>
              </w:rPr>
            </w:pPr>
            <w:r>
              <w:rPr>
                <w:rFonts w:eastAsia="Times New Roman"/>
                <w:color w:val="000000"/>
                <w:sz w:val="20"/>
                <w:szCs w:val="20"/>
              </w:rPr>
              <w:t>(285.0)</w:t>
            </w:r>
          </w:p>
        </w:tc>
        <w:tc>
          <w:tcPr>
            <w:tcW w:w="0" w:type="auto"/>
            <w:shd w:val="clear" w:color="auto" w:fill="CCEEFF"/>
            <w:tcMar>
              <w:top w:w="30" w:type="dxa"/>
              <w:left w:w="0" w:type="dxa"/>
              <w:bottom w:w="30" w:type="dxa"/>
              <w:right w:w="20" w:type="dxa"/>
            </w:tcMar>
            <w:vAlign w:val="bottom"/>
            <w:hideMark/>
          </w:tcPr>
          <w:p w14:paraId="0E6E113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62180"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8FF4C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AE68DD" w14:textId="77777777" w:rsidR="00000000" w:rsidRDefault="00EE5306">
            <w:pPr>
              <w:spacing w:after="100"/>
              <w:jc w:val="right"/>
              <w:rPr>
                <w:rFonts w:eastAsia="Times New Roman"/>
              </w:rPr>
            </w:pPr>
            <w:r>
              <w:rPr>
                <w:rFonts w:eastAsia="Times New Roman"/>
                <w:color w:val="000000"/>
                <w:sz w:val="20"/>
                <w:szCs w:val="20"/>
              </w:rPr>
              <w:t>(82.9)</w:t>
            </w:r>
          </w:p>
        </w:tc>
        <w:tc>
          <w:tcPr>
            <w:tcW w:w="0" w:type="auto"/>
            <w:shd w:val="clear" w:color="auto" w:fill="CCEEFF"/>
            <w:tcMar>
              <w:top w:w="30" w:type="dxa"/>
              <w:left w:w="0" w:type="dxa"/>
              <w:bottom w:w="30" w:type="dxa"/>
              <w:right w:w="20" w:type="dxa"/>
            </w:tcMar>
            <w:vAlign w:val="bottom"/>
            <w:hideMark/>
          </w:tcPr>
          <w:p w14:paraId="6BF98F5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D117D"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94BF4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79E819" w14:textId="77777777" w:rsidR="00000000" w:rsidRDefault="00EE5306">
            <w:pPr>
              <w:spacing w:after="100"/>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14:paraId="6AC9C57F" w14:textId="77777777" w:rsidR="00000000" w:rsidRDefault="00EE5306">
            <w:pPr>
              <w:spacing w:after="100"/>
              <w:jc w:val="right"/>
              <w:rPr>
                <w:rFonts w:eastAsia="Times New Roman"/>
              </w:rPr>
            </w:pPr>
          </w:p>
        </w:tc>
      </w:tr>
      <w:tr w:rsidR="00000000" w14:paraId="03731DD3" w14:textId="77777777">
        <w:trPr>
          <w:divId w:val="398671647"/>
        </w:trPr>
        <w:tc>
          <w:tcPr>
            <w:tcW w:w="0" w:type="auto"/>
            <w:gridSpan w:val="3"/>
            <w:shd w:val="clear" w:color="auto" w:fill="FFFFFF"/>
            <w:tcMar>
              <w:top w:w="30" w:type="dxa"/>
              <w:left w:w="20" w:type="dxa"/>
              <w:bottom w:w="30" w:type="dxa"/>
              <w:right w:w="20" w:type="dxa"/>
            </w:tcMar>
            <w:vAlign w:val="bottom"/>
            <w:hideMark/>
          </w:tcPr>
          <w:p w14:paraId="7CCCFE2F" w14:textId="77777777" w:rsidR="00000000" w:rsidRDefault="00EE5306">
            <w:pPr>
              <w:spacing w:after="100"/>
              <w:rPr>
                <w:rFonts w:eastAsia="Times New Roman"/>
              </w:rPr>
            </w:pPr>
            <w:r>
              <w:rPr>
                <w:rFonts w:eastAsia="Times New Roman"/>
                <w:color w:val="000000"/>
                <w:sz w:val="20"/>
                <w:szCs w:val="20"/>
              </w:rPr>
              <w:t>Foreign</w:t>
            </w:r>
          </w:p>
        </w:tc>
        <w:tc>
          <w:tcPr>
            <w:tcW w:w="0" w:type="auto"/>
            <w:gridSpan w:val="3"/>
            <w:shd w:val="clear" w:color="auto" w:fill="FFFFFF"/>
            <w:tcMar>
              <w:top w:w="0" w:type="dxa"/>
              <w:left w:w="20" w:type="dxa"/>
              <w:bottom w:w="0" w:type="dxa"/>
              <w:right w:w="20" w:type="dxa"/>
            </w:tcMar>
            <w:vAlign w:val="center"/>
            <w:hideMark/>
          </w:tcPr>
          <w:p w14:paraId="5F4055F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2FFA78" w14:textId="77777777" w:rsidR="00000000" w:rsidRDefault="00EE5306">
            <w:pPr>
              <w:spacing w:after="100"/>
              <w:jc w:val="right"/>
              <w:rPr>
                <w:rFonts w:eastAsia="Times New Roman"/>
              </w:rPr>
            </w:pPr>
            <w:r>
              <w:rPr>
                <w:rFonts w:eastAsia="Times New Roman"/>
                <w:color w:val="000000"/>
                <w:sz w:val="20"/>
                <w:szCs w:val="20"/>
              </w:rPr>
              <w:t>210.2 </w:t>
            </w:r>
          </w:p>
        </w:tc>
        <w:tc>
          <w:tcPr>
            <w:tcW w:w="0" w:type="auto"/>
            <w:shd w:val="clear" w:color="auto" w:fill="FFFFFF"/>
            <w:tcMar>
              <w:top w:w="30" w:type="dxa"/>
              <w:left w:w="0" w:type="dxa"/>
              <w:bottom w:w="30" w:type="dxa"/>
              <w:right w:w="20" w:type="dxa"/>
            </w:tcMar>
            <w:vAlign w:val="bottom"/>
            <w:hideMark/>
          </w:tcPr>
          <w:p w14:paraId="45A8977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7DA8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17DB50" w14:textId="77777777" w:rsidR="00000000" w:rsidRDefault="00EE5306">
            <w:pPr>
              <w:spacing w:after="100"/>
              <w:jc w:val="right"/>
              <w:rPr>
                <w:rFonts w:eastAsia="Times New Roman"/>
              </w:rPr>
            </w:pPr>
            <w:r>
              <w:rPr>
                <w:rFonts w:eastAsia="Times New Roman"/>
                <w:color w:val="000000"/>
                <w:sz w:val="20"/>
                <w:szCs w:val="20"/>
              </w:rPr>
              <w:t>409.3 </w:t>
            </w:r>
          </w:p>
        </w:tc>
        <w:tc>
          <w:tcPr>
            <w:tcW w:w="0" w:type="auto"/>
            <w:shd w:val="clear" w:color="auto" w:fill="FFFFFF"/>
            <w:tcMar>
              <w:top w:w="30" w:type="dxa"/>
              <w:left w:w="0" w:type="dxa"/>
              <w:bottom w:w="30" w:type="dxa"/>
              <w:right w:w="20" w:type="dxa"/>
            </w:tcMar>
            <w:vAlign w:val="bottom"/>
            <w:hideMark/>
          </w:tcPr>
          <w:p w14:paraId="6B457D9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F77B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0CFD7" w14:textId="77777777" w:rsidR="00000000" w:rsidRDefault="00EE5306">
            <w:pPr>
              <w:spacing w:after="100"/>
              <w:jc w:val="right"/>
              <w:rPr>
                <w:rFonts w:eastAsia="Times New Roman"/>
              </w:rPr>
            </w:pPr>
            <w:r>
              <w:rPr>
                <w:rFonts w:eastAsia="Times New Roman"/>
                <w:color w:val="000000"/>
                <w:sz w:val="20"/>
                <w:szCs w:val="20"/>
              </w:rPr>
              <w:t>515.9 </w:t>
            </w:r>
          </w:p>
        </w:tc>
        <w:tc>
          <w:tcPr>
            <w:tcW w:w="0" w:type="auto"/>
            <w:shd w:val="clear" w:color="auto" w:fill="FFFFFF"/>
            <w:tcMar>
              <w:top w:w="30" w:type="dxa"/>
              <w:left w:w="0" w:type="dxa"/>
              <w:bottom w:w="30" w:type="dxa"/>
              <w:right w:w="20" w:type="dxa"/>
            </w:tcMar>
            <w:vAlign w:val="bottom"/>
            <w:hideMark/>
          </w:tcPr>
          <w:p w14:paraId="09C270EE" w14:textId="77777777" w:rsidR="00000000" w:rsidRDefault="00EE5306">
            <w:pPr>
              <w:spacing w:after="100"/>
              <w:jc w:val="right"/>
              <w:rPr>
                <w:rFonts w:eastAsia="Times New Roman"/>
              </w:rPr>
            </w:pPr>
          </w:p>
        </w:tc>
      </w:tr>
      <w:tr w:rsidR="00000000" w14:paraId="390E237E" w14:textId="77777777">
        <w:trPr>
          <w:divId w:val="398671647"/>
        </w:trPr>
        <w:tc>
          <w:tcPr>
            <w:tcW w:w="0" w:type="auto"/>
            <w:gridSpan w:val="3"/>
            <w:shd w:val="clear" w:color="auto" w:fill="CCEEFF"/>
            <w:tcMar>
              <w:top w:w="30" w:type="dxa"/>
              <w:left w:w="155" w:type="dxa"/>
              <w:bottom w:w="30" w:type="dxa"/>
              <w:right w:w="20" w:type="dxa"/>
            </w:tcMar>
            <w:vAlign w:val="bottom"/>
            <w:hideMark/>
          </w:tcPr>
          <w:p w14:paraId="724BE671" w14:textId="77777777" w:rsidR="00000000" w:rsidRDefault="00EE5306">
            <w:pPr>
              <w:spacing w:after="100"/>
              <w:rPr>
                <w:rFonts w:eastAsia="Times New Roman"/>
              </w:rPr>
            </w:pPr>
            <w:r>
              <w:rPr>
                <w:rFonts w:eastAsia="Times New Roman"/>
                <w:color w:val="000000"/>
                <w:sz w:val="20"/>
                <w:szCs w:val="20"/>
              </w:rPr>
              <w:t>Total income (loss) before income taxes</w:t>
            </w:r>
          </w:p>
        </w:tc>
        <w:tc>
          <w:tcPr>
            <w:tcW w:w="0" w:type="auto"/>
            <w:gridSpan w:val="3"/>
            <w:shd w:val="clear" w:color="auto" w:fill="CCEEFF"/>
            <w:tcMar>
              <w:top w:w="0" w:type="dxa"/>
              <w:left w:w="20" w:type="dxa"/>
              <w:bottom w:w="0" w:type="dxa"/>
              <w:right w:w="20" w:type="dxa"/>
            </w:tcMar>
            <w:vAlign w:val="center"/>
            <w:hideMark/>
          </w:tcPr>
          <w:p w14:paraId="64D45F21"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526C5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1379BB" w14:textId="77777777" w:rsidR="00000000" w:rsidRDefault="00EE5306">
            <w:pPr>
              <w:spacing w:after="100"/>
              <w:jc w:val="right"/>
              <w:rPr>
                <w:rFonts w:eastAsia="Times New Roman"/>
              </w:rPr>
            </w:pPr>
            <w:r>
              <w:rPr>
                <w:rFonts w:eastAsia="Times New Roman"/>
                <w:color w:val="000000"/>
                <w:sz w:val="20"/>
                <w:szCs w:val="20"/>
              </w:rPr>
              <w:t>(74.8)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31EE3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DD5B4"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4C4D08"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340272" w14:textId="77777777" w:rsidR="00000000" w:rsidRDefault="00EE5306">
            <w:pPr>
              <w:spacing w:after="100"/>
              <w:jc w:val="right"/>
              <w:rPr>
                <w:rFonts w:eastAsia="Times New Roman"/>
              </w:rPr>
            </w:pPr>
            <w:r>
              <w:rPr>
                <w:rFonts w:eastAsia="Times New Roman"/>
                <w:color w:val="000000"/>
                <w:sz w:val="20"/>
                <w:szCs w:val="20"/>
              </w:rPr>
              <w:t>326.4 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4EC7B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1DFCC"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038726"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64A854" w14:textId="77777777" w:rsidR="00000000" w:rsidRDefault="00EE5306">
            <w:pPr>
              <w:spacing w:after="100"/>
              <w:jc w:val="right"/>
              <w:rPr>
                <w:rFonts w:eastAsia="Times New Roman"/>
              </w:rPr>
            </w:pPr>
            <w:r>
              <w:rPr>
                <w:rFonts w:eastAsia="Times New Roman"/>
                <w:color w:val="000000"/>
                <w:sz w:val="20"/>
                <w:szCs w:val="20"/>
              </w:rPr>
              <w:t>582.5 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9A6B2B" w14:textId="77777777" w:rsidR="00000000" w:rsidRDefault="00EE5306">
            <w:pPr>
              <w:spacing w:after="100"/>
              <w:jc w:val="right"/>
              <w:rPr>
                <w:rFonts w:eastAsia="Times New Roman"/>
              </w:rPr>
            </w:pPr>
          </w:p>
        </w:tc>
      </w:tr>
    </w:tbl>
    <w:p w14:paraId="6E746E90" w14:textId="77777777" w:rsidR="00000000" w:rsidRDefault="00EE5306">
      <w:pPr>
        <w:ind w:firstLine="540"/>
        <w:jc w:val="both"/>
        <w:divId w:val="862208024"/>
        <w:rPr>
          <w:rFonts w:eastAsia="Times New Roman"/>
        </w:rPr>
      </w:pPr>
      <w:r>
        <w:rPr>
          <w:rFonts w:eastAsia="Times New Roman"/>
          <w:color w:val="000000"/>
          <w:sz w:val="20"/>
          <w:szCs w:val="20"/>
        </w:rPr>
        <w:t xml:space="preserve">Benefits (provisions) for current and deferred income taxes are as follows: </w:t>
      </w:r>
    </w:p>
    <w:tbl>
      <w:tblPr>
        <w:tblW w:w="4722" w:type="pct"/>
        <w:tblCellMar>
          <w:top w:w="15" w:type="dxa"/>
          <w:left w:w="15" w:type="dxa"/>
          <w:bottom w:w="15" w:type="dxa"/>
          <w:right w:w="15" w:type="dxa"/>
        </w:tblCellMar>
        <w:tblLook w:val="04A0" w:firstRow="1" w:lastRow="0" w:firstColumn="1" w:lastColumn="0" w:noHBand="0" w:noVBand="1"/>
      </w:tblPr>
      <w:tblGrid>
        <w:gridCol w:w="39"/>
        <w:gridCol w:w="4709"/>
        <w:gridCol w:w="37"/>
        <w:gridCol w:w="36"/>
        <w:gridCol w:w="36"/>
        <w:gridCol w:w="36"/>
        <w:gridCol w:w="120"/>
        <w:gridCol w:w="755"/>
        <w:gridCol w:w="36"/>
        <w:gridCol w:w="36"/>
        <w:gridCol w:w="36"/>
        <w:gridCol w:w="36"/>
        <w:gridCol w:w="121"/>
        <w:gridCol w:w="755"/>
        <w:gridCol w:w="36"/>
        <w:gridCol w:w="36"/>
        <w:gridCol w:w="36"/>
        <w:gridCol w:w="36"/>
        <w:gridCol w:w="120"/>
        <w:gridCol w:w="756"/>
        <w:gridCol w:w="36"/>
      </w:tblGrid>
      <w:tr w:rsidR="00000000" w14:paraId="46F7570A" w14:textId="77777777">
        <w:trPr>
          <w:divId w:val="1641031493"/>
        </w:trPr>
        <w:tc>
          <w:tcPr>
            <w:tcW w:w="50" w:type="pct"/>
            <w:vAlign w:val="center"/>
            <w:hideMark/>
          </w:tcPr>
          <w:p w14:paraId="03C289B2" w14:textId="77777777" w:rsidR="00000000" w:rsidRDefault="00EE5306">
            <w:pPr>
              <w:ind w:firstLine="540"/>
              <w:jc w:val="both"/>
              <w:rPr>
                <w:rFonts w:eastAsia="Times New Roman"/>
              </w:rPr>
            </w:pPr>
          </w:p>
        </w:tc>
        <w:tc>
          <w:tcPr>
            <w:tcW w:w="3040" w:type="pct"/>
            <w:vAlign w:val="center"/>
            <w:hideMark/>
          </w:tcPr>
          <w:p w14:paraId="59291D0C" w14:textId="77777777" w:rsidR="00000000" w:rsidRDefault="00EE5306">
            <w:pPr>
              <w:spacing w:after="100"/>
              <w:rPr>
                <w:rFonts w:eastAsia="Times New Roman"/>
                <w:sz w:val="20"/>
                <w:szCs w:val="20"/>
              </w:rPr>
            </w:pPr>
          </w:p>
        </w:tc>
        <w:tc>
          <w:tcPr>
            <w:tcW w:w="5" w:type="pct"/>
            <w:vAlign w:val="center"/>
            <w:hideMark/>
          </w:tcPr>
          <w:p w14:paraId="194C35B8" w14:textId="77777777" w:rsidR="00000000" w:rsidRDefault="00EE5306">
            <w:pPr>
              <w:spacing w:after="100"/>
              <w:rPr>
                <w:rFonts w:eastAsia="Times New Roman"/>
                <w:sz w:val="20"/>
                <w:szCs w:val="20"/>
              </w:rPr>
            </w:pPr>
          </w:p>
        </w:tc>
        <w:tc>
          <w:tcPr>
            <w:tcW w:w="5" w:type="pct"/>
            <w:vAlign w:val="center"/>
            <w:hideMark/>
          </w:tcPr>
          <w:p w14:paraId="1BB59DF3" w14:textId="77777777" w:rsidR="00000000" w:rsidRDefault="00EE5306">
            <w:pPr>
              <w:spacing w:after="100"/>
              <w:rPr>
                <w:rFonts w:eastAsia="Times New Roman"/>
                <w:sz w:val="20"/>
                <w:szCs w:val="20"/>
              </w:rPr>
            </w:pPr>
          </w:p>
        </w:tc>
        <w:tc>
          <w:tcPr>
            <w:tcW w:w="28" w:type="pct"/>
            <w:vAlign w:val="center"/>
            <w:hideMark/>
          </w:tcPr>
          <w:p w14:paraId="21793F68" w14:textId="77777777" w:rsidR="00000000" w:rsidRDefault="00EE5306">
            <w:pPr>
              <w:spacing w:after="100"/>
              <w:rPr>
                <w:rFonts w:eastAsia="Times New Roman"/>
                <w:sz w:val="20"/>
                <w:szCs w:val="20"/>
              </w:rPr>
            </w:pPr>
          </w:p>
        </w:tc>
        <w:tc>
          <w:tcPr>
            <w:tcW w:w="5" w:type="pct"/>
            <w:vAlign w:val="center"/>
            <w:hideMark/>
          </w:tcPr>
          <w:p w14:paraId="4382413D" w14:textId="77777777" w:rsidR="00000000" w:rsidRDefault="00EE5306">
            <w:pPr>
              <w:spacing w:after="100"/>
              <w:rPr>
                <w:rFonts w:eastAsia="Times New Roman"/>
                <w:sz w:val="20"/>
                <w:szCs w:val="20"/>
              </w:rPr>
            </w:pPr>
          </w:p>
        </w:tc>
        <w:tc>
          <w:tcPr>
            <w:tcW w:w="50" w:type="pct"/>
            <w:vAlign w:val="center"/>
            <w:hideMark/>
          </w:tcPr>
          <w:p w14:paraId="770D8D6F" w14:textId="77777777" w:rsidR="00000000" w:rsidRDefault="00EE5306">
            <w:pPr>
              <w:spacing w:after="100"/>
              <w:rPr>
                <w:rFonts w:eastAsia="Times New Roman"/>
                <w:sz w:val="20"/>
                <w:szCs w:val="20"/>
              </w:rPr>
            </w:pPr>
          </w:p>
        </w:tc>
        <w:tc>
          <w:tcPr>
            <w:tcW w:w="540" w:type="pct"/>
            <w:vAlign w:val="center"/>
            <w:hideMark/>
          </w:tcPr>
          <w:p w14:paraId="5DF7D814" w14:textId="77777777" w:rsidR="00000000" w:rsidRDefault="00EE5306">
            <w:pPr>
              <w:spacing w:after="100"/>
              <w:rPr>
                <w:rFonts w:eastAsia="Times New Roman"/>
                <w:sz w:val="20"/>
                <w:szCs w:val="20"/>
              </w:rPr>
            </w:pPr>
          </w:p>
        </w:tc>
        <w:tc>
          <w:tcPr>
            <w:tcW w:w="5" w:type="pct"/>
            <w:vAlign w:val="center"/>
            <w:hideMark/>
          </w:tcPr>
          <w:p w14:paraId="082961BE" w14:textId="77777777" w:rsidR="00000000" w:rsidRDefault="00EE5306">
            <w:pPr>
              <w:spacing w:after="100"/>
              <w:rPr>
                <w:rFonts w:eastAsia="Times New Roman"/>
                <w:sz w:val="20"/>
                <w:szCs w:val="20"/>
              </w:rPr>
            </w:pPr>
          </w:p>
        </w:tc>
        <w:tc>
          <w:tcPr>
            <w:tcW w:w="5" w:type="pct"/>
            <w:vAlign w:val="center"/>
            <w:hideMark/>
          </w:tcPr>
          <w:p w14:paraId="36976DC5" w14:textId="77777777" w:rsidR="00000000" w:rsidRDefault="00EE5306">
            <w:pPr>
              <w:spacing w:after="100"/>
              <w:rPr>
                <w:rFonts w:eastAsia="Times New Roman"/>
                <w:sz w:val="20"/>
                <w:szCs w:val="20"/>
              </w:rPr>
            </w:pPr>
          </w:p>
        </w:tc>
        <w:tc>
          <w:tcPr>
            <w:tcW w:w="28" w:type="pct"/>
            <w:vAlign w:val="center"/>
            <w:hideMark/>
          </w:tcPr>
          <w:p w14:paraId="6A5AFDCC" w14:textId="77777777" w:rsidR="00000000" w:rsidRDefault="00EE5306">
            <w:pPr>
              <w:spacing w:after="100"/>
              <w:rPr>
                <w:rFonts w:eastAsia="Times New Roman"/>
                <w:sz w:val="20"/>
                <w:szCs w:val="20"/>
              </w:rPr>
            </w:pPr>
          </w:p>
        </w:tc>
        <w:tc>
          <w:tcPr>
            <w:tcW w:w="5" w:type="pct"/>
            <w:vAlign w:val="center"/>
            <w:hideMark/>
          </w:tcPr>
          <w:p w14:paraId="3FC77624" w14:textId="77777777" w:rsidR="00000000" w:rsidRDefault="00EE5306">
            <w:pPr>
              <w:spacing w:after="100"/>
              <w:rPr>
                <w:rFonts w:eastAsia="Times New Roman"/>
                <w:sz w:val="20"/>
                <w:szCs w:val="20"/>
              </w:rPr>
            </w:pPr>
          </w:p>
        </w:tc>
        <w:tc>
          <w:tcPr>
            <w:tcW w:w="50" w:type="pct"/>
            <w:vAlign w:val="center"/>
            <w:hideMark/>
          </w:tcPr>
          <w:p w14:paraId="620C26A8" w14:textId="77777777" w:rsidR="00000000" w:rsidRDefault="00EE5306">
            <w:pPr>
              <w:spacing w:after="100"/>
              <w:rPr>
                <w:rFonts w:eastAsia="Times New Roman"/>
                <w:sz w:val="20"/>
                <w:szCs w:val="20"/>
              </w:rPr>
            </w:pPr>
          </w:p>
        </w:tc>
        <w:tc>
          <w:tcPr>
            <w:tcW w:w="540" w:type="pct"/>
            <w:vAlign w:val="center"/>
            <w:hideMark/>
          </w:tcPr>
          <w:p w14:paraId="0733E43C" w14:textId="77777777" w:rsidR="00000000" w:rsidRDefault="00EE5306">
            <w:pPr>
              <w:spacing w:after="100"/>
              <w:rPr>
                <w:rFonts w:eastAsia="Times New Roman"/>
                <w:sz w:val="20"/>
                <w:szCs w:val="20"/>
              </w:rPr>
            </w:pPr>
          </w:p>
        </w:tc>
        <w:tc>
          <w:tcPr>
            <w:tcW w:w="5" w:type="pct"/>
            <w:vAlign w:val="center"/>
            <w:hideMark/>
          </w:tcPr>
          <w:p w14:paraId="6CC7862B" w14:textId="77777777" w:rsidR="00000000" w:rsidRDefault="00EE5306">
            <w:pPr>
              <w:spacing w:after="100"/>
              <w:rPr>
                <w:rFonts w:eastAsia="Times New Roman"/>
                <w:sz w:val="20"/>
                <w:szCs w:val="20"/>
              </w:rPr>
            </w:pPr>
          </w:p>
        </w:tc>
        <w:tc>
          <w:tcPr>
            <w:tcW w:w="5" w:type="pct"/>
            <w:vAlign w:val="center"/>
            <w:hideMark/>
          </w:tcPr>
          <w:p w14:paraId="3D731E8D" w14:textId="77777777" w:rsidR="00000000" w:rsidRDefault="00EE5306">
            <w:pPr>
              <w:spacing w:after="100"/>
              <w:rPr>
                <w:rFonts w:eastAsia="Times New Roman"/>
                <w:sz w:val="20"/>
                <w:szCs w:val="20"/>
              </w:rPr>
            </w:pPr>
          </w:p>
        </w:tc>
        <w:tc>
          <w:tcPr>
            <w:tcW w:w="28" w:type="pct"/>
            <w:vAlign w:val="center"/>
            <w:hideMark/>
          </w:tcPr>
          <w:p w14:paraId="0467D5AD" w14:textId="77777777" w:rsidR="00000000" w:rsidRDefault="00EE5306">
            <w:pPr>
              <w:spacing w:after="100"/>
              <w:rPr>
                <w:rFonts w:eastAsia="Times New Roman"/>
                <w:sz w:val="20"/>
                <w:szCs w:val="20"/>
              </w:rPr>
            </w:pPr>
          </w:p>
        </w:tc>
        <w:tc>
          <w:tcPr>
            <w:tcW w:w="5" w:type="pct"/>
            <w:vAlign w:val="center"/>
            <w:hideMark/>
          </w:tcPr>
          <w:p w14:paraId="1E7D0825" w14:textId="77777777" w:rsidR="00000000" w:rsidRDefault="00EE5306">
            <w:pPr>
              <w:spacing w:after="100"/>
              <w:rPr>
                <w:rFonts w:eastAsia="Times New Roman"/>
                <w:sz w:val="20"/>
                <w:szCs w:val="20"/>
              </w:rPr>
            </w:pPr>
          </w:p>
        </w:tc>
        <w:tc>
          <w:tcPr>
            <w:tcW w:w="50" w:type="pct"/>
            <w:vAlign w:val="center"/>
            <w:hideMark/>
          </w:tcPr>
          <w:p w14:paraId="3DAE330E" w14:textId="77777777" w:rsidR="00000000" w:rsidRDefault="00EE5306">
            <w:pPr>
              <w:spacing w:after="100"/>
              <w:rPr>
                <w:rFonts w:eastAsia="Times New Roman"/>
                <w:sz w:val="20"/>
                <w:szCs w:val="20"/>
              </w:rPr>
            </w:pPr>
          </w:p>
        </w:tc>
        <w:tc>
          <w:tcPr>
            <w:tcW w:w="541" w:type="pct"/>
            <w:vAlign w:val="center"/>
            <w:hideMark/>
          </w:tcPr>
          <w:p w14:paraId="5EE98217" w14:textId="77777777" w:rsidR="00000000" w:rsidRDefault="00EE5306">
            <w:pPr>
              <w:spacing w:after="100"/>
              <w:rPr>
                <w:rFonts w:eastAsia="Times New Roman"/>
                <w:sz w:val="20"/>
                <w:szCs w:val="20"/>
              </w:rPr>
            </w:pPr>
          </w:p>
        </w:tc>
        <w:tc>
          <w:tcPr>
            <w:tcW w:w="5" w:type="pct"/>
            <w:vAlign w:val="center"/>
            <w:hideMark/>
          </w:tcPr>
          <w:p w14:paraId="3F309CAC" w14:textId="77777777" w:rsidR="00000000" w:rsidRDefault="00EE5306">
            <w:pPr>
              <w:spacing w:after="100"/>
              <w:rPr>
                <w:rFonts w:eastAsia="Times New Roman"/>
                <w:sz w:val="20"/>
                <w:szCs w:val="20"/>
              </w:rPr>
            </w:pPr>
          </w:p>
        </w:tc>
      </w:tr>
      <w:tr w:rsidR="00000000" w14:paraId="3FA7513A" w14:textId="77777777">
        <w:trPr>
          <w:divId w:val="1641031493"/>
        </w:trPr>
        <w:tc>
          <w:tcPr>
            <w:tcW w:w="0" w:type="auto"/>
            <w:gridSpan w:val="3"/>
            <w:tcMar>
              <w:top w:w="30" w:type="dxa"/>
              <w:left w:w="20" w:type="dxa"/>
              <w:bottom w:w="30" w:type="dxa"/>
              <w:right w:w="20" w:type="dxa"/>
            </w:tcMar>
            <w:vAlign w:val="bottom"/>
            <w:hideMark/>
          </w:tcPr>
          <w:p w14:paraId="19D2EB5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B9AE768"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10AC5E38"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24605322" w14:textId="77777777">
        <w:trPr>
          <w:divId w:val="1641031493"/>
        </w:trPr>
        <w:tc>
          <w:tcPr>
            <w:tcW w:w="0" w:type="auto"/>
            <w:gridSpan w:val="3"/>
            <w:tcMar>
              <w:top w:w="30" w:type="dxa"/>
              <w:left w:w="20" w:type="dxa"/>
              <w:bottom w:w="30" w:type="dxa"/>
              <w:right w:w="20" w:type="dxa"/>
            </w:tcMar>
            <w:vAlign w:val="bottom"/>
            <w:hideMark/>
          </w:tcPr>
          <w:p w14:paraId="10E3F178"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3B34271"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08A537"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9B729B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C81930"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17B19C2"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9800B8"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1FE891BE" w14:textId="77777777">
        <w:trPr>
          <w:divId w:val="1641031493"/>
        </w:trPr>
        <w:tc>
          <w:tcPr>
            <w:tcW w:w="0" w:type="auto"/>
            <w:gridSpan w:val="3"/>
            <w:tcMar>
              <w:top w:w="30" w:type="dxa"/>
              <w:left w:w="20" w:type="dxa"/>
              <w:bottom w:w="30" w:type="dxa"/>
              <w:right w:w="20" w:type="dxa"/>
            </w:tcMar>
            <w:vAlign w:val="bottom"/>
            <w:hideMark/>
          </w:tcPr>
          <w:p w14:paraId="1E62135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38D0890"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48E3DE0"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4F1C6417" w14:textId="77777777">
        <w:trPr>
          <w:divId w:val="1641031493"/>
        </w:trPr>
        <w:tc>
          <w:tcPr>
            <w:tcW w:w="0" w:type="auto"/>
            <w:gridSpan w:val="3"/>
            <w:shd w:val="clear" w:color="auto" w:fill="CCEEFF"/>
            <w:tcMar>
              <w:top w:w="30" w:type="dxa"/>
              <w:left w:w="20" w:type="dxa"/>
              <w:bottom w:w="30" w:type="dxa"/>
              <w:right w:w="20" w:type="dxa"/>
            </w:tcMar>
            <w:vAlign w:val="bottom"/>
            <w:hideMark/>
          </w:tcPr>
          <w:p w14:paraId="382BF7EC" w14:textId="77777777" w:rsidR="00000000" w:rsidRDefault="00EE5306">
            <w:pPr>
              <w:spacing w:after="100"/>
              <w:rPr>
                <w:rFonts w:eastAsia="Times New Roman"/>
              </w:rPr>
            </w:pPr>
            <w:r>
              <w:rPr>
                <w:rFonts w:eastAsia="Times New Roman"/>
                <w:color w:val="000000"/>
                <w:sz w:val="20"/>
                <w:szCs w:val="20"/>
              </w:rPr>
              <w:t>Current:</w:t>
            </w:r>
          </w:p>
        </w:tc>
        <w:tc>
          <w:tcPr>
            <w:tcW w:w="0" w:type="auto"/>
            <w:gridSpan w:val="3"/>
            <w:shd w:val="clear" w:color="auto" w:fill="CCEEFF"/>
            <w:tcMar>
              <w:top w:w="0" w:type="dxa"/>
              <w:left w:w="20" w:type="dxa"/>
              <w:bottom w:w="0" w:type="dxa"/>
              <w:right w:w="20" w:type="dxa"/>
            </w:tcMar>
            <w:vAlign w:val="center"/>
            <w:hideMark/>
          </w:tcPr>
          <w:p w14:paraId="09D2E0AB"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01C1F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7BAD6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B8F02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E22C4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C8D83C" w14:textId="77777777" w:rsidR="00000000" w:rsidRDefault="00EE5306">
            <w:pPr>
              <w:spacing w:after="100"/>
              <w:rPr>
                <w:rFonts w:eastAsia="Times New Roman"/>
                <w:sz w:val="20"/>
                <w:szCs w:val="20"/>
              </w:rPr>
            </w:pPr>
          </w:p>
        </w:tc>
      </w:tr>
      <w:tr w:rsidR="00000000" w14:paraId="0B773309" w14:textId="77777777">
        <w:trPr>
          <w:divId w:val="1641031493"/>
        </w:trPr>
        <w:tc>
          <w:tcPr>
            <w:tcW w:w="0" w:type="auto"/>
            <w:gridSpan w:val="3"/>
            <w:shd w:val="clear" w:color="auto" w:fill="FFFFFF"/>
            <w:tcMar>
              <w:top w:w="30" w:type="dxa"/>
              <w:left w:w="155" w:type="dxa"/>
              <w:bottom w:w="30" w:type="dxa"/>
              <w:right w:w="20" w:type="dxa"/>
            </w:tcMar>
            <w:vAlign w:val="bottom"/>
            <w:hideMark/>
          </w:tcPr>
          <w:p w14:paraId="0F38AE96" w14:textId="77777777" w:rsidR="00000000" w:rsidRDefault="00EE5306">
            <w:pPr>
              <w:spacing w:after="100"/>
              <w:rPr>
                <w:rFonts w:eastAsia="Times New Roman"/>
              </w:rPr>
            </w:pPr>
            <w:r>
              <w:rPr>
                <w:rFonts w:eastAsia="Times New Roman"/>
                <w:color w:val="000000"/>
                <w:sz w:val="20"/>
                <w:szCs w:val="20"/>
              </w:rPr>
              <w:t>Federal</w:t>
            </w:r>
          </w:p>
        </w:tc>
        <w:tc>
          <w:tcPr>
            <w:tcW w:w="0" w:type="auto"/>
            <w:gridSpan w:val="3"/>
            <w:shd w:val="clear" w:color="auto" w:fill="FFFFFF"/>
            <w:tcMar>
              <w:top w:w="0" w:type="dxa"/>
              <w:left w:w="20" w:type="dxa"/>
              <w:bottom w:w="0" w:type="dxa"/>
              <w:right w:w="20" w:type="dxa"/>
            </w:tcMar>
            <w:vAlign w:val="center"/>
            <w:hideMark/>
          </w:tcPr>
          <w:p w14:paraId="0C8E5702"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BACA923"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9E19382" w14:textId="77777777" w:rsidR="00000000" w:rsidRDefault="00EE5306">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14:paraId="1DE4BC5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B2954"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0D6AC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C670D1" w14:textId="77777777" w:rsidR="00000000" w:rsidRDefault="00EE5306">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4CE2ECE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80243"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6B86B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1C64DC" w14:textId="77777777" w:rsidR="00000000" w:rsidRDefault="00EE5306">
            <w:pPr>
              <w:spacing w:after="100"/>
              <w:jc w:val="right"/>
              <w:rPr>
                <w:rFonts w:eastAsia="Times New Roman"/>
              </w:rPr>
            </w:pPr>
            <w:r>
              <w:rPr>
                <w:rFonts w:eastAsia="Times New Roman"/>
                <w:color w:val="000000"/>
                <w:sz w:val="20"/>
                <w:szCs w:val="20"/>
              </w:rPr>
              <w:t>(37.3)</w:t>
            </w:r>
          </w:p>
        </w:tc>
        <w:tc>
          <w:tcPr>
            <w:tcW w:w="0" w:type="auto"/>
            <w:shd w:val="clear" w:color="auto" w:fill="FFFFFF"/>
            <w:tcMar>
              <w:top w:w="30" w:type="dxa"/>
              <w:left w:w="0" w:type="dxa"/>
              <w:bottom w:w="30" w:type="dxa"/>
              <w:right w:w="20" w:type="dxa"/>
            </w:tcMar>
            <w:vAlign w:val="bottom"/>
            <w:hideMark/>
          </w:tcPr>
          <w:p w14:paraId="54563D36" w14:textId="77777777" w:rsidR="00000000" w:rsidRDefault="00EE5306">
            <w:pPr>
              <w:spacing w:after="100"/>
              <w:jc w:val="right"/>
              <w:rPr>
                <w:rFonts w:eastAsia="Times New Roman"/>
              </w:rPr>
            </w:pPr>
          </w:p>
        </w:tc>
      </w:tr>
      <w:tr w:rsidR="00000000" w14:paraId="249CFB12" w14:textId="77777777">
        <w:trPr>
          <w:divId w:val="1641031493"/>
        </w:trPr>
        <w:tc>
          <w:tcPr>
            <w:tcW w:w="0" w:type="auto"/>
            <w:gridSpan w:val="3"/>
            <w:shd w:val="clear" w:color="auto" w:fill="CCEEFF"/>
            <w:tcMar>
              <w:top w:w="30" w:type="dxa"/>
              <w:left w:w="155" w:type="dxa"/>
              <w:bottom w:w="30" w:type="dxa"/>
              <w:right w:w="20" w:type="dxa"/>
            </w:tcMar>
            <w:vAlign w:val="bottom"/>
            <w:hideMark/>
          </w:tcPr>
          <w:p w14:paraId="76EDA1C1" w14:textId="77777777" w:rsidR="00000000" w:rsidRDefault="00EE5306">
            <w:pPr>
              <w:spacing w:after="100"/>
              <w:rPr>
                <w:rFonts w:eastAsia="Times New Roman"/>
              </w:rPr>
            </w:pPr>
            <w:r>
              <w:rPr>
                <w:rFonts w:eastAsia="Times New Roman"/>
                <w:color w:val="000000"/>
                <w:sz w:val="20"/>
                <w:szCs w:val="20"/>
              </w:rPr>
              <w:t>State and local</w:t>
            </w:r>
          </w:p>
        </w:tc>
        <w:tc>
          <w:tcPr>
            <w:tcW w:w="0" w:type="auto"/>
            <w:gridSpan w:val="3"/>
            <w:shd w:val="clear" w:color="auto" w:fill="CCEEFF"/>
            <w:tcMar>
              <w:top w:w="0" w:type="dxa"/>
              <w:left w:w="20" w:type="dxa"/>
              <w:bottom w:w="0" w:type="dxa"/>
              <w:right w:w="20" w:type="dxa"/>
            </w:tcMar>
            <w:vAlign w:val="center"/>
            <w:hideMark/>
          </w:tcPr>
          <w:p w14:paraId="15635FE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61EA78" w14:textId="77777777" w:rsidR="00000000" w:rsidRDefault="00EE5306">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676CCC1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F828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9F3089" w14:textId="77777777" w:rsidR="00000000" w:rsidRDefault="00EE5306">
            <w:pPr>
              <w:spacing w:after="100"/>
              <w:jc w:val="right"/>
              <w:rPr>
                <w:rFonts w:eastAsia="Times New Roman"/>
              </w:rPr>
            </w:pPr>
            <w:r>
              <w:rPr>
                <w:rFonts w:eastAsia="Times New Roman"/>
                <w:color w:val="000000"/>
                <w:sz w:val="20"/>
                <w:szCs w:val="20"/>
              </w:rPr>
              <w:t>(19.8)</w:t>
            </w:r>
          </w:p>
        </w:tc>
        <w:tc>
          <w:tcPr>
            <w:tcW w:w="0" w:type="auto"/>
            <w:shd w:val="clear" w:color="auto" w:fill="CCEEFF"/>
            <w:tcMar>
              <w:top w:w="30" w:type="dxa"/>
              <w:left w:w="0" w:type="dxa"/>
              <w:bottom w:w="30" w:type="dxa"/>
              <w:right w:w="20" w:type="dxa"/>
            </w:tcMar>
            <w:vAlign w:val="bottom"/>
            <w:hideMark/>
          </w:tcPr>
          <w:p w14:paraId="3615DA2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5ED09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7573E4" w14:textId="77777777" w:rsidR="00000000" w:rsidRDefault="00EE5306">
            <w:pPr>
              <w:spacing w:after="100"/>
              <w:jc w:val="right"/>
              <w:rPr>
                <w:rFonts w:eastAsia="Times New Roman"/>
              </w:rPr>
            </w:pPr>
            <w:r>
              <w:rPr>
                <w:rFonts w:eastAsia="Times New Roman"/>
                <w:color w:val="000000"/>
                <w:sz w:val="20"/>
                <w:szCs w:val="20"/>
              </w:rPr>
              <w:t>(11.9)</w:t>
            </w:r>
          </w:p>
        </w:tc>
        <w:tc>
          <w:tcPr>
            <w:tcW w:w="0" w:type="auto"/>
            <w:shd w:val="clear" w:color="auto" w:fill="CCEEFF"/>
            <w:tcMar>
              <w:top w:w="30" w:type="dxa"/>
              <w:left w:w="0" w:type="dxa"/>
              <w:bottom w:w="30" w:type="dxa"/>
              <w:right w:w="20" w:type="dxa"/>
            </w:tcMar>
            <w:vAlign w:val="bottom"/>
            <w:hideMark/>
          </w:tcPr>
          <w:p w14:paraId="7BEBEAD6" w14:textId="77777777" w:rsidR="00000000" w:rsidRDefault="00EE5306">
            <w:pPr>
              <w:spacing w:after="100"/>
              <w:jc w:val="right"/>
              <w:rPr>
                <w:rFonts w:eastAsia="Times New Roman"/>
              </w:rPr>
            </w:pPr>
          </w:p>
        </w:tc>
      </w:tr>
      <w:tr w:rsidR="00000000" w14:paraId="238C4EDF" w14:textId="77777777">
        <w:trPr>
          <w:divId w:val="1641031493"/>
        </w:trPr>
        <w:tc>
          <w:tcPr>
            <w:tcW w:w="0" w:type="auto"/>
            <w:gridSpan w:val="3"/>
            <w:shd w:val="clear" w:color="auto" w:fill="FFFFFF"/>
            <w:tcMar>
              <w:top w:w="30" w:type="dxa"/>
              <w:left w:w="155" w:type="dxa"/>
              <w:bottom w:w="30" w:type="dxa"/>
              <w:right w:w="20" w:type="dxa"/>
            </w:tcMar>
            <w:vAlign w:val="bottom"/>
            <w:hideMark/>
          </w:tcPr>
          <w:p w14:paraId="3558A799" w14:textId="77777777" w:rsidR="00000000" w:rsidRDefault="00EE5306">
            <w:pPr>
              <w:spacing w:after="100"/>
              <w:rPr>
                <w:rFonts w:eastAsia="Times New Roman"/>
              </w:rPr>
            </w:pPr>
            <w:r>
              <w:rPr>
                <w:rFonts w:eastAsia="Times New Roman"/>
                <w:color w:val="000000"/>
                <w:sz w:val="20"/>
                <w:szCs w:val="20"/>
              </w:rPr>
              <w:t>Foreign</w:t>
            </w:r>
          </w:p>
        </w:tc>
        <w:tc>
          <w:tcPr>
            <w:tcW w:w="0" w:type="auto"/>
            <w:gridSpan w:val="3"/>
            <w:shd w:val="clear" w:color="auto" w:fill="FFFFFF"/>
            <w:tcMar>
              <w:top w:w="0" w:type="dxa"/>
              <w:left w:w="20" w:type="dxa"/>
              <w:bottom w:w="0" w:type="dxa"/>
              <w:right w:w="20" w:type="dxa"/>
            </w:tcMar>
            <w:vAlign w:val="center"/>
            <w:hideMark/>
          </w:tcPr>
          <w:p w14:paraId="25226C0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9815E6" w14:textId="77777777" w:rsidR="00000000" w:rsidRDefault="00EE5306">
            <w:pPr>
              <w:spacing w:after="100"/>
              <w:jc w:val="right"/>
              <w:rPr>
                <w:rFonts w:eastAsia="Times New Roman"/>
              </w:rPr>
            </w:pPr>
            <w:r>
              <w:rPr>
                <w:rFonts w:eastAsia="Times New Roman"/>
                <w:color w:val="000000"/>
                <w:sz w:val="20"/>
                <w:szCs w:val="20"/>
              </w:rPr>
              <w:t>(50.7)</w:t>
            </w:r>
          </w:p>
        </w:tc>
        <w:tc>
          <w:tcPr>
            <w:tcW w:w="0" w:type="auto"/>
            <w:shd w:val="clear" w:color="auto" w:fill="FFFFFF"/>
            <w:tcMar>
              <w:top w:w="30" w:type="dxa"/>
              <w:left w:w="0" w:type="dxa"/>
              <w:bottom w:w="30" w:type="dxa"/>
              <w:right w:w="20" w:type="dxa"/>
            </w:tcMar>
            <w:vAlign w:val="bottom"/>
            <w:hideMark/>
          </w:tcPr>
          <w:p w14:paraId="498CF6F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EB367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5AA81" w14:textId="77777777" w:rsidR="00000000" w:rsidRDefault="00EE5306">
            <w:pPr>
              <w:spacing w:after="100"/>
              <w:jc w:val="right"/>
              <w:rPr>
                <w:rFonts w:eastAsia="Times New Roman"/>
              </w:rPr>
            </w:pPr>
            <w:r>
              <w:rPr>
                <w:rFonts w:eastAsia="Times New Roman"/>
                <w:color w:val="000000"/>
                <w:sz w:val="20"/>
                <w:szCs w:val="20"/>
              </w:rPr>
              <w:t>(92.6)</w:t>
            </w:r>
          </w:p>
        </w:tc>
        <w:tc>
          <w:tcPr>
            <w:tcW w:w="0" w:type="auto"/>
            <w:shd w:val="clear" w:color="auto" w:fill="FFFFFF"/>
            <w:tcMar>
              <w:top w:w="30" w:type="dxa"/>
              <w:left w:w="0" w:type="dxa"/>
              <w:bottom w:w="30" w:type="dxa"/>
              <w:right w:w="20" w:type="dxa"/>
            </w:tcMar>
            <w:vAlign w:val="bottom"/>
            <w:hideMark/>
          </w:tcPr>
          <w:p w14:paraId="31BAFBF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027A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DE79CE" w14:textId="77777777" w:rsidR="00000000" w:rsidRDefault="00EE5306">
            <w:pPr>
              <w:spacing w:after="100"/>
              <w:jc w:val="right"/>
              <w:rPr>
                <w:rFonts w:eastAsia="Times New Roman"/>
              </w:rPr>
            </w:pPr>
            <w:r>
              <w:rPr>
                <w:rFonts w:eastAsia="Times New Roman"/>
                <w:color w:val="000000"/>
                <w:sz w:val="20"/>
                <w:szCs w:val="20"/>
              </w:rPr>
              <w:t>(93.9)</w:t>
            </w:r>
          </w:p>
        </w:tc>
        <w:tc>
          <w:tcPr>
            <w:tcW w:w="0" w:type="auto"/>
            <w:shd w:val="clear" w:color="auto" w:fill="FFFFFF"/>
            <w:tcMar>
              <w:top w:w="30" w:type="dxa"/>
              <w:left w:w="0" w:type="dxa"/>
              <w:bottom w:w="30" w:type="dxa"/>
              <w:right w:w="20" w:type="dxa"/>
            </w:tcMar>
            <w:vAlign w:val="bottom"/>
            <w:hideMark/>
          </w:tcPr>
          <w:p w14:paraId="1DF38D9C" w14:textId="77777777" w:rsidR="00000000" w:rsidRDefault="00EE5306">
            <w:pPr>
              <w:spacing w:after="100"/>
              <w:jc w:val="right"/>
              <w:rPr>
                <w:rFonts w:eastAsia="Times New Roman"/>
              </w:rPr>
            </w:pPr>
          </w:p>
        </w:tc>
      </w:tr>
      <w:tr w:rsidR="00000000" w14:paraId="1EAA26F1" w14:textId="77777777">
        <w:trPr>
          <w:divId w:val="1641031493"/>
        </w:trPr>
        <w:tc>
          <w:tcPr>
            <w:tcW w:w="0" w:type="auto"/>
            <w:gridSpan w:val="3"/>
            <w:shd w:val="clear" w:color="auto" w:fill="CCEEFF"/>
            <w:tcMar>
              <w:top w:w="0" w:type="dxa"/>
              <w:left w:w="20" w:type="dxa"/>
              <w:bottom w:w="0" w:type="dxa"/>
              <w:right w:w="20" w:type="dxa"/>
            </w:tcMar>
            <w:vAlign w:val="center"/>
            <w:hideMark/>
          </w:tcPr>
          <w:p w14:paraId="58BA9980"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9FB133"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5DA201" w14:textId="77777777" w:rsidR="00000000" w:rsidRDefault="00EE5306">
            <w:pPr>
              <w:spacing w:after="100"/>
              <w:jc w:val="right"/>
              <w:rPr>
                <w:rFonts w:eastAsia="Times New Roman"/>
              </w:rPr>
            </w:pPr>
            <w:r>
              <w:rPr>
                <w:rFonts w:eastAsia="Times New Roman"/>
                <w:color w:val="000000"/>
                <w:sz w:val="20"/>
                <w:szCs w:val="20"/>
              </w:rPr>
              <w:t>(10.7)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1CEE3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B4C08"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D0B496" w14:textId="77777777" w:rsidR="00000000" w:rsidRDefault="00EE5306">
            <w:pPr>
              <w:spacing w:after="100"/>
              <w:jc w:val="right"/>
              <w:rPr>
                <w:rFonts w:eastAsia="Times New Roman"/>
              </w:rPr>
            </w:pPr>
            <w:r>
              <w:rPr>
                <w:rFonts w:eastAsia="Times New Roman"/>
                <w:color w:val="000000"/>
                <w:sz w:val="20"/>
                <w:szCs w:val="20"/>
              </w:rPr>
              <w:t>(110.9)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ACA49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346890"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9C3F72" w14:textId="77777777" w:rsidR="00000000" w:rsidRDefault="00EE5306">
            <w:pPr>
              <w:spacing w:after="100"/>
              <w:jc w:val="right"/>
              <w:rPr>
                <w:rFonts w:eastAsia="Times New Roman"/>
              </w:rPr>
            </w:pPr>
            <w:r>
              <w:rPr>
                <w:rFonts w:eastAsia="Times New Roman"/>
                <w:color w:val="000000"/>
                <w:sz w:val="20"/>
                <w:szCs w:val="20"/>
              </w:rPr>
              <w:t>(143.1)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3AB7CE" w14:textId="77777777" w:rsidR="00000000" w:rsidRDefault="00EE5306">
            <w:pPr>
              <w:spacing w:after="100"/>
              <w:jc w:val="right"/>
              <w:rPr>
                <w:rFonts w:eastAsia="Times New Roman"/>
              </w:rPr>
            </w:pPr>
          </w:p>
        </w:tc>
      </w:tr>
      <w:tr w:rsidR="00000000" w14:paraId="0BDCFA76" w14:textId="77777777">
        <w:trPr>
          <w:divId w:val="1641031493"/>
        </w:trPr>
        <w:tc>
          <w:tcPr>
            <w:tcW w:w="0" w:type="auto"/>
            <w:gridSpan w:val="3"/>
            <w:shd w:val="clear" w:color="auto" w:fill="FFFFFF"/>
            <w:tcMar>
              <w:top w:w="30" w:type="dxa"/>
              <w:left w:w="20" w:type="dxa"/>
              <w:bottom w:w="30" w:type="dxa"/>
              <w:right w:w="20" w:type="dxa"/>
            </w:tcMar>
            <w:vAlign w:val="bottom"/>
            <w:hideMark/>
          </w:tcPr>
          <w:p w14:paraId="00A49B82" w14:textId="77777777" w:rsidR="00000000" w:rsidRDefault="00EE5306">
            <w:pPr>
              <w:spacing w:after="100"/>
              <w:rPr>
                <w:rFonts w:eastAsia="Times New Roman"/>
              </w:rPr>
            </w:pPr>
            <w:r>
              <w:rPr>
                <w:rFonts w:eastAsia="Times New Roman"/>
                <w:color w:val="000000"/>
                <w:sz w:val="20"/>
                <w:szCs w:val="20"/>
              </w:rPr>
              <w:t>Deferred:</w:t>
            </w:r>
          </w:p>
        </w:tc>
        <w:tc>
          <w:tcPr>
            <w:tcW w:w="0" w:type="auto"/>
            <w:gridSpan w:val="3"/>
            <w:shd w:val="clear" w:color="auto" w:fill="FFFFFF"/>
            <w:tcMar>
              <w:top w:w="0" w:type="dxa"/>
              <w:left w:w="20" w:type="dxa"/>
              <w:bottom w:w="0" w:type="dxa"/>
              <w:right w:w="20" w:type="dxa"/>
            </w:tcMar>
            <w:vAlign w:val="center"/>
            <w:hideMark/>
          </w:tcPr>
          <w:p w14:paraId="45EE874B"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9238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6420A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46366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A312E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18BB79" w14:textId="77777777" w:rsidR="00000000" w:rsidRDefault="00EE5306">
            <w:pPr>
              <w:spacing w:after="100"/>
              <w:rPr>
                <w:rFonts w:eastAsia="Times New Roman"/>
                <w:sz w:val="20"/>
                <w:szCs w:val="20"/>
              </w:rPr>
            </w:pPr>
          </w:p>
        </w:tc>
      </w:tr>
      <w:tr w:rsidR="00000000" w14:paraId="367539DF" w14:textId="77777777">
        <w:trPr>
          <w:divId w:val="1641031493"/>
        </w:trPr>
        <w:tc>
          <w:tcPr>
            <w:tcW w:w="0" w:type="auto"/>
            <w:gridSpan w:val="3"/>
            <w:shd w:val="clear" w:color="auto" w:fill="CCEEFF"/>
            <w:tcMar>
              <w:top w:w="30" w:type="dxa"/>
              <w:left w:w="155" w:type="dxa"/>
              <w:bottom w:w="30" w:type="dxa"/>
              <w:right w:w="20" w:type="dxa"/>
            </w:tcMar>
            <w:vAlign w:val="bottom"/>
            <w:hideMark/>
          </w:tcPr>
          <w:p w14:paraId="37812AC1" w14:textId="77777777" w:rsidR="00000000" w:rsidRDefault="00EE5306">
            <w:pPr>
              <w:spacing w:after="100"/>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14:paraId="7151F63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5EABF6" w14:textId="77777777" w:rsidR="00000000" w:rsidRDefault="00EE5306">
            <w:pPr>
              <w:spacing w:after="100"/>
              <w:jc w:val="right"/>
              <w:rPr>
                <w:rFonts w:eastAsia="Times New Roman"/>
              </w:rPr>
            </w:pPr>
            <w:r>
              <w:rPr>
                <w:rFonts w:eastAsia="Times New Roman"/>
                <w:color w:val="000000"/>
                <w:sz w:val="20"/>
                <w:szCs w:val="20"/>
              </w:rPr>
              <w:t>(19.2)</w:t>
            </w:r>
          </w:p>
        </w:tc>
        <w:tc>
          <w:tcPr>
            <w:tcW w:w="0" w:type="auto"/>
            <w:shd w:val="clear" w:color="auto" w:fill="CCEEFF"/>
            <w:tcMar>
              <w:top w:w="30" w:type="dxa"/>
              <w:left w:w="0" w:type="dxa"/>
              <w:bottom w:w="30" w:type="dxa"/>
              <w:right w:w="20" w:type="dxa"/>
            </w:tcMar>
            <w:vAlign w:val="bottom"/>
            <w:hideMark/>
          </w:tcPr>
          <w:p w14:paraId="7AF7E77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6A34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61E049" w14:textId="77777777" w:rsidR="00000000" w:rsidRDefault="00EE5306">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14:paraId="4AE62B0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DBBE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EF741F" w14:textId="77777777" w:rsidR="00000000" w:rsidRDefault="00EE5306">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14:paraId="7546C15E" w14:textId="77777777" w:rsidR="00000000" w:rsidRDefault="00EE5306">
            <w:pPr>
              <w:spacing w:after="100"/>
              <w:jc w:val="right"/>
              <w:rPr>
                <w:rFonts w:eastAsia="Times New Roman"/>
              </w:rPr>
            </w:pPr>
          </w:p>
        </w:tc>
      </w:tr>
      <w:tr w:rsidR="00000000" w14:paraId="4B84E03A" w14:textId="77777777">
        <w:trPr>
          <w:divId w:val="1641031493"/>
        </w:trPr>
        <w:tc>
          <w:tcPr>
            <w:tcW w:w="0" w:type="auto"/>
            <w:gridSpan w:val="3"/>
            <w:shd w:val="clear" w:color="auto" w:fill="FFFFFF"/>
            <w:tcMar>
              <w:top w:w="30" w:type="dxa"/>
              <w:left w:w="155" w:type="dxa"/>
              <w:bottom w:w="30" w:type="dxa"/>
              <w:right w:w="20" w:type="dxa"/>
            </w:tcMar>
            <w:vAlign w:val="bottom"/>
            <w:hideMark/>
          </w:tcPr>
          <w:p w14:paraId="4A39EA44" w14:textId="77777777" w:rsidR="00000000" w:rsidRDefault="00EE5306">
            <w:pPr>
              <w:spacing w:after="100"/>
              <w:rPr>
                <w:rFonts w:eastAsia="Times New Roman"/>
              </w:rPr>
            </w:pPr>
            <w:r>
              <w:rPr>
                <w:rFonts w:eastAsia="Times New Roman"/>
                <w:color w:val="000000"/>
                <w:sz w:val="20"/>
                <w:szCs w:val="20"/>
              </w:rPr>
              <w:t>State and local</w:t>
            </w:r>
          </w:p>
        </w:tc>
        <w:tc>
          <w:tcPr>
            <w:tcW w:w="0" w:type="auto"/>
            <w:gridSpan w:val="3"/>
            <w:shd w:val="clear" w:color="auto" w:fill="FFFFFF"/>
            <w:tcMar>
              <w:top w:w="0" w:type="dxa"/>
              <w:left w:w="20" w:type="dxa"/>
              <w:bottom w:w="0" w:type="dxa"/>
              <w:right w:w="20" w:type="dxa"/>
            </w:tcMar>
            <w:vAlign w:val="center"/>
            <w:hideMark/>
          </w:tcPr>
          <w:p w14:paraId="2ADD0CC5"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3FA1C7" w14:textId="77777777" w:rsidR="00000000" w:rsidRDefault="00EE5306">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0D2E42B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C102E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99FF4A" w14:textId="77777777" w:rsidR="00000000" w:rsidRDefault="00EE5306">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14:paraId="0BE36E6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F724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A02C13" w14:textId="77777777" w:rsidR="00000000" w:rsidRDefault="00EE5306">
            <w:pPr>
              <w:spacing w:after="100"/>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14:paraId="61C7DD62" w14:textId="77777777" w:rsidR="00000000" w:rsidRDefault="00EE5306">
            <w:pPr>
              <w:spacing w:after="100"/>
              <w:jc w:val="right"/>
              <w:rPr>
                <w:rFonts w:eastAsia="Times New Roman"/>
              </w:rPr>
            </w:pPr>
          </w:p>
        </w:tc>
      </w:tr>
      <w:tr w:rsidR="00000000" w14:paraId="0FF70310" w14:textId="77777777">
        <w:trPr>
          <w:divId w:val="1641031493"/>
        </w:trPr>
        <w:tc>
          <w:tcPr>
            <w:tcW w:w="0" w:type="auto"/>
            <w:gridSpan w:val="3"/>
            <w:shd w:val="clear" w:color="auto" w:fill="CCEEFF"/>
            <w:tcMar>
              <w:top w:w="30" w:type="dxa"/>
              <w:left w:w="155" w:type="dxa"/>
              <w:bottom w:w="30" w:type="dxa"/>
              <w:right w:w="20" w:type="dxa"/>
            </w:tcMar>
            <w:vAlign w:val="bottom"/>
            <w:hideMark/>
          </w:tcPr>
          <w:p w14:paraId="439AF2ED" w14:textId="77777777" w:rsidR="00000000" w:rsidRDefault="00EE5306">
            <w:pPr>
              <w:spacing w:after="100"/>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14:paraId="2A66507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2A451E" w14:textId="77777777" w:rsidR="00000000" w:rsidRDefault="00EE5306">
            <w:pPr>
              <w:spacing w:after="100"/>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14:paraId="1AAA5FD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BDA6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681B3" w14:textId="77777777" w:rsidR="00000000" w:rsidRDefault="00EE5306">
            <w:pPr>
              <w:spacing w:after="100"/>
              <w:jc w:val="right"/>
              <w:rPr>
                <w:rFonts w:eastAsia="Times New Roman"/>
              </w:rPr>
            </w:pPr>
            <w:r>
              <w:rPr>
                <w:rFonts w:eastAsia="Times New Roman"/>
                <w:color w:val="000000"/>
                <w:sz w:val="20"/>
                <w:szCs w:val="20"/>
              </w:rPr>
              <w:t>145.2 </w:t>
            </w:r>
          </w:p>
        </w:tc>
        <w:tc>
          <w:tcPr>
            <w:tcW w:w="0" w:type="auto"/>
            <w:shd w:val="clear" w:color="auto" w:fill="CCEEFF"/>
            <w:tcMar>
              <w:top w:w="30" w:type="dxa"/>
              <w:left w:w="0" w:type="dxa"/>
              <w:bottom w:w="30" w:type="dxa"/>
              <w:right w:w="20" w:type="dxa"/>
            </w:tcMar>
            <w:vAlign w:val="bottom"/>
            <w:hideMark/>
          </w:tcPr>
          <w:p w14:paraId="4D8A998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0A04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822554" w14:textId="77777777" w:rsidR="00000000" w:rsidRDefault="00EE5306">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50DED750" w14:textId="77777777" w:rsidR="00000000" w:rsidRDefault="00EE5306">
            <w:pPr>
              <w:spacing w:after="100"/>
              <w:jc w:val="right"/>
              <w:rPr>
                <w:rFonts w:eastAsia="Times New Roman"/>
              </w:rPr>
            </w:pPr>
          </w:p>
        </w:tc>
      </w:tr>
      <w:tr w:rsidR="00000000" w14:paraId="01D27C8C" w14:textId="77777777">
        <w:trPr>
          <w:divId w:val="1641031493"/>
        </w:trPr>
        <w:tc>
          <w:tcPr>
            <w:tcW w:w="0" w:type="auto"/>
            <w:gridSpan w:val="3"/>
            <w:shd w:val="clear" w:color="auto" w:fill="FFFFFF"/>
            <w:tcMar>
              <w:top w:w="0" w:type="dxa"/>
              <w:left w:w="20" w:type="dxa"/>
              <w:bottom w:w="0" w:type="dxa"/>
              <w:right w:w="20" w:type="dxa"/>
            </w:tcMar>
            <w:vAlign w:val="center"/>
            <w:hideMark/>
          </w:tcPr>
          <w:p w14:paraId="123D3EFA"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A5BF35"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A52B8C" w14:textId="77777777" w:rsidR="00000000" w:rsidRDefault="00EE5306">
            <w:pPr>
              <w:spacing w:after="100"/>
              <w:jc w:val="right"/>
              <w:rPr>
                <w:rFonts w:eastAsia="Times New Roman"/>
              </w:rPr>
            </w:pPr>
            <w:r>
              <w:rPr>
                <w:rFonts w:eastAsia="Times New Roman"/>
                <w:color w:val="000000"/>
                <w:sz w:val="20"/>
                <w:szCs w:val="20"/>
              </w:rPr>
              <w:t>(35.6)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8464C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B656F"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0F3B2D" w14:textId="77777777" w:rsidR="00000000" w:rsidRDefault="00EE5306">
            <w:pPr>
              <w:spacing w:after="100"/>
              <w:jc w:val="right"/>
              <w:rPr>
                <w:rFonts w:eastAsia="Times New Roman"/>
              </w:rPr>
            </w:pPr>
            <w:r>
              <w:rPr>
                <w:rFonts w:eastAsia="Times New Roman"/>
                <w:color w:val="000000"/>
                <w:sz w:val="20"/>
                <w:szCs w:val="20"/>
              </w:rPr>
              <w:t>168.8 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5DFDB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C5E68"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1E8356" w14:textId="77777777" w:rsidR="00000000" w:rsidRDefault="00EE5306">
            <w:pPr>
              <w:spacing w:after="100"/>
              <w:jc w:val="right"/>
              <w:rPr>
                <w:rFonts w:eastAsia="Times New Roman"/>
              </w:rPr>
            </w:pPr>
            <w:r>
              <w:rPr>
                <w:rFonts w:eastAsia="Times New Roman"/>
                <w:color w:val="000000"/>
                <w:sz w:val="20"/>
                <w:szCs w:val="20"/>
              </w:rPr>
              <w:t>(8.5)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A165FE" w14:textId="77777777" w:rsidR="00000000" w:rsidRDefault="00EE5306">
            <w:pPr>
              <w:spacing w:after="100"/>
              <w:jc w:val="right"/>
              <w:rPr>
                <w:rFonts w:eastAsia="Times New Roman"/>
              </w:rPr>
            </w:pPr>
          </w:p>
        </w:tc>
      </w:tr>
      <w:tr w:rsidR="00000000" w14:paraId="752C0E36" w14:textId="77777777">
        <w:trPr>
          <w:divId w:val="1641031493"/>
        </w:trPr>
        <w:tc>
          <w:tcPr>
            <w:tcW w:w="0" w:type="auto"/>
            <w:gridSpan w:val="3"/>
            <w:shd w:val="clear" w:color="auto" w:fill="CCEEFF"/>
            <w:tcMar>
              <w:top w:w="30" w:type="dxa"/>
              <w:left w:w="245" w:type="dxa"/>
              <w:bottom w:w="30" w:type="dxa"/>
              <w:right w:w="20" w:type="dxa"/>
            </w:tcMar>
            <w:vAlign w:val="bottom"/>
            <w:hideMark/>
          </w:tcPr>
          <w:p w14:paraId="0300ADFA" w14:textId="77777777" w:rsidR="00000000" w:rsidRDefault="00EE5306">
            <w:pPr>
              <w:spacing w:after="100"/>
              <w:rPr>
                <w:rFonts w:eastAsia="Times New Roman"/>
              </w:rPr>
            </w:pPr>
            <w:r>
              <w:rPr>
                <w:rFonts w:eastAsia="Times New Roman"/>
                <w:color w:val="000000"/>
                <w:sz w:val="20"/>
                <w:szCs w:val="20"/>
              </w:rPr>
              <w:t>Total income tax benefit (provision)</w:t>
            </w:r>
          </w:p>
        </w:tc>
        <w:tc>
          <w:tcPr>
            <w:tcW w:w="0" w:type="auto"/>
            <w:gridSpan w:val="3"/>
            <w:shd w:val="clear" w:color="auto" w:fill="CCEEFF"/>
            <w:tcMar>
              <w:top w:w="0" w:type="dxa"/>
              <w:left w:w="20" w:type="dxa"/>
              <w:bottom w:w="0" w:type="dxa"/>
              <w:right w:w="20" w:type="dxa"/>
            </w:tcMar>
            <w:vAlign w:val="center"/>
            <w:hideMark/>
          </w:tcPr>
          <w:p w14:paraId="4C1EFC41"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C02F6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E8A81D" w14:textId="77777777" w:rsidR="00000000" w:rsidRDefault="00EE5306">
            <w:pPr>
              <w:spacing w:after="100"/>
              <w:jc w:val="right"/>
              <w:rPr>
                <w:rFonts w:eastAsia="Times New Roman"/>
              </w:rPr>
            </w:pPr>
            <w:r>
              <w:rPr>
                <w:rFonts w:eastAsia="Times New Roman"/>
                <w:color w:val="000000"/>
                <w:sz w:val="20"/>
                <w:szCs w:val="20"/>
              </w:rPr>
              <w:t>(46.3)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68644D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CB483"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760AD1"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89A5E7" w14:textId="77777777" w:rsidR="00000000" w:rsidRDefault="00EE5306">
            <w:pPr>
              <w:spacing w:after="100"/>
              <w:jc w:val="right"/>
              <w:rPr>
                <w:rFonts w:eastAsia="Times New Roman"/>
              </w:rPr>
            </w:pPr>
            <w:r>
              <w:rPr>
                <w:rFonts w:eastAsia="Times New Roman"/>
                <w:color w:val="000000"/>
                <w:sz w:val="20"/>
                <w:szCs w:val="20"/>
              </w:rPr>
              <w:t>57.9 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AE6EA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8C1EF"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94B48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DF9769" w14:textId="77777777" w:rsidR="00000000" w:rsidRDefault="00EE5306">
            <w:pPr>
              <w:spacing w:after="100"/>
              <w:jc w:val="right"/>
              <w:rPr>
                <w:rFonts w:eastAsia="Times New Roman"/>
              </w:rPr>
            </w:pPr>
            <w:r>
              <w:rPr>
                <w:rFonts w:eastAsia="Times New Roman"/>
                <w:color w:val="000000"/>
                <w:sz w:val="20"/>
                <w:szCs w:val="20"/>
              </w:rPr>
              <w:t>(151.6)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C0593B" w14:textId="77777777" w:rsidR="00000000" w:rsidRDefault="00EE5306">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347C0A13" w14:textId="77777777">
        <w:trPr>
          <w:jc w:val="center"/>
        </w:trPr>
        <w:tc>
          <w:tcPr>
            <w:tcW w:w="50" w:type="pct"/>
            <w:vAlign w:val="center"/>
            <w:hideMark/>
          </w:tcPr>
          <w:p w14:paraId="362A2F65" w14:textId="77777777" w:rsidR="00000000" w:rsidRDefault="00EE5306">
            <w:pPr>
              <w:rPr>
                <w:rFonts w:eastAsia="Times New Roman"/>
              </w:rPr>
            </w:pPr>
          </w:p>
        </w:tc>
        <w:tc>
          <w:tcPr>
            <w:tcW w:w="1699" w:type="pct"/>
            <w:vAlign w:val="center"/>
            <w:hideMark/>
          </w:tcPr>
          <w:p w14:paraId="0B690040" w14:textId="77777777" w:rsidR="00000000" w:rsidRDefault="00EE5306">
            <w:pPr>
              <w:spacing w:after="100"/>
              <w:rPr>
                <w:rFonts w:eastAsia="Times New Roman"/>
                <w:sz w:val="20"/>
                <w:szCs w:val="20"/>
              </w:rPr>
            </w:pPr>
          </w:p>
        </w:tc>
        <w:tc>
          <w:tcPr>
            <w:tcW w:w="5" w:type="pct"/>
            <w:vAlign w:val="center"/>
            <w:hideMark/>
          </w:tcPr>
          <w:p w14:paraId="563B4076" w14:textId="77777777" w:rsidR="00000000" w:rsidRDefault="00EE5306">
            <w:pPr>
              <w:spacing w:after="100"/>
              <w:rPr>
                <w:rFonts w:eastAsia="Times New Roman"/>
                <w:sz w:val="20"/>
                <w:szCs w:val="20"/>
              </w:rPr>
            </w:pPr>
          </w:p>
        </w:tc>
        <w:tc>
          <w:tcPr>
            <w:tcW w:w="50" w:type="pct"/>
            <w:vAlign w:val="center"/>
            <w:hideMark/>
          </w:tcPr>
          <w:p w14:paraId="3A24C4F6" w14:textId="77777777" w:rsidR="00000000" w:rsidRDefault="00EE5306">
            <w:pPr>
              <w:spacing w:after="100"/>
              <w:rPr>
                <w:rFonts w:eastAsia="Times New Roman"/>
                <w:sz w:val="20"/>
                <w:szCs w:val="20"/>
              </w:rPr>
            </w:pPr>
          </w:p>
        </w:tc>
        <w:tc>
          <w:tcPr>
            <w:tcW w:w="1436" w:type="pct"/>
            <w:vAlign w:val="center"/>
            <w:hideMark/>
          </w:tcPr>
          <w:p w14:paraId="2FA4DFE5" w14:textId="77777777" w:rsidR="00000000" w:rsidRDefault="00EE5306">
            <w:pPr>
              <w:spacing w:after="100"/>
              <w:rPr>
                <w:rFonts w:eastAsia="Times New Roman"/>
                <w:sz w:val="20"/>
                <w:szCs w:val="20"/>
              </w:rPr>
            </w:pPr>
          </w:p>
        </w:tc>
        <w:tc>
          <w:tcPr>
            <w:tcW w:w="5" w:type="pct"/>
            <w:vAlign w:val="center"/>
            <w:hideMark/>
          </w:tcPr>
          <w:p w14:paraId="632E1574" w14:textId="77777777" w:rsidR="00000000" w:rsidRDefault="00EE5306">
            <w:pPr>
              <w:spacing w:after="100"/>
              <w:rPr>
                <w:rFonts w:eastAsia="Times New Roman"/>
                <w:sz w:val="20"/>
                <w:szCs w:val="20"/>
              </w:rPr>
            </w:pPr>
          </w:p>
        </w:tc>
        <w:tc>
          <w:tcPr>
            <w:tcW w:w="50" w:type="pct"/>
            <w:vAlign w:val="center"/>
            <w:hideMark/>
          </w:tcPr>
          <w:p w14:paraId="79F9E4FE" w14:textId="77777777" w:rsidR="00000000" w:rsidRDefault="00EE5306">
            <w:pPr>
              <w:spacing w:after="100"/>
              <w:rPr>
                <w:rFonts w:eastAsia="Times New Roman"/>
                <w:sz w:val="20"/>
                <w:szCs w:val="20"/>
              </w:rPr>
            </w:pPr>
          </w:p>
        </w:tc>
        <w:tc>
          <w:tcPr>
            <w:tcW w:w="1699" w:type="pct"/>
            <w:vAlign w:val="center"/>
            <w:hideMark/>
          </w:tcPr>
          <w:p w14:paraId="02D2ED06" w14:textId="77777777" w:rsidR="00000000" w:rsidRDefault="00EE5306">
            <w:pPr>
              <w:spacing w:after="100"/>
              <w:rPr>
                <w:rFonts w:eastAsia="Times New Roman"/>
                <w:sz w:val="20"/>
                <w:szCs w:val="20"/>
              </w:rPr>
            </w:pPr>
          </w:p>
        </w:tc>
        <w:tc>
          <w:tcPr>
            <w:tcW w:w="5" w:type="pct"/>
            <w:vAlign w:val="center"/>
            <w:hideMark/>
          </w:tcPr>
          <w:p w14:paraId="70DB9F52" w14:textId="77777777" w:rsidR="00000000" w:rsidRDefault="00EE5306">
            <w:pPr>
              <w:spacing w:after="100"/>
              <w:rPr>
                <w:rFonts w:eastAsia="Times New Roman"/>
                <w:sz w:val="20"/>
                <w:szCs w:val="20"/>
              </w:rPr>
            </w:pPr>
          </w:p>
        </w:tc>
      </w:tr>
      <w:tr w:rsidR="00000000" w14:paraId="46E4CB33" w14:textId="77777777">
        <w:trPr>
          <w:jc w:val="center"/>
        </w:trPr>
        <w:tc>
          <w:tcPr>
            <w:tcW w:w="0" w:type="auto"/>
            <w:gridSpan w:val="3"/>
            <w:tcMar>
              <w:top w:w="0" w:type="dxa"/>
              <w:left w:w="20" w:type="dxa"/>
              <w:bottom w:w="0" w:type="dxa"/>
              <w:right w:w="20" w:type="dxa"/>
            </w:tcMar>
            <w:vAlign w:val="center"/>
            <w:hideMark/>
          </w:tcPr>
          <w:p w14:paraId="159B3A1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F0F7CBB" w14:textId="77777777" w:rsidR="00000000" w:rsidRDefault="00EE5306">
            <w:pPr>
              <w:spacing w:after="100"/>
              <w:jc w:val="center"/>
              <w:rPr>
                <w:rFonts w:eastAsia="Times New Roman"/>
              </w:rPr>
            </w:pPr>
            <w:r>
              <w:rPr>
                <w:rFonts w:eastAsia="Times New Roman"/>
                <w:color w:val="000000"/>
                <w:sz w:val="20"/>
                <w:szCs w:val="20"/>
              </w:rPr>
              <w:t>F-29</w:t>
            </w:r>
          </w:p>
        </w:tc>
        <w:tc>
          <w:tcPr>
            <w:tcW w:w="0" w:type="auto"/>
            <w:gridSpan w:val="3"/>
            <w:tcMar>
              <w:top w:w="0" w:type="dxa"/>
              <w:left w:w="20" w:type="dxa"/>
              <w:bottom w:w="0" w:type="dxa"/>
              <w:right w:w="20" w:type="dxa"/>
            </w:tcMar>
            <w:vAlign w:val="center"/>
            <w:hideMark/>
          </w:tcPr>
          <w:p w14:paraId="10311AFB" w14:textId="77777777" w:rsidR="00000000" w:rsidRDefault="00EE5306">
            <w:pPr>
              <w:spacing w:after="100"/>
              <w:jc w:val="center"/>
              <w:rPr>
                <w:rFonts w:eastAsia="Times New Roman"/>
              </w:rPr>
            </w:pPr>
          </w:p>
        </w:tc>
      </w:tr>
    </w:tbl>
    <w:p w14:paraId="52545053" w14:textId="77777777" w:rsidR="00000000" w:rsidRDefault="00EE5306">
      <w:pPr>
        <w:rPr>
          <w:rFonts w:eastAsia="Times New Roman"/>
        </w:rPr>
      </w:pPr>
      <w:r>
        <w:rPr>
          <w:rFonts w:eastAsia="Times New Roman"/>
        </w:rPr>
        <w:pict w14:anchorId="16BEA422">
          <v:rect id="_x0000_i1139" style="width:0;height:1.5pt" o:hralign="center" o:hrstd="t" o:hr="t" fillcolor="#a0a0a0" stroked="f"/>
        </w:pict>
      </w:r>
    </w:p>
    <w:p w14:paraId="079A501B" w14:textId="77777777" w:rsidR="00000000" w:rsidRDefault="00EE5306">
      <w:pPr>
        <w:jc w:val="center"/>
        <w:divId w:val="839658094"/>
        <w:rPr>
          <w:rFonts w:eastAsia="Times New Roman"/>
        </w:rPr>
      </w:pPr>
    </w:p>
    <w:p w14:paraId="45FFC804" w14:textId="77777777" w:rsidR="00000000" w:rsidRDefault="00EE5306">
      <w:pPr>
        <w:jc w:val="center"/>
        <w:divId w:val="839658094"/>
        <w:rPr>
          <w:rFonts w:eastAsia="Times New Roman"/>
        </w:rPr>
      </w:pPr>
      <w:r>
        <w:rPr>
          <w:rFonts w:eastAsia="Times New Roman"/>
          <w:b/>
          <w:bCs/>
          <w:color w:val="000000"/>
          <w:sz w:val="20"/>
          <w:szCs w:val="20"/>
        </w:rPr>
        <w:t>RALPH LAUREN CORPORATION</w:t>
      </w:r>
    </w:p>
    <w:p w14:paraId="00A921BD" w14:textId="77777777" w:rsidR="00000000" w:rsidRDefault="00EE5306">
      <w:pPr>
        <w:jc w:val="center"/>
        <w:divId w:val="821509109"/>
        <w:rPr>
          <w:rFonts w:eastAsia="Times New Roman"/>
        </w:rPr>
      </w:pPr>
      <w:r>
        <w:rPr>
          <w:rFonts w:eastAsia="Times New Roman"/>
          <w:b/>
          <w:bCs/>
          <w:color w:val="000000"/>
          <w:sz w:val="20"/>
          <w:szCs w:val="20"/>
        </w:rPr>
        <w:t>NOTES TO CONSOLIDATED FINANCIAL STATEMENTS (Continued)</w:t>
      </w:r>
    </w:p>
    <w:p w14:paraId="738012CB" w14:textId="77777777" w:rsidR="00000000" w:rsidRDefault="00EE5306">
      <w:pPr>
        <w:ind w:firstLine="360"/>
        <w:divId w:val="1420100001"/>
        <w:rPr>
          <w:rFonts w:eastAsia="Times New Roman"/>
        </w:rPr>
      </w:pPr>
      <w:r>
        <w:rPr>
          <w:rFonts w:eastAsia="Times New Roman"/>
          <w:b/>
          <w:bCs/>
          <w:i/>
          <w:iCs/>
          <w:color w:val="000000"/>
          <w:sz w:val="20"/>
          <w:szCs w:val="20"/>
        </w:rPr>
        <w:t>Tax Rate Reconciliation</w:t>
      </w:r>
    </w:p>
    <w:p w14:paraId="135DEC5D" w14:textId="77777777" w:rsidR="00000000" w:rsidRDefault="00EE5306">
      <w:pPr>
        <w:ind w:firstLine="540"/>
        <w:jc w:val="both"/>
        <w:divId w:val="2123064733"/>
        <w:rPr>
          <w:rFonts w:eastAsia="Times New Roman"/>
        </w:rPr>
      </w:pPr>
      <w:r>
        <w:rPr>
          <w:rFonts w:eastAsia="Times New Roman"/>
          <w:color w:val="000000"/>
          <w:sz w:val="20"/>
          <w:szCs w:val="20"/>
        </w:rPr>
        <w:t>The differences between income taxes expected at the U.S. </w:t>
      </w:r>
      <w:r>
        <w:rPr>
          <w:rFonts w:eastAsia="Times New Roman"/>
          <w:color w:val="000000"/>
          <w:sz w:val="20"/>
          <w:szCs w:val="20"/>
        </w:rPr>
        <w:t>federal statutory income tax rate and income taxes provided are as follows:</w:t>
      </w:r>
    </w:p>
    <w:tbl>
      <w:tblPr>
        <w:tblW w:w="4722" w:type="pct"/>
        <w:tblCellMar>
          <w:top w:w="15" w:type="dxa"/>
          <w:left w:w="15" w:type="dxa"/>
          <w:bottom w:w="15" w:type="dxa"/>
          <w:right w:w="15" w:type="dxa"/>
        </w:tblCellMar>
        <w:tblLook w:val="04A0" w:firstRow="1" w:lastRow="0" w:firstColumn="1" w:lastColumn="0" w:noHBand="0" w:noVBand="1"/>
      </w:tblPr>
      <w:tblGrid>
        <w:gridCol w:w="39"/>
        <w:gridCol w:w="4579"/>
        <w:gridCol w:w="38"/>
        <w:gridCol w:w="36"/>
        <w:gridCol w:w="36"/>
        <w:gridCol w:w="36"/>
        <w:gridCol w:w="120"/>
        <w:gridCol w:w="623"/>
        <w:gridCol w:w="230"/>
        <w:gridCol w:w="36"/>
        <w:gridCol w:w="36"/>
        <w:gridCol w:w="36"/>
        <w:gridCol w:w="120"/>
        <w:gridCol w:w="625"/>
        <w:gridCol w:w="230"/>
        <w:gridCol w:w="36"/>
        <w:gridCol w:w="36"/>
        <w:gridCol w:w="36"/>
        <w:gridCol w:w="120"/>
        <w:gridCol w:w="626"/>
        <w:gridCol w:w="170"/>
      </w:tblGrid>
      <w:tr w:rsidR="00000000" w14:paraId="50153B1F" w14:textId="77777777">
        <w:trPr>
          <w:divId w:val="188950840"/>
        </w:trPr>
        <w:tc>
          <w:tcPr>
            <w:tcW w:w="50" w:type="pct"/>
            <w:vAlign w:val="center"/>
            <w:hideMark/>
          </w:tcPr>
          <w:p w14:paraId="1541591F" w14:textId="77777777" w:rsidR="00000000" w:rsidRDefault="00EE5306">
            <w:pPr>
              <w:ind w:firstLine="540"/>
              <w:jc w:val="both"/>
              <w:rPr>
                <w:rFonts w:eastAsia="Times New Roman"/>
              </w:rPr>
            </w:pPr>
          </w:p>
        </w:tc>
        <w:tc>
          <w:tcPr>
            <w:tcW w:w="3040" w:type="pct"/>
            <w:vAlign w:val="center"/>
            <w:hideMark/>
          </w:tcPr>
          <w:p w14:paraId="0704A99F" w14:textId="77777777" w:rsidR="00000000" w:rsidRDefault="00EE5306">
            <w:pPr>
              <w:spacing w:after="100"/>
              <w:rPr>
                <w:rFonts w:eastAsia="Times New Roman"/>
                <w:sz w:val="20"/>
                <w:szCs w:val="20"/>
              </w:rPr>
            </w:pPr>
          </w:p>
        </w:tc>
        <w:tc>
          <w:tcPr>
            <w:tcW w:w="5" w:type="pct"/>
            <w:vAlign w:val="center"/>
            <w:hideMark/>
          </w:tcPr>
          <w:p w14:paraId="58EBE472" w14:textId="77777777" w:rsidR="00000000" w:rsidRDefault="00EE5306">
            <w:pPr>
              <w:spacing w:after="100"/>
              <w:rPr>
                <w:rFonts w:eastAsia="Times New Roman"/>
                <w:sz w:val="20"/>
                <w:szCs w:val="20"/>
              </w:rPr>
            </w:pPr>
          </w:p>
        </w:tc>
        <w:tc>
          <w:tcPr>
            <w:tcW w:w="5" w:type="pct"/>
            <w:vAlign w:val="center"/>
            <w:hideMark/>
          </w:tcPr>
          <w:p w14:paraId="6CA7BF48" w14:textId="77777777" w:rsidR="00000000" w:rsidRDefault="00EE5306">
            <w:pPr>
              <w:spacing w:after="100"/>
              <w:rPr>
                <w:rFonts w:eastAsia="Times New Roman"/>
                <w:sz w:val="20"/>
                <w:szCs w:val="20"/>
              </w:rPr>
            </w:pPr>
          </w:p>
        </w:tc>
        <w:tc>
          <w:tcPr>
            <w:tcW w:w="28" w:type="pct"/>
            <w:vAlign w:val="center"/>
            <w:hideMark/>
          </w:tcPr>
          <w:p w14:paraId="7A620D23" w14:textId="77777777" w:rsidR="00000000" w:rsidRDefault="00EE5306">
            <w:pPr>
              <w:spacing w:after="100"/>
              <w:rPr>
                <w:rFonts w:eastAsia="Times New Roman"/>
                <w:sz w:val="20"/>
                <w:szCs w:val="20"/>
              </w:rPr>
            </w:pPr>
          </w:p>
        </w:tc>
        <w:tc>
          <w:tcPr>
            <w:tcW w:w="5" w:type="pct"/>
            <w:vAlign w:val="center"/>
            <w:hideMark/>
          </w:tcPr>
          <w:p w14:paraId="1E9EEBC8" w14:textId="77777777" w:rsidR="00000000" w:rsidRDefault="00EE5306">
            <w:pPr>
              <w:spacing w:after="100"/>
              <w:rPr>
                <w:rFonts w:eastAsia="Times New Roman"/>
                <w:sz w:val="20"/>
                <w:szCs w:val="20"/>
              </w:rPr>
            </w:pPr>
          </w:p>
        </w:tc>
        <w:tc>
          <w:tcPr>
            <w:tcW w:w="50" w:type="pct"/>
            <w:vAlign w:val="center"/>
            <w:hideMark/>
          </w:tcPr>
          <w:p w14:paraId="51C81911" w14:textId="77777777" w:rsidR="00000000" w:rsidRDefault="00EE5306">
            <w:pPr>
              <w:spacing w:after="100"/>
              <w:rPr>
                <w:rFonts w:eastAsia="Times New Roman"/>
                <w:sz w:val="20"/>
                <w:szCs w:val="20"/>
              </w:rPr>
            </w:pPr>
          </w:p>
        </w:tc>
        <w:tc>
          <w:tcPr>
            <w:tcW w:w="540" w:type="pct"/>
            <w:vAlign w:val="center"/>
            <w:hideMark/>
          </w:tcPr>
          <w:p w14:paraId="047690F9" w14:textId="77777777" w:rsidR="00000000" w:rsidRDefault="00EE5306">
            <w:pPr>
              <w:spacing w:after="100"/>
              <w:rPr>
                <w:rFonts w:eastAsia="Times New Roman"/>
                <w:sz w:val="20"/>
                <w:szCs w:val="20"/>
              </w:rPr>
            </w:pPr>
          </w:p>
        </w:tc>
        <w:tc>
          <w:tcPr>
            <w:tcW w:w="5" w:type="pct"/>
            <w:vAlign w:val="center"/>
            <w:hideMark/>
          </w:tcPr>
          <w:p w14:paraId="53A4543B" w14:textId="77777777" w:rsidR="00000000" w:rsidRDefault="00EE5306">
            <w:pPr>
              <w:spacing w:after="100"/>
              <w:rPr>
                <w:rFonts w:eastAsia="Times New Roman"/>
                <w:sz w:val="20"/>
                <w:szCs w:val="20"/>
              </w:rPr>
            </w:pPr>
          </w:p>
        </w:tc>
        <w:tc>
          <w:tcPr>
            <w:tcW w:w="5" w:type="pct"/>
            <w:vAlign w:val="center"/>
            <w:hideMark/>
          </w:tcPr>
          <w:p w14:paraId="624048FA" w14:textId="77777777" w:rsidR="00000000" w:rsidRDefault="00EE5306">
            <w:pPr>
              <w:spacing w:after="100"/>
              <w:rPr>
                <w:rFonts w:eastAsia="Times New Roman"/>
                <w:sz w:val="20"/>
                <w:szCs w:val="20"/>
              </w:rPr>
            </w:pPr>
          </w:p>
        </w:tc>
        <w:tc>
          <w:tcPr>
            <w:tcW w:w="28" w:type="pct"/>
            <w:vAlign w:val="center"/>
            <w:hideMark/>
          </w:tcPr>
          <w:p w14:paraId="573C8E16" w14:textId="77777777" w:rsidR="00000000" w:rsidRDefault="00EE5306">
            <w:pPr>
              <w:spacing w:after="100"/>
              <w:rPr>
                <w:rFonts w:eastAsia="Times New Roman"/>
                <w:sz w:val="20"/>
                <w:szCs w:val="20"/>
              </w:rPr>
            </w:pPr>
          </w:p>
        </w:tc>
        <w:tc>
          <w:tcPr>
            <w:tcW w:w="5" w:type="pct"/>
            <w:vAlign w:val="center"/>
            <w:hideMark/>
          </w:tcPr>
          <w:p w14:paraId="4923D814" w14:textId="77777777" w:rsidR="00000000" w:rsidRDefault="00EE5306">
            <w:pPr>
              <w:spacing w:after="100"/>
              <w:rPr>
                <w:rFonts w:eastAsia="Times New Roman"/>
                <w:sz w:val="20"/>
                <w:szCs w:val="20"/>
              </w:rPr>
            </w:pPr>
          </w:p>
        </w:tc>
        <w:tc>
          <w:tcPr>
            <w:tcW w:w="50" w:type="pct"/>
            <w:vAlign w:val="center"/>
            <w:hideMark/>
          </w:tcPr>
          <w:p w14:paraId="7F255B4B" w14:textId="77777777" w:rsidR="00000000" w:rsidRDefault="00EE5306">
            <w:pPr>
              <w:spacing w:after="100"/>
              <w:rPr>
                <w:rFonts w:eastAsia="Times New Roman"/>
                <w:sz w:val="20"/>
                <w:szCs w:val="20"/>
              </w:rPr>
            </w:pPr>
          </w:p>
        </w:tc>
        <w:tc>
          <w:tcPr>
            <w:tcW w:w="540" w:type="pct"/>
            <w:vAlign w:val="center"/>
            <w:hideMark/>
          </w:tcPr>
          <w:p w14:paraId="572C38E4" w14:textId="77777777" w:rsidR="00000000" w:rsidRDefault="00EE5306">
            <w:pPr>
              <w:spacing w:after="100"/>
              <w:rPr>
                <w:rFonts w:eastAsia="Times New Roman"/>
                <w:sz w:val="20"/>
                <w:szCs w:val="20"/>
              </w:rPr>
            </w:pPr>
          </w:p>
        </w:tc>
        <w:tc>
          <w:tcPr>
            <w:tcW w:w="5" w:type="pct"/>
            <w:vAlign w:val="center"/>
            <w:hideMark/>
          </w:tcPr>
          <w:p w14:paraId="568F6B5A" w14:textId="77777777" w:rsidR="00000000" w:rsidRDefault="00EE5306">
            <w:pPr>
              <w:spacing w:after="100"/>
              <w:rPr>
                <w:rFonts w:eastAsia="Times New Roman"/>
                <w:sz w:val="20"/>
                <w:szCs w:val="20"/>
              </w:rPr>
            </w:pPr>
          </w:p>
        </w:tc>
        <w:tc>
          <w:tcPr>
            <w:tcW w:w="5" w:type="pct"/>
            <w:vAlign w:val="center"/>
            <w:hideMark/>
          </w:tcPr>
          <w:p w14:paraId="57164472" w14:textId="77777777" w:rsidR="00000000" w:rsidRDefault="00EE5306">
            <w:pPr>
              <w:spacing w:after="100"/>
              <w:rPr>
                <w:rFonts w:eastAsia="Times New Roman"/>
                <w:sz w:val="20"/>
                <w:szCs w:val="20"/>
              </w:rPr>
            </w:pPr>
          </w:p>
        </w:tc>
        <w:tc>
          <w:tcPr>
            <w:tcW w:w="28" w:type="pct"/>
            <w:vAlign w:val="center"/>
            <w:hideMark/>
          </w:tcPr>
          <w:p w14:paraId="0C4CA0B6" w14:textId="77777777" w:rsidR="00000000" w:rsidRDefault="00EE5306">
            <w:pPr>
              <w:spacing w:after="100"/>
              <w:rPr>
                <w:rFonts w:eastAsia="Times New Roman"/>
                <w:sz w:val="20"/>
                <w:szCs w:val="20"/>
              </w:rPr>
            </w:pPr>
          </w:p>
        </w:tc>
        <w:tc>
          <w:tcPr>
            <w:tcW w:w="5" w:type="pct"/>
            <w:vAlign w:val="center"/>
            <w:hideMark/>
          </w:tcPr>
          <w:p w14:paraId="72BE0AAE" w14:textId="77777777" w:rsidR="00000000" w:rsidRDefault="00EE5306">
            <w:pPr>
              <w:spacing w:after="100"/>
              <w:rPr>
                <w:rFonts w:eastAsia="Times New Roman"/>
                <w:sz w:val="20"/>
                <w:szCs w:val="20"/>
              </w:rPr>
            </w:pPr>
          </w:p>
        </w:tc>
        <w:tc>
          <w:tcPr>
            <w:tcW w:w="50" w:type="pct"/>
            <w:vAlign w:val="center"/>
            <w:hideMark/>
          </w:tcPr>
          <w:p w14:paraId="7FACA79F" w14:textId="77777777" w:rsidR="00000000" w:rsidRDefault="00EE5306">
            <w:pPr>
              <w:spacing w:after="100"/>
              <w:rPr>
                <w:rFonts w:eastAsia="Times New Roman"/>
                <w:sz w:val="20"/>
                <w:szCs w:val="20"/>
              </w:rPr>
            </w:pPr>
          </w:p>
        </w:tc>
        <w:tc>
          <w:tcPr>
            <w:tcW w:w="541" w:type="pct"/>
            <w:vAlign w:val="center"/>
            <w:hideMark/>
          </w:tcPr>
          <w:p w14:paraId="1DA78D0E" w14:textId="77777777" w:rsidR="00000000" w:rsidRDefault="00EE5306">
            <w:pPr>
              <w:spacing w:after="100"/>
              <w:rPr>
                <w:rFonts w:eastAsia="Times New Roman"/>
                <w:sz w:val="20"/>
                <w:szCs w:val="20"/>
              </w:rPr>
            </w:pPr>
          </w:p>
        </w:tc>
        <w:tc>
          <w:tcPr>
            <w:tcW w:w="5" w:type="pct"/>
            <w:vAlign w:val="center"/>
            <w:hideMark/>
          </w:tcPr>
          <w:p w14:paraId="3FDB032A" w14:textId="77777777" w:rsidR="00000000" w:rsidRDefault="00EE5306">
            <w:pPr>
              <w:spacing w:after="100"/>
              <w:rPr>
                <w:rFonts w:eastAsia="Times New Roman"/>
                <w:sz w:val="20"/>
                <w:szCs w:val="20"/>
              </w:rPr>
            </w:pPr>
          </w:p>
        </w:tc>
      </w:tr>
      <w:tr w:rsidR="00000000" w14:paraId="1E4D7E50" w14:textId="77777777">
        <w:trPr>
          <w:divId w:val="188950840"/>
        </w:trPr>
        <w:tc>
          <w:tcPr>
            <w:tcW w:w="0" w:type="auto"/>
            <w:gridSpan w:val="3"/>
            <w:tcMar>
              <w:top w:w="30" w:type="dxa"/>
              <w:left w:w="20" w:type="dxa"/>
              <w:bottom w:w="30" w:type="dxa"/>
              <w:right w:w="20" w:type="dxa"/>
            </w:tcMar>
            <w:vAlign w:val="bottom"/>
            <w:hideMark/>
          </w:tcPr>
          <w:p w14:paraId="5989FE6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DF2D0ED"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0745DD75"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0CF64A5A" w14:textId="77777777">
        <w:trPr>
          <w:divId w:val="188950840"/>
        </w:trPr>
        <w:tc>
          <w:tcPr>
            <w:tcW w:w="0" w:type="auto"/>
            <w:gridSpan w:val="3"/>
            <w:tcMar>
              <w:top w:w="30" w:type="dxa"/>
              <w:left w:w="20" w:type="dxa"/>
              <w:bottom w:w="30" w:type="dxa"/>
              <w:right w:w="20" w:type="dxa"/>
            </w:tcMar>
            <w:vAlign w:val="bottom"/>
            <w:hideMark/>
          </w:tcPr>
          <w:p w14:paraId="1DF38E5E"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3A974AE"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EE0A75"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513FCC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D522B4"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DA12702"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626CD7"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77DDED8E" w14:textId="77777777">
        <w:trPr>
          <w:divId w:val="188950840"/>
        </w:trPr>
        <w:tc>
          <w:tcPr>
            <w:tcW w:w="0" w:type="auto"/>
            <w:gridSpan w:val="3"/>
            <w:tcMar>
              <w:top w:w="30" w:type="dxa"/>
              <w:left w:w="20" w:type="dxa"/>
              <w:bottom w:w="30" w:type="dxa"/>
              <w:right w:w="20" w:type="dxa"/>
            </w:tcMar>
            <w:vAlign w:val="bottom"/>
            <w:hideMark/>
          </w:tcPr>
          <w:p w14:paraId="5F8F14CB"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F1D8F22"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C08C797"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7EDC2F62" w14:textId="77777777">
        <w:trPr>
          <w:divId w:val="188950840"/>
        </w:trPr>
        <w:tc>
          <w:tcPr>
            <w:tcW w:w="0" w:type="auto"/>
            <w:gridSpan w:val="3"/>
            <w:shd w:val="clear" w:color="auto" w:fill="CCEEFF"/>
            <w:tcMar>
              <w:top w:w="30" w:type="dxa"/>
              <w:left w:w="20" w:type="dxa"/>
              <w:bottom w:w="30" w:type="dxa"/>
              <w:right w:w="20" w:type="dxa"/>
            </w:tcMar>
            <w:vAlign w:val="bottom"/>
            <w:hideMark/>
          </w:tcPr>
          <w:p w14:paraId="17EF4A9D" w14:textId="77777777" w:rsidR="00000000" w:rsidRDefault="00EE5306">
            <w:pPr>
              <w:spacing w:after="100"/>
              <w:rPr>
                <w:rFonts w:eastAsia="Times New Roman"/>
              </w:rPr>
            </w:pPr>
            <w:r>
              <w:rPr>
                <w:rFonts w:eastAsia="Times New Roman"/>
                <w:color w:val="000000"/>
                <w:sz w:val="20"/>
                <w:szCs w:val="20"/>
              </w:rPr>
              <w:t>Benefit (provision) for income taxes at the U.S. federal statutory rate</w:t>
            </w:r>
          </w:p>
        </w:tc>
        <w:tc>
          <w:tcPr>
            <w:tcW w:w="0" w:type="auto"/>
            <w:gridSpan w:val="3"/>
            <w:shd w:val="clear" w:color="auto" w:fill="CCEEFF"/>
            <w:tcMar>
              <w:top w:w="0" w:type="dxa"/>
              <w:left w:w="20" w:type="dxa"/>
              <w:bottom w:w="0" w:type="dxa"/>
              <w:right w:w="20" w:type="dxa"/>
            </w:tcMar>
            <w:vAlign w:val="center"/>
            <w:hideMark/>
          </w:tcPr>
          <w:p w14:paraId="520E1D69"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28B1DB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FF9D6B" w14:textId="77777777" w:rsidR="00000000" w:rsidRDefault="00EE5306">
            <w:pPr>
              <w:spacing w:after="100"/>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14:paraId="4246E49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C7A14"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A4297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D73F53" w14:textId="77777777" w:rsidR="00000000" w:rsidRDefault="00EE5306">
            <w:pPr>
              <w:spacing w:after="100"/>
              <w:jc w:val="right"/>
              <w:rPr>
                <w:rFonts w:eastAsia="Times New Roman"/>
              </w:rPr>
            </w:pPr>
            <w:r>
              <w:rPr>
                <w:rFonts w:eastAsia="Times New Roman"/>
                <w:color w:val="000000"/>
                <w:sz w:val="20"/>
                <w:szCs w:val="20"/>
              </w:rPr>
              <w:t>(68.5)</w:t>
            </w:r>
          </w:p>
        </w:tc>
        <w:tc>
          <w:tcPr>
            <w:tcW w:w="0" w:type="auto"/>
            <w:shd w:val="clear" w:color="auto" w:fill="CCEEFF"/>
            <w:tcMar>
              <w:top w:w="30" w:type="dxa"/>
              <w:left w:w="0" w:type="dxa"/>
              <w:bottom w:w="30" w:type="dxa"/>
              <w:right w:w="20" w:type="dxa"/>
            </w:tcMar>
            <w:vAlign w:val="bottom"/>
            <w:hideMark/>
          </w:tcPr>
          <w:p w14:paraId="25A53A7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146AB"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C0DA9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8FF10E" w14:textId="77777777" w:rsidR="00000000" w:rsidRDefault="00EE5306">
            <w:pPr>
              <w:spacing w:after="100"/>
              <w:jc w:val="right"/>
              <w:rPr>
                <w:rFonts w:eastAsia="Times New Roman"/>
              </w:rPr>
            </w:pPr>
            <w:r>
              <w:rPr>
                <w:rFonts w:eastAsia="Times New Roman"/>
                <w:color w:val="000000"/>
                <w:sz w:val="20"/>
                <w:szCs w:val="20"/>
              </w:rPr>
              <w:t>(122.3)</w:t>
            </w:r>
          </w:p>
        </w:tc>
        <w:tc>
          <w:tcPr>
            <w:tcW w:w="0" w:type="auto"/>
            <w:shd w:val="clear" w:color="auto" w:fill="CCEEFF"/>
            <w:tcMar>
              <w:top w:w="30" w:type="dxa"/>
              <w:left w:w="0" w:type="dxa"/>
              <w:bottom w:w="30" w:type="dxa"/>
              <w:right w:w="20" w:type="dxa"/>
            </w:tcMar>
            <w:vAlign w:val="bottom"/>
            <w:hideMark/>
          </w:tcPr>
          <w:p w14:paraId="691FAA7B" w14:textId="77777777" w:rsidR="00000000" w:rsidRDefault="00EE5306">
            <w:pPr>
              <w:spacing w:after="100"/>
              <w:jc w:val="right"/>
              <w:rPr>
                <w:rFonts w:eastAsia="Times New Roman"/>
              </w:rPr>
            </w:pPr>
          </w:p>
        </w:tc>
      </w:tr>
      <w:tr w:rsidR="00000000" w14:paraId="0A97978B" w14:textId="77777777">
        <w:trPr>
          <w:divId w:val="188950840"/>
        </w:trPr>
        <w:tc>
          <w:tcPr>
            <w:tcW w:w="0" w:type="auto"/>
            <w:gridSpan w:val="3"/>
            <w:shd w:val="clear" w:color="auto" w:fill="FFFFFF"/>
            <w:tcMar>
              <w:top w:w="30" w:type="dxa"/>
              <w:left w:w="20" w:type="dxa"/>
              <w:bottom w:w="30" w:type="dxa"/>
              <w:right w:w="20" w:type="dxa"/>
            </w:tcMar>
            <w:vAlign w:val="bottom"/>
            <w:hideMark/>
          </w:tcPr>
          <w:p w14:paraId="6012C8B9" w14:textId="77777777" w:rsidR="00000000" w:rsidRDefault="00EE5306">
            <w:pPr>
              <w:spacing w:after="100"/>
              <w:rPr>
                <w:rFonts w:eastAsia="Times New Roman"/>
              </w:rPr>
            </w:pPr>
            <w:r>
              <w:rPr>
                <w:rFonts w:eastAsia="Times New Roman"/>
                <w:color w:val="000000"/>
                <w:sz w:val="20"/>
                <w:szCs w:val="20"/>
              </w:rPr>
              <w:t>Change due to:</w:t>
            </w:r>
          </w:p>
        </w:tc>
        <w:tc>
          <w:tcPr>
            <w:tcW w:w="0" w:type="auto"/>
            <w:gridSpan w:val="3"/>
            <w:shd w:val="clear" w:color="auto" w:fill="FFFFFF"/>
            <w:tcMar>
              <w:top w:w="0" w:type="dxa"/>
              <w:left w:w="20" w:type="dxa"/>
              <w:bottom w:w="0" w:type="dxa"/>
              <w:right w:w="20" w:type="dxa"/>
            </w:tcMar>
            <w:vAlign w:val="center"/>
            <w:hideMark/>
          </w:tcPr>
          <w:p w14:paraId="4BAB4071"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D403B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9F8D6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01516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9DEA1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294061" w14:textId="77777777" w:rsidR="00000000" w:rsidRDefault="00EE5306">
            <w:pPr>
              <w:spacing w:after="100"/>
              <w:rPr>
                <w:rFonts w:eastAsia="Times New Roman"/>
                <w:sz w:val="20"/>
                <w:szCs w:val="20"/>
              </w:rPr>
            </w:pPr>
          </w:p>
        </w:tc>
      </w:tr>
      <w:tr w:rsidR="00000000" w14:paraId="654A1C2E" w14:textId="77777777">
        <w:trPr>
          <w:divId w:val="188950840"/>
        </w:trPr>
        <w:tc>
          <w:tcPr>
            <w:tcW w:w="0" w:type="auto"/>
            <w:gridSpan w:val="3"/>
            <w:shd w:val="clear" w:color="auto" w:fill="CCEEFF"/>
            <w:tcMar>
              <w:top w:w="30" w:type="dxa"/>
              <w:left w:w="155" w:type="dxa"/>
              <w:bottom w:w="30" w:type="dxa"/>
              <w:right w:w="20" w:type="dxa"/>
            </w:tcMar>
            <w:vAlign w:val="bottom"/>
            <w:hideMark/>
          </w:tcPr>
          <w:p w14:paraId="749D5BDA" w14:textId="77777777" w:rsidR="00000000" w:rsidRDefault="00EE5306">
            <w:pPr>
              <w:spacing w:after="100"/>
              <w:rPr>
                <w:rFonts w:eastAsia="Times New Roman"/>
              </w:rPr>
            </w:pPr>
            <w:r>
              <w:rPr>
                <w:rFonts w:eastAsia="Times New Roman"/>
                <w:color w:val="000000"/>
                <w:sz w:val="20"/>
                <w:szCs w:val="20"/>
              </w:rPr>
              <w:t>State and local income taxes, net of federal benefit</w:t>
            </w:r>
          </w:p>
        </w:tc>
        <w:tc>
          <w:tcPr>
            <w:tcW w:w="0" w:type="auto"/>
            <w:gridSpan w:val="3"/>
            <w:shd w:val="clear" w:color="auto" w:fill="CCEEFF"/>
            <w:tcMar>
              <w:top w:w="0" w:type="dxa"/>
              <w:left w:w="20" w:type="dxa"/>
              <w:bottom w:w="0" w:type="dxa"/>
              <w:right w:w="20" w:type="dxa"/>
            </w:tcMar>
            <w:vAlign w:val="center"/>
            <w:hideMark/>
          </w:tcPr>
          <w:p w14:paraId="53D9A86A"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1ECBD7" w14:textId="77777777" w:rsidR="00000000" w:rsidRDefault="00EE5306">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14:paraId="187ECF1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AC8D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56ED9E" w14:textId="77777777" w:rsidR="00000000" w:rsidRDefault="00EE5306">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14:paraId="20E68B4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93A0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B49463" w14:textId="77777777" w:rsidR="00000000" w:rsidRDefault="00EE5306">
            <w:pPr>
              <w:spacing w:after="100"/>
              <w:jc w:val="right"/>
              <w:rPr>
                <w:rFonts w:eastAsia="Times New Roman"/>
              </w:rPr>
            </w:pPr>
            <w:r>
              <w:rPr>
                <w:rFonts w:eastAsia="Times New Roman"/>
                <w:color w:val="000000"/>
                <w:sz w:val="20"/>
                <w:szCs w:val="20"/>
              </w:rPr>
              <w:t>(12.4)</w:t>
            </w:r>
          </w:p>
        </w:tc>
        <w:tc>
          <w:tcPr>
            <w:tcW w:w="0" w:type="auto"/>
            <w:shd w:val="clear" w:color="auto" w:fill="CCEEFF"/>
            <w:tcMar>
              <w:top w:w="30" w:type="dxa"/>
              <w:left w:w="0" w:type="dxa"/>
              <w:bottom w:w="30" w:type="dxa"/>
              <w:right w:w="20" w:type="dxa"/>
            </w:tcMar>
            <w:vAlign w:val="bottom"/>
            <w:hideMark/>
          </w:tcPr>
          <w:p w14:paraId="7AAD4C04" w14:textId="77777777" w:rsidR="00000000" w:rsidRDefault="00EE5306">
            <w:pPr>
              <w:spacing w:after="100"/>
              <w:jc w:val="right"/>
              <w:rPr>
                <w:rFonts w:eastAsia="Times New Roman"/>
              </w:rPr>
            </w:pPr>
          </w:p>
        </w:tc>
      </w:tr>
      <w:tr w:rsidR="00000000" w14:paraId="0DA237A6" w14:textId="77777777">
        <w:trPr>
          <w:divId w:val="188950840"/>
        </w:trPr>
        <w:tc>
          <w:tcPr>
            <w:tcW w:w="0" w:type="auto"/>
            <w:gridSpan w:val="3"/>
            <w:shd w:val="clear" w:color="auto" w:fill="FFFFFF"/>
            <w:tcMar>
              <w:top w:w="30" w:type="dxa"/>
              <w:left w:w="155" w:type="dxa"/>
              <w:bottom w:w="30" w:type="dxa"/>
              <w:right w:w="20" w:type="dxa"/>
            </w:tcMar>
            <w:vAlign w:val="bottom"/>
            <w:hideMark/>
          </w:tcPr>
          <w:p w14:paraId="6727EBBF" w14:textId="77777777" w:rsidR="00000000" w:rsidRDefault="00EE5306">
            <w:pPr>
              <w:spacing w:after="100"/>
              <w:rPr>
                <w:rFonts w:eastAsia="Times New Roman"/>
              </w:rPr>
            </w:pPr>
            <w:r>
              <w:rPr>
                <w:rFonts w:eastAsia="Times New Roman"/>
                <w:color w:val="000000"/>
                <w:sz w:val="20"/>
                <w:szCs w:val="20"/>
              </w:rPr>
              <w:t>Foreign income taxed at different rates, net of U.S. foreign tax credits</w:t>
            </w:r>
          </w:p>
        </w:tc>
        <w:tc>
          <w:tcPr>
            <w:tcW w:w="0" w:type="auto"/>
            <w:gridSpan w:val="3"/>
            <w:shd w:val="clear" w:color="auto" w:fill="FFFFFF"/>
            <w:tcMar>
              <w:top w:w="0" w:type="dxa"/>
              <w:left w:w="20" w:type="dxa"/>
              <w:bottom w:w="0" w:type="dxa"/>
              <w:right w:w="20" w:type="dxa"/>
            </w:tcMar>
            <w:vAlign w:val="center"/>
            <w:hideMark/>
          </w:tcPr>
          <w:p w14:paraId="018BF2D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EF6CD4" w14:textId="77777777" w:rsidR="00000000" w:rsidRDefault="00EE5306">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14:paraId="2C2EFB9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7084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48020" w14:textId="77777777" w:rsidR="00000000" w:rsidRDefault="00EE5306">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bottom"/>
            <w:hideMark/>
          </w:tcPr>
          <w:p w14:paraId="6C3435A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AFC0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40AA4" w14:textId="77777777" w:rsidR="00000000" w:rsidRDefault="00EE5306">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bottom"/>
            <w:hideMark/>
          </w:tcPr>
          <w:p w14:paraId="5C38E47B" w14:textId="77777777" w:rsidR="00000000" w:rsidRDefault="00EE5306">
            <w:pPr>
              <w:spacing w:after="100"/>
              <w:jc w:val="right"/>
              <w:rPr>
                <w:rFonts w:eastAsia="Times New Roman"/>
              </w:rPr>
            </w:pPr>
          </w:p>
        </w:tc>
      </w:tr>
      <w:tr w:rsidR="00000000" w14:paraId="68BA0191" w14:textId="77777777">
        <w:trPr>
          <w:divId w:val="188950840"/>
        </w:trPr>
        <w:tc>
          <w:tcPr>
            <w:tcW w:w="0" w:type="auto"/>
            <w:gridSpan w:val="3"/>
            <w:shd w:val="clear" w:color="auto" w:fill="CCEEFF"/>
            <w:tcMar>
              <w:top w:w="30" w:type="dxa"/>
              <w:left w:w="155" w:type="dxa"/>
              <w:bottom w:w="30" w:type="dxa"/>
              <w:right w:w="20" w:type="dxa"/>
            </w:tcMar>
            <w:vAlign w:val="bottom"/>
            <w:hideMark/>
          </w:tcPr>
          <w:p w14:paraId="233DA38A" w14:textId="77777777" w:rsidR="00000000" w:rsidRDefault="00EE5306">
            <w:pPr>
              <w:spacing w:after="100"/>
              <w:rPr>
                <w:rFonts w:eastAsia="Times New Roman"/>
              </w:rPr>
            </w:pPr>
            <w:r>
              <w:rPr>
                <w:rFonts w:eastAsia="Times New Roman"/>
                <w:color w:val="000000"/>
                <w:sz w:val="20"/>
                <w:szCs w:val="20"/>
              </w:rPr>
              <w:t>Unrecognized tax benefits and settlements of tax examinations</w:t>
            </w:r>
          </w:p>
        </w:tc>
        <w:tc>
          <w:tcPr>
            <w:tcW w:w="0" w:type="auto"/>
            <w:gridSpan w:val="3"/>
            <w:shd w:val="clear" w:color="auto" w:fill="CCEEFF"/>
            <w:tcMar>
              <w:top w:w="0" w:type="dxa"/>
              <w:left w:w="20" w:type="dxa"/>
              <w:bottom w:w="0" w:type="dxa"/>
              <w:right w:w="20" w:type="dxa"/>
            </w:tcMar>
            <w:vAlign w:val="center"/>
            <w:hideMark/>
          </w:tcPr>
          <w:p w14:paraId="0EB79C8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FBE39F" w14:textId="77777777" w:rsidR="00000000" w:rsidRDefault="00EE5306">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14:paraId="3E580DA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1613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CA693E" w14:textId="77777777" w:rsidR="00000000" w:rsidRDefault="00EE5306">
            <w:pPr>
              <w:spacing w:after="100"/>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14:paraId="5C34648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2B78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46F634" w14:textId="77777777" w:rsidR="00000000" w:rsidRDefault="00EE5306">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14:paraId="7D600C04" w14:textId="77777777" w:rsidR="00000000" w:rsidRDefault="00EE5306">
            <w:pPr>
              <w:spacing w:after="100"/>
              <w:jc w:val="right"/>
              <w:rPr>
                <w:rFonts w:eastAsia="Times New Roman"/>
              </w:rPr>
            </w:pPr>
          </w:p>
        </w:tc>
      </w:tr>
      <w:tr w:rsidR="00000000" w14:paraId="2A48BE45" w14:textId="77777777">
        <w:trPr>
          <w:divId w:val="188950840"/>
        </w:trPr>
        <w:tc>
          <w:tcPr>
            <w:tcW w:w="0" w:type="auto"/>
            <w:gridSpan w:val="3"/>
            <w:shd w:val="clear" w:color="auto" w:fill="FFFFFF"/>
            <w:tcMar>
              <w:top w:w="30" w:type="dxa"/>
              <w:left w:w="155" w:type="dxa"/>
              <w:bottom w:w="30" w:type="dxa"/>
              <w:right w:w="20" w:type="dxa"/>
            </w:tcMar>
            <w:vAlign w:val="bottom"/>
            <w:hideMark/>
          </w:tcPr>
          <w:p w14:paraId="42DB0B4A" w14:textId="77777777" w:rsidR="00000000" w:rsidRDefault="00EE5306">
            <w:pPr>
              <w:spacing w:after="100"/>
              <w:rPr>
                <w:rFonts w:eastAsia="Times New Roman"/>
              </w:rPr>
            </w:pPr>
            <w:r>
              <w:rPr>
                <w:rFonts w:eastAsia="Times New Roman"/>
                <w:color w:val="000000"/>
                <w:sz w:val="20"/>
                <w:szCs w:val="20"/>
              </w:rPr>
              <w:t>Changes in valuation allowance on deferred tax assets</w:t>
            </w:r>
          </w:p>
        </w:tc>
        <w:tc>
          <w:tcPr>
            <w:tcW w:w="0" w:type="auto"/>
            <w:gridSpan w:val="3"/>
            <w:shd w:val="clear" w:color="auto" w:fill="FFFFFF"/>
            <w:tcMar>
              <w:top w:w="0" w:type="dxa"/>
              <w:left w:w="20" w:type="dxa"/>
              <w:bottom w:w="0" w:type="dxa"/>
              <w:right w:w="20" w:type="dxa"/>
            </w:tcMar>
            <w:vAlign w:val="center"/>
            <w:hideMark/>
          </w:tcPr>
          <w:p w14:paraId="684CFA2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24EBE6" w14:textId="77777777" w:rsidR="00000000" w:rsidRDefault="00EE5306">
            <w:pPr>
              <w:spacing w:after="100"/>
              <w:jc w:val="right"/>
              <w:rPr>
                <w:rFonts w:eastAsia="Times New Roman"/>
              </w:rPr>
            </w:pPr>
            <w:r>
              <w:rPr>
                <w:rFonts w:eastAsia="Times New Roman"/>
                <w:color w:val="000000"/>
                <w:sz w:val="20"/>
                <w:szCs w:val="20"/>
              </w:rPr>
              <w:t>(34.9)</w:t>
            </w:r>
          </w:p>
        </w:tc>
        <w:tc>
          <w:tcPr>
            <w:tcW w:w="0" w:type="auto"/>
            <w:shd w:val="clear" w:color="auto" w:fill="FFFFFF"/>
            <w:tcMar>
              <w:top w:w="30" w:type="dxa"/>
              <w:left w:w="0" w:type="dxa"/>
              <w:bottom w:w="30" w:type="dxa"/>
              <w:right w:w="20" w:type="dxa"/>
            </w:tcMar>
            <w:vAlign w:val="bottom"/>
            <w:hideMark/>
          </w:tcPr>
          <w:p w14:paraId="5F7AD8E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0FE6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8C6407" w14:textId="77777777" w:rsidR="00000000" w:rsidRDefault="00EE5306">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14:paraId="24E6134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E16C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3CDE64" w14:textId="77777777" w:rsidR="00000000" w:rsidRDefault="00EE5306">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14:paraId="6B2CA1D1" w14:textId="77777777" w:rsidR="00000000" w:rsidRDefault="00EE5306">
            <w:pPr>
              <w:spacing w:after="100"/>
              <w:jc w:val="right"/>
              <w:rPr>
                <w:rFonts w:eastAsia="Times New Roman"/>
              </w:rPr>
            </w:pPr>
          </w:p>
        </w:tc>
      </w:tr>
      <w:tr w:rsidR="00000000" w14:paraId="510A1FBF" w14:textId="77777777">
        <w:trPr>
          <w:divId w:val="188950840"/>
        </w:trPr>
        <w:tc>
          <w:tcPr>
            <w:tcW w:w="0" w:type="auto"/>
            <w:gridSpan w:val="3"/>
            <w:shd w:val="clear" w:color="auto" w:fill="CCEEFF"/>
            <w:tcMar>
              <w:top w:w="30" w:type="dxa"/>
              <w:left w:w="155" w:type="dxa"/>
              <w:bottom w:w="30" w:type="dxa"/>
              <w:right w:w="20" w:type="dxa"/>
            </w:tcMar>
            <w:vAlign w:val="bottom"/>
            <w:hideMark/>
          </w:tcPr>
          <w:p w14:paraId="43B833E9" w14:textId="77777777" w:rsidR="00000000" w:rsidRDefault="00EE5306">
            <w:pPr>
              <w:spacing w:after="100"/>
              <w:rPr>
                <w:rFonts w:eastAsia="Times New Roman"/>
              </w:rPr>
            </w:pPr>
            <w:r>
              <w:rPr>
                <w:rFonts w:eastAsia="Times New Roman"/>
                <w:color w:val="000000"/>
                <w:sz w:val="20"/>
                <w:szCs w:val="20"/>
              </w:rPr>
              <w:t>TCJA enactment-related charges</w:t>
            </w:r>
          </w:p>
        </w:tc>
        <w:tc>
          <w:tcPr>
            <w:tcW w:w="0" w:type="auto"/>
            <w:gridSpan w:val="3"/>
            <w:shd w:val="clear" w:color="auto" w:fill="CCEEFF"/>
            <w:tcMar>
              <w:top w:w="0" w:type="dxa"/>
              <w:left w:w="20" w:type="dxa"/>
              <w:bottom w:w="0" w:type="dxa"/>
              <w:right w:w="20" w:type="dxa"/>
            </w:tcMar>
            <w:vAlign w:val="center"/>
            <w:hideMark/>
          </w:tcPr>
          <w:p w14:paraId="0CAC392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186567"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F7060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AED35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EEB587"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B6DEB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B418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5D246B" w14:textId="77777777" w:rsidR="00000000" w:rsidRDefault="00EE5306">
            <w:pPr>
              <w:spacing w:after="100"/>
              <w:jc w:val="right"/>
              <w:rPr>
                <w:rFonts w:eastAsia="Times New Roman"/>
              </w:rPr>
            </w:pPr>
            <w:r>
              <w:rPr>
                <w:rFonts w:eastAsia="Times New Roman"/>
                <w:color w:val="000000"/>
                <w:sz w:val="20"/>
                <w:szCs w:val="20"/>
              </w:rPr>
              <w:t>(27.6)</w:t>
            </w:r>
          </w:p>
        </w:tc>
        <w:tc>
          <w:tcPr>
            <w:tcW w:w="0" w:type="auto"/>
            <w:shd w:val="clear" w:color="auto" w:fill="CCEEFF"/>
            <w:tcMar>
              <w:top w:w="30" w:type="dxa"/>
              <w:left w:w="0" w:type="dxa"/>
              <w:bottom w:w="30" w:type="dxa"/>
              <w:right w:w="20" w:type="dxa"/>
            </w:tcMar>
            <w:vAlign w:val="bottom"/>
            <w:hideMark/>
          </w:tcPr>
          <w:p w14:paraId="374AF0F1" w14:textId="77777777" w:rsidR="00000000" w:rsidRDefault="00EE5306">
            <w:pPr>
              <w:spacing w:after="100"/>
              <w:jc w:val="right"/>
              <w:rPr>
                <w:rFonts w:eastAsia="Times New Roman"/>
              </w:rPr>
            </w:pPr>
          </w:p>
        </w:tc>
      </w:tr>
      <w:tr w:rsidR="00000000" w14:paraId="0487D4E4" w14:textId="77777777">
        <w:trPr>
          <w:divId w:val="188950840"/>
        </w:trPr>
        <w:tc>
          <w:tcPr>
            <w:tcW w:w="0" w:type="auto"/>
            <w:gridSpan w:val="3"/>
            <w:shd w:val="clear" w:color="auto" w:fill="FFFFFF"/>
            <w:tcMar>
              <w:top w:w="30" w:type="dxa"/>
              <w:left w:w="155" w:type="dxa"/>
              <w:bottom w:w="30" w:type="dxa"/>
              <w:right w:w="20" w:type="dxa"/>
            </w:tcMar>
            <w:vAlign w:val="bottom"/>
            <w:hideMark/>
          </w:tcPr>
          <w:p w14:paraId="0C70C632" w14:textId="77777777" w:rsidR="00000000" w:rsidRDefault="00EE5306">
            <w:pPr>
              <w:spacing w:after="100"/>
              <w:rPr>
                <w:rFonts w:eastAsia="Times New Roman"/>
              </w:rPr>
            </w:pPr>
            <w:r>
              <w:rPr>
                <w:rFonts w:eastAsia="Times New Roman"/>
                <w:color w:val="000000"/>
                <w:sz w:val="20"/>
                <w:szCs w:val="20"/>
              </w:rPr>
              <w:t>Swiss Tax Act benefit (expense)</w:t>
            </w:r>
          </w:p>
        </w:tc>
        <w:tc>
          <w:tcPr>
            <w:tcW w:w="0" w:type="auto"/>
            <w:gridSpan w:val="3"/>
            <w:shd w:val="clear" w:color="auto" w:fill="FFFFFF"/>
            <w:tcMar>
              <w:top w:w="0" w:type="dxa"/>
              <w:left w:w="20" w:type="dxa"/>
              <w:bottom w:w="0" w:type="dxa"/>
              <w:right w:w="20" w:type="dxa"/>
            </w:tcMar>
            <w:vAlign w:val="center"/>
            <w:hideMark/>
          </w:tcPr>
          <w:p w14:paraId="5D701D8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2A2BDF" w14:textId="77777777" w:rsidR="00000000" w:rsidRDefault="00EE5306">
            <w:pPr>
              <w:spacing w:after="100"/>
              <w:jc w:val="right"/>
              <w:rPr>
                <w:rFonts w:eastAsia="Times New Roman"/>
              </w:rPr>
            </w:pPr>
            <w:r>
              <w:rPr>
                <w:rFonts w:eastAsia="Times New Roman"/>
                <w:color w:val="000000"/>
                <w:sz w:val="20"/>
                <w:szCs w:val="20"/>
              </w:rPr>
              <w:t>(13.8)</w:t>
            </w:r>
          </w:p>
        </w:tc>
        <w:tc>
          <w:tcPr>
            <w:tcW w:w="0" w:type="auto"/>
            <w:shd w:val="clear" w:color="auto" w:fill="FFFFFF"/>
            <w:tcMar>
              <w:top w:w="30" w:type="dxa"/>
              <w:left w:w="0" w:type="dxa"/>
              <w:bottom w:w="30" w:type="dxa"/>
              <w:right w:w="20" w:type="dxa"/>
            </w:tcMar>
            <w:vAlign w:val="bottom"/>
            <w:hideMark/>
          </w:tcPr>
          <w:p w14:paraId="39E1E3B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9342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19141" w14:textId="77777777" w:rsidR="00000000" w:rsidRDefault="00EE5306">
            <w:pPr>
              <w:spacing w:after="100"/>
              <w:jc w:val="right"/>
              <w:rPr>
                <w:rFonts w:eastAsia="Times New Roman"/>
              </w:rPr>
            </w:pPr>
            <w:r>
              <w:rPr>
                <w:rFonts w:eastAsia="Times New Roman"/>
                <w:color w:val="000000"/>
                <w:sz w:val="20"/>
                <w:szCs w:val="20"/>
              </w:rPr>
              <w:t>125.3 </w:t>
            </w:r>
          </w:p>
        </w:tc>
        <w:tc>
          <w:tcPr>
            <w:tcW w:w="0" w:type="auto"/>
            <w:shd w:val="clear" w:color="auto" w:fill="FFFFFF"/>
            <w:tcMar>
              <w:top w:w="30" w:type="dxa"/>
              <w:left w:w="0" w:type="dxa"/>
              <w:bottom w:w="30" w:type="dxa"/>
              <w:right w:w="20" w:type="dxa"/>
            </w:tcMar>
            <w:vAlign w:val="bottom"/>
            <w:hideMark/>
          </w:tcPr>
          <w:p w14:paraId="6FAE5E7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A5B1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3537D3"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AB9BE0" w14:textId="77777777" w:rsidR="00000000" w:rsidRDefault="00EE5306">
            <w:pPr>
              <w:spacing w:after="100"/>
              <w:jc w:val="right"/>
              <w:rPr>
                <w:rFonts w:eastAsia="Times New Roman"/>
              </w:rPr>
            </w:pPr>
          </w:p>
        </w:tc>
      </w:tr>
      <w:tr w:rsidR="00000000" w14:paraId="4D444E9E" w14:textId="77777777">
        <w:trPr>
          <w:divId w:val="188950840"/>
        </w:trPr>
        <w:tc>
          <w:tcPr>
            <w:tcW w:w="0" w:type="auto"/>
            <w:gridSpan w:val="3"/>
            <w:shd w:val="clear" w:color="auto" w:fill="CCEEFF"/>
            <w:tcMar>
              <w:top w:w="30" w:type="dxa"/>
              <w:left w:w="155" w:type="dxa"/>
              <w:bottom w:w="30" w:type="dxa"/>
              <w:right w:w="20" w:type="dxa"/>
            </w:tcMar>
            <w:vAlign w:val="bottom"/>
            <w:hideMark/>
          </w:tcPr>
          <w:p w14:paraId="69FEF39C" w14:textId="77777777" w:rsidR="00000000" w:rsidRDefault="00EE5306">
            <w:pPr>
              <w:spacing w:after="100"/>
              <w:rPr>
                <w:rFonts w:eastAsia="Times New Roman"/>
              </w:rPr>
            </w:pPr>
            <w:r>
              <w:rPr>
                <w:rFonts w:eastAsia="Times New Roman"/>
                <w:color w:val="000000"/>
                <w:sz w:val="20"/>
                <w:szCs w:val="20"/>
              </w:rPr>
              <w:t>Compensation-related adjustments</w:t>
            </w:r>
          </w:p>
        </w:tc>
        <w:tc>
          <w:tcPr>
            <w:tcW w:w="0" w:type="auto"/>
            <w:gridSpan w:val="3"/>
            <w:shd w:val="clear" w:color="auto" w:fill="CCEEFF"/>
            <w:tcMar>
              <w:top w:w="0" w:type="dxa"/>
              <w:left w:w="20" w:type="dxa"/>
              <w:bottom w:w="0" w:type="dxa"/>
              <w:right w:w="20" w:type="dxa"/>
            </w:tcMar>
            <w:vAlign w:val="center"/>
            <w:hideMark/>
          </w:tcPr>
          <w:p w14:paraId="74D49E2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C35EDD" w14:textId="77777777" w:rsidR="00000000" w:rsidRDefault="00EE5306">
            <w:pPr>
              <w:spacing w:after="100"/>
              <w:jc w:val="right"/>
              <w:rPr>
                <w:rFonts w:eastAsia="Times New Roman"/>
              </w:rPr>
            </w:pPr>
            <w:r>
              <w:rPr>
                <w:rFonts w:eastAsia="Times New Roman"/>
                <w:color w:val="000000"/>
                <w:sz w:val="20"/>
                <w:szCs w:val="20"/>
              </w:rPr>
              <w:t>(12.9)</w:t>
            </w:r>
          </w:p>
        </w:tc>
        <w:tc>
          <w:tcPr>
            <w:tcW w:w="0" w:type="auto"/>
            <w:shd w:val="clear" w:color="auto" w:fill="CCEEFF"/>
            <w:tcMar>
              <w:top w:w="30" w:type="dxa"/>
              <w:left w:w="0" w:type="dxa"/>
              <w:bottom w:w="30" w:type="dxa"/>
              <w:right w:w="20" w:type="dxa"/>
            </w:tcMar>
            <w:vAlign w:val="bottom"/>
            <w:hideMark/>
          </w:tcPr>
          <w:p w14:paraId="311AF5F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AC89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CF1E9B" w14:textId="77777777" w:rsidR="00000000" w:rsidRDefault="00EE5306">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14:paraId="67D5E59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6B8EA"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80ACAB" w14:textId="77777777" w:rsidR="00000000" w:rsidRDefault="00EE5306">
            <w:pPr>
              <w:spacing w:after="100"/>
              <w:jc w:val="right"/>
              <w:rPr>
                <w:rFonts w:eastAsia="Times New Roman"/>
              </w:rPr>
            </w:pP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14:paraId="766CF6C8" w14:textId="77777777" w:rsidR="00000000" w:rsidRDefault="00EE5306">
            <w:pPr>
              <w:spacing w:after="100"/>
              <w:jc w:val="right"/>
              <w:rPr>
                <w:rFonts w:eastAsia="Times New Roman"/>
              </w:rPr>
            </w:pPr>
          </w:p>
        </w:tc>
      </w:tr>
      <w:tr w:rsidR="00000000" w14:paraId="4456DD41" w14:textId="77777777">
        <w:trPr>
          <w:divId w:val="188950840"/>
        </w:trPr>
        <w:tc>
          <w:tcPr>
            <w:tcW w:w="0" w:type="auto"/>
            <w:gridSpan w:val="3"/>
            <w:shd w:val="clear" w:color="auto" w:fill="FFFFFF"/>
            <w:tcMar>
              <w:top w:w="30" w:type="dxa"/>
              <w:left w:w="155" w:type="dxa"/>
              <w:bottom w:w="30" w:type="dxa"/>
              <w:right w:w="20" w:type="dxa"/>
            </w:tcMar>
            <w:vAlign w:val="bottom"/>
            <w:hideMark/>
          </w:tcPr>
          <w:p w14:paraId="5088D5E5" w14:textId="77777777" w:rsidR="00000000" w:rsidRDefault="00EE5306">
            <w:pPr>
              <w:spacing w:after="100"/>
              <w:rPr>
                <w:rFonts w:eastAsia="Times New Roman"/>
              </w:rPr>
            </w:pPr>
            <w:r>
              <w:rPr>
                <w:rFonts w:eastAsia="Times New Roman"/>
                <w:color w:val="000000"/>
                <w:sz w:val="20"/>
                <w:szCs w:val="20"/>
              </w:rPr>
              <w:t>Charitable contributions</w:t>
            </w:r>
          </w:p>
        </w:tc>
        <w:tc>
          <w:tcPr>
            <w:tcW w:w="0" w:type="auto"/>
            <w:gridSpan w:val="3"/>
            <w:shd w:val="clear" w:color="auto" w:fill="FFFFFF"/>
            <w:tcMar>
              <w:top w:w="0" w:type="dxa"/>
              <w:left w:w="20" w:type="dxa"/>
              <w:bottom w:w="0" w:type="dxa"/>
              <w:right w:w="20" w:type="dxa"/>
            </w:tcMar>
            <w:vAlign w:val="center"/>
            <w:hideMark/>
          </w:tcPr>
          <w:p w14:paraId="2C828B8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2EC17C" w14:textId="77777777" w:rsidR="00000000" w:rsidRDefault="00EE5306">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14:paraId="47C181E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2065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D9F5A6" w14:textId="77777777" w:rsidR="00000000" w:rsidRDefault="00EE5306">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2BB1A41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FF3F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6E679B" w14:textId="77777777" w:rsidR="00000000" w:rsidRDefault="00EE5306">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0E894CE0" w14:textId="77777777" w:rsidR="00000000" w:rsidRDefault="00EE5306">
            <w:pPr>
              <w:spacing w:after="100"/>
              <w:jc w:val="right"/>
              <w:rPr>
                <w:rFonts w:eastAsia="Times New Roman"/>
              </w:rPr>
            </w:pPr>
          </w:p>
        </w:tc>
      </w:tr>
      <w:tr w:rsidR="00000000" w14:paraId="29C961C9" w14:textId="77777777">
        <w:trPr>
          <w:divId w:val="188950840"/>
        </w:trPr>
        <w:tc>
          <w:tcPr>
            <w:tcW w:w="0" w:type="auto"/>
            <w:gridSpan w:val="3"/>
            <w:shd w:val="clear" w:color="auto" w:fill="CCEEFF"/>
            <w:tcMar>
              <w:top w:w="30" w:type="dxa"/>
              <w:left w:w="155" w:type="dxa"/>
              <w:bottom w:w="30" w:type="dxa"/>
              <w:right w:w="20" w:type="dxa"/>
            </w:tcMar>
            <w:vAlign w:val="bottom"/>
            <w:hideMark/>
          </w:tcPr>
          <w:p w14:paraId="5372E313" w14:textId="77777777" w:rsidR="00000000" w:rsidRDefault="00EE5306">
            <w:pPr>
              <w:spacing w:after="100"/>
              <w:rPr>
                <w:rFonts w:eastAsia="Times New Roman"/>
              </w:rPr>
            </w:pPr>
            <w:r>
              <w:rPr>
                <w:rFonts w:eastAsia="Times New Roman"/>
                <w:color w:val="000000"/>
                <w:sz w:val="20"/>
                <w:szCs w:val="20"/>
              </w:rPr>
              <w:t>Transfer pricing adjustments</w:t>
            </w:r>
          </w:p>
        </w:tc>
        <w:tc>
          <w:tcPr>
            <w:tcW w:w="0" w:type="auto"/>
            <w:gridSpan w:val="3"/>
            <w:shd w:val="clear" w:color="auto" w:fill="CCEEFF"/>
            <w:tcMar>
              <w:top w:w="0" w:type="dxa"/>
              <w:left w:w="20" w:type="dxa"/>
              <w:bottom w:w="0" w:type="dxa"/>
              <w:right w:w="20" w:type="dxa"/>
            </w:tcMar>
            <w:vAlign w:val="center"/>
            <w:hideMark/>
          </w:tcPr>
          <w:p w14:paraId="797E2F4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E8E61F" w14:textId="77777777" w:rsidR="00000000" w:rsidRDefault="00EE5306">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14:paraId="19D134F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9AB6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60F5FD"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C9E2D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1576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540FAC"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EA04DD" w14:textId="77777777" w:rsidR="00000000" w:rsidRDefault="00EE5306">
            <w:pPr>
              <w:spacing w:after="100"/>
              <w:jc w:val="right"/>
              <w:rPr>
                <w:rFonts w:eastAsia="Times New Roman"/>
              </w:rPr>
            </w:pPr>
          </w:p>
        </w:tc>
      </w:tr>
      <w:tr w:rsidR="00000000" w14:paraId="44AB7E31" w14:textId="77777777">
        <w:trPr>
          <w:divId w:val="188950840"/>
        </w:trPr>
        <w:tc>
          <w:tcPr>
            <w:tcW w:w="0" w:type="auto"/>
            <w:gridSpan w:val="3"/>
            <w:shd w:val="clear" w:color="auto" w:fill="FFFFFF"/>
            <w:tcMar>
              <w:top w:w="30" w:type="dxa"/>
              <w:left w:w="155" w:type="dxa"/>
              <w:bottom w:w="30" w:type="dxa"/>
              <w:right w:w="20" w:type="dxa"/>
            </w:tcMar>
            <w:vAlign w:val="bottom"/>
            <w:hideMark/>
          </w:tcPr>
          <w:p w14:paraId="2DB92B25" w14:textId="77777777" w:rsidR="00000000" w:rsidRDefault="00EE5306">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33B8FD1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D21C3E" w14:textId="77777777" w:rsidR="00000000" w:rsidRDefault="00EE5306">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14:paraId="49925BE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C7D8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C9020E" w14:textId="77777777" w:rsidR="00000000" w:rsidRDefault="00EE5306">
            <w:pPr>
              <w:spacing w:after="100"/>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bottom"/>
            <w:hideMark/>
          </w:tcPr>
          <w:p w14:paraId="2960B4A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FEE47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8EE6B2" w14:textId="77777777" w:rsidR="00000000" w:rsidRDefault="00EE5306">
            <w:pPr>
              <w:spacing w:after="100"/>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bottom"/>
            <w:hideMark/>
          </w:tcPr>
          <w:p w14:paraId="2335091E" w14:textId="77777777" w:rsidR="00000000" w:rsidRDefault="00EE5306">
            <w:pPr>
              <w:spacing w:after="100"/>
              <w:jc w:val="right"/>
              <w:rPr>
                <w:rFonts w:eastAsia="Times New Roman"/>
              </w:rPr>
            </w:pPr>
          </w:p>
        </w:tc>
      </w:tr>
      <w:tr w:rsidR="00000000" w14:paraId="2E11B10A" w14:textId="77777777">
        <w:trPr>
          <w:divId w:val="188950840"/>
        </w:trPr>
        <w:tc>
          <w:tcPr>
            <w:tcW w:w="0" w:type="auto"/>
            <w:gridSpan w:val="3"/>
            <w:shd w:val="clear" w:color="auto" w:fill="CCEEFF"/>
            <w:tcMar>
              <w:top w:w="30" w:type="dxa"/>
              <w:left w:w="245" w:type="dxa"/>
              <w:bottom w:w="30" w:type="dxa"/>
              <w:right w:w="20" w:type="dxa"/>
            </w:tcMar>
            <w:vAlign w:val="bottom"/>
            <w:hideMark/>
          </w:tcPr>
          <w:p w14:paraId="021503C8" w14:textId="77777777" w:rsidR="00000000" w:rsidRDefault="00EE5306">
            <w:pPr>
              <w:spacing w:after="100"/>
              <w:rPr>
                <w:rFonts w:eastAsia="Times New Roman"/>
              </w:rPr>
            </w:pPr>
            <w:r>
              <w:rPr>
                <w:rFonts w:eastAsia="Times New Roman"/>
                <w:color w:val="000000"/>
                <w:sz w:val="20"/>
                <w:szCs w:val="20"/>
              </w:rPr>
              <w:t>Total income tax benefit (provision)</w:t>
            </w:r>
          </w:p>
        </w:tc>
        <w:tc>
          <w:tcPr>
            <w:tcW w:w="0" w:type="auto"/>
            <w:gridSpan w:val="3"/>
            <w:shd w:val="clear" w:color="auto" w:fill="CCEEFF"/>
            <w:tcMar>
              <w:top w:w="0" w:type="dxa"/>
              <w:left w:w="20" w:type="dxa"/>
              <w:bottom w:w="0" w:type="dxa"/>
              <w:right w:w="20" w:type="dxa"/>
            </w:tcMar>
            <w:vAlign w:val="center"/>
            <w:hideMark/>
          </w:tcPr>
          <w:p w14:paraId="7B3ECB4C" w14:textId="77777777" w:rsidR="00000000" w:rsidRDefault="00EE530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0A12E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8509A8" w14:textId="77777777" w:rsidR="00000000" w:rsidRDefault="00EE5306">
            <w:pPr>
              <w:spacing w:after="100"/>
              <w:jc w:val="right"/>
              <w:rPr>
                <w:rFonts w:eastAsia="Times New Roman"/>
              </w:rPr>
            </w:pPr>
            <w:r>
              <w:rPr>
                <w:rFonts w:eastAsia="Times New Roman"/>
                <w:color w:val="000000"/>
                <w:sz w:val="20"/>
                <w:szCs w:val="20"/>
              </w:rPr>
              <w:t>(46.3)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D039A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0FB1C"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EE3E8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E1CDB0" w14:textId="77777777" w:rsidR="00000000" w:rsidRDefault="00EE5306">
            <w:pPr>
              <w:spacing w:after="100"/>
              <w:jc w:val="right"/>
              <w:rPr>
                <w:rFonts w:eastAsia="Times New Roman"/>
              </w:rPr>
            </w:pPr>
            <w:r>
              <w:rPr>
                <w:rFonts w:eastAsia="Times New Roman"/>
                <w:color w:val="000000"/>
                <w:sz w:val="20"/>
                <w:szCs w:val="20"/>
              </w:rPr>
              <w:t>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9C8A1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A7430"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F83B7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0F1363" w14:textId="77777777" w:rsidR="00000000" w:rsidRDefault="00EE5306">
            <w:pPr>
              <w:spacing w:after="100"/>
              <w:jc w:val="right"/>
              <w:rPr>
                <w:rFonts w:eastAsia="Times New Roman"/>
              </w:rPr>
            </w:pPr>
            <w:r>
              <w:rPr>
                <w:rFonts w:eastAsia="Times New Roman"/>
                <w:color w:val="000000"/>
                <w:sz w:val="20"/>
                <w:szCs w:val="20"/>
              </w:rPr>
              <w:t>(151.6)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6782CC" w14:textId="77777777" w:rsidR="00000000" w:rsidRDefault="00EE5306">
            <w:pPr>
              <w:spacing w:after="100"/>
              <w:jc w:val="right"/>
              <w:rPr>
                <w:rFonts w:eastAsia="Times New Roman"/>
              </w:rPr>
            </w:pPr>
          </w:p>
        </w:tc>
      </w:tr>
      <w:tr w:rsidR="00000000" w14:paraId="5A649139" w14:textId="77777777">
        <w:trPr>
          <w:divId w:val="188950840"/>
        </w:trPr>
        <w:tc>
          <w:tcPr>
            <w:tcW w:w="0" w:type="auto"/>
            <w:gridSpan w:val="3"/>
            <w:shd w:val="clear" w:color="auto" w:fill="FFFFFF"/>
            <w:tcMar>
              <w:top w:w="30" w:type="dxa"/>
              <w:left w:w="20" w:type="dxa"/>
              <w:bottom w:w="30" w:type="dxa"/>
              <w:right w:w="20" w:type="dxa"/>
            </w:tcMar>
            <w:vAlign w:val="bottom"/>
            <w:hideMark/>
          </w:tcPr>
          <w:p w14:paraId="77C199CE" w14:textId="77777777" w:rsidR="00000000" w:rsidRDefault="00EE5306">
            <w:pPr>
              <w:spacing w:after="100"/>
              <w:divId w:val="1763406835"/>
              <w:rPr>
                <w:rFonts w:eastAsia="Times New Roman"/>
              </w:rPr>
            </w:pPr>
            <w:r>
              <w:rPr>
                <w:rFonts w:eastAsia="Times New Roman"/>
                <w:color w:val="000000"/>
                <w:sz w:val="20"/>
                <w:szCs w:val="20"/>
              </w:rPr>
              <w:t>Effective tax rat</w:t>
            </w:r>
            <w:r>
              <w:rPr>
                <w:rFonts w:eastAsia="Times New Roman"/>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936777C" w14:textId="77777777" w:rsidR="00000000" w:rsidRDefault="00EE5306">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992AF6F" w14:textId="77777777" w:rsidR="00000000" w:rsidRDefault="00EE5306">
            <w:pPr>
              <w:spacing w:after="100"/>
              <w:jc w:val="right"/>
              <w:rPr>
                <w:rFonts w:eastAsia="Times New Roman"/>
              </w:rPr>
            </w:pPr>
            <w:r>
              <w:rPr>
                <w:rFonts w:eastAsia="Times New Roman"/>
                <w:i/>
                <w:iCs/>
                <w:color w:val="000000"/>
                <w:sz w:val="18"/>
                <w:szCs w:val="18"/>
              </w:rPr>
              <w:t>(61.9 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B60F191" w14:textId="77777777" w:rsidR="00000000" w:rsidRDefault="00EE5306">
            <w:pPr>
              <w:spacing w:after="100"/>
              <w:rPr>
                <w:rFonts w:eastAsia="Times New Roman"/>
              </w:rPr>
            </w:pPr>
            <w:r>
              <w:rPr>
                <w:rFonts w:eastAsia="Times New Roman"/>
                <w:i/>
                <w:i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1202303" w14:textId="77777777" w:rsidR="00000000" w:rsidRDefault="00EE5306">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8EC140B" w14:textId="77777777" w:rsidR="00000000" w:rsidRDefault="00EE5306">
            <w:pPr>
              <w:spacing w:after="100"/>
              <w:jc w:val="right"/>
              <w:rPr>
                <w:rFonts w:eastAsia="Times New Roman"/>
              </w:rPr>
            </w:pPr>
            <w:r>
              <w:rPr>
                <w:rFonts w:eastAsia="Times New Roman"/>
                <w:i/>
                <w:iCs/>
                <w:color w:val="000000"/>
                <w:sz w:val="18"/>
                <w:szCs w:val="18"/>
              </w:rPr>
              <w:t>(17.7 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3C99753" w14:textId="77777777" w:rsidR="00000000" w:rsidRDefault="00EE5306">
            <w:pPr>
              <w:spacing w:after="100"/>
              <w:rPr>
                <w:rFonts w:eastAsia="Times New Roman"/>
              </w:rPr>
            </w:pPr>
            <w:r>
              <w:rPr>
                <w:rFonts w:eastAsia="Times New Roman"/>
                <w:i/>
                <w:i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7BF473C" w14:textId="77777777" w:rsidR="00000000" w:rsidRDefault="00EE5306">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01C9AD9" w14:textId="77777777" w:rsidR="00000000" w:rsidRDefault="00EE5306">
            <w:pPr>
              <w:spacing w:after="100"/>
              <w:jc w:val="right"/>
              <w:rPr>
                <w:rFonts w:eastAsia="Times New Roman"/>
              </w:rPr>
            </w:pPr>
            <w:r>
              <w:rPr>
                <w:rFonts w:eastAsia="Times New Roman"/>
                <w:i/>
                <w:iCs/>
                <w:color w:val="000000"/>
                <w:sz w:val="18"/>
                <w:szCs w:val="18"/>
              </w:rPr>
              <w:t>26.0 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46D2656" w14:textId="77777777" w:rsidR="00000000" w:rsidRDefault="00EE5306">
            <w:pPr>
              <w:spacing w:after="100"/>
              <w:rPr>
                <w:rFonts w:eastAsia="Times New Roman"/>
              </w:rPr>
            </w:pPr>
            <w:r>
              <w:rPr>
                <w:rFonts w:eastAsia="Times New Roman"/>
                <w:i/>
                <w:iCs/>
                <w:color w:val="000000"/>
                <w:sz w:val="18"/>
                <w:szCs w:val="18"/>
              </w:rPr>
              <w:t>%</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65044A19" w14:textId="77777777">
        <w:tc>
          <w:tcPr>
            <w:tcW w:w="50" w:type="pct"/>
            <w:vAlign w:val="center"/>
            <w:hideMark/>
          </w:tcPr>
          <w:p w14:paraId="5F242BB2" w14:textId="77777777" w:rsidR="00000000" w:rsidRDefault="00EE5306">
            <w:pPr>
              <w:rPr>
                <w:rFonts w:eastAsia="Times New Roman"/>
              </w:rPr>
            </w:pPr>
          </w:p>
        </w:tc>
        <w:tc>
          <w:tcPr>
            <w:tcW w:w="4945" w:type="pct"/>
            <w:vAlign w:val="center"/>
            <w:hideMark/>
          </w:tcPr>
          <w:p w14:paraId="09AD2C66" w14:textId="77777777" w:rsidR="00000000" w:rsidRDefault="00EE5306">
            <w:pPr>
              <w:spacing w:after="100"/>
              <w:rPr>
                <w:rFonts w:eastAsia="Times New Roman"/>
                <w:sz w:val="20"/>
                <w:szCs w:val="20"/>
              </w:rPr>
            </w:pPr>
          </w:p>
        </w:tc>
        <w:tc>
          <w:tcPr>
            <w:tcW w:w="5" w:type="pct"/>
            <w:vAlign w:val="center"/>
            <w:hideMark/>
          </w:tcPr>
          <w:p w14:paraId="538D0BA3" w14:textId="77777777" w:rsidR="00000000" w:rsidRDefault="00EE5306">
            <w:pPr>
              <w:spacing w:after="100"/>
              <w:rPr>
                <w:rFonts w:eastAsia="Times New Roman"/>
                <w:sz w:val="20"/>
                <w:szCs w:val="20"/>
              </w:rPr>
            </w:pPr>
          </w:p>
        </w:tc>
      </w:tr>
      <w:tr w:rsidR="00000000" w14:paraId="1B3439F7"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709B91C6" w14:textId="77777777" w:rsidR="00000000" w:rsidRDefault="00EE5306">
            <w:pPr>
              <w:spacing w:after="100"/>
              <w:rPr>
                <w:rFonts w:eastAsia="Times New Roman"/>
                <w:sz w:val="20"/>
                <w:szCs w:val="20"/>
              </w:rPr>
            </w:pPr>
          </w:p>
        </w:tc>
      </w:tr>
    </w:tbl>
    <w:p w14:paraId="3DA074E6" w14:textId="77777777" w:rsidR="00000000" w:rsidRDefault="00EE5306">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Effective tax rate is calculated by dividing the income tax benefit (provision) by income (loss) before income taxes.</w:t>
      </w:r>
    </w:p>
    <w:p w14:paraId="4FB16FEC" w14:textId="77777777" w:rsidR="00000000" w:rsidRDefault="00EE5306">
      <w:pPr>
        <w:ind w:firstLine="540"/>
        <w:jc w:val="both"/>
        <w:divId w:val="336738230"/>
        <w:rPr>
          <w:rFonts w:eastAsia="Times New Roman"/>
        </w:rPr>
      </w:pPr>
      <w:r>
        <w:rPr>
          <w:rFonts w:eastAsia="Times New Roman"/>
          <w:color w:val="000000"/>
          <w:sz w:val="20"/>
          <w:szCs w:val="20"/>
        </w:rPr>
        <w:t>The Company's Fiscal 2021 effective tax rate was unfavorable to the U.S. federal statutory income tax rate of 21% primarily due to increme</w:t>
      </w:r>
      <w:r>
        <w:rPr>
          <w:rFonts w:eastAsia="Times New Roman"/>
          <w:color w:val="000000"/>
          <w:sz w:val="20"/>
          <w:szCs w:val="20"/>
        </w:rPr>
        <w:t xml:space="preserve">ntal tax expense resulting from new legislation enacted in connection with the European Union's anti-tax avoidance directive, valuation allowances recorded against certain deferred tax assets as a result of significant business disruptions attributable to </w:t>
      </w:r>
      <w:r>
        <w:rPr>
          <w:rFonts w:eastAsia="Times New Roman"/>
          <w:color w:val="000000"/>
          <w:sz w:val="20"/>
          <w:szCs w:val="20"/>
        </w:rPr>
        <w:t>COVID-19, and tax impacts on stock-based compensation and other permanent adjustments, partially offset by an income tax benefit related to charitable contributions. The Company's Fiscal 2020 effective tax rate was lower than the U.S. federal statutory inc</w:t>
      </w:r>
      <w:r>
        <w:rPr>
          <w:rFonts w:eastAsia="Times New Roman"/>
          <w:color w:val="000000"/>
          <w:sz w:val="20"/>
          <w:szCs w:val="20"/>
        </w:rPr>
        <w:t>ome tax rate of 21% primarily due to the one-time income tax benefit recorded in connection with the Swiss Tax Act, as previously discussed, the favorable impact of the change in geographic mix of its worldwide earnings and the favorable impact of tax bene</w:t>
      </w:r>
      <w:r>
        <w:rPr>
          <w:rFonts w:eastAsia="Times New Roman"/>
          <w:color w:val="000000"/>
          <w:sz w:val="20"/>
          <w:szCs w:val="20"/>
        </w:rPr>
        <w:t xml:space="preserve">fits associated with provision to tax return adjustments, partially offset by the unfavorable impact of additional income tax reserves associated with certain income tax audits. The Company's Fiscal 2019 effective tax rate was higher than the U.S. federal </w:t>
      </w:r>
      <w:r>
        <w:rPr>
          <w:rFonts w:eastAsia="Times New Roman"/>
          <w:color w:val="000000"/>
          <w:sz w:val="20"/>
          <w:szCs w:val="20"/>
        </w:rPr>
        <w:t>statutory income tax rate of 21% primarily due to the SAB 118 measurement period adjustments recorded, as previously discussed, state and local income taxes, and compensation-related adjustments, partially offset by the favorable impact of the proportion o</w:t>
      </w:r>
      <w:r>
        <w:rPr>
          <w:rFonts w:eastAsia="Times New Roman"/>
          <w:color w:val="000000"/>
          <w:sz w:val="20"/>
          <w:szCs w:val="20"/>
        </w:rPr>
        <w:t>f earnings generated in lower taxed jurisdictions.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82EEED1" w14:textId="77777777">
        <w:trPr>
          <w:divId w:val="118301398"/>
          <w:jc w:val="center"/>
        </w:trPr>
        <w:tc>
          <w:tcPr>
            <w:tcW w:w="50" w:type="pct"/>
            <w:vAlign w:val="center"/>
            <w:hideMark/>
          </w:tcPr>
          <w:p w14:paraId="651F9ECD" w14:textId="77777777" w:rsidR="00000000" w:rsidRDefault="00EE5306">
            <w:pPr>
              <w:ind w:firstLine="540"/>
              <w:jc w:val="both"/>
              <w:rPr>
                <w:rFonts w:eastAsia="Times New Roman"/>
              </w:rPr>
            </w:pPr>
          </w:p>
        </w:tc>
        <w:tc>
          <w:tcPr>
            <w:tcW w:w="1699" w:type="pct"/>
            <w:vAlign w:val="center"/>
            <w:hideMark/>
          </w:tcPr>
          <w:p w14:paraId="091C1829" w14:textId="77777777" w:rsidR="00000000" w:rsidRDefault="00EE5306">
            <w:pPr>
              <w:spacing w:after="100"/>
              <w:rPr>
                <w:rFonts w:eastAsia="Times New Roman"/>
                <w:sz w:val="20"/>
                <w:szCs w:val="20"/>
              </w:rPr>
            </w:pPr>
          </w:p>
        </w:tc>
        <w:tc>
          <w:tcPr>
            <w:tcW w:w="5" w:type="pct"/>
            <w:vAlign w:val="center"/>
            <w:hideMark/>
          </w:tcPr>
          <w:p w14:paraId="15D78FC6" w14:textId="77777777" w:rsidR="00000000" w:rsidRDefault="00EE5306">
            <w:pPr>
              <w:spacing w:after="100"/>
              <w:rPr>
                <w:rFonts w:eastAsia="Times New Roman"/>
                <w:sz w:val="20"/>
                <w:szCs w:val="20"/>
              </w:rPr>
            </w:pPr>
          </w:p>
        </w:tc>
        <w:tc>
          <w:tcPr>
            <w:tcW w:w="50" w:type="pct"/>
            <w:vAlign w:val="center"/>
            <w:hideMark/>
          </w:tcPr>
          <w:p w14:paraId="09B35F39" w14:textId="77777777" w:rsidR="00000000" w:rsidRDefault="00EE5306">
            <w:pPr>
              <w:spacing w:after="100"/>
              <w:rPr>
                <w:rFonts w:eastAsia="Times New Roman"/>
                <w:sz w:val="20"/>
                <w:szCs w:val="20"/>
              </w:rPr>
            </w:pPr>
          </w:p>
        </w:tc>
        <w:tc>
          <w:tcPr>
            <w:tcW w:w="1436" w:type="pct"/>
            <w:vAlign w:val="center"/>
            <w:hideMark/>
          </w:tcPr>
          <w:p w14:paraId="4158BB57" w14:textId="77777777" w:rsidR="00000000" w:rsidRDefault="00EE5306">
            <w:pPr>
              <w:spacing w:after="100"/>
              <w:rPr>
                <w:rFonts w:eastAsia="Times New Roman"/>
                <w:sz w:val="20"/>
                <w:szCs w:val="20"/>
              </w:rPr>
            </w:pPr>
          </w:p>
        </w:tc>
        <w:tc>
          <w:tcPr>
            <w:tcW w:w="5" w:type="pct"/>
            <w:vAlign w:val="center"/>
            <w:hideMark/>
          </w:tcPr>
          <w:p w14:paraId="0417C3D6" w14:textId="77777777" w:rsidR="00000000" w:rsidRDefault="00EE5306">
            <w:pPr>
              <w:spacing w:after="100"/>
              <w:rPr>
                <w:rFonts w:eastAsia="Times New Roman"/>
                <w:sz w:val="20"/>
                <w:szCs w:val="20"/>
              </w:rPr>
            </w:pPr>
          </w:p>
        </w:tc>
        <w:tc>
          <w:tcPr>
            <w:tcW w:w="50" w:type="pct"/>
            <w:vAlign w:val="center"/>
            <w:hideMark/>
          </w:tcPr>
          <w:p w14:paraId="1EC0AA4F" w14:textId="77777777" w:rsidR="00000000" w:rsidRDefault="00EE5306">
            <w:pPr>
              <w:spacing w:after="100"/>
              <w:rPr>
                <w:rFonts w:eastAsia="Times New Roman"/>
                <w:sz w:val="20"/>
                <w:szCs w:val="20"/>
              </w:rPr>
            </w:pPr>
          </w:p>
        </w:tc>
        <w:tc>
          <w:tcPr>
            <w:tcW w:w="1699" w:type="pct"/>
            <w:vAlign w:val="center"/>
            <w:hideMark/>
          </w:tcPr>
          <w:p w14:paraId="605249B3" w14:textId="77777777" w:rsidR="00000000" w:rsidRDefault="00EE5306">
            <w:pPr>
              <w:spacing w:after="100"/>
              <w:rPr>
                <w:rFonts w:eastAsia="Times New Roman"/>
                <w:sz w:val="20"/>
                <w:szCs w:val="20"/>
              </w:rPr>
            </w:pPr>
          </w:p>
        </w:tc>
        <w:tc>
          <w:tcPr>
            <w:tcW w:w="5" w:type="pct"/>
            <w:vAlign w:val="center"/>
            <w:hideMark/>
          </w:tcPr>
          <w:p w14:paraId="4FE25049" w14:textId="77777777" w:rsidR="00000000" w:rsidRDefault="00EE5306">
            <w:pPr>
              <w:spacing w:after="100"/>
              <w:rPr>
                <w:rFonts w:eastAsia="Times New Roman"/>
                <w:sz w:val="20"/>
                <w:szCs w:val="20"/>
              </w:rPr>
            </w:pPr>
          </w:p>
        </w:tc>
      </w:tr>
      <w:tr w:rsidR="00000000" w14:paraId="037B034A" w14:textId="77777777">
        <w:trPr>
          <w:divId w:val="118301398"/>
          <w:jc w:val="center"/>
        </w:trPr>
        <w:tc>
          <w:tcPr>
            <w:tcW w:w="0" w:type="auto"/>
            <w:gridSpan w:val="3"/>
            <w:tcMar>
              <w:top w:w="0" w:type="dxa"/>
              <w:left w:w="20" w:type="dxa"/>
              <w:bottom w:w="0" w:type="dxa"/>
              <w:right w:w="20" w:type="dxa"/>
            </w:tcMar>
            <w:vAlign w:val="center"/>
            <w:hideMark/>
          </w:tcPr>
          <w:p w14:paraId="7B8C89C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98ED742" w14:textId="77777777" w:rsidR="00000000" w:rsidRDefault="00EE5306">
            <w:pPr>
              <w:spacing w:after="100"/>
              <w:jc w:val="center"/>
              <w:rPr>
                <w:rFonts w:eastAsia="Times New Roman"/>
              </w:rPr>
            </w:pPr>
            <w:r>
              <w:rPr>
                <w:rFonts w:eastAsia="Times New Roman"/>
                <w:color w:val="000000"/>
                <w:sz w:val="20"/>
                <w:szCs w:val="20"/>
              </w:rPr>
              <w:t>F-30</w:t>
            </w:r>
          </w:p>
        </w:tc>
        <w:tc>
          <w:tcPr>
            <w:tcW w:w="0" w:type="auto"/>
            <w:gridSpan w:val="3"/>
            <w:tcMar>
              <w:top w:w="0" w:type="dxa"/>
              <w:left w:w="20" w:type="dxa"/>
              <w:bottom w:w="0" w:type="dxa"/>
              <w:right w:w="20" w:type="dxa"/>
            </w:tcMar>
            <w:vAlign w:val="center"/>
            <w:hideMark/>
          </w:tcPr>
          <w:p w14:paraId="57E4E6E7" w14:textId="77777777" w:rsidR="00000000" w:rsidRDefault="00EE5306">
            <w:pPr>
              <w:spacing w:after="100"/>
              <w:jc w:val="center"/>
              <w:rPr>
                <w:rFonts w:eastAsia="Times New Roman"/>
              </w:rPr>
            </w:pPr>
          </w:p>
        </w:tc>
      </w:tr>
    </w:tbl>
    <w:p w14:paraId="2139D96B" w14:textId="77777777" w:rsidR="00000000" w:rsidRDefault="00EE5306">
      <w:pPr>
        <w:rPr>
          <w:rFonts w:eastAsia="Times New Roman"/>
        </w:rPr>
      </w:pPr>
      <w:r>
        <w:rPr>
          <w:rFonts w:eastAsia="Times New Roman"/>
        </w:rPr>
        <w:pict w14:anchorId="2AAB6779">
          <v:rect id="_x0000_i1140" style="width:0;height:1.5pt" o:hralign="center" o:hrstd="t" o:hr="t" fillcolor="#a0a0a0" stroked="f"/>
        </w:pict>
      </w:r>
    </w:p>
    <w:p w14:paraId="4356A5CD" w14:textId="77777777" w:rsidR="00000000" w:rsidRDefault="00EE5306">
      <w:pPr>
        <w:jc w:val="center"/>
        <w:divId w:val="1384065498"/>
        <w:rPr>
          <w:rFonts w:eastAsia="Times New Roman"/>
        </w:rPr>
      </w:pPr>
    </w:p>
    <w:p w14:paraId="6E2391B2" w14:textId="77777777" w:rsidR="00000000" w:rsidRDefault="00EE5306">
      <w:pPr>
        <w:jc w:val="center"/>
        <w:divId w:val="1384065498"/>
        <w:rPr>
          <w:rFonts w:eastAsia="Times New Roman"/>
        </w:rPr>
      </w:pPr>
      <w:r>
        <w:rPr>
          <w:rFonts w:eastAsia="Times New Roman"/>
          <w:b/>
          <w:bCs/>
          <w:color w:val="000000"/>
          <w:sz w:val="20"/>
          <w:szCs w:val="20"/>
        </w:rPr>
        <w:t>RALPH LAUREN CORPORATION</w:t>
      </w:r>
    </w:p>
    <w:p w14:paraId="65994CE7" w14:textId="77777777" w:rsidR="00000000" w:rsidRDefault="00EE5306">
      <w:pPr>
        <w:jc w:val="center"/>
        <w:divId w:val="1327200053"/>
        <w:rPr>
          <w:rFonts w:eastAsia="Times New Roman"/>
        </w:rPr>
      </w:pPr>
      <w:r>
        <w:rPr>
          <w:rFonts w:eastAsia="Times New Roman"/>
          <w:b/>
          <w:bCs/>
          <w:color w:val="000000"/>
          <w:sz w:val="20"/>
          <w:szCs w:val="20"/>
        </w:rPr>
        <w:t>NOTES TO CONSOLIDATED FINANCIAL STATEMENTS (Continued)</w:t>
      </w:r>
    </w:p>
    <w:p w14:paraId="452821D8" w14:textId="77777777" w:rsidR="00000000" w:rsidRDefault="00EE5306">
      <w:pPr>
        <w:ind w:firstLine="360"/>
        <w:divId w:val="665861040"/>
        <w:rPr>
          <w:rFonts w:eastAsia="Times New Roman"/>
        </w:rPr>
      </w:pPr>
      <w:r>
        <w:rPr>
          <w:rFonts w:eastAsia="Times New Roman"/>
          <w:b/>
          <w:bCs/>
          <w:i/>
          <w:iCs/>
          <w:color w:val="000000"/>
          <w:sz w:val="20"/>
          <w:szCs w:val="20"/>
        </w:rPr>
        <w:t>Deferred Taxes</w:t>
      </w:r>
    </w:p>
    <w:p w14:paraId="2FA732D6" w14:textId="77777777" w:rsidR="00000000" w:rsidRDefault="00EE5306">
      <w:pPr>
        <w:ind w:firstLine="540"/>
        <w:jc w:val="both"/>
        <w:divId w:val="1870339685"/>
        <w:rPr>
          <w:rFonts w:eastAsia="Times New Roman"/>
        </w:rPr>
      </w:pPr>
      <w:r>
        <w:rPr>
          <w:rFonts w:eastAsia="Times New Roman"/>
          <w:color w:val="000000"/>
          <w:sz w:val="20"/>
          <w:szCs w:val="20"/>
        </w:rPr>
        <w:t>Significant components of the Company's deferred tax assets and liabilities are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5170"/>
        <w:gridCol w:w="37"/>
        <w:gridCol w:w="36"/>
        <w:gridCol w:w="36"/>
        <w:gridCol w:w="36"/>
        <w:gridCol w:w="120"/>
        <w:gridCol w:w="1041"/>
        <w:gridCol w:w="36"/>
        <w:gridCol w:w="36"/>
        <w:gridCol w:w="36"/>
        <w:gridCol w:w="36"/>
        <w:gridCol w:w="120"/>
        <w:gridCol w:w="1042"/>
        <w:gridCol w:w="36"/>
      </w:tblGrid>
      <w:tr w:rsidR="00000000" w14:paraId="09C0C310" w14:textId="77777777">
        <w:trPr>
          <w:divId w:val="2000426614"/>
        </w:trPr>
        <w:tc>
          <w:tcPr>
            <w:tcW w:w="50" w:type="pct"/>
            <w:vAlign w:val="center"/>
            <w:hideMark/>
          </w:tcPr>
          <w:p w14:paraId="3C560DA4" w14:textId="77777777" w:rsidR="00000000" w:rsidRDefault="00EE5306">
            <w:pPr>
              <w:ind w:firstLine="540"/>
              <w:jc w:val="both"/>
              <w:rPr>
                <w:rFonts w:eastAsia="Times New Roman"/>
              </w:rPr>
            </w:pPr>
          </w:p>
        </w:tc>
        <w:tc>
          <w:tcPr>
            <w:tcW w:w="3322" w:type="pct"/>
            <w:vAlign w:val="center"/>
            <w:hideMark/>
          </w:tcPr>
          <w:p w14:paraId="4C561482" w14:textId="77777777" w:rsidR="00000000" w:rsidRDefault="00EE5306">
            <w:pPr>
              <w:spacing w:after="100"/>
              <w:rPr>
                <w:rFonts w:eastAsia="Times New Roman"/>
                <w:sz w:val="20"/>
                <w:szCs w:val="20"/>
              </w:rPr>
            </w:pPr>
          </w:p>
        </w:tc>
        <w:tc>
          <w:tcPr>
            <w:tcW w:w="5" w:type="pct"/>
            <w:vAlign w:val="center"/>
            <w:hideMark/>
          </w:tcPr>
          <w:p w14:paraId="1D5DA774" w14:textId="77777777" w:rsidR="00000000" w:rsidRDefault="00EE5306">
            <w:pPr>
              <w:spacing w:after="100"/>
              <w:rPr>
                <w:rFonts w:eastAsia="Times New Roman"/>
                <w:sz w:val="20"/>
                <w:szCs w:val="20"/>
              </w:rPr>
            </w:pPr>
          </w:p>
        </w:tc>
        <w:tc>
          <w:tcPr>
            <w:tcW w:w="5" w:type="pct"/>
            <w:vAlign w:val="center"/>
            <w:hideMark/>
          </w:tcPr>
          <w:p w14:paraId="2CEDDA05" w14:textId="77777777" w:rsidR="00000000" w:rsidRDefault="00EE5306">
            <w:pPr>
              <w:spacing w:after="100"/>
              <w:rPr>
                <w:rFonts w:eastAsia="Times New Roman"/>
                <w:sz w:val="20"/>
                <w:szCs w:val="20"/>
              </w:rPr>
            </w:pPr>
          </w:p>
        </w:tc>
        <w:tc>
          <w:tcPr>
            <w:tcW w:w="28" w:type="pct"/>
            <w:vAlign w:val="center"/>
            <w:hideMark/>
          </w:tcPr>
          <w:p w14:paraId="3BD1B33B" w14:textId="77777777" w:rsidR="00000000" w:rsidRDefault="00EE5306">
            <w:pPr>
              <w:spacing w:after="100"/>
              <w:rPr>
                <w:rFonts w:eastAsia="Times New Roman"/>
                <w:sz w:val="20"/>
                <w:szCs w:val="20"/>
              </w:rPr>
            </w:pPr>
          </w:p>
        </w:tc>
        <w:tc>
          <w:tcPr>
            <w:tcW w:w="5" w:type="pct"/>
            <w:vAlign w:val="center"/>
            <w:hideMark/>
          </w:tcPr>
          <w:p w14:paraId="76D5A7DC" w14:textId="77777777" w:rsidR="00000000" w:rsidRDefault="00EE5306">
            <w:pPr>
              <w:spacing w:after="100"/>
              <w:rPr>
                <w:rFonts w:eastAsia="Times New Roman"/>
                <w:sz w:val="20"/>
                <w:szCs w:val="20"/>
              </w:rPr>
            </w:pPr>
          </w:p>
        </w:tc>
        <w:tc>
          <w:tcPr>
            <w:tcW w:w="50" w:type="pct"/>
            <w:vAlign w:val="center"/>
            <w:hideMark/>
          </w:tcPr>
          <w:p w14:paraId="7D95A36C" w14:textId="77777777" w:rsidR="00000000" w:rsidRDefault="00EE5306">
            <w:pPr>
              <w:spacing w:after="100"/>
              <w:rPr>
                <w:rFonts w:eastAsia="Times New Roman"/>
                <w:sz w:val="20"/>
                <w:szCs w:val="20"/>
              </w:rPr>
            </w:pPr>
          </w:p>
        </w:tc>
        <w:tc>
          <w:tcPr>
            <w:tcW w:w="717" w:type="pct"/>
            <w:vAlign w:val="center"/>
            <w:hideMark/>
          </w:tcPr>
          <w:p w14:paraId="70AB53DA" w14:textId="77777777" w:rsidR="00000000" w:rsidRDefault="00EE5306">
            <w:pPr>
              <w:spacing w:after="100"/>
              <w:rPr>
                <w:rFonts w:eastAsia="Times New Roman"/>
                <w:sz w:val="20"/>
                <w:szCs w:val="20"/>
              </w:rPr>
            </w:pPr>
          </w:p>
        </w:tc>
        <w:tc>
          <w:tcPr>
            <w:tcW w:w="5" w:type="pct"/>
            <w:vAlign w:val="center"/>
            <w:hideMark/>
          </w:tcPr>
          <w:p w14:paraId="77BCC881" w14:textId="77777777" w:rsidR="00000000" w:rsidRDefault="00EE5306">
            <w:pPr>
              <w:spacing w:after="100"/>
              <w:rPr>
                <w:rFonts w:eastAsia="Times New Roman"/>
                <w:sz w:val="20"/>
                <w:szCs w:val="20"/>
              </w:rPr>
            </w:pPr>
          </w:p>
        </w:tc>
        <w:tc>
          <w:tcPr>
            <w:tcW w:w="5" w:type="pct"/>
            <w:vAlign w:val="center"/>
            <w:hideMark/>
          </w:tcPr>
          <w:p w14:paraId="2064F5E0" w14:textId="77777777" w:rsidR="00000000" w:rsidRDefault="00EE5306">
            <w:pPr>
              <w:spacing w:after="100"/>
              <w:rPr>
                <w:rFonts w:eastAsia="Times New Roman"/>
                <w:sz w:val="20"/>
                <w:szCs w:val="20"/>
              </w:rPr>
            </w:pPr>
          </w:p>
        </w:tc>
        <w:tc>
          <w:tcPr>
            <w:tcW w:w="28" w:type="pct"/>
            <w:vAlign w:val="center"/>
            <w:hideMark/>
          </w:tcPr>
          <w:p w14:paraId="5C395356" w14:textId="77777777" w:rsidR="00000000" w:rsidRDefault="00EE5306">
            <w:pPr>
              <w:spacing w:after="100"/>
              <w:rPr>
                <w:rFonts w:eastAsia="Times New Roman"/>
                <w:sz w:val="20"/>
                <w:szCs w:val="20"/>
              </w:rPr>
            </w:pPr>
          </w:p>
        </w:tc>
        <w:tc>
          <w:tcPr>
            <w:tcW w:w="5" w:type="pct"/>
            <w:vAlign w:val="center"/>
            <w:hideMark/>
          </w:tcPr>
          <w:p w14:paraId="1E3EF697" w14:textId="77777777" w:rsidR="00000000" w:rsidRDefault="00EE5306">
            <w:pPr>
              <w:spacing w:after="100"/>
              <w:rPr>
                <w:rFonts w:eastAsia="Times New Roman"/>
                <w:sz w:val="20"/>
                <w:szCs w:val="20"/>
              </w:rPr>
            </w:pPr>
          </w:p>
        </w:tc>
        <w:tc>
          <w:tcPr>
            <w:tcW w:w="50" w:type="pct"/>
            <w:vAlign w:val="center"/>
            <w:hideMark/>
          </w:tcPr>
          <w:p w14:paraId="7086CB5B" w14:textId="77777777" w:rsidR="00000000" w:rsidRDefault="00EE5306">
            <w:pPr>
              <w:spacing w:after="100"/>
              <w:rPr>
                <w:rFonts w:eastAsia="Times New Roman"/>
                <w:sz w:val="20"/>
                <w:szCs w:val="20"/>
              </w:rPr>
            </w:pPr>
          </w:p>
        </w:tc>
        <w:tc>
          <w:tcPr>
            <w:tcW w:w="717" w:type="pct"/>
            <w:vAlign w:val="center"/>
            <w:hideMark/>
          </w:tcPr>
          <w:p w14:paraId="7E344D5A" w14:textId="77777777" w:rsidR="00000000" w:rsidRDefault="00EE5306">
            <w:pPr>
              <w:spacing w:after="100"/>
              <w:rPr>
                <w:rFonts w:eastAsia="Times New Roman"/>
                <w:sz w:val="20"/>
                <w:szCs w:val="20"/>
              </w:rPr>
            </w:pPr>
          </w:p>
        </w:tc>
        <w:tc>
          <w:tcPr>
            <w:tcW w:w="5" w:type="pct"/>
            <w:vAlign w:val="center"/>
            <w:hideMark/>
          </w:tcPr>
          <w:p w14:paraId="37887A18" w14:textId="77777777" w:rsidR="00000000" w:rsidRDefault="00EE5306">
            <w:pPr>
              <w:spacing w:after="100"/>
              <w:rPr>
                <w:rFonts w:eastAsia="Times New Roman"/>
                <w:sz w:val="20"/>
                <w:szCs w:val="20"/>
              </w:rPr>
            </w:pPr>
          </w:p>
        </w:tc>
      </w:tr>
      <w:tr w:rsidR="00000000" w14:paraId="3406671F" w14:textId="77777777">
        <w:trPr>
          <w:divId w:val="2000426614"/>
        </w:trPr>
        <w:tc>
          <w:tcPr>
            <w:tcW w:w="0" w:type="auto"/>
            <w:gridSpan w:val="3"/>
            <w:tcMar>
              <w:top w:w="30" w:type="dxa"/>
              <w:left w:w="20" w:type="dxa"/>
              <w:bottom w:w="30" w:type="dxa"/>
              <w:right w:w="20" w:type="dxa"/>
            </w:tcMar>
            <w:vAlign w:val="bottom"/>
            <w:hideMark/>
          </w:tcPr>
          <w:p w14:paraId="4307F63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37D2E57"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14678657"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62997D10"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55FB743"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352F9250" w14:textId="77777777">
        <w:trPr>
          <w:divId w:val="2000426614"/>
        </w:trPr>
        <w:tc>
          <w:tcPr>
            <w:tcW w:w="0" w:type="auto"/>
            <w:gridSpan w:val="3"/>
            <w:tcMar>
              <w:top w:w="30" w:type="dxa"/>
              <w:left w:w="20" w:type="dxa"/>
              <w:bottom w:w="30" w:type="dxa"/>
              <w:right w:w="20" w:type="dxa"/>
            </w:tcMar>
            <w:vAlign w:val="bottom"/>
            <w:hideMark/>
          </w:tcPr>
          <w:p w14:paraId="74AEEBA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5941666" w14:textId="77777777" w:rsidR="00000000" w:rsidRDefault="00EE530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D2C3D11"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1B4058B3" w14:textId="77777777">
        <w:trPr>
          <w:divId w:val="2000426614"/>
        </w:trPr>
        <w:tc>
          <w:tcPr>
            <w:tcW w:w="0" w:type="auto"/>
            <w:gridSpan w:val="3"/>
            <w:shd w:val="clear" w:color="auto" w:fill="CCEEFF"/>
            <w:tcMar>
              <w:top w:w="30" w:type="dxa"/>
              <w:left w:w="155" w:type="dxa"/>
              <w:bottom w:w="30" w:type="dxa"/>
              <w:right w:w="20" w:type="dxa"/>
            </w:tcMar>
            <w:vAlign w:val="bottom"/>
            <w:hideMark/>
          </w:tcPr>
          <w:p w14:paraId="7D0CD86E" w14:textId="77777777" w:rsidR="00000000" w:rsidRDefault="00EE5306">
            <w:pPr>
              <w:spacing w:after="100"/>
              <w:rPr>
                <w:rFonts w:eastAsia="Times New Roman"/>
              </w:rPr>
            </w:pPr>
            <w:r>
              <w:rPr>
                <w:rFonts w:eastAsia="Times New Roman"/>
                <w:color w:val="000000"/>
                <w:sz w:val="20"/>
                <w:szCs w:val="20"/>
              </w:rPr>
              <w:t>Lease liabilities</w:t>
            </w:r>
          </w:p>
        </w:tc>
        <w:tc>
          <w:tcPr>
            <w:tcW w:w="0" w:type="auto"/>
            <w:gridSpan w:val="3"/>
            <w:shd w:val="clear" w:color="auto" w:fill="CCEEFF"/>
            <w:tcMar>
              <w:top w:w="0" w:type="dxa"/>
              <w:left w:w="20" w:type="dxa"/>
              <w:bottom w:w="0" w:type="dxa"/>
              <w:right w:w="20" w:type="dxa"/>
            </w:tcMar>
            <w:vAlign w:val="center"/>
            <w:hideMark/>
          </w:tcPr>
          <w:p w14:paraId="70D7FE33"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93FEFA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DA9126" w14:textId="77777777" w:rsidR="00000000" w:rsidRDefault="00EE5306">
            <w:pPr>
              <w:spacing w:after="100"/>
              <w:jc w:val="right"/>
              <w:rPr>
                <w:rFonts w:eastAsia="Times New Roman"/>
              </w:rPr>
            </w:pPr>
            <w:r>
              <w:rPr>
                <w:rFonts w:eastAsia="Times New Roman"/>
                <w:color w:val="000000"/>
                <w:sz w:val="20"/>
                <w:szCs w:val="20"/>
              </w:rPr>
              <w:t>406.6 </w:t>
            </w:r>
          </w:p>
        </w:tc>
        <w:tc>
          <w:tcPr>
            <w:tcW w:w="0" w:type="auto"/>
            <w:shd w:val="clear" w:color="auto" w:fill="CCEEFF"/>
            <w:tcMar>
              <w:top w:w="30" w:type="dxa"/>
              <w:left w:w="0" w:type="dxa"/>
              <w:bottom w:w="30" w:type="dxa"/>
              <w:right w:w="20" w:type="dxa"/>
            </w:tcMar>
            <w:vAlign w:val="bottom"/>
            <w:hideMark/>
          </w:tcPr>
          <w:p w14:paraId="1FFF155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E3008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9804E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01AF52" w14:textId="77777777" w:rsidR="00000000" w:rsidRDefault="00EE5306">
            <w:pPr>
              <w:spacing w:after="100"/>
              <w:jc w:val="right"/>
              <w:rPr>
                <w:rFonts w:eastAsia="Times New Roman"/>
              </w:rPr>
            </w:pPr>
            <w:r>
              <w:rPr>
                <w:rFonts w:eastAsia="Times New Roman"/>
                <w:color w:val="000000"/>
                <w:sz w:val="20"/>
                <w:szCs w:val="20"/>
              </w:rPr>
              <w:t>428.9 </w:t>
            </w:r>
          </w:p>
        </w:tc>
        <w:tc>
          <w:tcPr>
            <w:tcW w:w="0" w:type="auto"/>
            <w:shd w:val="clear" w:color="auto" w:fill="CCEEFF"/>
            <w:tcMar>
              <w:top w:w="30" w:type="dxa"/>
              <w:left w:w="0" w:type="dxa"/>
              <w:bottom w:w="30" w:type="dxa"/>
              <w:right w:w="20" w:type="dxa"/>
            </w:tcMar>
            <w:vAlign w:val="bottom"/>
            <w:hideMark/>
          </w:tcPr>
          <w:p w14:paraId="1CAFB1AF" w14:textId="77777777" w:rsidR="00000000" w:rsidRDefault="00EE5306">
            <w:pPr>
              <w:spacing w:after="100"/>
              <w:jc w:val="right"/>
              <w:rPr>
                <w:rFonts w:eastAsia="Times New Roman"/>
              </w:rPr>
            </w:pPr>
          </w:p>
        </w:tc>
      </w:tr>
      <w:tr w:rsidR="00000000" w14:paraId="705A61E9" w14:textId="77777777">
        <w:trPr>
          <w:divId w:val="2000426614"/>
        </w:trPr>
        <w:tc>
          <w:tcPr>
            <w:tcW w:w="0" w:type="auto"/>
            <w:gridSpan w:val="3"/>
            <w:shd w:val="clear" w:color="auto" w:fill="FFFFFF"/>
            <w:tcMar>
              <w:top w:w="30" w:type="dxa"/>
              <w:left w:w="155" w:type="dxa"/>
              <w:bottom w:w="30" w:type="dxa"/>
              <w:right w:w="20" w:type="dxa"/>
            </w:tcMar>
            <w:vAlign w:val="bottom"/>
            <w:hideMark/>
          </w:tcPr>
          <w:p w14:paraId="0E978181" w14:textId="77777777" w:rsidR="00000000" w:rsidRDefault="00EE5306">
            <w:pPr>
              <w:spacing w:after="100"/>
              <w:rPr>
                <w:rFonts w:eastAsia="Times New Roman"/>
              </w:rPr>
            </w:pPr>
            <w:r>
              <w:rPr>
                <w:rFonts w:eastAsia="Times New Roman"/>
                <w:color w:val="000000"/>
                <w:sz w:val="20"/>
                <w:szCs w:val="20"/>
              </w:rPr>
              <w:t>Net operating loss carryforwards</w:t>
            </w:r>
          </w:p>
        </w:tc>
        <w:tc>
          <w:tcPr>
            <w:tcW w:w="0" w:type="auto"/>
            <w:gridSpan w:val="3"/>
            <w:shd w:val="clear" w:color="auto" w:fill="FFFFFF"/>
            <w:tcMar>
              <w:top w:w="0" w:type="dxa"/>
              <w:left w:w="20" w:type="dxa"/>
              <w:bottom w:w="0" w:type="dxa"/>
              <w:right w:w="20" w:type="dxa"/>
            </w:tcMar>
            <w:vAlign w:val="center"/>
            <w:hideMark/>
          </w:tcPr>
          <w:p w14:paraId="654FE75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6BA8C9" w14:textId="77777777" w:rsidR="00000000" w:rsidRDefault="00EE5306">
            <w:pPr>
              <w:spacing w:after="100"/>
              <w:jc w:val="right"/>
              <w:rPr>
                <w:rFonts w:eastAsia="Times New Roman"/>
              </w:rPr>
            </w:pPr>
            <w:r>
              <w:rPr>
                <w:rFonts w:eastAsia="Times New Roman"/>
                <w:color w:val="000000"/>
                <w:sz w:val="20"/>
                <w:szCs w:val="20"/>
              </w:rPr>
              <w:t>59.6 </w:t>
            </w:r>
          </w:p>
        </w:tc>
        <w:tc>
          <w:tcPr>
            <w:tcW w:w="0" w:type="auto"/>
            <w:shd w:val="clear" w:color="auto" w:fill="FFFFFF"/>
            <w:tcMar>
              <w:top w:w="30" w:type="dxa"/>
              <w:left w:w="0" w:type="dxa"/>
              <w:bottom w:w="30" w:type="dxa"/>
              <w:right w:w="20" w:type="dxa"/>
            </w:tcMar>
            <w:vAlign w:val="bottom"/>
            <w:hideMark/>
          </w:tcPr>
          <w:p w14:paraId="4E37043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A23C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B42B1" w14:textId="77777777" w:rsidR="00000000" w:rsidRDefault="00EE5306">
            <w:pPr>
              <w:spacing w:after="100"/>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14:paraId="6FAA3905" w14:textId="77777777" w:rsidR="00000000" w:rsidRDefault="00EE5306">
            <w:pPr>
              <w:spacing w:after="100"/>
              <w:jc w:val="right"/>
              <w:rPr>
                <w:rFonts w:eastAsia="Times New Roman"/>
              </w:rPr>
            </w:pPr>
          </w:p>
        </w:tc>
      </w:tr>
      <w:tr w:rsidR="00000000" w14:paraId="69F38547" w14:textId="77777777">
        <w:trPr>
          <w:divId w:val="2000426614"/>
        </w:trPr>
        <w:tc>
          <w:tcPr>
            <w:tcW w:w="0" w:type="auto"/>
            <w:gridSpan w:val="3"/>
            <w:shd w:val="clear" w:color="auto" w:fill="CCEEFF"/>
            <w:tcMar>
              <w:top w:w="30" w:type="dxa"/>
              <w:left w:w="155" w:type="dxa"/>
              <w:bottom w:w="30" w:type="dxa"/>
              <w:right w:w="20" w:type="dxa"/>
            </w:tcMar>
            <w:vAlign w:val="bottom"/>
            <w:hideMark/>
          </w:tcPr>
          <w:p w14:paraId="566B1377" w14:textId="77777777" w:rsidR="00000000" w:rsidRDefault="00EE5306">
            <w:pPr>
              <w:spacing w:after="100"/>
              <w:rPr>
                <w:rFonts w:eastAsia="Times New Roman"/>
              </w:rPr>
            </w:pPr>
            <w:r>
              <w:rPr>
                <w:rFonts w:eastAsia="Times New Roman"/>
                <w:color w:val="000000"/>
                <w:sz w:val="20"/>
                <w:szCs w:val="20"/>
              </w:rPr>
              <w:t>Deferred compensation</w:t>
            </w:r>
          </w:p>
        </w:tc>
        <w:tc>
          <w:tcPr>
            <w:tcW w:w="0" w:type="auto"/>
            <w:gridSpan w:val="3"/>
            <w:shd w:val="clear" w:color="auto" w:fill="CCEEFF"/>
            <w:tcMar>
              <w:top w:w="0" w:type="dxa"/>
              <w:left w:w="20" w:type="dxa"/>
              <w:bottom w:w="0" w:type="dxa"/>
              <w:right w:w="20" w:type="dxa"/>
            </w:tcMar>
            <w:vAlign w:val="center"/>
            <w:hideMark/>
          </w:tcPr>
          <w:p w14:paraId="64D6A4C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7B68DE" w14:textId="77777777" w:rsidR="00000000" w:rsidRDefault="00EE5306">
            <w:pPr>
              <w:spacing w:after="100"/>
              <w:jc w:val="right"/>
              <w:rPr>
                <w:rFonts w:eastAsia="Times New Roman"/>
              </w:rPr>
            </w:pPr>
            <w:r>
              <w:rPr>
                <w:rFonts w:eastAsia="Times New Roman"/>
                <w:color w:val="000000"/>
                <w:sz w:val="20"/>
                <w:szCs w:val="20"/>
              </w:rPr>
              <w:t>49.7 </w:t>
            </w:r>
          </w:p>
        </w:tc>
        <w:tc>
          <w:tcPr>
            <w:tcW w:w="0" w:type="auto"/>
            <w:shd w:val="clear" w:color="auto" w:fill="CCEEFF"/>
            <w:tcMar>
              <w:top w:w="30" w:type="dxa"/>
              <w:left w:w="0" w:type="dxa"/>
              <w:bottom w:w="30" w:type="dxa"/>
              <w:right w:w="20" w:type="dxa"/>
            </w:tcMar>
            <w:vAlign w:val="bottom"/>
            <w:hideMark/>
          </w:tcPr>
          <w:p w14:paraId="2E72BD9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FA1B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4AF5B7" w14:textId="77777777" w:rsidR="00000000" w:rsidRDefault="00EE5306">
            <w:pPr>
              <w:spacing w:after="100"/>
              <w:jc w:val="right"/>
              <w:rPr>
                <w:rFonts w:eastAsia="Times New Roman"/>
              </w:rPr>
            </w:pPr>
            <w:r>
              <w:rPr>
                <w:rFonts w:eastAsia="Times New Roman"/>
                <w:color w:val="000000"/>
                <w:sz w:val="20"/>
                <w:szCs w:val="20"/>
              </w:rPr>
              <w:t>50.2 </w:t>
            </w:r>
          </w:p>
        </w:tc>
        <w:tc>
          <w:tcPr>
            <w:tcW w:w="0" w:type="auto"/>
            <w:shd w:val="clear" w:color="auto" w:fill="CCEEFF"/>
            <w:tcMar>
              <w:top w:w="30" w:type="dxa"/>
              <w:left w:w="0" w:type="dxa"/>
              <w:bottom w:w="30" w:type="dxa"/>
              <w:right w:w="20" w:type="dxa"/>
            </w:tcMar>
            <w:vAlign w:val="bottom"/>
            <w:hideMark/>
          </w:tcPr>
          <w:p w14:paraId="4EC15555" w14:textId="77777777" w:rsidR="00000000" w:rsidRDefault="00EE5306">
            <w:pPr>
              <w:spacing w:after="100"/>
              <w:jc w:val="right"/>
              <w:rPr>
                <w:rFonts w:eastAsia="Times New Roman"/>
              </w:rPr>
            </w:pPr>
          </w:p>
        </w:tc>
      </w:tr>
      <w:tr w:rsidR="00000000" w14:paraId="1DD2C88D" w14:textId="77777777">
        <w:trPr>
          <w:divId w:val="2000426614"/>
        </w:trPr>
        <w:tc>
          <w:tcPr>
            <w:tcW w:w="0" w:type="auto"/>
            <w:gridSpan w:val="3"/>
            <w:shd w:val="clear" w:color="auto" w:fill="FFFFFF"/>
            <w:tcMar>
              <w:top w:w="30" w:type="dxa"/>
              <w:left w:w="155" w:type="dxa"/>
              <w:bottom w:w="30" w:type="dxa"/>
              <w:right w:w="20" w:type="dxa"/>
            </w:tcMar>
            <w:vAlign w:val="bottom"/>
            <w:hideMark/>
          </w:tcPr>
          <w:p w14:paraId="3E4CE81C" w14:textId="77777777" w:rsidR="00000000" w:rsidRDefault="00EE5306">
            <w:pPr>
              <w:spacing w:after="100"/>
              <w:rPr>
                <w:rFonts w:eastAsia="Times New Roman"/>
              </w:rPr>
            </w:pPr>
            <w:r>
              <w:rPr>
                <w:rFonts w:eastAsia="Times New Roman"/>
                <w:color w:val="000000"/>
                <w:sz w:val="20"/>
                <w:szCs w:val="20"/>
              </w:rPr>
              <w:t>Inventory basis difference</w:t>
            </w:r>
          </w:p>
        </w:tc>
        <w:tc>
          <w:tcPr>
            <w:tcW w:w="0" w:type="auto"/>
            <w:gridSpan w:val="3"/>
            <w:shd w:val="clear" w:color="auto" w:fill="FFFFFF"/>
            <w:tcMar>
              <w:top w:w="0" w:type="dxa"/>
              <w:left w:w="20" w:type="dxa"/>
              <w:bottom w:w="0" w:type="dxa"/>
              <w:right w:w="20" w:type="dxa"/>
            </w:tcMar>
            <w:vAlign w:val="center"/>
            <w:hideMark/>
          </w:tcPr>
          <w:p w14:paraId="2771428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1306E5" w14:textId="77777777" w:rsidR="00000000" w:rsidRDefault="00EE5306">
            <w:pPr>
              <w:spacing w:after="100"/>
              <w:jc w:val="right"/>
              <w:rPr>
                <w:rFonts w:eastAsia="Times New Roman"/>
              </w:rPr>
            </w:pPr>
            <w:r>
              <w:rPr>
                <w:rFonts w:eastAsia="Times New Roman"/>
                <w:color w:val="000000"/>
                <w:sz w:val="20"/>
                <w:szCs w:val="20"/>
              </w:rPr>
              <w:t>44.9 </w:t>
            </w:r>
          </w:p>
        </w:tc>
        <w:tc>
          <w:tcPr>
            <w:tcW w:w="0" w:type="auto"/>
            <w:shd w:val="clear" w:color="auto" w:fill="FFFFFF"/>
            <w:tcMar>
              <w:top w:w="30" w:type="dxa"/>
              <w:left w:w="0" w:type="dxa"/>
              <w:bottom w:w="30" w:type="dxa"/>
              <w:right w:w="20" w:type="dxa"/>
            </w:tcMar>
            <w:vAlign w:val="bottom"/>
            <w:hideMark/>
          </w:tcPr>
          <w:p w14:paraId="57FC59B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0A386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23152C" w14:textId="77777777" w:rsidR="00000000" w:rsidRDefault="00EE5306">
            <w:pPr>
              <w:spacing w:after="100"/>
              <w:jc w:val="right"/>
              <w:rPr>
                <w:rFonts w:eastAsia="Times New Roman"/>
              </w:rPr>
            </w:pPr>
            <w:r>
              <w:rPr>
                <w:rFonts w:eastAsia="Times New Roman"/>
                <w:color w:val="000000"/>
                <w:sz w:val="20"/>
                <w:szCs w:val="20"/>
              </w:rPr>
              <w:t>54.0 </w:t>
            </w:r>
          </w:p>
        </w:tc>
        <w:tc>
          <w:tcPr>
            <w:tcW w:w="0" w:type="auto"/>
            <w:shd w:val="clear" w:color="auto" w:fill="FFFFFF"/>
            <w:tcMar>
              <w:top w:w="30" w:type="dxa"/>
              <w:left w:w="0" w:type="dxa"/>
              <w:bottom w:w="30" w:type="dxa"/>
              <w:right w:w="20" w:type="dxa"/>
            </w:tcMar>
            <w:vAlign w:val="bottom"/>
            <w:hideMark/>
          </w:tcPr>
          <w:p w14:paraId="12F00A96" w14:textId="77777777" w:rsidR="00000000" w:rsidRDefault="00EE5306">
            <w:pPr>
              <w:spacing w:after="100"/>
              <w:jc w:val="right"/>
              <w:rPr>
                <w:rFonts w:eastAsia="Times New Roman"/>
              </w:rPr>
            </w:pPr>
          </w:p>
        </w:tc>
      </w:tr>
      <w:tr w:rsidR="00000000" w14:paraId="66AA5B72" w14:textId="77777777">
        <w:trPr>
          <w:divId w:val="2000426614"/>
        </w:trPr>
        <w:tc>
          <w:tcPr>
            <w:tcW w:w="0" w:type="auto"/>
            <w:gridSpan w:val="3"/>
            <w:shd w:val="clear" w:color="auto" w:fill="CCEEFF"/>
            <w:tcMar>
              <w:top w:w="30" w:type="dxa"/>
              <w:left w:w="155" w:type="dxa"/>
              <w:bottom w:w="30" w:type="dxa"/>
              <w:right w:w="20" w:type="dxa"/>
            </w:tcMar>
            <w:vAlign w:val="bottom"/>
            <w:hideMark/>
          </w:tcPr>
          <w:p w14:paraId="3A649B92" w14:textId="77777777" w:rsidR="00000000" w:rsidRDefault="00EE5306">
            <w:pPr>
              <w:spacing w:after="100"/>
              <w:rPr>
                <w:rFonts w:eastAsia="Times New Roman"/>
              </w:rPr>
            </w:pPr>
            <w:r>
              <w:rPr>
                <w:rFonts w:eastAsia="Times New Roman"/>
                <w:color w:val="000000"/>
                <w:sz w:val="20"/>
                <w:szCs w:val="20"/>
              </w:rPr>
              <w:t>GILTI-related carryforwards</w:t>
            </w:r>
          </w:p>
        </w:tc>
        <w:tc>
          <w:tcPr>
            <w:tcW w:w="0" w:type="auto"/>
            <w:gridSpan w:val="3"/>
            <w:shd w:val="clear" w:color="auto" w:fill="CCEEFF"/>
            <w:tcMar>
              <w:top w:w="0" w:type="dxa"/>
              <w:left w:w="20" w:type="dxa"/>
              <w:bottom w:w="0" w:type="dxa"/>
              <w:right w:w="20" w:type="dxa"/>
            </w:tcMar>
            <w:vAlign w:val="center"/>
            <w:hideMark/>
          </w:tcPr>
          <w:p w14:paraId="40B0FB6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AA075E" w14:textId="77777777" w:rsidR="00000000" w:rsidRDefault="00EE5306">
            <w:pPr>
              <w:spacing w:after="100"/>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14:paraId="75E996A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4BDD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34883F"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5BC53D" w14:textId="77777777" w:rsidR="00000000" w:rsidRDefault="00EE5306">
            <w:pPr>
              <w:spacing w:after="100"/>
              <w:jc w:val="right"/>
              <w:rPr>
                <w:rFonts w:eastAsia="Times New Roman"/>
              </w:rPr>
            </w:pPr>
          </w:p>
        </w:tc>
      </w:tr>
      <w:tr w:rsidR="00000000" w14:paraId="254D1E85" w14:textId="77777777">
        <w:trPr>
          <w:divId w:val="2000426614"/>
        </w:trPr>
        <w:tc>
          <w:tcPr>
            <w:tcW w:w="0" w:type="auto"/>
            <w:gridSpan w:val="3"/>
            <w:shd w:val="clear" w:color="auto" w:fill="FFFFFF"/>
            <w:tcMar>
              <w:top w:w="30" w:type="dxa"/>
              <w:left w:w="155" w:type="dxa"/>
              <w:bottom w:w="30" w:type="dxa"/>
              <w:right w:w="20" w:type="dxa"/>
            </w:tcMar>
            <w:vAlign w:val="bottom"/>
            <w:hideMark/>
          </w:tcPr>
          <w:p w14:paraId="30831DA6" w14:textId="77777777" w:rsidR="00000000" w:rsidRDefault="00EE5306">
            <w:pPr>
              <w:spacing w:after="100"/>
              <w:rPr>
                <w:rFonts w:eastAsia="Times New Roman"/>
              </w:rPr>
            </w:pPr>
            <w:r>
              <w:rPr>
                <w:rFonts w:eastAsia="Times New Roman"/>
                <w:color w:val="000000"/>
                <w:sz w:val="20"/>
                <w:szCs w:val="20"/>
              </w:rPr>
              <w:t>Receivable allowances and reserves</w:t>
            </w:r>
          </w:p>
        </w:tc>
        <w:tc>
          <w:tcPr>
            <w:tcW w:w="0" w:type="auto"/>
            <w:gridSpan w:val="3"/>
            <w:shd w:val="clear" w:color="auto" w:fill="FFFFFF"/>
            <w:tcMar>
              <w:top w:w="0" w:type="dxa"/>
              <w:left w:w="20" w:type="dxa"/>
              <w:bottom w:w="0" w:type="dxa"/>
              <w:right w:w="20" w:type="dxa"/>
            </w:tcMar>
            <w:vAlign w:val="center"/>
            <w:hideMark/>
          </w:tcPr>
          <w:p w14:paraId="31153F1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227B1A" w14:textId="77777777" w:rsidR="00000000" w:rsidRDefault="00EE5306">
            <w:pPr>
              <w:spacing w:after="100"/>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bottom"/>
            <w:hideMark/>
          </w:tcPr>
          <w:p w14:paraId="20D93FD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2886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E694FB" w14:textId="77777777" w:rsidR="00000000" w:rsidRDefault="00EE5306">
            <w:pPr>
              <w:spacing w:after="100"/>
              <w:jc w:val="right"/>
              <w:rPr>
                <w:rFonts w:eastAsia="Times New Roman"/>
              </w:rPr>
            </w:pPr>
            <w:r>
              <w:rPr>
                <w:rFonts w:eastAsia="Times New Roman"/>
                <w:color w:val="000000"/>
                <w:sz w:val="20"/>
                <w:szCs w:val="20"/>
              </w:rPr>
              <w:t>45.6 </w:t>
            </w:r>
          </w:p>
        </w:tc>
        <w:tc>
          <w:tcPr>
            <w:tcW w:w="0" w:type="auto"/>
            <w:shd w:val="clear" w:color="auto" w:fill="FFFFFF"/>
            <w:tcMar>
              <w:top w:w="30" w:type="dxa"/>
              <w:left w:w="0" w:type="dxa"/>
              <w:bottom w:w="30" w:type="dxa"/>
              <w:right w:w="20" w:type="dxa"/>
            </w:tcMar>
            <w:vAlign w:val="bottom"/>
            <w:hideMark/>
          </w:tcPr>
          <w:p w14:paraId="2DEE2D50" w14:textId="77777777" w:rsidR="00000000" w:rsidRDefault="00EE5306">
            <w:pPr>
              <w:spacing w:after="100"/>
              <w:jc w:val="right"/>
              <w:rPr>
                <w:rFonts w:eastAsia="Times New Roman"/>
              </w:rPr>
            </w:pPr>
          </w:p>
        </w:tc>
      </w:tr>
      <w:tr w:rsidR="00000000" w14:paraId="101F8B9C" w14:textId="77777777">
        <w:trPr>
          <w:divId w:val="2000426614"/>
        </w:trPr>
        <w:tc>
          <w:tcPr>
            <w:tcW w:w="0" w:type="auto"/>
            <w:gridSpan w:val="3"/>
            <w:shd w:val="clear" w:color="auto" w:fill="CCEEFF"/>
            <w:tcMar>
              <w:top w:w="30" w:type="dxa"/>
              <w:left w:w="155" w:type="dxa"/>
              <w:bottom w:w="30" w:type="dxa"/>
              <w:right w:w="20" w:type="dxa"/>
            </w:tcMar>
            <w:vAlign w:val="bottom"/>
            <w:hideMark/>
          </w:tcPr>
          <w:p w14:paraId="1A98A099" w14:textId="77777777" w:rsidR="00000000" w:rsidRDefault="00EE5306">
            <w:pPr>
              <w:spacing w:after="100"/>
              <w:rPr>
                <w:rFonts w:eastAsia="Times New Roman"/>
              </w:rPr>
            </w:pPr>
            <w:r>
              <w:rPr>
                <w:rFonts w:eastAsia="Times New Roman"/>
                <w:color w:val="000000"/>
                <w:sz w:val="20"/>
                <w:szCs w:val="20"/>
              </w:rPr>
              <w:t>Unrecognized tax benefits</w:t>
            </w:r>
          </w:p>
        </w:tc>
        <w:tc>
          <w:tcPr>
            <w:tcW w:w="0" w:type="auto"/>
            <w:gridSpan w:val="3"/>
            <w:shd w:val="clear" w:color="auto" w:fill="CCEEFF"/>
            <w:tcMar>
              <w:top w:w="0" w:type="dxa"/>
              <w:left w:w="20" w:type="dxa"/>
              <w:bottom w:w="0" w:type="dxa"/>
              <w:right w:w="20" w:type="dxa"/>
            </w:tcMar>
            <w:vAlign w:val="center"/>
            <w:hideMark/>
          </w:tcPr>
          <w:p w14:paraId="6C55BD9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57F412" w14:textId="77777777" w:rsidR="00000000" w:rsidRDefault="00EE5306">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14:paraId="393B2DA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44F9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7D41F8" w14:textId="77777777" w:rsidR="00000000" w:rsidRDefault="00EE5306">
            <w:pPr>
              <w:spacing w:after="100"/>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14:paraId="2758AE32" w14:textId="77777777" w:rsidR="00000000" w:rsidRDefault="00EE5306">
            <w:pPr>
              <w:spacing w:after="100"/>
              <w:jc w:val="right"/>
              <w:rPr>
                <w:rFonts w:eastAsia="Times New Roman"/>
              </w:rPr>
            </w:pPr>
          </w:p>
        </w:tc>
      </w:tr>
      <w:tr w:rsidR="00000000" w14:paraId="2875BDE0" w14:textId="77777777">
        <w:trPr>
          <w:divId w:val="2000426614"/>
        </w:trPr>
        <w:tc>
          <w:tcPr>
            <w:tcW w:w="0" w:type="auto"/>
            <w:gridSpan w:val="3"/>
            <w:shd w:val="clear" w:color="auto" w:fill="FFFFFF"/>
            <w:tcMar>
              <w:top w:w="30" w:type="dxa"/>
              <w:left w:w="155" w:type="dxa"/>
              <w:bottom w:w="30" w:type="dxa"/>
              <w:right w:w="20" w:type="dxa"/>
            </w:tcMar>
            <w:vAlign w:val="bottom"/>
            <w:hideMark/>
          </w:tcPr>
          <w:p w14:paraId="253B922D" w14:textId="77777777" w:rsidR="00000000" w:rsidRDefault="00EE5306">
            <w:pPr>
              <w:spacing w:after="100"/>
              <w:rPr>
                <w:rFonts w:eastAsia="Times New Roman"/>
              </w:rPr>
            </w:pPr>
            <w:r>
              <w:rPr>
                <w:rFonts w:eastAsia="Times New Roman"/>
                <w:color w:val="000000"/>
                <w:sz w:val="20"/>
                <w:szCs w:val="20"/>
              </w:rPr>
              <w:t>Property and equipment</w:t>
            </w:r>
          </w:p>
        </w:tc>
        <w:tc>
          <w:tcPr>
            <w:tcW w:w="0" w:type="auto"/>
            <w:gridSpan w:val="3"/>
            <w:shd w:val="clear" w:color="auto" w:fill="FFFFFF"/>
            <w:tcMar>
              <w:top w:w="0" w:type="dxa"/>
              <w:left w:w="20" w:type="dxa"/>
              <w:bottom w:w="0" w:type="dxa"/>
              <w:right w:w="20" w:type="dxa"/>
            </w:tcMar>
            <w:vAlign w:val="center"/>
            <w:hideMark/>
          </w:tcPr>
          <w:p w14:paraId="79638C2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04C321" w14:textId="77777777" w:rsidR="00000000" w:rsidRDefault="00EE5306">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bottom"/>
            <w:hideMark/>
          </w:tcPr>
          <w:p w14:paraId="00BEB8B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C0CB0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389147" w14:textId="77777777" w:rsidR="00000000" w:rsidRDefault="00EE5306">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1F29FA58" w14:textId="77777777" w:rsidR="00000000" w:rsidRDefault="00EE5306">
            <w:pPr>
              <w:spacing w:after="100"/>
              <w:jc w:val="right"/>
              <w:rPr>
                <w:rFonts w:eastAsia="Times New Roman"/>
              </w:rPr>
            </w:pPr>
          </w:p>
        </w:tc>
      </w:tr>
      <w:tr w:rsidR="00000000" w14:paraId="246BEBED" w14:textId="77777777">
        <w:trPr>
          <w:divId w:val="2000426614"/>
        </w:trPr>
        <w:tc>
          <w:tcPr>
            <w:tcW w:w="0" w:type="auto"/>
            <w:gridSpan w:val="3"/>
            <w:shd w:val="clear" w:color="auto" w:fill="CCEEFF"/>
            <w:tcMar>
              <w:top w:w="30" w:type="dxa"/>
              <w:left w:w="155" w:type="dxa"/>
              <w:bottom w:w="30" w:type="dxa"/>
              <w:right w:w="20" w:type="dxa"/>
            </w:tcMar>
            <w:vAlign w:val="bottom"/>
            <w:hideMark/>
          </w:tcPr>
          <w:p w14:paraId="48020989" w14:textId="77777777" w:rsidR="00000000" w:rsidRDefault="00EE5306">
            <w:pPr>
              <w:spacing w:after="100"/>
              <w:rPr>
                <w:rFonts w:eastAsia="Times New Roman"/>
              </w:rPr>
            </w:pPr>
            <w:r>
              <w:rPr>
                <w:rFonts w:eastAsia="Times New Roman"/>
                <w:color w:val="000000"/>
                <w:sz w:val="20"/>
                <w:szCs w:val="20"/>
              </w:rPr>
              <w:t>Charitable contribution carryforwards</w:t>
            </w:r>
          </w:p>
        </w:tc>
        <w:tc>
          <w:tcPr>
            <w:tcW w:w="0" w:type="auto"/>
            <w:gridSpan w:val="3"/>
            <w:shd w:val="clear" w:color="auto" w:fill="CCEEFF"/>
            <w:tcMar>
              <w:top w:w="0" w:type="dxa"/>
              <w:left w:w="20" w:type="dxa"/>
              <w:bottom w:w="0" w:type="dxa"/>
              <w:right w:w="20" w:type="dxa"/>
            </w:tcMar>
            <w:vAlign w:val="center"/>
            <w:hideMark/>
          </w:tcPr>
          <w:p w14:paraId="1134B616"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3A159A" w14:textId="77777777" w:rsidR="00000000" w:rsidRDefault="00EE5306">
            <w:pPr>
              <w:spacing w:after="100"/>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14:paraId="055B83D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DD99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F0A9A8"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A94FEC" w14:textId="77777777" w:rsidR="00000000" w:rsidRDefault="00EE5306">
            <w:pPr>
              <w:spacing w:after="100"/>
              <w:jc w:val="right"/>
              <w:rPr>
                <w:rFonts w:eastAsia="Times New Roman"/>
              </w:rPr>
            </w:pPr>
          </w:p>
        </w:tc>
      </w:tr>
      <w:tr w:rsidR="00000000" w14:paraId="74787B3B" w14:textId="77777777">
        <w:trPr>
          <w:divId w:val="2000426614"/>
        </w:trPr>
        <w:tc>
          <w:tcPr>
            <w:tcW w:w="0" w:type="auto"/>
            <w:gridSpan w:val="3"/>
            <w:shd w:val="clear" w:color="auto" w:fill="FFFFFF"/>
            <w:tcMar>
              <w:top w:w="30" w:type="dxa"/>
              <w:left w:w="155" w:type="dxa"/>
              <w:bottom w:w="30" w:type="dxa"/>
              <w:right w:w="20" w:type="dxa"/>
            </w:tcMar>
            <w:vAlign w:val="bottom"/>
            <w:hideMark/>
          </w:tcPr>
          <w:p w14:paraId="5B4698BF" w14:textId="77777777" w:rsidR="00000000" w:rsidRDefault="00EE5306">
            <w:pPr>
              <w:spacing w:after="100"/>
              <w:rPr>
                <w:rFonts w:eastAsia="Times New Roman"/>
              </w:rPr>
            </w:pPr>
            <w:r>
              <w:rPr>
                <w:rFonts w:eastAsia="Times New Roman"/>
                <w:color w:val="000000"/>
                <w:sz w:val="20"/>
                <w:szCs w:val="20"/>
              </w:rPr>
              <w:t>Accrued expenses</w:t>
            </w:r>
          </w:p>
        </w:tc>
        <w:tc>
          <w:tcPr>
            <w:tcW w:w="0" w:type="auto"/>
            <w:gridSpan w:val="3"/>
            <w:shd w:val="clear" w:color="auto" w:fill="FFFFFF"/>
            <w:tcMar>
              <w:top w:w="0" w:type="dxa"/>
              <w:left w:w="20" w:type="dxa"/>
              <w:bottom w:w="0" w:type="dxa"/>
              <w:right w:w="20" w:type="dxa"/>
            </w:tcMar>
            <w:vAlign w:val="center"/>
            <w:hideMark/>
          </w:tcPr>
          <w:p w14:paraId="3E5EB353"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124C1F" w14:textId="77777777" w:rsidR="00000000" w:rsidRDefault="00EE5306">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14:paraId="22FF1A5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2C76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8E362" w14:textId="77777777" w:rsidR="00000000" w:rsidRDefault="00EE5306">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14:paraId="3FC7F115" w14:textId="77777777" w:rsidR="00000000" w:rsidRDefault="00EE5306">
            <w:pPr>
              <w:spacing w:after="100"/>
              <w:jc w:val="right"/>
              <w:rPr>
                <w:rFonts w:eastAsia="Times New Roman"/>
              </w:rPr>
            </w:pPr>
          </w:p>
        </w:tc>
      </w:tr>
      <w:tr w:rsidR="00000000" w14:paraId="5EA1E664" w14:textId="77777777">
        <w:trPr>
          <w:divId w:val="2000426614"/>
        </w:trPr>
        <w:tc>
          <w:tcPr>
            <w:tcW w:w="0" w:type="auto"/>
            <w:gridSpan w:val="3"/>
            <w:shd w:val="clear" w:color="auto" w:fill="CCEEFF"/>
            <w:tcMar>
              <w:top w:w="30" w:type="dxa"/>
              <w:left w:w="155" w:type="dxa"/>
              <w:bottom w:w="30" w:type="dxa"/>
              <w:right w:w="20" w:type="dxa"/>
            </w:tcMar>
            <w:vAlign w:val="bottom"/>
            <w:hideMark/>
          </w:tcPr>
          <w:p w14:paraId="4D1C8703" w14:textId="77777777" w:rsidR="00000000" w:rsidRDefault="00EE5306">
            <w:pPr>
              <w:spacing w:after="100"/>
              <w:rPr>
                <w:rFonts w:eastAsia="Times New Roman"/>
              </w:rPr>
            </w:pPr>
            <w:r>
              <w:rPr>
                <w:rFonts w:eastAsia="Times New Roman"/>
                <w:color w:val="000000"/>
                <w:sz w:val="20"/>
                <w:szCs w:val="20"/>
              </w:rPr>
              <w:t>Transfer pricing</w:t>
            </w:r>
          </w:p>
        </w:tc>
        <w:tc>
          <w:tcPr>
            <w:tcW w:w="0" w:type="auto"/>
            <w:gridSpan w:val="3"/>
            <w:shd w:val="clear" w:color="auto" w:fill="CCEEFF"/>
            <w:tcMar>
              <w:top w:w="0" w:type="dxa"/>
              <w:left w:w="20" w:type="dxa"/>
              <w:bottom w:w="0" w:type="dxa"/>
              <w:right w:w="20" w:type="dxa"/>
            </w:tcMar>
            <w:vAlign w:val="center"/>
            <w:hideMark/>
          </w:tcPr>
          <w:p w14:paraId="5A744C3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9DAB4F" w14:textId="77777777" w:rsidR="00000000" w:rsidRDefault="00EE5306">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14:paraId="4DC1C5C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E039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6D9C71" w14:textId="77777777" w:rsidR="00000000" w:rsidRDefault="00EE5306">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14:paraId="1F175EF0" w14:textId="77777777" w:rsidR="00000000" w:rsidRDefault="00EE5306">
            <w:pPr>
              <w:spacing w:after="100"/>
              <w:jc w:val="right"/>
              <w:rPr>
                <w:rFonts w:eastAsia="Times New Roman"/>
              </w:rPr>
            </w:pPr>
          </w:p>
        </w:tc>
      </w:tr>
      <w:tr w:rsidR="00000000" w14:paraId="3434C0B6" w14:textId="77777777">
        <w:trPr>
          <w:divId w:val="2000426614"/>
        </w:trPr>
        <w:tc>
          <w:tcPr>
            <w:tcW w:w="0" w:type="auto"/>
            <w:gridSpan w:val="3"/>
            <w:shd w:val="clear" w:color="auto" w:fill="FFFFFF"/>
            <w:tcMar>
              <w:top w:w="30" w:type="dxa"/>
              <w:left w:w="155" w:type="dxa"/>
              <w:bottom w:w="30" w:type="dxa"/>
              <w:right w:w="20" w:type="dxa"/>
            </w:tcMar>
            <w:vAlign w:val="bottom"/>
            <w:hideMark/>
          </w:tcPr>
          <w:p w14:paraId="041075EE" w14:textId="77777777" w:rsidR="00000000" w:rsidRDefault="00EE5306">
            <w:pPr>
              <w:spacing w:after="100"/>
              <w:rPr>
                <w:rFonts w:eastAsia="Times New Roman"/>
              </w:rPr>
            </w:pPr>
            <w:r>
              <w:rPr>
                <w:rFonts w:eastAsia="Times New Roman"/>
                <w:color w:val="000000"/>
                <w:sz w:val="20"/>
                <w:szCs w:val="20"/>
              </w:rPr>
              <w:t>Cumulative translation adjustment and hedges</w:t>
            </w:r>
          </w:p>
        </w:tc>
        <w:tc>
          <w:tcPr>
            <w:tcW w:w="0" w:type="auto"/>
            <w:gridSpan w:val="3"/>
            <w:shd w:val="clear" w:color="auto" w:fill="FFFFFF"/>
            <w:tcMar>
              <w:top w:w="0" w:type="dxa"/>
              <w:left w:w="20" w:type="dxa"/>
              <w:bottom w:w="0" w:type="dxa"/>
              <w:right w:w="20" w:type="dxa"/>
            </w:tcMar>
            <w:vAlign w:val="center"/>
            <w:hideMark/>
          </w:tcPr>
          <w:p w14:paraId="0688D8A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EBF9B9" w14:textId="77777777" w:rsidR="00000000" w:rsidRDefault="00EE5306">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59D8087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AC54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FE35A4" w14:textId="77777777" w:rsidR="00000000" w:rsidRDefault="00EE5306">
            <w:pPr>
              <w:spacing w:after="100"/>
              <w:jc w:val="right"/>
              <w:rPr>
                <w:rFonts w:eastAsia="Times New Roman"/>
              </w:rPr>
            </w:pPr>
            <w:r>
              <w:rPr>
                <w:rFonts w:eastAsia="Times New Roman"/>
                <w:color w:val="000000"/>
                <w:sz w:val="20"/>
                <w:szCs w:val="20"/>
              </w:rPr>
              <w:t>(17.6)</w:t>
            </w:r>
          </w:p>
        </w:tc>
        <w:tc>
          <w:tcPr>
            <w:tcW w:w="0" w:type="auto"/>
            <w:shd w:val="clear" w:color="auto" w:fill="FFFFFF"/>
            <w:tcMar>
              <w:top w:w="30" w:type="dxa"/>
              <w:left w:w="0" w:type="dxa"/>
              <w:bottom w:w="30" w:type="dxa"/>
              <w:right w:w="20" w:type="dxa"/>
            </w:tcMar>
            <w:vAlign w:val="bottom"/>
            <w:hideMark/>
          </w:tcPr>
          <w:p w14:paraId="235CA50E" w14:textId="77777777" w:rsidR="00000000" w:rsidRDefault="00EE5306">
            <w:pPr>
              <w:spacing w:after="100"/>
              <w:jc w:val="right"/>
              <w:rPr>
                <w:rFonts w:eastAsia="Times New Roman"/>
              </w:rPr>
            </w:pPr>
          </w:p>
        </w:tc>
      </w:tr>
      <w:tr w:rsidR="00000000" w14:paraId="19752F80" w14:textId="77777777">
        <w:trPr>
          <w:divId w:val="2000426614"/>
        </w:trPr>
        <w:tc>
          <w:tcPr>
            <w:tcW w:w="0" w:type="auto"/>
            <w:gridSpan w:val="3"/>
            <w:shd w:val="clear" w:color="auto" w:fill="CCEEFF"/>
            <w:tcMar>
              <w:top w:w="30" w:type="dxa"/>
              <w:left w:w="155" w:type="dxa"/>
              <w:bottom w:w="30" w:type="dxa"/>
              <w:right w:w="20" w:type="dxa"/>
            </w:tcMar>
            <w:vAlign w:val="bottom"/>
            <w:hideMark/>
          </w:tcPr>
          <w:p w14:paraId="66D1C98D" w14:textId="77777777" w:rsidR="00000000" w:rsidRDefault="00EE5306">
            <w:pPr>
              <w:spacing w:after="100"/>
              <w:rPr>
                <w:rFonts w:eastAsia="Times New Roman"/>
              </w:rPr>
            </w:pPr>
            <w:r>
              <w:rPr>
                <w:rFonts w:eastAsia="Times New Roman"/>
                <w:color w:val="000000"/>
                <w:sz w:val="20"/>
                <w:szCs w:val="20"/>
              </w:rPr>
              <w:t>Lease right-of-use assets</w:t>
            </w:r>
          </w:p>
        </w:tc>
        <w:tc>
          <w:tcPr>
            <w:tcW w:w="0" w:type="auto"/>
            <w:gridSpan w:val="3"/>
            <w:shd w:val="clear" w:color="auto" w:fill="CCEEFF"/>
            <w:tcMar>
              <w:top w:w="0" w:type="dxa"/>
              <w:left w:w="20" w:type="dxa"/>
              <w:bottom w:w="0" w:type="dxa"/>
              <w:right w:w="20" w:type="dxa"/>
            </w:tcMar>
            <w:vAlign w:val="center"/>
            <w:hideMark/>
          </w:tcPr>
          <w:p w14:paraId="192E1259"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8297EE" w14:textId="77777777" w:rsidR="00000000" w:rsidRDefault="00EE5306">
            <w:pPr>
              <w:spacing w:after="100"/>
              <w:jc w:val="right"/>
              <w:rPr>
                <w:rFonts w:eastAsia="Times New Roman"/>
              </w:rPr>
            </w:pPr>
            <w:r>
              <w:rPr>
                <w:rFonts w:eastAsia="Times New Roman"/>
                <w:color w:val="000000"/>
                <w:sz w:val="20"/>
                <w:szCs w:val="20"/>
              </w:rPr>
              <w:t>(322.0)</w:t>
            </w:r>
          </w:p>
        </w:tc>
        <w:tc>
          <w:tcPr>
            <w:tcW w:w="0" w:type="auto"/>
            <w:shd w:val="clear" w:color="auto" w:fill="CCEEFF"/>
            <w:tcMar>
              <w:top w:w="30" w:type="dxa"/>
              <w:left w:w="0" w:type="dxa"/>
              <w:bottom w:w="30" w:type="dxa"/>
              <w:right w:w="20" w:type="dxa"/>
            </w:tcMar>
            <w:vAlign w:val="bottom"/>
            <w:hideMark/>
          </w:tcPr>
          <w:p w14:paraId="080B56C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C2D6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3611CC" w14:textId="77777777" w:rsidR="00000000" w:rsidRDefault="00EE5306">
            <w:pPr>
              <w:spacing w:after="100"/>
              <w:jc w:val="right"/>
              <w:rPr>
                <w:rFonts w:eastAsia="Times New Roman"/>
              </w:rPr>
            </w:pPr>
            <w:r>
              <w:rPr>
                <w:rFonts w:eastAsia="Times New Roman"/>
                <w:color w:val="000000"/>
                <w:sz w:val="20"/>
                <w:szCs w:val="20"/>
              </w:rPr>
              <w:t>(353.0)</w:t>
            </w:r>
          </w:p>
        </w:tc>
        <w:tc>
          <w:tcPr>
            <w:tcW w:w="0" w:type="auto"/>
            <w:shd w:val="clear" w:color="auto" w:fill="CCEEFF"/>
            <w:tcMar>
              <w:top w:w="30" w:type="dxa"/>
              <w:left w:w="0" w:type="dxa"/>
              <w:bottom w:w="30" w:type="dxa"/>
              <w:right w:w="20" w:type="dxa"/>
            </w:tcMar>
            <w:vAlign w:val="bottom"/>
            <w:hideMark/>
          </w:tcPr>
          <w:p w14:paraId="115588FE" w14:textId="77777777" w:rsidR="00000000" w:rsidRDefault="00EE5306">
            <w:pPr>
              <w:spacing w:after="100"/>
              <w:jc w:val="right"/>
              <w:rPr>
                <w:rFonts w:eastAsia="Times New Roman"/>
              </w:rPr>
            </w:pPr>
          </w:p>
        </w:tc>
      </w:tr>
      <w:tr w:rsidR="00000000" w14:paraId="058A2A12" w14:textId="77777777">
        <w:trPr>
          <w:divId w:val="2000426614"/>
        </w:trPr>
        <w:tc>
          <w:tcPr>
            <w:tcW w:w="0" w:type="auto"/>
            <w:gridSpan w:val="3"/>
            <w:shd w:val="clear" w:color="auto" w:fill="FFFFFF"/>
            <w:tcMar>
              <w:top w:w="30" w:type="dxa"/>
              <w:left w:w="155" w:type="dxa"/>
              <w:bottom w:w="30" w:type="dxa"/>
              <w:right w:w="20" w:type="dxa"/>
            </w:tcMar>
            <w:vAlign w:val="bottom"/>
            <w:hideMark/>
          </w:tcPr>
          <w:p w14:paraId="3FABEFF5" w14:textId="77777777" w:rsidR="00000000" w:rsidRDefault="00EE5306">
            <w:pPr>
              <w:spacing w:after="100"/>
              <w:rPr>
                <w:rFonts w:eastAsia="Times New Roman"/>
              </w:rPr>
            </w:pPr>
            <w:r>
              <w:rPr>
                <w:rFonts w:eastAsia="Times New Roman"/>
                <w:color w:val="000000"/>
                <w:sz w:val="20"/>
                <w:szCs w:val="20"/>
              </w:rPr>
              <w:t>Goodwill and other intangible assets</w:t>
            </w:r>
          </w:p>
        </w:tc>
        <w:tc>
          <w:tcPr>
            <w:tcW w:w="0" w:type="auto"/>
            <w:gridSpan w:val="3"/>
            <w:shd w:val="clear" w:color="auto" w:fill="FFFFFF"/>
            <w:tcMar>
              <w:top w:w="0" w:type="dxa"/>
              <w:left w:w="20" w:type="dxa"/>
              <w:bottom w:w="0" w:type="dxa"/>
              <w:right w:w="20" w:type="dxa"/>
            </w:tcMar>
            <w:vAlign w:val="center"/>
            <w:hideMark/>
          </w:tcPr>
          <w:p w14:paraId="4221552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CCC07E" w14:textId="77777777" w:rsidR="00000000" w:rsidRDefault="00EE5306">
            <w:pPr>
              <w:spacing w:after="100"/>
              <w:jc w:val="right"/>
              <w:rPr>
                <w:rFonts w:eastAsia="Times New Roman"/>
              </w:rPr>
            </w:pPr>
            <w:r>
              <w:rPr>
                <w:rFonts w:eastAsia="Times New Roman"/>
                <w:color w:val="000000"/>
                <w:sz w:val="20"/>
                <w:szCs w:val="20"/>
              </w:rPr>
              <w:t>(48.2)</w:t>
            </w:r>
          </w:p>
        </w:tc>
        <w:tc>
          <w:tcPr>
            <w:tcW w:w="0" w:type="auto"/>
            <w:shd w:val="clear" w:color="auto" w:fill="FFFFFF"/>
            <w:tcMar>
              <w:top w:w="30" w:type="dxa"/>
              <w:left w:w="0" w:type="dxa"/>
              <w:bottom w:w="30" w:type="dxa"/>
              <w:right w:w="20" w:type="dxa"/>
            </w:tcMar>
            <w:vAlign w:val="bottom"/>
            <w:hideMark/>
          </w:tcPr>
          <w:p w14:paraId="310156E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6F871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9DD5B8" w14:textId="77777777" w:rsidR="00000000" w:rsidRDefault="00EE5306">
            <w:pPr>
              <w:spacing w:after="100"/>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14:paraId="621CCA4F" w14:textId="77777777" w:rsidR="00000000" w:rsidRDefault="00EE5306">
            <w:pPr>
              <w:spacing w:after="100"/>
              <w:jc w:val="right"/>
              <w:rPr>
                <w:rFonts w:eastAsia="Times New Roman"/>
              </w:rPr>
            </w:pPr>
          </w:p>
        </w:tc>
      </w:tr>
      <w:tr w:rsidR="00000000" w14:paraId="7370B9E1" w14:textId="77777777">
        <w:trPr>
          <w:divId w:val="2000426614"/>
        </w:trPr>
        <w:tc>
          <w:tcPr>
            <w:tcW w:w="0" w:type="auto"/>
            <w:gridSpan w:val="3"/>
            <w:shd w:val="clear" w:color="auto" w:fill="CCEEFF"/>
            <w:tcMar>
              <w:top w:w="30" w:type="dxa"/>
              <w:left w:w="155" w:type="dxa"/>
              <w:bottom w:w="30" w:type="dxa"/>
              <w:right w:w="20" w:type="dxa"/>
            </w:tcMar>
            <w:vAlign w:val="bottom"/>
            <w:hideMark/>
          </w:tcPr>
          <w:p w14:paraId="207CA133" w14:textId="77777777" w:rsidR="00000000" w:rsidRDefault="00EE5306">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14:paraId="6840DEE4"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B3C7F7" w14:textId="77777777" w:rsidR="00000000" w:rsidRDefault="00EE5306">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5B0B213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06876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84A838" w14:textId="77777777" w:rsidR="00000000" w:rsidRDefault="00EE5306">
            <w:pPr>
              <w:spacing w:after="100"/>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14:paraId="5A366294" w14:textId="77777777" w:rsidR="00000000" w:rsidRDefault="00EE5306">
            <w:pPr>
              <w:spacing w:after="100"/>
              <w:jc w:val="right"/>
              <w:rPr>
                <w:rFonts w:eastAsia="Times New Roman"/>
              </w:rPr>
            </w:pPr>
          </w:p>
        </w:tc>
      </w:tr>
      <w:tr w:rsidR="00000000" w14:paraId="4FDA85B6" w14:textId="77777777">
        <w:trPr>
          <w:divId w:val="2000426614"/>
        </w:trPr>
        <w:tc>
          <w:tcPr>
            <w:tcW w:w="0" w:type="auto"/>
            <w:gridSpan w:val="3"/>
            <w:shd w:val="clear" w:color="auto" w:fill="FFFFFF"/>
            <w:tcMar>
              <w:top w:w="30" w:type="dxa"/>
              <w:left w:w="155" w:type="dxa"/>
              <w:bottom w:w="30" w:type="dxa"/>
              <w:right w:w="20" w:type="dxa"/>
            </w:tcMar>
            <w:vAlign w:val="bottom"/>
            <w:hideMark/>
          </w:tcPr>
          <w:p w14:paraId="4697DF14" w14:textId="77777777" w:rsidR="00000000" w:rsidRDefault="00EE5306">
            <w:pPr>
              <w:spacing w:after="100"/>
              <w:rPr>
                <w:rFonts w:eastAsia="Times New Roman"/>
              </w:rPr>
            </w:pPr>
            <w:r>
              <w:rPr>
                <w:rFonts w:eastAsia="Times New Roman"/>
                <w:color w:val="000000"/>
                <w:sz w:val="20"/>
                <w:szCs w:val="20"/>
              </w:rPr>
              <w:t>Valuation allowance</w:t>
            </w:r>
          </w:p>
        </w:tc>
        <w:tc>
          <w:tcPr>
            <w:tcW w:w="0" w:type="auto"/>
            <w:gridSpan w:val="3"/>
            <w:shd w:val="clear" w:color="auto" w:fill="FFFFFF"/>
            <w:tcMar>
              <w:top w:w="0" w:type="dxa"/>
              <w:left w:w="20" w:type="dxa"/>
              <w:bottom w:w="0" w:type="dxa"/>
              <w:right w:w="20" w:type="dxa"/>
            </w:tcMar>
            <w:vAlign w:val="center"/>
            <w:hideMark/>
          </w:tcPr>
          <w:p w14:paraId="4B55E34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FDBD11" w14:textId="77777777" w:rsidR="00000000" w:rsidRDefault="00EE5306">
            <w:pPr>
              <w:spacing w:after="100"/>
              <w:jc w:val="right"/>
              <w:rPr>
                <w:rFonts w:eastAsia="Times New Roman"/>
              </w:rPr>
            </w:pPr>
            <w:r>
              <w:rPr>
                <w:rFonts w:eastAsia="Times New Roman"/>
                <w:color w:val="000000"/>
                <w:sz w:val="20"/>
                <w:szCs w:val="20"/>
              </w:rPr>
              <w:t>(72.0)</w:t>
            </w:r>
          </w:p>
        </w:tc>
        <w:tc>
          <w:tcPr>
            <w:tcW w:w="0" w:type="auto"/>
            <w:shd w:val="clear" w:color="auto" w:fill="FFFFFF"/>
            <w:tcMar>
              <w:top w:w="30" w:type="dxa"/>
              <w:left w:w="0" w:type="dxa"/>
              <w:bottom w:w="30" w:type="dxa"/>
              <w:right w:w="20" w:type="dxa"/>
            </w:tcMar>
            <w:vAlign w:val="bottom"/>
            <w:hideMark/>
          </w:tcPr>
          <w:p w14:paraId="794B029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EB39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2CA12A" w14:textId="77777777" w:rsidR="00000000" w:rsidRDefault="00EE5306">
            <w:pPr>
              <w:spacing w:after="100"/>
              <w:jc w:val="right"/>
              <w:rPr>
                <w:rFonts w:eastAsia="Times New Roman"/>
              </w:rPr>
            </w:pPr>
            <w:r>
              <w:rPr>
                <w:rFonts w:eastAsia="Times New Roman"/>
                <w:color w:val="000000"/>
                <w:sz w:val="20"/>
                <w:szCs w:val="20"/>
              </w:rPr>
              <w:t>(37.3)</w:t>
            </w:r>
          </w:p>
        </w:tc>
        <w:tc>
          <w:tcPr>
            <w:tcW w:w="0" w:type="auto"/>
            <w:shd w:val="clear" w:color="auto" w:fill="FFFFFF"/>
            <w:tcMar>
              <w:top w:w="30" w:type="dxa"/>
              <w:left w:w="0" w:type="dxa"/>
              <w:bottom w:w="30" w:type="dxa"/>
              <w:right w:w="20" w:type="dxa"/>
            </w:tcMar>
            <w:vAlign w:val="bottom"/>
            <w:hideMark/>
          </w:tcPr>
          <w:p w14:paraId="452FA505" w14:textId="77777777" w:rsidR="00000000" w:rsidRDefault="00EE5306">
            <w:pPr>
              <w:spacing w:after="100"/>
              <w:jc w:val="right"/>
              <w:rPr>
                <w:rFonts w:eastAsia="Times New Roman"/>
              </w:rPr>
            </w:pPr>
          </w:p>
        </w:tc>
      </w:tr>
      <w:tr w:rsidR="00000000" w14:paraId="2E6DC99D" w14:textId="77777777">
        <w:trPr>
          <w:divId w:val="2000426614"/>
        </w:trPr>
        <w:tc>
          <w:tcPr>
            <w:tcW w:w="0" w:type="auto"/>
            <w:gridSpan w:val="3"/>
            <w:shd w:val="clear" w:color="auto" w:fill="CCEEFF"/>
            <w:tcMar>
              <w:top w:w="30" w:type="dxa"/>
              <w:left w:w="20" w:type="dxa"/>
              <w:bottom w:w="30" w:type="dxa"/>
              <w:right w:w="20" w:type="dxa"/>
            </w:tcMar>
            <w:vAlign w:val="bottom"/>
            <w:hideMark/>
          </w:tcPr>
          <w:p w14:paraId="0D48693E" w14:textId="77777777" w:rsidR="00000000" w:rsidRDefault="00EE5306">
            <w:pPr>
              <w:spacing w:after="100"/>
              <w:divId w:val="460849575"/>
              <w:rPr>
                <w:rFonts w:eastAsia="Times New Roman"/>
              </w:rPr>
            </w:pPr>
            <w:r>
              <w:rPr>
                <w:rFonts w:eastAsia="Times New Roman"/>
                <w:color w:val="000000"/>
                <w:sz w:val="20"/>
                <w:szCs w:val="20"/>
              </w:rPr>
              <w:t>Net deferred tax asset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DFA25FF"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90837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11937F" w14:textId="77777777" w:rsidR="00000000" w:rsidRDefault="00EE5306">
            <w:pPr>
              <w:spacing w:after="100"/>
              <w:jc w:val="right"/>
              <w:rPr>
                <w:rFonts w:eastAsia="Times New Roman"/>
              </w:rPr>
            </w:pPr>
            <w:r>
              <w:rPr>
                <w:rFonts w:eastAsia="Times New Roman"/>
                <w:color w:val="000000"/>
                <w:sz w:val="20"/>
                <w:szCs w:val="20"/>
              </w:rPr>
              <w:t>273.2 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5472C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46867"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E61A0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813384" w14:textId="77777777" w:rsidR="00000000" w:rsidRDefault="00EE5306">
            <w:pPr>
              <w:spacing w:after="100"/>
              <w:jc w:val="right"/>
              <w:rPr>
                <w:rFonts w:eastAsia="Times New Roman"/>
              </w:rPr>
            </w:pPr>
            <w:r>
              <w:rPr>
                <w:rFonts w:eastAsia="Times New Roman"/>
                <w:color w:val="000000"/>
                <w:sz w:val="20"/>
                <w:szCs w:val="20"/>
              </w:rPr>
              <w:t>235.2 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A238E8"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204CFDD3" w14:textId="77777777">
        <w:tc>
          <w:tcPr>
            <w:tcW w:w="50" w:type="pct"/>
            <w:vAlign w:val="center"/>
            <w:hideMark/>
          </w:tcPr>
          <w:p w14:paraId="44DC61C1" w14:textId="77777777" w:rsidR="00000000" w:rsidRDefault="00EE5306">
            <w:pPr>
              <w:rPr>
                <w:rFonts w:eastAsia="Times New Roman"/>
              </w:rPr>
            </w:pPr>
          </w:p>
        </w:tc>
        <w:tc>
          <w:tcPr>
            <w:tcW w:w="4945" w:type="pct"/>
            <w:vAlign w:val="center"/>
            <w:hideMark/>
          </w:tcPr>
          <w:p w14:paraId="559EFB29" w14:textId="77777777" w:rsidR="00000000" w:rsidRDefault="00EE5306">
            <w:pPr>
              <w:spacing w:after="100"/>
              <w:rPr>
                <w:rFonts w:eastAsia="Times New Roman"/>
                <w:sz w:val="20"/>
                <w:szCs w:val="20"/>
              </w:rPr>
            </w:pPr>
          </w:p>
        </w:tc>
        <w:tc>
          <w:tcPr>
            <w:tcW w:w="5" w:type="pct"/>
            <w:vAlign w:val="center"/>
            <w:hideMark/>
          </w:tcPr>
          <w:p w14:paraId="4F1629C3" w14:textId="77777777" w:rsidR="00000000" w:rsidRDefault="00EE5306">
            <w:pPr>
              <w:spacing w:after="100"/>
              <w:rPr>
                <w:rFonts w:eastAsia="Times New Roman"/>
                <w:sz w:val="20"/>
                <w:szCs w:val="20"/>
              </w:rPr>
            </w:pPr>
          </w:p>
        </w:tc>
      </w:tr>
      <w:tr w:rsidR="00000000" w14:paraId="087E6587"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44B25547" w14:textId="77777777" w:rsidR="00000000" w:rsidRDefault="00EE5306">
            <w:pPr>
              <w:spacing w:after="100"/>
              <w:rPr>
                <w:rFonts w:eastAsia="Times New Roman"/>
                <w:sz w:val="20"/>
                <w:szCs w:val="20"/>
              </w:rPr>
            </w:pPr>
          </w:p>
        </w:tc>
      </w:tr>
    </w:tbl>
    <w:p w14:paraId="7409B29F" w14:textId="77777777" w:rsidR="00000000" w:rsidRDefault="00EE5306">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Net deferred tax balances as of March 27, 2021 and March 28, 2020 were comprised of non-current deferred tax assets of $283.9 million and $245.2 </w:t>
      </w:r>
      <w:r>
        <w:rPr>
          <w:rFonts w:eastAsia="Times New Roman"/>
          <w:color w:val="000000"/>
          <w:sz w:val="20"/>
          <w:szCs w:val="20"/>
        </w:rPr>
        <w:t xml:space="preserve">million, respectively, recorded within deferred tax assets, and non-current deferred tax liabilities of $10.7 million and $10.0 million, respectively, recorded within other non-current liabilities in the consolidated balance sheets. </w:t>
      </w:r>
    </w:p>
    <w:p w14:paraId="33168203" w14:textId="77777777" w:rsidR="00000000" w:rsidRDefault="00EE5306">
      <w:pPr>
        <w:ind w:firstLine="540"/>
        <w:jc w:val="both"/>
        <w:divId w:val="158350984"/>
        <w:rPr>
          <w:rFonts w:eastAsia="Times New Roman"/>
        </w:rPr>
      </w:pPr>
      <w:r>
        <w:rPr>
          <w:rFonts w:eastAsia="Times New Roman"/>
          <w:color w:val="000000"/>
          <w:sz w:val="20"/>
          <w:szCs w:val="20"/>
        </w:rPr>
        <w:t>The Company has availa</w:t>
      </w:r>
      <w:r>
        <w:rPr>
          <w:rFonts w:eastAsia="Times New Roman"/>
          <w:color w:val="000000"/>
          <w:sz w:val="20"/>
          <w:szCs w:val="20"/>
        </w:rPr>
        <w:t>ble federal, state, and foreign net operating loss carryforwards of $2.2 million, $4.0 million, and $17.7 million (all net of tax), respectively, for tax purposes to offset future taxable income. The net operating loss carryforwards expire beginning in Fis</w:t>
      </w:r>
      <w:r>
        <w:rPr>
          <w:rFonts w:eastAsia="Times New Roman"/>
          <w:color w:val="000000"/>
          <w:sz w:val="20"/>
          <w:szCs w:val="20"/>
        </w:rPr>
        <w:t xml:space="preserve">cal 2022. </w:t>
      </w:r>
    </w:p>
    <w:p w14:paraId="0186777F" w14:textId="77777777" w:rsidR="00000000" w:rsidRDefault="00EE5306">
      <w:pPr>
        <w:ind w:firstLine="540"/>
        <w:jc w:val="both"/>
        <w:divId w:val="8682208"/>
        <w:rPr>
          <w:rFonts w:eastAsia="Times New Roman"/>
        </w:rPr>
      </w:pPr>
      <w:r>
        <w:rPr>
          <w:rFonts w:eastAsia="Times New Roman"/>
          <w:color w:val="000000"/>
          <w:sz w:val="20"/>
          <w:szCs w:val="20"/>
        </w:rPr>
        <w:t>The Company also has available state and foreign net operating loss carryforwards of $8.5 million and $27.4 million (both net of tax), respectively, for which no net deferred tax asset has been recognized. A full valuation allowance has been rec</w:t>
      </w:r>
      <w:r>
        <w:rPr>
          <w:rFonts w:eastAsia="Times New Roman"/>
          <w:color w:val="000000"/>
          <w:sz w:val="20"/>
          <w:szCs w:val="20"/>
        </w:rPr>
        <w:t>orded against these carryforwards since the Company does not believe that it will more likely than not be able to utilize these carryforwards to offset future taxable income. Subsequent recognition of these deferred tax assets would result in an income tax</w:t>
      </w:r>
      <w:r>
        <w:rPr>
          <w:rFonts w:eastAsia="Times New Roman"/>
          <w:color w:val="000000"/>
          <w:sz w:val="20"/>
          <w:szCs w:val="20"/>
        </w:rPr>
        <w:t xml:space="preserve"> benefit in the year of such recognition. The valuation allowance relating to state net operating loss carryforwards increased by $0.7 million (net of tax) as a result of net operating losses in certain jurisdictions where the Company does not believe that</w:t>
      </w:r>
      <w:r>
        <w:rPr>
          <w:rFonts w:eastAsia="Times New Roman"/>
          <w:color w:val="000000"/>
          <w:sz w:val="20"/>
          <w:szCs w:val="20"/>
        </w:rPr>
        <w:t xml:space="preserve"> it will more likely than not be able to utilize these carryforwards in the future. The valuation allowance relating to foreign net operating loss carryforwards decreased by $0.7 million as a result of reductions in net operating losses in certain jurisdic</w:t>
      </w:r>
      <w:r>
        <w:rPr>
          <w:rFonts w:eastAsia="Times New Roman"/>
          <w:color w:val="000000"/>
          <w:sz w:val="20"/>
          <w:szCs w:val="20"/>
        </w:rPr>
        <w:t>tions.</w:t>
      </w:r>
    </w:p>
    <w:p w14:paraId="1EA304C7" w14:textId="77777777" w:rsidR="00000000" w:rsidRDefault="00EE5306">
      <w:pPr>
        <w:ind w:firstLine="540"/>
        <w:jc w:val="both"/>
        <w:divId w:val="123891374"/>
        <w:rPr>
          <w:rFonts w:eastAsia="Times New Roman"/>
        </w:rPr>
      </w:pPr>
      <w:r>
        <w:rPr>
          <w:rFonts w:eastAsia="Times New Roman"/>
          <w:color w:val="000000"/>
          <w:sz w:val="20"/>
          <w:szCs w:val="20"/>
        </w:rPr>
        <w:t>As a result of the taxation of undistributed foreign earnings in connection with the TCJA, the Company reevaluated its permanent reinvestment assertion and determined that undistributed foreign earnings that were subject to the TCJA's one-time manda</w:t>
      </w:r>
      <w:r>
        <w:rPr>
          <w:rFonts w:eastAsia="Times New Roman"/>
          <w:color w:val="000000"/>
          <w:sz w:val="20"/>
          <w:szCs w:val="20"/>
        </w:rPr>
        <w:t>tory transition tax were no longer considered to be permanently reinvested, effective December 31, 2017. The mandatory transition tax does not apply to undistributed foreign earnings generated after December 31, 2017. Accordingly, provision has not been ma</w:t>
      </w:r>
      <w:r>
        <w:rPr>
          <w:rFonts w:eastAsia="Times New Roman"/>
          <w:color w:val="000000"/>
          <w:sz w:val="20"/>
          <w:szCs w:val="20"/>
        </w:rPr>
        <w:t xml:space="preserve">de for U.S. or additional foreign taxes on approximately $1.336 billion of undistributed earnings of foreign subsidiaries generated after December 31, 2017, as such earnings are expected to be permanently reinvested. These earnings could become subject to </w:t>
      </w:r>
      <w:r>
        <w:rPr>
          <w:rFonts w:eastAsia="Times New Roman"/>
          <w:color w:val="000000"/>
          <w:sz w:val="20"/>
          <w:szCs w:val="20"/>
        </w:rPr>
        <w:t>tax if they were remitted as dividends, if foreign earnings were lent to RLC, a subsidiary or a U.S. affiliate of RLC, or if the stock of the subsidiaries were sold. Determination of the amount of unrecognized deferred tax liability with respect to such ea</w:t>
      </w:r>
      <w:r>
        <w:rPr>
          <w:rFonts w:eastAsia="Times New Roman"/>
          <w:color w:val="000000"/>
          <w:sz w:val="20"/>
          <w:szCs w:val="20"/>
        </w:rPr>
        <w:t>rnings is not practicable.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7EDCED2" w14:textId="77777777">
        <w:trPr>
          <w:divId w:val="760250261"/>
          <w:jc w:val="center"/>
        </w:trPr>
        <w:tc>
          <w:tcPr>
            <w:tcW w:w="50" w:type="pct"/>
            <w:vAlign w:val="center"/>
            <w:hideMark/>
          </w:tcPr>
          <w:p w14:paraId="6EFAFE43" w14:textId="77777777" w:rsidR="00000000" w:rsidRDefault="00EE5306">
            <w:pPr>
              <w:ind w:firstLine="540"/>
              <w:jc w:val="both"/>
              <w:rPr>
                <w:rFonts w:eastAsia="Times New Roman"/>
              </w:rPr>
            </w:pPr>
          </w:p>
        </w:tc>
        <w:tc>
          <w:tcPr>
            <w:tcW w:w="1699" w:type="pct"/>
            <w:vAlign w:val="center"/>
            <w:hideMark/>
          </w:tcPr>
          <w:p w14:paraId="2DF94FFB" w14:textId="77777777" w:rsidR="00000000" w:rsidRDefault="00EE5306">
            <w:pPr>
              <w:spacing w:after="100"/>
              <w:rPr>
                <w:rFonts w:eastAsia="Times New Roman"/>
                <w:sz w:val="20"/>
                <w:szCs w:val="20"/>
              </w:rPr>
            </w:pPr>
          </w:p>
        </w:tc>
        <w:tc>
          <w:tcPr>
            <w:tcW w:w="5" w:type="pct"/>
            <w:vAlign w:val="center"/>
            <w:hideMark/>
          </w:tcPr>
          <w:p w14:paraId="507E272D" w14:textId="77777777" w:rsidR="00000000" w:rsidRDefault="00EE5306">
            <w:pPr>
              <w:spacing w:after="100"/>
              <w:rPr>
                <w:rFonts w:eastAsia="Times New Roman"/>
                <w:sz w:val="20"/>
                <w:szCs w:val="20"/>
              </w:rPr>
            </w:pPr>
          </w:p>
        </w:tc>
        <w:tc>
          <w:tcPr>
            <w:tcW w:w="50" w:type="pct"/>
            <w:vAlign w:val="center"/>
            <w:hideMark/>
          </w:tcPr>
          <w:p w14:paraId="12B1BEC5" w14:textId="77777777" w:rsidR="00000000" w:rsidRDefault="00EE5306">
            <w:pPr>
              <w:spacing w:after="100"/>
              <w:rPr>
                <w:rFonts w:eastAsia="Times New Roman"/>
                <w:sz w:val="20"/>
                <w:szCs w:val="20"/>
              </w:rPr>
            </w:pPr>
          </w:p>
        </w:tc>
        <w:tc>
          <w:tcPr>
            <w:tcW w:w="1436" w:type="pct"/>
            <w:vAlign w:val="center"/>
            <w:hideMark/>
          </w:tcPr>
          <w:p w14:paraId="47F041BD" w14:textId="77777777" w:rsidR="00000000" w:rsidRDefault="00EE5306">
            <w:pPr>
              <w:spacing w:after="100"/>
              <w:rPr>
                <w:rFonts w:eastAsia="Times New Roman"/>
                <w:sz w:val="20"/>
                <w:szCs w:val="20"/>
              </w:rPr>
            </w:pPr>
          </w:p>
        </w:tc>
        <w:tc>
          <w:tcPr>
            <w:tcW w:w="5" w:type="pct"/>
            <w:vAlign w:val="center"/>
            <w:hideMark/>
          </w:tcPr>
          <w:p w14:paraId="6716D603" w14:textId="77777777" w:rsidR="00000000" w:rsidRDefault="00EE5306">
            <w:pPr>
              <w:spacing w:after="100"/>
              <w:rPr>
                <w:rFonts w:eastAsia="Times New Roman"/>
                <w:sz w:val="20"/>
                <w:szCs w:val="20"/>
              </w:rPr>
            </w:pPr>
          </w:p>
        </w:tc>
        <w:tc>
          <w:tcPr>
            <w:tcW w:w="50" w:type="pct"/>
            <w:vAlign w:val="center"/>
            <w:hideMark/>
          </w:tcPr>
          <w:p w14:paraId="721D0F92" w14:textId="77777777" w:rsidR="00000000" w:rsidRDefault="00EE5306">
            <w:pPr>
              <w:spacing w:after="100"/>
              <w:rPr>
                <w:rFonts w:eastAsia="Times New Roman"/>
                <w:sz w:val="20"/>
                <w:szCs w:val="20"/>
              </w:rPr>
            </w:pPr>
          </w:p>
        </w:tc>
        <w:tc>
          <w:tcPr>
            <w:tcW w:w="1699" w:type="pct"/>
            <w:vAlign w:val="center"/>
            <w:hideMark/>
          </w:tcPr>
          <w:p w14:paraId="5FEB561D" w14:textId="77777777" w:rsidR="00000000" w:rsidRDefault="00EE5306">
            <w:pPr>
              <w:spacing w:after="100"/>
              <w:rPr>
                <w:rFonts w:eastAsia="Times New Roman"/>
                <w:sz w:val="20"/>
                <w:szCs w:val="20"/>
              </w:rPr>
            </w:pPr>
          </w:p>
        </w:tc>
        <w:tc>
          <w:tcPr>
            <w:tcW w:w="5" w:type="pct"/>
            <w:vAlign w:val="center"/>
            <w:hideMark/>
          </w:tcPr>
          <w:p w14:paraId="62537CF6" w14:textId="77777777" w:rsidR="00000000" w:rsidRDefault="00EE5306">
            <w:pPr>
              <w:spacing w:after="100"/>
              <w:rPr>
                <w:rFonts w:eastAsia="Times New Roman"/>
                <w:sz w:val="20"/>
                <w:szCs w:val="20"/>
              </w:rPr>
            </w:pPr>
          </w:p>
        </w:tc>
      </w:tr>
      <w:tr w:rsidR="00000000" w14:paraId="6F7D6629" w14:textId="77777777">
        <w:trPr>
          <w:divId w:val="760250261"/>
          <w:jc w:val="center"/>
        </w:trPr>
        <w:tc>
          <w:tcPr>
            <w:tcW w:w="0" w:type="auto"/>
            <w:gridSpan w:val="3"/>
            <w:tcMar>
              <w:top w:w="0" w:type="dxa"/>
              <w:left w:w="20" w:type="dxa"/>
              <w:bottom w:w="0" w:type="dxa"/>
              <w:right w:w="20" w:type="dxa"/>
            </w:tcMar>
            <w:vAlign w:val="center"/>
            <w:hideMark/>
          </w:tcPr>
          <w:p w14:paraId="392425E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ACE0F8A" w14:textId="77777777" w:rsidR="00000000" w:rsidRDefault="00EE5306">
            <w:pPr>
              <w:spacing w:after="100"/>
              <w:jc w:val="center"/>
              <w:rPr>
                <w:rFonts w:eastAsia="Times New Roman"/>
              </w:rPr>
            </w:pPr>
            <w:r>
              <w:rPr>
                <w:rFonts w:eastAsia="Times New Roman"/>
                <w:color w:val="000000"/>
                <w:sz w:val="20"/>
                <w:szCs w:val="20"/>
              </w:rPr>
              <w:t>F-31</w:t>
            </w:r>
          </w:p>
        </w:tc>
        <w:tc>
          <w:tcPr>
            <w:tcW w:w="0" w:type="auto"/>
            <w:gridSpan w:val="3"/>
            <w:tcMar>
              <w:top w:w="0" w:type="dxa"/>
              <w:left w:w="20" w:type="dxa"/>
              <w:bottom w:w="0" w:type="dxa"/>
              <w:right w:w="20" w:type="dxa"/>
            </w:tcMar>
            <w:vAlign w:val="center"/>
            <w:hideMark/>
          </w:tcPr>
          <w:p w14:paraId="0E370311" w14:textId="77777777" w:rsidR="00000000" w:rsidRDefault="00EE5306">
            <w:pPr>
              <w:spacing w:after="100"/>
              <w:jc w:val="center"/>
              <w:rPr>
                <w:rFonts w:eastAsia="Times New Roman"/>
              </w:rPr>
            </w:pPr>
          </w:p>
        </w:tc>
      </w:tr>
    </w:tbl>
    <w:p w14:paraId="38C51B92" w14:textId="77777777" w:rsidR="00000000" w:rsidRDefault="00EE5306">
      <w:pPr>
        <w:rPr>
          <w:rFonts w:eastAsia="Times New Roman"/>
        </w:rPr>
      </w:pPr>
      <w:r>
        <w:rPr>
          <w:rFonts w:eastAsia="Times New Roman"/>
        </w:rPr>
        <w:pict w14:anchorId="0CAD4C80">
          <v:rect id="_x0000_i1141" style="width:0;height:1.5pt" o:hralign="center" o:hrstd="t" o:hr="t" fillcolor="#a0a0a0" stroked="f"/>
        </w:pict>
      </w:r>
    </w:p>
    <w:p w14:paraId="7CBF806F" w14:textId="77777777" w:rsidR="00000000" w:rsidRDefault="00EE5306">
      <w:pPr>
        <w:jc w:val="center"/>
        <w:divId w:val="212274077"/>
        <w:rPr>
          <w:rFonts w:eastAsia="Times New Roman"/>
        </w:rPr>
      </w:pPr>
    </w:p>
    <w:p w14:paraId="59AF1EB4" w14:textId="77777777" w:rsidR="00000000" w:rsidRDefault="00EE5306">
      <w:pPr>
        <w:jc w:val="center"/>
        <w:divId w:val="212274077"/>
        <w:rPr>
          <w:rFonts w:eastAsia="Times New Roman"/>
        </w:rPr>
      </w:pPr>
      <w:r>
        <w:rPr>
          <w:rFonts w:eastAsia="Times New Roman"/>
          <w:b/>
          <w:bCs/>
          <w:color w:val="000000"/>
          <w:sz w:val="20"/>
          <w:szCs w:val="20"/>
        </w:rPr>
        <w:t>RALPH LAUREN CORPORATION</w:t>
      </w:r>
    </w:p>
    <w:p w14:paraId="2E39CD50" w14:textId="77777777" w:rsidR="00000000" w:rsidRDefault="00EE5306">
      <w:pPr>
        <w:jc w:val="center"/>
        <w:divId w:val="596837213"/>
        <w:rPr>
          <w:rFonts w:eastAsia="Times New Roman"/>
        </w:rPr>
      </w:pPr>
      <w:r>
        <w:rPr>
          <w:rFonts w:eastAsia="Times New Roman"/>
          <w:b/>
          <w:bCs/>
          <w:color w:val="000000"/>
          <w:sz w:val="20"/>
          <w:szCs w:val="20"/>
        </w:rPr>
        <w:t>NOTES TO CONSOLIDATED FINANCIAL STATEMENTS (Continued)</w:t>
      </w:r>
    </w:p>
    <w:p w14:paraId="7A863B71" w14:textId="77777777" w:rsidR="00000000" w:rsidRDefault="00EE5306">
      <w:pPr>
        <w:ind w:firstLine="360"/>
        <w:divId w:val="352610877"/>
        <w:rPr>
          <w:rFonts w:eastAsia="Times New Roman"/>
        </w:rPr>
      </w:pPr>
      <w:r>
        <w:rPr>
          <w:rFonts w:eastAsia="Times New Roman"/>
          <w:b/>
          <w:bCs/>
          <w:i/>
          <w:iCs/>
          <w:color w:val="000000"/>
          <w:sz w:val="20"/>
          <w:szCs w:val="20"/>
        </w:rPr>
        <w:t>Uncertain Income Tax Benefits</w:t>
      </w:r>
    </w:p>
    <w:p w14:paraId="0AA365E6" w14:textId="77777777" w:rsidR="00000000" w:rsidRDefault="00EE5306">
      <w:pPr>
        <w:ind w:firstLine="360"/>
        <w:jc w:val="both"/>
        <w:divId w:val="1338920545"/>
        <w:rPr>
          <w:rFonts w:eastAsia="Times New Roman"/>
        </w:rPr>
      </w:pPr>
      <w:r>
        <w:rPr>
          <w:rFonts w:eastAsia="Times New Roman"/>
          <w:i/>
          <w:iCs/>
          <w:color w:val="000000"/>
          <w:sz w:val="20"/>
          <w:szCs w:val="20"/>
        </w:rPr>
        <w:t>Fiscal 2021, Fiscal 2020, and Fiscal 2019 Activity</w:t>
      </w:r>
    </w:p>
    <w:p w14:paraId="3988E82B" w14:textId="77777777" w:rsidR="00000000" w:rsidRDefault="00EE5306">
      <w:pPr>
        <w:ind w:firstLine="540"/>
        <w:jc w:val="both"/>
        <w:divId w:val="1995331208"/>
        <w:rPr>
          <w:rFonts w:eastAsia="Times New Roman"/>
        </w:rPr>
      </w:pPr>
      <w:r>
        <w:rPr>
          <w:rFonts w:eastAsia="Times New Roman"/>
          <w:color w:val="000000"/>
          <w:sz w:val="20"/>
          <w:szCs w:val="20"/>
        </w:rPr>
        <w:t>Reconciliations of the beginning and ending amounts of un</w:t>
      </w:r>
      <w:r>
        <w:rPr>
          <w:rFonts w:eastAsia="Times New Roman"/>
          <w:color w:val="000000"/>
          <w:sz w:val="20"/>
          <w:szCs w:val="20"/>
        </w:rPr>
        <w:t>recognized tax benefits, excluding interest and penalties, for Fiscal 2021, Fiscal 2020, and Fiscal 2019 are presented below:</w:t>
      </w:r>
    </w:p>
    <w:tbl>
      <w:tblPr>
        <w:tblW w:w="4736" w:type="pct"/>
        <w:tblCellMar>
          <w:top w:w="15" w:type="dxa"/>
          <w:left w:w="15" w:type="dxa"/>
          <w:bottom w:w="15" w:type="dxa"/>
          <w:right w:w="15" w:type="dxa"/>
        </w:tblCellMar>
        <w:tblLook w:val="04A0" w:firstRow="1" w:lastRow="0" w:firstColumn="1" w:lastColumn="0" w:noHBand="0" w:noVBand="1"/>
      </w:tblPr>
      <w:tblGrid>
        <w:gridCol w:w="44"/>
        <w:gridCol w:w="4591"/>
        <w:gridCol w:w="36"/>
        <w:gridCol w:w="36"/>
        <w:gridCol w:w="36"/>
        <w:gridCol w:w="36"/>
        <w:gridCol w:w="120"/>
        <w:gridCol w:w="712"/>
        <w:gridCol w:w="36"/>
        <w:gridCol w:w="44"/>
        <w:gridCol w:w="133"/>
        <w:gridCol w:w="36"/>
        <w:gridCol w:w="120"/>
        <w:gridCol w:w="739"/>
        <w:gridCol w:w="36"/>
        <w:gridCol w:w="44"/>
        <w:gridCol w:w="134"/>
        <w:gridCol w:w="36"/>
        <w:gridCol w:w="120"/>
        <w:gridCol w:w="742"/>
        <w:gridCol w:w="36"/>
      </w:tblGrid>
      <w:tr w:rsidR="00000000" w14:paraId="5C9AE4DB" w14:textId="77777777">
        <w:trPr>
          <w:divId w:val="620383460"/>
        </w:trPr>
        <w:tc>
          <w:tcPr>
            <w:tcW w:w="50" w:type="pct"/>
            <w:vAlign w:val="center"/>
            <w:hideMark/>
          </w:tcPr>
          <w:p w14:paraId="543F9BA0" w14:textId="77777777" w:rsidR="00000000" w:rsidRDefault="00EE5306">
            <w:pPr>
              <w:ind w:firstLine="540"/>
              <w:jc w:val="both"/>
              <w:rPr>
                <w:rFonts w:eastAsia="Times New Roman"/>
              </w:rPr>
            </w:pPr>
          </w:p>
        </w:tc>
        <w:tc>
          <w:tcPr>
            <w:tcW w:w="2938" w:type="pct"/>
            <w:vAlign w:val="center"/>
            <w:hideMark/>
          </w:tcPr>
          <w:p w14:paraId="27423972" w14:textId="77777777" w:rsidR="00000000" w:rsidRDefault="00EE5306">
            <w:pPr>
              <w:spacing w:after="100"/>
              <w:rPr>
                <w:rFonts w:eastAsia="Times New Roman"/>
                <w:sz w:val="20"/>
                <w:szCs w:val="20"/>
              </w:rPr>
            </w:pPr>
          </w:p>
        </w:tc>
        <w:tc>
          <w:tcPr>
            <w:tcW w:w="5" w:type="pct"/>
            <w:vAlign w:val="center"/>
            <w:hideMark/>
          </w:tcPr>
          <w:p w14:paraId="32A2889B" w14:textId="77777777" w:rsidR="00000000" w:rsidRDefault="00EE5306">
            <w:pPr>
              <w:spacing w:after="100"/>
              <w:rPr>
                <w:rFonts w:eastAsia="Times New Roman"/>
                <w:sz w:val="20"/>
                <w:szCs w:val="20"/>
              </w:rPr>
            </w:pPr>
          </w:p>
        </w:tc>
        <w:tc>
          <w:tcPr>
            <w:tcW w:w="5" w:type="pct"/>
            <w:vAlign w:val="center"/>
            <w:hideMark/>
          </w:tcPr>
          <w:p w14:paraId="205F7302" w14:textId="77777777" w:rsidR="00000000" w:rsidRDefault="00EE5306">
            <w:pPr>
              <w:spacing w:after="100"/>
              <w:rPr>
                <w:rFonts w:eastAsia="Times New Roman"/>
                <w:sz w:val="20"/>
                <w:szCs w:val="20"/>
              </w:rPr>
            </w:pPr>
          </w:p>
        </w:tc>
        <w:tc>
          <w:tcPr>
            <w:tcW w:w="28" w:type="pct"/>
            <w:vAlign w:val="center"/>
            <w:hideMark/>
          </w:tcPr>
          <w:p w14:paraId="08CBDF42" w14:textId="77777777" w:rsidR="00000000" w:rsidRDefault="00EE5306">
            <w:pPr>
              <w:spacing w:after="100"/>
              <w:rPr>
                <w:rFonts w:eastAsia="Times New Roman"/>
                <w:sz w:val="20"/>
                <w:szCs w:val="20"/>
              </w:rPr>
            </w:pPr>
          </w:p>
        </w:tc>
        <w:tc>
          <w:tcPr>
            <w:tcW w:w="5" w:type="pct"/>
            <w:vAlign w:val="center"/>
            <w:hideMark/>
          </w:tcPr>
          <w:p w14:paraId="10409E0D" w14:textId="77777777" w:rsidR="00000000" w:rsidRDefault="00EE5306">
            <w:pPr>
              <w:spacing w:after="100"/>
              <w:rPr>
                <w:rFonts w:eastAsia="Times New Roman"/>
                <w:sz w:val="20"/>
                <w:szCs w:val="20"/>
              </w:rPr>
            </w:pPr>
          </w:p>
        </w:tc>
        <w:tc>
          <w:tcPr>
            <w:tcW w:w="50" w:type="pct"/>
            <w:vAlign w:val="center"/>
            <w:hideMark/>
          </w:tcPr>
          <w:p w14:paraId="19FC1F9C" w14:textId="77777777" w:rsidR="00000000" w:rsidRDefault="00EE5306">
            <w:pPr>
              <w:spacing w:after="100"/>
              <w:rPr>
                <w:rFonts w:eastAsia="Times New Roman"/>
                <w:sz w:val="20"/>
                <w:szCs w:val="20"/>
              </w:rPr>
            </w:pPr>
          </w:p>
        </w:tc>
        <w:tc>
          <w:tcPr>
            <w:tcW w:w="492" w:type="pct"/>
            <w:vAlign w:val="center"/>
            <w:hideMark/>
          </w:tcPr>
          <w:p w14:paraId="785550B3" w14:textId="77777777" w:rsidR="00000000" w:rsidRDefault="00EE5306">
            <w:pPr>
              <w:spacing w:after="100"/>
              <w:rPr>
                <w:rFonts w:eastAsia="Times New Roman"/>
                <w:sz w:val="20"/>
                <w:szCs w:val="20"/>
              </w:rPr>
            </w:pPr>
          </w:p>
        </w:tc>
        <w:tc>
          <w:tcPr>
            <w:tcW w:w="5" w:type="pct"/>
            <w:vAlign w:val="center"/>
            <w:hideMark/>
          </w:tcPr>
          <w:p w14:paraId="7C05E998" w14:textId="77777777" w:rsidR="00000000" w:rsidRDefault="00EE5306">
            <w:pPr>
              <w:spacing w:after="100"/>
              <w:rPr>
                <w:rFonts w:eastAsia="Times New Roman"/>
                <w:sz w:val="20"/>
                <w:szCs w:val="20"/>
              </w:rPr>
            </w:pPr>
          </w:p>
        </w:tc>
        <w:tc>
          <w:tcPr>
            <w:tcW w:w="50" w:type="pct"/>
            <w:vAlign w:val="center"/>
            <w:hideMark/>
          </w:tcPr>
          <w:p w14:paraId="09DF751E" w14:textId="77777777" w:rsidR="00000000" w:rsidRDefault="00EE5306">
            <w:pPr>
              <w:spacing w:after="100"/>
              <w:rPr>
                <w:rFonts w:eastAsia="Times New Roman"/>
                <w:sz w:val="20"/>
                <w:szCs w:val="20"/>
              </w:rPr>
            </w:pPr>
          </w:p>
        </w:tc>
        <w:tc>
          <w:tcPr>
            <w:tcW w:w="107" w:type="pct"/>
            <w:vAlign w:val="center"/>
            <w:hideMark/>
          </w:tcPr>
          <w:p w14:paraId="5C9CADFA" w14:textId="77777777" w:rsidR="00000000" w:rsidRDefault="00EE5306">
            <w:pPr>
              <w:spacing w:after="100"/>
              <w:rPr>
                <w:rFonts w:eastAsia="Times New Roman"/>
                <w:sz w:val="20"/>
                <w:szCs w:val="20"/>
              </w:rPr>
            </w:pPr>
          </w:p>
        </w:tc>
        <w:tc>
          <w:tcPr>
            <w:tcW w:w="5" w:type="pct"/>
            <w:vAlign w:val="center"/>
            <w:hideMark/>
          </w:tcPr>
          <w:p w14:paraId="01CB44DD" w14:textId="77777777" w:rsidR="00000000" w:rsidRDefault="00EE5306">
            <w:pPr>
              <w:spacing w:after="100"/>
              <w:rPr>
                <w:rFonts w:eastAsia="Times New Roman"/>
                <w:sz w:val="20"/>
                <w:szCs w:val="20"/>
              </w:rPr>
            </w:pPr>
          </w:p>
        </w:tc>
        <w:tc>
          <w:tcPr>
            <w:tcW w:w="50" w:type="pct"/>
            <w:vAlign w:val="center"/>
            <w:hideMark/>
          </w:tcPr>
          <w:p w14:paraId="6E1D7B1E" w14:textId="77777777" w:rsidR="00000000" w:rsidRDefault="00EE5306">
            <w:pPr>
              <w:spacing w:after="100"/>
              <w:rPr>
                <w:rFonts w:eastAsia="Times New Roman"/>
                <w:sz w:val="20"/>
                <w:szCs w:val="20"/>
              </w:rPr>
            </w:pPr>
          </w:p>
        </w:tc>
        <w:tc>
          <w:tcPr>
            <w:tcW w:w="492" w:type="pct"/>
            <w:vAlign w:val="center"/>
            <w:hideMark/>
          </w:tcPr>
          <w:p w14:paraId="7C092DE0" w14:textId="77777777" w:rsidR="00000000" w:rsidRDefault="00EE5306">
            <w:pPr>
              <w:spacing w:after="100"/>
              <w:rPr>
                <w:rFonts w:eastAsia="Times New Roman"/>
                <w:sz w:val="20"/>
                <w:szCs w:val="20"/>
              </w:rPr>
            </w:pPr>
          </w:p>
        </w:tc>
        <w:tc>
          <w:tcPr>
            <w:tcW w:w="5" w:type="pct"/>
            <w:vAlign w:val="center"/>
            <w:hideMark/>
          </w:tcPr>
          <w:p w14:paraId="0731E496" w14:textId="77777777" w:rsidR="00000000" w:rsidRDefault="00EE5306">
            <w:pPr>
              <w:spacing w:after="100"/>
              <w:rPr>
                <w:rFonts w:eastAsia="Times New Roman"/>
                <w:sz w:val="20"/>
                <w:szCs w:val="20"/>
              </w:rPr>
            </w:pPr>
          </w:p>
        </w:tc>
        <w:tc>
          <w:tcPr>
            <w:tcW w:w="50" w:type="pct"/>
            <w:vAlign w:val="center"/>
            <w:hideMark/>
          </w:tcPr>
          <w:p w14:paraId="201B0BDC" w14:textId="77777777" w:rsidR="00000000" w:rsidRDefault="00EE5306">
            <w:pPr>
              <w:spacing w:after="100"/>
              <w:rPr>
                <w:rFonts w:eastAsia="Times New Roman"/>
                <w:sz w:val="20"/>
                <w:szCs w:val="20"/>
              </w:rPr>
            </w:pPr>
          </w:p>
        </w:tc>
        <w:tc>
          <w:tcPr>
            <w:tcW w:w="107" w:type="pct"/>
            <w:vAlign w:val="center"/>
            <w:hideMark/>
          </w:tcPr>
          <w:p w14:paraId="48A2C7B2" w14:textId="77777777" w:rsidR="00000000" w:rsidRDefault="00EE5306">
            <w:pPr>
              <w:spacing w:after="100"/>
              <w:rPr>
                <w:rFonts w:eastAsia="Times New Roman"/>
                <w:sz w:val="20"/>
                <w:szCs w:val="20"/>
              </w:rPr>
            </w:pPr>
          </w:p>
        </w:tc>
        <w:tc>
          <w:tcPr>
            <w:tcW w:w="5" w:type="pct"/>
            <w:vAlign w:val="center"/>
            <w:hideMark/>
          </w:tcPr>
          <w:p w14:paraId="27D3CA29" w14:textId="77777777" w:rsidR="00000000" w:rsidRDefault="00EE5306">
            <w:pPr>
              <w:spacing w:after="100"/>
              <w:rPr>
                <w:rFonts w:eastAsia="Times New Roman"/>
                <w:sz w:val="20"/>
                <w:szCs w:val="20"/>
              </w:rPr>
            </w:pPr>
          </w:p>
        </w:tc>
        <w:tc>
          <w:tcPr>
            <w:tcW w:w="50" w:type="pct"/>
            <w:vAlign w:val="center"/>
            <w:hideMark/>
          </w:tcPr>
          <w:p w14:paraId="02FF6037" w14:textId="77777777" w:rsidR="00000000" w:rsidRDefault="00EE5306">
            <w:pPr>
              <w:spacing w:after="100"/>
              <w:rPr>
                <w:rFonts w:eastAsia="Times New Roman"/>
                <w:sz w:val="20"/>
                <w:szCs w:val="20"/>
              </w:rPr>
            </w:pPr>
          </w:p>
        </w:tc>
        <w:tc>
          <w:tcPr>
            <w:tcW w:w="493" w:type="pct"/>
            <w:vAlign w:val="center"/>
            <w:hideMark/>
          </w:tcPr>
          <w:p w14:paraId="1A1ABEE0" w14:textId="77777777" w:rsidR="00000000" w:rsidRDefault="00EE5306">
            <w:pPr>
              <w:spacing w:after="100"/>
              <w:rPr>
                <w:rFonts w:eastAsia="Times New Roman"/>
                <w:sz w:val="20"/>
                <w:szCs w:val="20"/>
              </w:rPr>
            </w:pPr>
          </w:p>
        </w:tc>
        <w:tc>
          <w:tcPr>
            <w:tcW w:w="5" w:type="pct"/>
            <w:vAlign w:val="center"/>
            <w:hideMark/>
          </w:tcPr>
          <w:p w14:paraId="0F196741" w14:textId="77777777" w:rsidR="00000000" w:rsidRDefault="00EE5306">
            <w:pPr>
              <w:spacing w:after="100"/>
              <w:rPr>
                <w:rFonts w:eastAsia="Times New Roman"/>
                <w:sz w:val="20"/>
                <w:szCs w:val="20"/>
              </w:rPr>
            </w:pPr>
          </w:p>
        </w:tc>
      </w:tr>
      <w:tr w:rsidR="00000000" w14:paraId="4731ACB9" w14:textId="77777777">
        <w:trPr>
          <w:divId w:val="620383460"/>
        </w:trPr>
        <w:tc>
          <w:tcPr>
            <w:tcW w:w="0" w:type="auto"/>
            <w:gridSpan w:val="3"/>
            <w:tcMar>
              <w:top w:w="30" w:type="dxa"/>
              <w:left w:w="20" w:type="dxa"/>
              <w:bottom w:w="30" w:type="dxa"/>
              <w:right w:w="20" w:type="dxa"/>
            </w:tcMar>
            <w:vAlign w:val="bottom"/>
            <w:hideMark/>
          </w:tcPr>
          <w:p w14:paraId="3D4A80E6"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E3FBB23"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1DFB27C7"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4D55AF3C" w14:textId="77777777">
        <w:trPr>
          <w:divId w:val="620383460"/>
        </w:trPr>
        <w:tc>
          <w:tcPr>
            <w:tcW w:w="0" w:type="auto"/>
            <w:gridSpan w:val="3"/>
            <w:tcMar>
              <w:top w:w="30" w:type="dxa"/>
              <w:left w:w="20" w:type="dxa"/>
              <w:bottom w:w="30" w:type="dxa"/>
              <w:right w:w="20" w:type="dxa"/>
            </w:tcMar>
            <w:vAlign w:val="bottom"/>
            <w:hideMark/>
          </w:tcPr>
          <w:p w14:paraId="57BC0E3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47A7274"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85AC80"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B37749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9812A70"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B45D324"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0C1FEB8"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22ABC578" w14:textId="77777777">
        <w:trPr>
          <w:divId w:val="620383460"/>
        </w:trPr>
        <w:tc>
          <w:tcPr>
            <w:tcW w:w="0" w:type="auto"/>
            <w:gridSpan w:val="3"/>
            <w:tcMar>
              <w:top w:w="30" w:type="dxa"/>
              <w:left w:w="20" w:type="dxa"/>
              <w:bottom w:w="30" w:type="dxa"/>
              <w:right w:w="20" w:type="dxa"/>
            </w:tcMar>
            <w:vAlign w:val="bottom"/>
            <w:hideMark/>
          </w:tcPr>
          <w:p w14:paraId="6B307B3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DF3044E"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EF907C4"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69D03FC0" w14:textId="77777777">
        <w:trPr>
          <w:divId w:val="620383460"/>
        </w:trPr>
        <w:tc>
          <w:tcPr>
            <w:tcW w:w="0" w:type="auto"/>
            <w:gridSpan w:val="3"/>
            <w:shd w:val="clear" w:color="auto" w:fill="CCEEFF"/>
            <w:tcMar>
              <w:top w:w="30" w:type="dxa"/>
              <w:left w:w="20" w:type="dxa"/>
              <w:bottom w:w="30" w:type="dxa"/>
              <w:right w:w="20" w:type="dxa"/>
            </w:tcMar>
            <w:vAlign w:val="bottom"/>
            <w:hideMark/>
          </w:tcPr>
          <w:p w14:paraId="32C34936" w14:textId="77777777" w:rsidR="00000000" w:rsidRDefault="00EE5306">
            <w:pPr>
              <w:spacing w:after="100"/>
              <w:rPr>
                <w:rFonts w:eastAsia="Times New Roman"/>
              </w:rPr>
            </w:pPr>
            <w:r>
              <w:rPr>
                <w:rFonts w:eastAsia="Times New Roman"/>
                <w:color w:val="000000"/>
                <w:sz w:val="20"/>
                <w:szCs w:val="20"/>
              </w:rPr>
              <w:t>Unrecognized tax benefits beginning balance</w:t>
            </w:r>
          </w:p>
        </w:tc>
        <w:tc>
          <w:tcPr>
            <w:tcW w:w="0" w:type="auto"/>
            <w:gridSpan w:val="3"/>
            <w:shd w:val="clear" w:color="auto" w:fill="CCEEFF"/>
            <w:tcMar>
              <w:top w:w="0" w:type="dxa"/>
              <w:left w:w="20" w:type="dxa"/>
              <w:bottom w:w="0" w:type="dxa"/>
              <w:right w:w="20" w:type="dxa"/>
            </w:tcMar>
            <w:vAlign w:val="center"/>
            <w:hideMark/>
          </w:tcPr>
          <w:p w14:paraId="08DC7470"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C6B9BA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3FC4B1" w14:textId="77777777" w:rsidR="00000000" w:rsidRDefault="00EE5306">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14:paraId="04697E6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36041"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307CD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326580" w14:textId="77777777" w:rsidR="00000000" w:rsidRDefault="00EE5306">
            <w:pPr>
              <w:spacing w:after="100"/>
              <w:jc w:val="right"/>
              <w:rPr>
                <w:rFonts w:eastAsia="Times New Roman"/>
              </w:rPr>
            </w:pPr>
            <w:r>
              <w:rPr>
                <w:rFonts w:eastAsia="Times New Roman"/>
                <w:color w:val="000000"/>
                <w:sz w:val="20"/>
                <w:szCs w:val="20"/>
              </w:rPr>
              <w:t>65.2 </w:t>
            </w:r>
          </w:p>
        </w:tc>
        <w:tc>
          <w:tcPr>
            <w:tcW w:w="0" w:type="auto"/>
            <w:shd w:val="clear" w:color="auto" w:fill="CCEEFF"/>
            <w:tcMar>
              <w:top w:w="30" w:type="dxa"/>
              <w:left w:w="0" w:type="dxa"/>
              <w:bottom w:w="30" w:type="dxa"/>
              <w:right w:w="20" w:type="dxa"/>
            </w:tcMar>
            <w:vAlign w:val="bottom"/>
            <w:hideMark/>
          </w:tcPr>
          <w:p w14:paraId="296CC31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4BF8A"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B4F2D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D4F68E" w14:textId="77777777" w:rsidR="00000000" w:rsidRDefault="00EE5306">
            <w:pPr>
              <w:spacing w:after="100"/>
              <w:jc w:val="right"/>
              <w:rPr>
                <w:rFonts w:eastAsia="Times New Roman"/>
              </w:rPr>
            </w:pPr>
            <w:r>
              <w:rPr>
                <w:rFonts w:eastAsia="Times New Roman"/>
                <w:color w:val="000000"/>
                <w:sz w:val="20"/>
                <w:szCs w:val="20"/>
              </w:rPr>
              <w:t>64.2 </w:t>
            </w:r>
          </w:p>
        </w:tc>
        <w:tc>
          <w:tcPr>
            <w:tcW w:w="0" w:type="auto"/>
            <w:shd w:val="clear" w:color="auto" w:fill="CCEEFF"/>
            <w:tcMar>
              <w:top w:w="30" w:type="dxa"/>
              <w:left w:w="0" w:type="dxa"/>
              <w:bottom w:w="30" w:type="dxa"/>
              <w:right w:w="20" w:type="dxa"/>
            </w:tcMar>
            <w:vAlign w:val="bottom"/>
            <w:hideMark/>
          </w:tcPr>
          <w:p w14:paraId="10034DE7" w14:textId="77777777" w:rsidR="00000000" w:rsidRDefault="00EE5306">
            <w:pPr>
              <w:spacing w:after="100"/>
              <w:jc w:val="right"/>
              <w:rPr>
                <w:rFonts w:eastAsia="Times New Roman"/>
              </w:rPr>
            </w:pPr>
          </w:p>
        </w:tc>
      </w:tr>
      <w:tr w:rsidR="00000000" w14:paraId="46D24F37" w14:textId="77777777">
        <w:trPr>
          <w:divId w:val="620383460"/>
        </w:trPr>
        <w:tc>
          <w:tcPr>
            <w:tcW w:w="0" w:type="auto"/>
            <w:gridSpan w:val="3"/>
            <w:shd w:val="clear" w:color="auto" w:fill="FFFFFF"/>
            <w:tcMar>
              <w:top w:w="30" w:type="dxa"/>
              <w:left w:w="155" w:type="dxa"/>
              <w:bottom w:w="30" w:type="dxa"/>
              <w:right w:w="20" w:type="dxa"/>
            </w:tcMar>
            <w:vAlign w:val="bottom"/>
            <w:hideMark/>
          </w:tcPr>
          <w:p w14:paraId="752AA8B9" w14:textId="77777777" w:rsidR="00000000" w:rsidRDefault="00EE5306">
            <w:pPr>
              <w:spacing w:after="100"/>
              <w:rPr>
                <w:rFonts w:eastAsia="Times New Roman"/>
              </w:rPr>
            </w:pPr>
            <w:r>
              <w:rPr>
                <w:rFonts w:eastAsia="Times New Roman"/>
                <w:color w:val="000000"/>
                <w:sz w:val="20"/>
                <w:szCs w:val="20"/>
              </w:rPr>
              <w:t>Additions related to current period tax positions</w:t>
            </w:r>
          </w:p>
        </w:tc>
        <w:tc>
          <w:tcPr>
            <w:tcW w:w="0" w:type="auto"/>
            <w:gridSpan w:val="3"/>
            <w:shd w:val="clear" w:color="auto" w:fill="FFFFFF"/>
            <w:tcMar>
              <w:top w:w="0" w:type="dxa"/>
              <w:left w:w="20" w:type="dxa"/>
              <w:bottom w:w="0" w:type="dxa"/>
              <w:right w:w="20" w:type="dxa"/>
            </w:tcMar>
            <w:vAlign w:val="center"/>
            <w:hideMark/>
          </w:tcPr>
          <w:p w14:paraId="0097CAB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481ADB" w14:textId="77777777" w:rsidR="00000000" w:rsidRDefault="00EE5306">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1B3B17A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6592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96E298" w14:textId="77777777" w:rsidR="00000000" w:rsidRDefault="00EE5306">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7A7FA83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6809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FAC2C" w14:textId="77777777" w:rsidR="00000000" w:rsidRDefault="00EE5306">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2A5CD7DF" w14:textId="77777777" w:rsidR="00000000" w:rsidRDefault="00EE5306">
            <w:pPr>
              <w:spacing w:after="100"/>
              <w:jc w:val="right"/>
              <w:rPr>
                <w:rFonts w:eastAsia="Times New Roman"/>
              </w:rPr>
            </w:pPr>
          </w:p>
        </w:tc>
      </w:tr>
      <w:tr w:rsidR="00000000" w14:paraId="2786F795" w14:textId="77777777">
        <w:trPr>
          <w:divId w:val="620383460"/>
        </w:trPr>
        <w:tc>
          <w:tcPr>
            <w:tcW w:w="0" w:type="auto"/>
            <w:gridSpan w:val="3"/>
            <w:shd w:val="clear" w:color="auto" w:fill="CCEEFF"/>
            <w:tcMar>
              <w:top w:w="30" w:type="dxa"/>
              <w:left w:w="155" w:type="dxa"/>
              <w:bottom w:w="30" w:type="dxa"/>
              <w:right w:w="20" w:type="dxa"/>
            </w:tcMar>
            <w:vAlign w:val="bottom"/>
            <w:hideMark/>
          </w:tcPr>
          <w:p w14:paraId="0D35DC95" w14:textId="77777777" w:rsidR="00000000" w:rsidRDefault="00EE5306">
            <w:pPr>
              <w:spacing w:after="100"/>
              <w:rPr>
                <w:rFonts w:eastAsia="Times New Roman"/>
              </w:rPr>
            </w:pPr>
            <w:r>
              <w:rPr>
                <w:rFonts w:eastAsia="Times New Roman"/>
                <w:color w:val="000000"/>
                <w:sz w:val="20"/>
                <w:szCs w:val="20"/>
              </w:rPr>
              <w:t>Additions related to prior period tax positions</w:t>
            </w:r>
          </w:p>
        </w:tc>
        <w:tc>
          <w:tcPr>
            <w:tcW w:w="0" w:type="auto"/>
            <w:gridSpan w:val="3"/>
            <w:shd w:val="clear" w:color="auto" w:fill="CCEEFF"/>
            <w:tcMar>
              <w:top w:w="0" w:type="dxa"/>
              <w:left w:w="20" w:type="dxa"/>
              <w:bottom w:w="0" w:type="dxa"/>
              <w:right w:w="20" w:type="dxa"/>
            </w:tcMar>
            <w:vAlign w:val="center"/>
            <w:hideMark/>
          </w:tcPr>
          <w:p w14:paraId="665BED4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ABDDD7" w14:textId="77777777" w:rsidR="00000000" w:rsidRDefault="00EE5306">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14:paraId="2F6A81C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0C4A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5C21E" w14:textId="77777777" w:rsidR="00000000" w:rsidRDefault="00EE5306">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14:paraId="4274C54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0059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A417F3" w14:textId="77777777" w:rsidR="00000000" w:rsidRDefault="00EE5306">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14:paraId="23379CCC" w14:textId="77777777" w:rsidR="00000000" w:rsidRDefault="00EE5306">
            <w:pPr>
              <w:spacing w:after="100"/>
              <w:jc w:val="right"/>
              <w:rPr>
                <w:rFonts w:eastAsia="Times New Roman"/>
              </w:rPr>
            </w:pPr>
          </w:p>
        </w:tc>
      </w:tr>
      <w:tr w:rsidR="00000000" w14:paraId="26B6CF36" w14:textId="77777777">
        <w:trPr>
          <w:divId w:val="620383460"/>
        </w:trPr>
        <w:tc>
          <w:tcPr>
            <w:tcW w:w="0" w:type="auto"/>
            <w:gridSpan w:val="3"/>
            <w:shd w:val="clear" w:color="auto" w:fill="FFFFFF"/>
            <w:tcMar>
              <w:top w:w="30" w:type="dxa"/>
              <w:left w:w="155" w:type="dxa"/>
              <w:bottom w:w="30" w:type="dxa"/>
              <w:right w:w="20" w:type="dxa"/>
            </w:tcMar>
            <w:vAlign w:val="bottom"/>
            <w:hideMark/>
          </w:tcPr>
          <w:p w14:paraId="7FD4CED0" w14:textId="77777777" w:rsidR="00000000" w:rsidRDefault="00EE5306">
            <w:pPr>
              <w:spacing w:after="100"/>
              <w:rPr>
                <w:rFonts w:eastAsia="Times New Roman"/>
              </w:rPr>
            </w:pPr>
            <w:r>
              <w:rPr>
                <w:rFonts w:eastAsia="Times New Roman"/>
                <w:color w:val="000000"/>
                <w:sz w:val="20"/>
                <w:szCs w:val="20"/>
              </w:rPr>
              <w:t>Reductions related to prior period tax positions</w:t>
            </w:r>
          </w:p>
        </w:tc>
        <w:tc>
          <w:tcPr>
            <w:tcW w:w="0" w:type="auto"/>
            <w:gridSpan w:val="3"/>
            <w:shd w:val="clear" w:color="auto" w:fill="FFFFFF"/>
            <w:tcMar>
              <w:top w:w="0" w:type="dxa"/>
              <w:left w:w="20" w:type="dxa"/>
              <w:bottom w:w="0" w:type="dxa"/>
              <w:right w:w="20" w:type="dxa"/>
            </w:tcMar>
            <w:vAlign w:val="center"/>
            <w:hideMark/>
          </w:tcPr>
          <w:p w14:paraId="220F10E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0833D4" w14:textId="77777777" w:rsidR="00000000" w:rsidRDefault="00EE5306">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14:paraId="50B9118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3174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00DC74" w14:textId="77777777" w:rsidR="00000000" w:rsidRDefault="00EE5306">
            <w:pPr>
              <w:spacing w:after="100"/>
              <w:jc w:val="right"/>
              <w:rPr>
                <w:rFonts w:eastAsia="Times New Roman"/>
              </w:rPr>
            </w:pPr>
            <w:r>
              <w:rPr>
                <w:rFonts w:eastAsia="Times New Roman"/>
                <w:color w:val="000000"/>
                <w:sz w:val="20"/>
                <w:szCs w:val="20"/>
              </w:rPr>
              <w:t>(18.7)</w:t>
            </w:r>
          </w:p>
        </w:tc>
        <w:tc>
          <w:tcPr>
            <w:tcW w:w="0" w:type="auto"/>
            <w:shd w:val="clear" w:color="auto" w:fill="FFFFFF"/>
            <w:tcMar>
              <w:top w:w="30" w:type="dxa"/>
              <w:left w:w="0" w:type="dxa"/>
              <w:bottom w:w="30" w:type="dxa"/>
              <w:right w:w="20" w:type="dxa"/>
            </w:tcMar>
            <w:vAlign w:val="bottom"/>
            <w:hideMark/>
          </w:tcPr>
          <w:p w14:paraId="091629E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3567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2A011B" w14:textId="77777777" w:rsidR="00000000" w:rsidRDefault="00EE5306">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14:paraId="607940C6" w14:textId="77777777" w:rsidR="00000000" w:rsidRDefault="00EE5306">
            <w:pPr>
              <w:spacing w:after="100"/>
              <w:jc w:val="right"/>
              <w:rPr>
                <w:rFonts w:eastAsia="Times New Roman"/>
              </w:rPr>
            </w:pPr>
          </w:p>
        </w:tc>
      </w:tr>
      <w:tr w:rsidR="00000000" w14:paraId="6ADA2CD2" w14:textId="77777777">
        <w:trPr>
          <w:divId w:val="620383460"/>
        </w:trPr>
        <w:tc>
          <w:tcPr>
            <w:tcW w:w="0" w:type="auto"/>
            <w:gridSpan w:val="3"/>
            <w:shd w:val="clear" w:color="auto" w:fill="CCEEFF"/>
            <w:tcMar>
              <w:top w:w="30" w:type="dxa"/>
              <w:left w:w="155" w:type="dxa"/>
              <w:bottom w:w="30" w:type="dxa"/>
              <w:right w:w="20" w:type="dxa"/>
            </w:tcMar>
            <w:vAlign w:val="bottom"/>
            <w:hideMark/>
          </w:tcPr>
          <w:p w14:paraId="4E3817F1" w14:textId="77777777" w:rsidR="00000000" w:rsidRDefault="00EE5306">
            <w:pPr>
              <w:spacing w:after="100"/>
              <w:rPr>
                <w:rFonts w:eastAsia="Times New Roman"/>
              </w:rPr>
            </w:pPr>
            <w:r>
              <w:rPr>
                <w:rFonts w:eastAsia="Times New Roman"/>
                <w:color w:val="000000"/>
                <w:sz w:val="20"/>
                <w:szCs w:val="20"/>
              </w:rPr>
              <w:t>Reductions related to expiration of statutes of limitations</w:t>
            </w:r>
          </w:p>
        </w:tc>
        <w:tc>
          <w:tcPr>
            <w:tcW w:w="0" w:type="auto"/>
            <w:gridSpan w:val="3"/>
            <w:shd w:val="clear" w:color="auto" w:fill="CCEEFF"/>
            <w:tcMar>
              <w:top w:w="0" w:type="dxa"/>
              <w:left w:w="20" w:type="dxa"/>
              <w:bottom w:w="0" w:type="dxa"/>
              <w:right w:w="20" w:type="dxa"/>
            </w:tcMar>
            <w:vAlign w:val="center"/>
            <w:hideMark/>
          </w:tcPr>
          <w:p w14:paraId="58FB63C6"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2F79FF" w14:textId="77777777" w:rsidR="00000000" w:rsidRDefault="00EE5306">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1B68080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8A69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EBFBF2" w14:textId="77777777" w:rsidR="00000000" w:rsidRDefault="00EE5306">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4F2D4DE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1835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E74DFB" w14:textId="77777777" w:rsidR="00000000" w:rsidRDefault="00EE5306">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14:paraId="2EA77FAF" w14:textId="77777777" w:rsidR="00000000" w:rsidRDefault="00EE5306">
            <w:pPr>
              <w:spacing w:after="100"/>
              <w:jc w:val="right"/>
              <w:rPr>
                <w:rFonts w:eastAsia="Times New Roman"/>
              </w:rPr>
            </w:pPr>
          </w:p>
        </w:tc>
      </w:tr>
      <w:tr w:rsidR="00000000" w14:paraId="6A4ADF02" w14:textId="77777777">
        <w:trPr>
          <w:divId w:val="620383460"/>
        </w:trPr>
        <w:tc>
          <w:tcPr>
            <w:tcW w:w="0" w:type="auto"/>
            <w:gridSpan w:val="3"/>
            <w:shd w:val="clear" w:color="auto" w:fill="FFFFFF"/>
            <w:tcMar>
              <w:top w:w="30" w:type="dxa"/>
              <w:left w:w="155" w:type="dxa"/>
              <w:bottom w:w="30" w:type="dxa"/>
              <w:right w:w="20" w:type="dxa"/>
            </w:tcMar>
            <w:vAlign w:val="bottom"/>
            <w:hideMark/>
          </w:tcPr>
          <w:p w14:paraId="4EF662BC" w14:textId="77777777" w:rsidR="00000000" w:rsidRDefault="00EE5306">
            <w:pPr>
              <w:spacing w:after="100"/>
              <w:rPr>
                <w:rFonts w:eastAsia="Times New Roman"/>
              </w:rPr>
            </w:pPr>
            <w:r>
              <w:rPr>
                <w:rFonts w:eastAsia="Times New Roman"/>
                <w:color w:val="000000"/>
                <w:sz w:val="20"/>
                <w:szCs w:val="20"/>
              </w:rPr>
              <w:t>Reductions related to settlements with taxing authorities</w:t>
            </w:r>
          </w:p>
        </w:tc>
        <w:tc>
          <w:tcPr>
            <w:tcW w:w="0" w:type="auto"/>
            <w:gridSpan w:val="3"/>
            <w:shd w:val="clear" w:color="auto" w:fill="FFFFFF"/>
            <w:tcMar>
              <w:top w:w="0" w:type="dxa"/>
              <w:left w:w="20" w:type="dxa"/>
              <w:bottom w:w="0" w:type="dxa"/>
              <w:right w:w="20" w:type="dxa"/>
            </w:tcMar>
            <w:vAlign w:val="center"/>
            <w:hideMark/>
          </w:tcPr>
          <w:p w14:paraId="5D36963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2EC176" w14:textId="77777777" w:rsidR="00000000" w:rsidRDefault="00EE5306">
            <w:pPr>
              <w:spacing w:after="100"/>
              <w:jc w:val="right"/>
              <w:rPr>
                <w:rFonts w:eastAsia="Times New Roman"/>
              </w:rPr>
            </w:pPr>
            <w:r>
              <w:rPr>
                <w:rFonts w:eastAsia="Times New Roman"/>
                <w:color w:val="000000"/>
                <w:sz w:val="20"/>
                <w:szCs w:val="20"/>
              </w:rPr>
              <w:t>(9.6)</w:t>
            </w:r>
          </w:p>
        </w:tc>
        <w:tc>
          <w:tcPr>
            <w:tcW w:w="0" w:type="auto"/>
            <w:shd w:val="clear" w:color="auto" w:fill="FFFFFF"/>
            <w:tcMar>
              <w:top w:w="30" w:type="dxa"/>
              <w:left w:w="0" w:type="dxa"/>
              <w:bottom w:w="30" w:type="dxa"/>
              <w:right w:w="20" w:type="dxa"/>
            </w:tcMar>
            <w:vAlign w:val="bottom"/>
            <w:hideMark/>
          </w:tcPr>
          <w:p w14:paraId="26C085C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9598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C1391" w14:textId="77777777" w:rsidR="00000000" w:rsidRDefault="00EE5306">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14:paraId="2C9769C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C1074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40F36D" w14:textId="77777777" w:rsidR="00000000" w:rsidRDefault="00EE5306">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7DC7851F" w14:textId="77777777" w:rsidR="00000000" w:rsidRDefault="00EE5306">
            <w:pPr>
              <w:spacing w:after="100"/>
              <w:jc w:val="right"/>
              <w:rPr>
                <w:rFonts w:eastAsia="Times New Roman"/>
              </w:rPr>
            </w:pPr>
          </w:p>
        </w:tc>
      </w:tr>
      <w:tr w:rsidR="00000000" w14:paraId="4974BD21" w14:textId="77777777">
        <w:trPr>
          <w:divId w:val="620383460"/>
        </w:trPr>
        <w:tc>
          <w:tcPr>
            <w:tcW w:w="0" w:type="auto"/>
            <w:gridSpan w:val="3"/>
            <w:shd w:val="clear" w:color="auto" w:fill="CCEEFF"/>
            <w:tcMar>
              <w:top w:w="30" w:type="dxa"/>
              <w:left w:w="20" w:type="dxa"/>
              <w:bottom w:w="30" w:type="dxa"/>
              <w:right w:w="20" w:type="dxa"/>
            </w:tcMar>
            <w:vAlign w:val="bottom"/>
            <w:hideMark/>
          </w:tcPr>
          <w:p w14:paraId="555A4D88" w14:textId="77777777" w:rsidR="00000000" w:rsidRDefault="00EE5306">
            <w:pPr>
              <w:spacing w:after="100"/>
              <w:ind w:hanging="180"/>
              <w:divId w:val="1333608647"/>
              <w:rPr>
                <w:rFonts w:eastAsia="Times New Roman"/>
              </w:rPr>
            </w:pPr>
            <w:r>
              <w:rPr>
                <w:rFonts w:eastAsia="Times New Roman"/>
                <w:color w:val="000000"/>
                <w:sz w:val="20"/>
                <w:szCs w:val="20"/>
              </w:rPr>
              <w:t>Additions (reductions) related to foreign currency translation</w:t>
            </w:r>
          </w:p>
        </w:tc>
        <w:tc>
          <w:tcPr>
            <w:tcW w:w="0" w:type="auto"/>
            <w:gridSpan w:val="3"/>
            <w:shd w:val="clear" w:color="auto" w:fill="CCEEFF"/>
            <w:tcMar>
              <w:top w:w="0" w:type="dxa"/>
              <w:left w:w="20" w:type="dxa"/>
              <w:bottom w:w="0" w:type="dxa"/>
              <w:right w:w="20" w:type="dxa"/>
            </w:tcMar>
            <w:vAlign w:val="center"/>
            <w:hideMark/>
          </w:tcPr>
          <w:p w14:paraId="045D3346"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84C83E" w14:textId="77777777" w:rsidR="00000000" w:rsidRDefault="00EE5306">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2F02B4C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D663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A65F55" w14:textId="77777777" w:rsidR="00000000" w:rsidRDefault="00EE5306">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14:paraId="2EA4318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D906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91F92" w14:textId="77777777" w:rsidR="00000000" w:rsidRDefault="00EE5306">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5EED1CBF" w14:textId="77777777" w:rsidR="00000000" w:rsidRDefault="00EE5306">
            <w:pPr>
              <w:spacing w:after="100"/>
              <w:jc w:val="right"/>
              <w:rPr>
                <w:rFonts w:eastAsia="Times New Roman"/>
              </w:rPr>
            </w:pPr>
          </w:p>
        </w:tc>
      </w:tr>
      <w:tr w:rsidR="00000000" w14:paraId="0552355B" w14:textId="77777777">
        <w:trPr>
          <w:divId w:val="620383460"/>
        </w:trPr>
        <w:tc>
          <w:tcPr>
            <w:tcW w:w="0" w:type="auto"/>
            <w:gridSpan w:val="3"/>
            <w:shd w:val="clear" w:color="auto" w:fill="FFFFFF"/>
            <w:tcMar>
              <w:top w:w="30" w:type="dxa"/>
              <w:left w:w="20" w:type="dxa"/>
              <w:bottom w:w="30" w:type="dxa"/>
              <w:right w:w="20" w:type="dxa"/>
            </w:tcMar>
            <w:vAlign w:val="bottom"/>
            <w:hideMark/>
          </w:tcPr>
          <w:p w14:paraId="1E886A7D" w14:textId="77777777" w:rsidR="00000000" w:rsidRDefault="00EE5306">
            <w:pPr>
              <w:spacing w:after="100"/>
              <w:rPr>
                <w:rFonts w:eastAsia="Times New Roman"/>
              </w:rPr>
            </w:pPr>
            <w:r>
              <w:rPr>
                <w:rFonts w:eastAsia="Times New Roman"/>
                <w:color w:val="000000"/>
                <w:sz w:val="20"/>
                <w:szCs w:val="20"/>
              </w:rPr>
              <w:t>Unrecognized tax benefits ending balance</w:t>
            </w:r>
          </w:p>
        </w:tc>
        <w:tc>
          <w:tcPr>
            <w:tcW w:w="0" w:type="auto"/>
            <w:gridSpan w:val="3"/>
            <w:shd w:val="clear" w:color="auto" w:fill="FFFFFF"/>
            <w:tcMar>
              <w:top w:w="0" w:type="dxa"/>
              <w:left w:w="20" w:type="dxa"/>
              <w:bottom w:w="0" w:type="dxa"/>
              <w:right w:w="20" w:type="dxa"/>
            </w:tcMar>
            <w:vAlign w:val="center"/>
            <w:hideMark/>
          </w:tcPr>
          <w:p w14:paraId="726A0C88"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6FB66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B5E7D5" w14:textId="77777777" w:rsidR="00000000" w:rsidRDefault="00EE5306">
            <w:pPr>
              <w:spacing w:after="100"/>
              <w:jc w:val="right"/>
              <w:rPr>
                <w:rFonts w:eastAsia="Times New Roman"/>
              </w:rPr>
            </w:pPr>
            <w:r>
              <w:rPr>
                <w:rFonts w:eastAsia="Times New Roman"/>
                <w:color w:val="000000"/>
                <w:sz w:val="20"/>
                <w:szCs w:val="20"/>
              </w:rPr>
              <w:t>71.4 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8BC2B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BA2638"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592B94"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E9A2B5" w14:textId="77777777" w:rsidR="00000000" w:rsidRDefault="00EE5306">
            <w:pPr>
              <w:spacing w:after="100"/>
              <w:jc w:val="right"/>
              <w:rPr>
                <w:rFonts w:eastAsia="Times New Roman"/>
              </w:rPr>
            </w:pPr>
            <w:r>
              <w:rPr>
                <w:rFonts w:eastAsia="Times New Roman"/>
                <w:color w:val="000000"/>
                <w:sz w:val="20"/>
                <w:szCs w:val="20"/>
              </w:rPr>
              <w:t>72.7 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13E0B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A04943"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274A16"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51F10E" w14:textId="77777777" w:rsidR="00000000" w:rsidRDefault="00EE5306">
            <w:pPr>
              <w:spacing w:after="100"/>
              <w:jc w:val="right"/>
              <w:rPr>
                <w:rFonts w:eastAsia="Times New Roman"/>
              </w:rPr>
            </w:pPr>
            <w:r>
              <w:rPr>
                <w:rFonts w:eastAsia="Times New Roman"/>
                <w:color w:val="000000"/>
                <w:sz w:val="20"/>
                <w:szCs w:val="20"/>
              </w:rPr>
              <w:t>65.2 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996F5D" w14:textId="77777777" w:rsidR="00000000" w:rsidRDefault="00EE5306">
            <w:pPr>
              <w:spacing w:after="100"/>
              <w:jc w:val="right"/>
              <w:rPr>
                <w:rFonts w:eastAsia="Times New Roman"/>
              </w:rPr>
            </w:pPr>
          </w:p>
        </w:tc>
      </w:tr>
    </w:tbl>
    <w:p w14:paraId="3DD58D1F" w14:textId="77777777" w:rsidR="00000000" w:rsidRDefault="00EE5306">
      <w:pPr>
        <w:ind w:firstLine="540"/>
        <w:jc w:val="both"/>
        <w:divId w:val="1712460667"/>
        <w:rPr>
          <w:rFonts w:eastAsia="Times New Roman"/>
        </w:rPr>
      </w:pPr>
      <w:r>
        <w:rPr>
          <w:rFonts w:eastAsia="Times New Roman"/>
          <w:color w:val="000000"/>
          <w:sz w:val="20"/>
          <w:szCs w:val="20"/>
        </w:rPr>
        <w:t>The Company classifies interest and penalties related to unrecognized tax ben</w:t>
      </w:r>
      <w:r>
        <w:rPr>
          <w:rFonts w:eastAsia="Times New Roman"/>
          <w:color w:val="000000"/>
          <w:sz w:val="20"/>
          <w:szCs w:val="20"/>
        </w:rPr>
        <w:t>efits as part of its provision for income taxes. Reconciliations of the beginning and ending amounts of accrued interest and penalties related to unrecognized tax benefits for Fiscal 2021, Fiscal 2020, and Fiscal 2019 are presented below:</w:t>
      </w:r>
    </w:p>
    <w:tbl>
      <w:tblPr>
        <w:tblW w:w="4744" w:type="pct"/>
        <w:tblCellMar>
          <w:top w:w="15" w:type="dxa"/>
          <w:left w:w="15" w:type="dxa"/>
          <w:bottom w:w="15" w:type="dxa"/>
          <w:right w:w="15" w:type="dxa"/>
        </w:tblCellMar>
        <w:tblLook w:val="04A0" w:firstRow="1" w:lastRow="0" w:firstColumn="1" w:lastColumn="0" w:noHBand="0" w:noVBand="1"/>
      </w:tblPr>
      <w:tblGrid>
        <w:gridCol w:w="44"/>
        <w:gridCol w:w="4629"/>
        <w:gridCol w:w="39"/>
        <w:gridCol w:w="36"/>
        <w:gridCol w:w="36"/>
        <w:gridCol w:w="36"/>
        <w:gridCol w:w="120"/>
        <w:gridCol w:w="712"/>
        <w:gridCol w:w="36"/>
        <w:gridCol w:w="46"/>
        <w:gridCol w:w="119"/>
        <w:gridCol w:w="36"/>
        <w:gridCol w:w="120"/>
        <w:gridCol w:w="739"/>
        <w:gridCol w:w="36"/>
        <w:gridCol w:w="44"/>
        <w:gridCol w:w="121"/>
        <w:gridCol w:w="36"/>
        <w:gridCol w:w="120"/>
        <w:gridCol w:w="740"/>
        <w:gridCol w:w="36"/>
      </w:tblGrid>
      <w:tr w:rsidR="00000000" w14:paraId="2B9DCC5D" w14:textId="77777777">
        <w:trPr>
          <w:divId w:val="1141925089"/>
        </w:trPr>
        <w:tc>
          <w:tcPr>
            <w:tcW w:w="50" w:type="pct"/>
            <w:vAlign w:val="center"/>
            <w:hideMark/>
          </w:tcPr>
          <w:p w14:paraId="4493A66B" w14:textId="77777777" w:rsidR="00000000" w:rsidRDefault="00EE5306">
            <w:pPr>
              <w:ind w:firstLine="540"/>
              <w:jc w:val="both"/>
              <w:rPr>
                <w:rFonts w:eastAsia="Times New Roman"/>
              </w:rPr>
            </w:pPr>
          </w:p>
        </w:tc>
        <w:tc>
          <w:tcPr>
            <w:tcW w:w="2957" w:type="pct"/>
            <w:vAlign w:val="center"/>
            <w:hideMark/>
          </w:tcPr>
          <w:p w14:paraId="6F642DA3" w14:textId="77777777" w:rsidR="00000000" w:rsidRDefault="00EE5306">
            <w:pPr>
              <w:spacing w:after="100"/>
              <w:rPr>
                <w:rFonts w:eastAsia="Times New Roman"/>
                <w:sz w:val="20"/>
                <w:szCs w:val="20"/>
              </w:rPr>
            </w:pPr>
          </w:p>
        </w:tc>
        <w:tc>
          <w:tcPr>
            <w:tcW w:w="5" w:type="pct"/>
            <w:vAlign w:val="center"/>
            <w:hideMark/>
          </w:tcPr>
          <w:p w14:paraId="7137AD17" w14:textId="77777777" w:rsidR="00000000" w:rsidRDefault="00EE5306">
            <w:pPr>
              <w:spacing w:after="100"/>
              <w:rPr>
                <w:rFonts w:eastAsia="Times New Roman"/>
                <w:sz w:val="20"/>
                <w:szCs w:val="20"/>
              </w:rPr>
            </w:pPr>
          </w:p>
        </w:tc>
        <w:tc>
          <w:tcPr>
            <w:tcW w:w="5" w:type="pct"/>
            <w:vAlign w:val="center"/>
            <w:hideMark/>
          </w:tcPr>
          <w:p w14:paraId="7FF83454" w14:textId="77777777" w:rsidR="00000000" w:rsidRDefault="00EE5306">
            <w:pPr>
              <w:spacing w:after="100"/>
              <w:rPr>
                <w:rFonts w:eastAsia="Times New Roman"/>
                <w:sz w:val="20"/>
                <w:szCs w:val="20"/>
              </w:rPr>
            </w:pPr>
          </w:p>
        </w:tc>
        <w:tc>
          <w:tcPr>
            <w:tcW w:w="28" w:type="pct"/>
            <w:vAlign w:val="center"/>
            <w:hideMark/>
          </w:tcPr>
          <w:p w14:paraId="6FFC66C9" w14:textId="77777777" w:rsidR="00000000" w:rsidRDefault="00EE5306">
            <w:pPr>
              <w:spacing w:after="100"/>
              <w:rPr>
                <w:rFonts w:eastAsia="Times New Roman"/>
                <w:sz w:val="20"/>
                <w:szCs w:val="20"/>
              </w:rPr>
            </w:pPr>
          </w:p>
        </w:tc>
        <w:tc>
          <w:tcPr>
            <w:tcW w:w="5" w:type="pct"/>
            <w:vAlign w:val="center"/>
            <w:hideMark/>
          </w:tcPr>
          <w:p w14:paraId="410018FE" w14:textId="77777777" w:rsidR="00000000" w:rsidRDefault="00EE5306">
            <w:pPr>
              <w:spacing w:after="100"/>
              <w:rPr>
                <w:rFonts w:eastAsia="Times New Roman"/>
                <w:sz w:val="20"/>
                <w:szCs w:val="20"/>
              </w:rPr>
            </w:pPr>
          </w:p>
        </w:tc>
        <w:tc>
          <w:tcPr>
            <w:tcW w:w="50" w:type="pct"/>
            <w:vAlign w:val="center"/>
            <w:hideMark/>
          </w:tcPr>
          <w:p w14:paraId="3BCB985F" w14:textId="77777777" w:rsidR="00000000" w:rsidRDefault="00EE5306">
            <w:pPr>
              <w:spacing w:after="100"/>
              <w:rPr>
                <w:rFonts w:eastAsia="Times New Roman"/>
                <w:sz w:val="20"/>
                <w:szCs w:val="20"/>
              </w:rPr>
            </w:pPr>
          </w:p>
        </w:tc>
        <w:tc>
          <w:tcPr>
            <w:tcW w:w="491" w:type="pct"/>
            <w:vAlign w:val="center"/>
            <w:hideMark/>
          </w:tcPr>
          <w:p w14:paraId="0CA15506" w14:textId="77777777" w:rsidR="00000000" w:rsidRDefault="00EE5306">
            <w:pPr>
              <w:spacing w:after="100"/>
              <w:rPr>
                <w:rFonts w:eastAsia="Times New Roman"/>
                <w:sz w:val="20"/>
                <w:szCs w:val="20"/>
              </w:rPr>
            </w:pPr>
          </w:p>
        </w:tc>
        <w:tc>
          <w:tcPr>
            <w:tcW w:w="5" w:type="pct"/>
            <w:vAlign w:val="center"/>
            <w:hideMark/>
          </w:tcPr>
          <w:p w14:paraId="244778DC" w14:textId="77777777" w:rsidR="00000000" w:rsidRDefault="00EE5306">
            <w:pPr>
              <w:spacing w:after="100"/>
              <w:rPr>
                <w:rFonts w:eastAsia="Times New Roman"/>
                <w:sz w:val="20"/>
                <w:szCs w:val="20"/>
              </w:rPr>
            </w:pPr>
          </w:p>
        </w:tc>
        <w:tc>
          <w:tcPr>
            <w:tcW w:w="50" w:type="pct"/>
            <w:vAlign w:val="center"/>
            <w:hideMark/>
          </w:tcPr>
          <w:p w14:paraId="64F453CE" w14:textId="77777777" w:rsidR="00000000" w:rsidRDefault="00EE5306">
            <w:pPr>
              <w:spacing w:after="100"/>
              <w:rPr>
                <w:rFonts w:eastAsia="Times New Roman"/>
                <w:sz w:val="20"/>
                <w:szCs w:val="20"/>
              </w:rPr>
            </w:pPr>
          </w:p>
        </w:tc>
        <w:tc>
          <w:tcPr>
            <w:tcW w:w="99" w:type="pct"/>
            <w:vAlign w:val="center"/>
            <w:hideMark/>
          </w:tcPr>
          <w:p w14:paraId="0C3FF568" w14:textId="77777777" w:rsidR="00000000" w:rsidRDefault="00EE5306">
            <w:pPr>
              <w:spacing w:after="100"/>
              <w:rPr>
                <w:rFonts w:eastAsia="Times New Roman"/>
                <w:sz w:val="20"/>
                <w:szCs w:val="20"/>
              </w:rPr>
            </w:pPr>
          </w:p>
        </w:tc>
        <w:tc>
          <w:tcPr>
            <w:tcW w:w="5" w:type="pct"/>
            <w:vAlign w:val="center"/>
            <w:hideMark/>
          </w:tcPr>
          <w:p w14:paraId="0CB65C05" w14:textId="77777777" w:rsidR="00000000" w:rsidRDefault="00EE5306">
            <w:pPr>
              <w:spacing w:after="100"/>
              <w:rPr>
                <w:rFonts w:eastAsia="Times New Roman"/>
                <w:sz w:val="20"/>
                <w:szCs w:val="20"/>
              </w:rPr>
            </w:pPr>
          </w:p>
        </w:tc>
        <w:tc>
          <w:tcPr>
            <w:tcW w:w="50" w:type="pct"/>
            <w:vAlign w:val="center"/>
            <w:hideMark/>
          </w:tcPr>
          <w:p w14:paraId="4AF4D8FF" w14:textId="77777777" w:rsidR="00000000" w:rsidRDefault="00EE5306">
            <w:pPr>
              <w:spacing w:after="100"/>
              <w:rPr>
                <w:rFonts w:eastAsia="Times New Roman"/>
                <w:sz w:val="20"/>
                <w:szCs w:val="20"/>
              </w:rPr>
            </w:pPr>
          </w:p>
        </w:tc>
        <w:tc>
          <w:tcPr>
            <w:tcW w:w="491" w:type="pct"/>
            <w:vAlign w:val="center"/>
            <w:hideMark/>
          </w:tcPr>
          <w:p w14:paraId="2E359CC8" w14:textId="77777777" w:rsidR="00000000" w:rsidRDefault="00EE5306">
            <w:pPr>
              <w:spacing w:after="100"/>
              <w:rPr>
                <w:rFonts w:eastAsia="Times New Roman"/>
                <w:sz w:val="20"/>
                <w:szCs w:val="20"/>
              </w:rPr>
            </w:pPr>
          </w:p>
        </w:tc>
        <w:tc>
          <w:tcPr>
            <w:tcW w:w="5" w:type="pct"/>
            <w:vAlign w:val="center"/>
            <w:hideMark/>
          </w:tcPr>
          <w:p w14:paraId="59CC7EF2" w14:textId="77777777" w:rsidR="00000000" w:rsidRDefault="00EE5306">
            <w:pPr>
              <w:spacing w:after="100"/>
              <w:rPr>
                <w:rFonts w:eastAsia="Times New Roman"/>
                <w:sz w:val="20"/>
                <w:szCs w:val="20"/>
              </w:rPr>
            </w:pPr>
          </w:p>
        </w:tc>
        <w:tc>
          <w:tcPr>
            <w:tcW w:w="50" w:type="pct"/>
            <w:vAlign w:val="center"/>
            <w:hideMark/>
          </w:tcPr>
          <w:p w14:paraId="152EDF09" w14:textId="77777777" w:rsidR="00000000" w:rsidRDefault="00EE5306">
            <w:pPr>
              <w:spacing w:after="100"/>
              <w:rPr>
                <w:rFonts w:eastAsia="Times New Roman"/>
                <w:sz w:val="20"/>
                <w:szCs w:val="20"/>
              </w:rPr>
            </w:pPr>
          </w:p>
        </w:tc>
        <w:tc>
          <w:tcPr>
            <w:tcW w:w="99" w:type="pct"/>
            <w:vAlign w:val="center"/>
            <w:hideMark/>
          </w:tcPr>
          <w:p w14:paraId="422F1CEF" w14:textId="77777777" w:rsidR="00000000" w:rsidRDefault="00EE5306">
            <w:pPr>
              <w:spacing w:after="100"/>
              <w:rPr>
                <w:rFonts w:eastAsia="Times New Roman"/>
                <w:sz w:val="20"/>
                <w:szCs w:val="20"/>
              </w:rPr>
            </w:pPr>
          </w:p>
        </w:tc>
        <w:tc>
          <w:tcPr>
            <w:tcW w:w="5" w:type="pct"/>
            <w:vAlign w:val="center"/>
            <w:hideMark/>
          </w:tcPr>
          <w:p w14:paraId="2475CD4D" w14:textId="77777777" w:rsidR="00000000" w:rsidRDefault="00EE5306">
            <w:pPr>
              <w:spacing w:after="100"/>
              <w:rPr>
                <w:rFonts w:eastAsia="Times New Roman"/>
                <w:sz w:val="20"/>
                <w:szCs w:val="20"/>
              </w:rPr>
            </w:pPr>
          </w:p>
        </w:tc>
        <w:tc>
          <w:tcPr>
            <w:tcW w:w="50" w:type="pct"/>
            <w:vAlign w:val="center"/>
            <w:hideMark/>
          </w:tcPr>
          <w:p w14:paraId="5651B998" w14:textId="77777777" w:rsidR="00000000" w:rsidRDefault="00EE5306">
            <w:pPr>
              <w:spacing w:after="100"/>
              <w:rPr>
                <w:rFonts w:eastAsia="Times New Roman"/>
                <w:sz w:val="20"/>
                <w:szCs w:val="20"/>
              </w:rPr>
            </w:pPr>
          </w:p>
        </w:tc>
        <w:tc>
          <w:tcPr>
            <w:tcW w:w="492" w:type="pct"/>
            <w:vAlign w:val="center"/>
            <w:hideMark/>
          </w:tcPr>
          <w:p w14:paraId="1849E605" w14:textId="77777777" w:rsidR="00000000" w:rsidRDefault="00EE5306">
            <w:pPr>
              <w:spacing w:after="100"/>
              <w:rPr>
                <w:rFonts w:eastAsia="Times New Roman"/>
                <w:sz w:val="20"/>
                <w:szCs w:val="20"/>
              </w:rPr>
            </w:pPr>
          </w:p>
        </w:tc>
        <w:tc>
          <w:tcPr>
            <w:tcW w:w="5" w:type="pct"/>
            <w:vAlign w:val="center"/>
            <w:hideMark/>
          </w:tcPr>
          <w:p w14:paraId="660A1393" w14:textId="77777777" w:rsidR="00000000" w:rsidRDefault="00EE5306">
            <w:pPr>
              <w:spacing w:after="100"/>
              <w:rPr>
                <w:rFonts w:eastAsia="Times New Roman"/>
                <w:sz w:val="20"/>
                <w:szCs w:val="20"/>
              </w:rPr>
            </w:pPr>
          </w:p>
        </w:tc>
      </w:tr>
      <w:tr w:rsidR="00000000" w14:paraId="1B04009D" w14:textId="77777777">
        <w:trPr>
          <w:divId w:val="1141925089"/>
        </w:trPr>
        <w:tc>
          <w:tcPr>
            <w:tcW w:w="0" w:type="auto"/>
            <w:gridSpan w:val="3"/>
            <w:tcMar>
              <w:top w:w="30" w:type="dxa"/>
              <w:left w:w="20" w:type="dxa"/>
              <w:bottom w:w="30" w:type="dxa"/>
              <w:right w:w="20" w:type="dxa"/>
            </w:tcMar>
            <w:vAlign w:val="bottom"/>
            <w:hideMark/>
          </w:tcPr>
          <w:p w14:paraId="5FB5DD1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EEF4B8A"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1D31CFF7"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79923B6D" w14:textId="77777777">
        <w:trPr>
          <w:divId w:val="1141925089"/>
        </w:trPr>
        <w:tc>
          <w:tcPr>
            <w:tcW w:w="0" w:type="auto"/>
            <w:gridSpan w:val="3"/>
            <w:tcMar>
              <w:top w:w="30" w:type="dxa"/>
              <w:left w:w="20" w:type="dxa"/>
              <w:bottom w:w="30" w:type="dxa"/>
              <w:right w:w="20" w:type="dxa"/>
            </w:tcMar>
            <w:vAlign w:val="bottom"/>
            <w:hideMark/>
          </w:tcPr>
          <w:p w14:paraId="03983E4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2993ECD"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0AE343"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58BD624C" w14:textId="77777777" w:rsidR="00000000" w:rsidRDefault="00EE5306">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470F019"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BB7DDE7"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7C8B345"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0C031F36" w14:textId="77777777">
        <w:trPr>
          <w:divId w:val="1141925089"/>
        </w:trPr>
        <w:tc>
          <w:tcPr>
            <w:tcW w:w="0" w:type="auto"/>
            <w:gridSpan w:val="3"/>
            <w:tcMar>
              <w:top w:w="30" w:type="dxa"/>
              <w:left w:w="20" w:type="dxa"/>
              <w:bottom w:w="30" w:type="dxa"/>
              <w:right w:w="20" w:type="dxa"/>
            </w:tcMar>
            <w:vAlign w:val="bottom"/>
            <w:hideMark/>
          </w:tcPr>
          <w:p w14:paraId="79FEAAD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9EE2AF8"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0F32C9C"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194A5BE4" w14:textId="77777777">
        <w:trPr>
          <w:divId w:val="1141925089"/>
        </w:trPr>
        <w:tc>
          <w:tcPr>
            <w:tcW w:w="0" w:type="auto"/>
            <w:gridSpan w:val="3"/>
            <w:shd w:val="clear" w:color="auto" w:fill="CCEEFF"/>
            <w:tcMar>
              <w:top w:w="30" w:type="dxa"/>
              <w:left w:w="20" w:type="dxa"/>
              <w:bottom w:w="30" w:type="dxa"/>
              <w:right w:w="20" w:type="dxa"/>
            </w:tcMar>
            <w:vAlign w:val="bottom"/>
            <w:hideMark/>
          </w:tcPr>
          <w:p w14:paraId="6ED1197B" w14:textId="77777777" w:rsidR="00000000" w:rsidRDefault="00EE5306">
            <w:pPr>
              <w:spacing w:after="100"/>
              <w:rPr>
                <w:rFonts w:eastAsia="Times New Roman"/>
              </w:rPr>
            </w:pPr>
            <w:r>
              <w:rPr>
                <w:rFonts w:eastAsia="Times New Roman"/>
                <w:color w:val="000000"/>
                <w:sz w:val="20"/>
                <w:szCs w:val="20"/>
              </w:rPr>
              <w:t>Accrued interest and penalties beginning balance</w:t>
            </w:r>
          </w:p>
        </w:tc>
        <w:tc>
          <w:tcPr>
            <w:tcW w:w="0" w:type="auto"/>
            <w:gridSpan w:val="3"/>
            <w:shd w:val="clear" w:color="auto" w:fill="CCEEFF"/>
            <w:tcMar>
              <w:top w:w="0" w:type="dxa"/>
              <w:left w:w="20" w:type="dxa"/>
              <w:bottom w:w="0" w:type="dxa"/>
              <w:right w:w="20" w:type="dxa"/>
            </w:tcMar>
            <w:vAlign w:val="center"/>
            <w:hideMark/>
          </w:tcPr>
          <w:p w14:paraId="66CB783C"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6D0714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96CF0B" w14:textId="77777777" w:rsidR="00000000" w:rsidRDefault="00EE5306">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14:paraId="2591A473" w14:textId="77777777" w:rsidR="00000000" w:rsidRDefault="00EE530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F5EA63E" w14:textId="77777777" w:rsidR="00000000" w:rsidRDefault="00EE5306">
            <w:pPr>
              <w:spacing w:after="100"/>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0" w:type="dxa"/>
            </w:tcMar>
            <w:vAlign w:val="bottom"/>
            <w:hideMark/>
          </w:tcPr>
          <w:p w14:paraId="4D1C89E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E2C2D9" w14:textId="77777777" w:rsidR="00000000" w:rsidRDefault="00EE5306">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14:paraId="4859E29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57F16"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F9417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5231B9" w14:textId="77777777" w:rsidR="00000000" w:rsidRDefault="00EE5306">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14:paraId="4E4A73D4" w14:textId="77777777" w:rsidR="00000000" w:rsidRDefault="00EE5306">
            <w:pPr>
              <w:spacing w:after="100"/>
              <w:jc w:val="right"/>
              <w:rPr>
                <w:rFonts w:eastAsia="Times New Roman"/>
              </w:rPr>
            </w:pPr>
          </w:p>
        </w:tc>
      </w:tr>
      <w:tr w:rsidR="00000000" w14:paraId="1A266106" w14:textId="77777777">
        <w:trPr>
          <w:divId w:val="1141925089"/>
        </w:trPr>
        <w:tc>
          <w:tcPr>
            <w:tcW w:w="0" w:type="auto"/>
            <w:gridSpan w:val="3"/>
            <w:shd w:val="clear" w:color="auto" w:fill="FFFFFF"/>
            <w:tcMar>
              <w:top w:w="30" w:type="dxa"/>
              <w:left w:w="155" w:type="dxa"/>
              <w:bottom w:w="30" w:type="dxa"/>
              <w:right w:w="20" w:type="dxa"/>
            </w:tcMar>
            <w:vAlign w:val="bottom"/>
            <w:hideMark/>
          </w:tcPr>
          <w:p w14:paraId="54B4056E" w14:textId="77777777" w:rsidR="00000000" w:rsidRDefault="00EE5306">
            <w:pPr>
              <w:spacing w:after="100"/>
              <w:rPr>
                <w:rFonts w:eastAsia="Times New Roman"/>
              </w:rPr>
            </w:pPr>
            <w:r>
              <w:rPr>
                <w:rFonts w:eastAsia="Times New Roman"/>
                <w:color w:val="000000"/>
                <w:sz w:val="20"/>
                <w:szCs w:val="20"/>
              </w:rPr>
              <w:t>Net additions charged to expense</w:t>
            </w:r>
          </w:p>
        </w:tc>
        <w:tc>
          <w:tcPr>
            <w:tcW w:w="0" w:type="auto"/>
            <w:gridSpan w:val="3"/>
            <w:shd w:val="clear" w:color="auto" w:fill="FFFFFF"/>
            <w:tcMar>
              <w:top w:w="0" w:type="dxa"/>
              <w:left w:w="20" w:type="dxa"/>
              <w:bottom w:w="0" w:type="dxa"/>
              <w:right w:w="20" w:type="dxa"/>
            </w:tcMar>
            <w:vAlign w:val="center"/>
            <w:hideMark/>
          </w:tcPr>
          <w:p w14:paraId="1941315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0FA5E8" w14:textId="77777777" w:rsidR="00000000" w:rsidRDefault="00EE5306">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745CAF6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2525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DDD5E9" w14:textId="77777777" w:rsidR="00000000" w:rsidRDefault="00EE5306">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4063FA4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4425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F1DC52" w14:textId="77777777" w:rsidR="00000000" w:rsidRDefault="00EE5306">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1B9E1207" w14:textId="77777777" w:rsidR="00000000" w:rsidRDefault="00EE5306">
            <w:pPr>
              <w:spacing w:after="100"/>
              <w:jc w:val="right"/>
              <w:rPr>
                <w:rFonts w:eastAsia="Times New Roman"/>
              </w:rPr>
            </w:pPr>
          </w:p>
        </w:tc>
      </w:tr>
      <w:tr w:rsidR="00000000" w14:paraId="033A59CA" w14:textId="77777777">
        <w:trPr>
          <w:divId w:val="1141925089"/>
        </w:trPr>
        <w:tc>
          <w:tcPr>
            <w:tcW w:w="0" w:type="auto"/>
            <w:gridSpan w:val="3"/>
            <w:shd w:val="clear" w:color="auto" w:fill="CCEEFF"/>
            <w:tcMar>
              <w:top w:w="30" w:type="dxa"/>
              <w:left w:w="155" w:type="dxa"/>
              <w:bottom w:w="30" w:type="dxa"/>
              <w:right w:w="20" w:type="dxa"/>
            </w:tcMar>
            <w:vAlign w:val="bottom"/>
            <w:hideMark/>
          </w:tcPr>
          <w:p w14:paraId="4D64EBC9" w14:textId="77777777" w:rsidR="00000000" w:rsidRDefault="00EE5306">
            <w:pPr>
              <w:spacing w:after="100"/>
              <w:rPr>
                <w:rFonts w:eastAsia="Times New Roman"/>
              </w:rPr>
            </w:pPr>
            <w:r>
              <w:rPr>
                <w:rFonts w:eastAsia="Times New Roman"/>
                <w:color w:val="000000"/>
                <w:sz w:val="20"/>
                <w:szCs w:val="20"/>
              </w:rPr>
              <w:t>Reductions related to prior period tax positions</w:t>
            </w:r>
          </w:p>
        </w:tc>
        <w:tc>
          <w:tcPr>
            <w:tcW w:w="0" w:type="auto"/>
            <w:gridSpan w:val="3"/>
            <w:shd w:val="clear" w:color="auto" w:fill="CCEEFF"/>
            <w:tcMar>
              <w:top w:w="0" w:type="dxa"/>
              <w:left w:w="20" w:type="dxa"/>
              <w:bottom w:w="0" w:type="dxa"/>
              <w:right w:w="20" w:type="dxa"/>
            </w:tcMar>
            <w:vAlign w:val="center"/>
            <w:hideMark/>
          </w:tcPr>
          <w:p w14:paraId="33B6583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63C3F2" w14:textId="77777777" w:rsidR="00000000" w:rsidRDefault="00EE5306">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14:paraId="0F61061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2641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3581E4" w14:textId="77777777" w:rsidR="00000000" w:rsidRDefault="00EE5306">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7FC4FDF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0BDE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9255CF" w14:textId="77777777" w:rsidR="00000000" w:rsidRDefault="00EE5306">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14:paraId="07F2A897" w14:textId="77777777" w:rsidR="00000000" w:rsidRDefault="00EE5306">
            <w:pPr>
              <w:spacing w:after="100"/>
              <w:jc w:val="right"/>
              <w:rPr>
                <w:rFonts w:eastAsia="Times New Roman"/>
              </w:rPr>
            </w:pPr>
          </w:p>
        </w:tc>
      </w:tr>
      <w:tr w:rsidR="00000000" w14:paraId="191371C9" w14:textId="77777777">
        <w:trPr>
          <w:divId w:val="1141925089"/>
        </w:trPr>
        <w:tc>
          <w:tcPr>
            <w:tcW w:w="0" w:type="auto"/>
            <w:gridSpan w:val="3"/>
            <w:shd w:val="clear" w:color="auto" w:fill="FFFFFF"/>
            <w:tcMar>
              <w:top w:w="30" w:type="dxa"/>
              <w:left w:w="155" w:type="dxa"/>
              <w:bottom w:w="30" w:type="dxa"/>
              <w:right w:w="20" w:type="dxa"/>
            </w:tcMar>
            <w:vAlign w:val="bottom"/>
            <w:hideMark/>
          </w:tcPr>
          <w:p w14:paraId="70933EF2" w14:textId="77777777" w:rsidR="00000000" w:rsidRDefault="00EE5306">
            <w:pPr>
              <w:spacing w:after="100"/>
              <w:rPr>
                <w:rFonts w:eastAsia="Times New Roman"/>
              </w:rPr>
            </w:pPr>
            <w:r>
              <w:rPr>
                <w:rFonts w:eastAsia="Times New Roman"/>
                <w:color w:val="000000"/>
                <w:sz w:val="20"/>
                <w:szCs w:val="20"/>
              </w:rPr>
              <w:t>Reductions related to settlements with taxing authorities</w:t>
            </w:r>
          </w:p>
        </w:tc>
        <w:tc>
          <w:tcPr>
            <w:tcW w:w="0" w:type="auto"/>
            <w:gridSpan w:val="3"/>
            <w:shd w:val="clear" w:color="auto" w:fill="FFFFFF"/>
            <w:tcMar>
              <w:top w:w="0" w:type="dxa"/>
              <w:left w:w="20" w:type="dxa"/>
              <w:bottom w:w="0" w:type="dxa"/>
              <w:right w:w="20" w:type="dxa"/>
            </w:tcMar>
            <w:vAlign w:val="center"/>
            <w:hideMark/>
          </w:tcPr>
          <w:p w14:paraId="5BE2BC55"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5FE15F" w14:textId="77777777" w:rsidR="00000000" w:rsidRDefault="00EE5306">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14:paraId="0D55C0D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3F55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76C58C" w14:textId="77777777" w:rsidR="00000000" w:rsidRDefault="00EE5306">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62854A4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7F450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88296F" w14:textId="77777777" w:rsidR="00000000" w:rsidRDefault="00EE5306">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14:paraId="79AA65E1" w14:textId="77777777" w:rsidR="00000000" w:rsidRDefault="00EE5306">
            <w:pPr>
              <w:spacing w:after="100"/>
              <w:jc w:val="right"/>
              <w:rPr>
                <w:rFonts w:eastAsia="Times New Roman"/>
              </w:rPr>
            </w:pPr>
          </w:p>
        </w:tc>
      </w:tr>
      <w:tr w:rsidR="00000000" w14:paraId="4FB675E7" w14:textId="77777777">
        <w:trPr>
          <w:divId w:val="1141925089"/>
        </w:trPr>
        <w:tc>
          <w:tcPr>
            <w:tcW w:w="0" w:type="auto"/>
            <w:gridSpan w:val="3"/>
            <w:shd w:val="clear" w:color="auto" w:fill="CCEEFF"/>
            <w:tcMar>
              <w:top w:w="30" w:type="dxa"/>
              <w:left w:w="155" w:type="dxa"/>
              <w:bottom w:w="30" w:type="dxa"/>
              <w:right w:w="20" w:type="dxa"/>
            </w:tcMar>
            <w:vAlign w:val="bottom"/>
            <w:hideMark/>
          </w:tcPr>
          <w:p w14:paraId="1A00E80A" w14:textId="77777777" w:rsidR="00000000" w:rsidRDefault="00EE5306">
            <w:pPr>
              <w:spacing w:after="100"/>
              <w:rPr>
                <w:rFonts w:eastAsia="Times New Roman"/>
              </w:rPr>
            </w:pPr>
            <w:r>
              <w:rPr>
                <w:rFonts w:eastAsia="Times New Roman"/>
                <w:color w:val="000000"/>
                <w:sz w:val="20"/>
                <w:szCs w:val="20"/>
              </w:rPr>
              <w:t>Additions (reductions) related to foreign currency translation</w:t>
            </w:r>
          </w:p>
        </w:tc>
        <w:tc>
          <w:tcPr>
            <w:tcW w:w="0" w:type="auto"/>
            <w:gridSpan w:val="3"/>
            <w:shd w:val="clear" w:color="auto" w:fill="CCEEFF"/>
            <w:tcMar>
              <w:top w:w="0" w:type="dxa"/>
              <w:left w:w="20" w:type="dxa"/>
              <w:bottom w:w="0" w:type="dxa"/>
              <w:right w:w="20" w:type="dxa"/>
            </w:tcMar>
            <w:vAlign w:val="center"/>
            <w:hideMark/>
          </w:tcPr>
          <w:p w14:paraId="2FD28E1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A0F220" w14:textId="77777777" w:rsidR="00000000" w:rsidRDefault="00EE5306">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28758833" w14:textId="77777777" w:rsidR="00000000" w:rsidRDefault="00EE530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FF6C672" w14:textId="77777777" w:rsidR="00000000" w:rsidRDefault="00EE5306">
            <w:pPr>
              <w:spacing w:after="100"/>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7927ECE9"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B89D4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5B52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B2B01E" w14:textId="77777777" w:rsidR="00000000" w:rsidRDefault="00EE5306">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14:paraId="4C1B55C6" w14:textId="77777777" w:rsidR="00000000" w:rsidRDefault="00EE5306">
            <w:pPr>
              <w:spacing w:after="100"/>
              <w:jc w:val="right"/>
              <w:rPr>
                <w:rFonts w:eastAsia="Times New Roman"/>
              </w:rPr>
            </w:pPr>
          </w:p>
        </w:tc>
      </w:tr>
      <w:tr w:rsidR="00000000" w14:paraId="0DC9B0D0" w14:textId="77777777">
        <w:trPr>
          <w:divId w:val="1141925089"/>
        </w:trPr>
        <w:tc>
          <w:tcPr>
            <w:tcW w:w="0" w:type="auto"/>
            <w:gridSpan w:val="3"/>
            <w:shd w:val="clear" w:color="auto" w:fill="FFFFFF"/>
            <w:tcMar>
              <w:top w:w="30" w:type="dxa"/>
              <w:left w:w="20" w:type="dxa"/>
              <w:bottom w:w="30" w:type="dxa"/>
              <w:right w:w="20" w:type="dxa"/>
            </w:tcMar>
            <w:vAlign w:val="bottom"/>
            <w:hideMark/>
          </w:tcPr>
          <w:p w14:paraId="25D60B1E" w14:textId="77777777" w:rsidR="00000000" w:rsidRDefault="00EE5306">
            <w:pPr>
              <w:spacing w:after="100"/>
              <w:rPr>
                <w:rFonts w:eastAsia="Times New Roman"/>
              </w:rPr>
            </w:pPr>
            <w:r>
              <w:rPr>
                <w:rFonts w:eastAsia="Times New Roman"/>
                <w:color w:val="000000"/>
                <w:sz w:val="20"/>
                <w:szCs w:val="20"/>
              </w:rPr>
              <w:t>Accrued interest and penalties ending balance</w:t>
            </w:r>
          </w:p>
        </w:tc>
        <w:tc>
          <w:tcPr>
            <w:tcW w:w="0" w:type="auto"/>
            <w:gridSpan w:val="3"/>
            <w:shd w:val="clear" w:color="auto" w:fill="FFFFFF"/>
            <w:tcMar>
              <w:top w:w="0" w:type="dxa"/>
              <w:left w:w="20" w:type="dxa"/>
              <w:bottom w:w="0" w:type="dxa"/>
              <w:right w:w="20" w:type="dxa"/>
            </w:tcMar>
            <w:vAlign w:val="center"/>
            <w:hideMark/>
          </w:tcPr>
          <w:p w14:paraId="1F753C77"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9D6E6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A16912" w14:textId="77777777" w:rsidR="00000000" w:rsidRDefault="00EE5306">
            <w:pPr>
              <w:spacing w:after="100"/>
              <w:jc w:val="right"/>
              <w:rPr>
                <w:rFonts w:eastAsia="Times New Roman"/>
              </w:rPr>
            </w:pPr>
            <w:r>
              <w:rPr>
                <w:rFonts w:eastAsia="Times New Roman"/>
                <w:color w:val="000000"/>
                <w:sz w:val="20"/>
                <w:szCs w:val="20"/>
              </w:rPr>
              <w:t>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489090" w14:textId="77777777" w:rsidR="00000000" w:rsidRDefault="00EE530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6DEA08F" w14:textId="77777777" w:rsidR="00000000" w:rsidRDefault="00EE5306">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C242E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8E41AF" w14:textId="77777777" w:rsidR="00000000" w:rsidRDefault="00EE5306">
            <w:pPr>
              <w:spacing w:after="100"/>
              <w:jc w:val="right"/>
              <w:rPr>
                <w:rFonts w:eastAsia="Times New Roman"/>
              </w:rPr>
            </w:pPr>
            <w:r>
              <w:rPr>
                <w:rFonts w:eastAsia="Times New Roman"/>
                <w:color w:val="000000"/>
                <w:sz w:val="20"/>
                <w:szCs w:val="20"/>
              </w:rPr>
              <w:t>16.2 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7AAA4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2EEC9"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EF6711"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51CD0B" w14:textId="77777777" w:rsidR="00000000" w:rsidRDefault="00EE5306">
            <w:pPr>
              <w:spacing w:after="100"/>
              <w:jc w:val="right"/>
              <w:rPr>
                <w:rFonts w:eastAsia="Times New Roman"/>
              </w:rPr>
            </w:pPr>
            <w:r>
              <w:rPr>
                <w:rFonts w:eastAsia="Times New Roman"/>
                <w:color w:val="000000"/>
                <w:sz w:val="20"/>
                <w:szCs w:val="20"/>
              </w:rPr>
              <w:t>13.6 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33FEFB" w14:textId="77777777" w:rsidR="00000000" w:rsidRDefault="00EE5306">
            <w:pPr>
              <w:spacing w:after="100"/>
              <w:jc w:val="right"/>
              <w:rPr>
                <w:rFonts w:eastAsia="Times New Roman"/>
              </w:rPr>
            </w:pPr>
          </w:p>
        </w:tc>
      </w:tr>
    </w:tbl>
    <w:p w14:paraId="0D90D5EF" w14:textId="77777777" w:rsidR="00000000" w:rsidRDefault="00EE5306">
      <w:pPr>
        <w:ind w:firstLine="540"/>
        <w:jc w:val="both"/>
        <w:divId w:val="1041635430"/>
        <w:rPr>
          <w:rFonts w:eastAsia="Times New Roman"/>
        </w:rPr>
      </w:pPr>
      <w:r>
        <w:rPr>
          <w:rFonts w:eastAsia="Times New Roman"/>
          <w:color w:val="000000"/>
          <w:sz w:val="20"/>
          <w:szCs w:val="20"/>
        </w:rPr>
        <w:t xml:space="preserve">The total amount of unrecognized tax benefits, including interest and penalties, was $91.4 million and </w:t>
      </w:r>
      <w:r>
        <w:rPr>
          <w:rFonts w:eastAsia="Times New Roman"/>
          <w:color w:val="000000"/>
          <w:sz w:val="20"/>
          <w:szCs w:val="20"/>
        </w:rPr>
        <w:t>$88.9 million as of March 27, 2021 and March 28, 2020, respectively, and was included within the non-current liability for unrecognized tax benefits in the consolidated balance sheets. The total amount of unrecognized tax benefits that, if recognized, woul</w:t>
      </w:r>
      <w:r>
        <w:rPr>
          <w:rFonts w:eastAsia="Times New Roman"/>
          <w:color w:val="000000"/>
          <w:sz w:val="20"/>
          <w:szCs w:val="20"/>
        </w:rPr>
        <w:t>d affect the Company's effective tax rate was $68.0 million and $71.7 million as of March 27, 2021 and March 28, 2020, respectively.</w:t>
      </w:r>
    </w:p>
    <w:p w14:paraId="086BF869" w14:textId="77777777" w:rsidR="00000000" w:rsidRDefault="00EE5306">
      <w:pPr>
        <w:ind w:firstLine="360"/>
        <w:divId w:val="440078245"/>
        <w:rPr>
          <w:rFonts w:eastAsia="Times New Roman"/>
        </w:rPr>
      </w:pPr>
      <w:r>
        <w:rPr>
          <w:rFonts w:eastAsia="Times New Roman"/>
          <w:i/>
          <w:iCs/>
          <w:color w:val="000000"/>
          <w:sz w:val="20"/>
          <w:szCs w:val="20"/>
        </w:rPr>
        <w:t>Future Changes in Unrecognized Tax Benefits</w:t>
      </w:r>
    </w:p>
    <w:p w14:paraId="31258BAB" w14:textId="77777777" w:rsidR="00000000" w:rsidRDefault="00EE5306">
      <w:pPr>
        <w:ind w:firstLine="540"/>
        <w:jc w:val="both"/>
        <w:divId w:val="1223100732"/>
        <w:rPr>
          <w:rFonts w:eastAsia="Times New Roman"/>
        </w:rPr>
      </w:pPr>
      <w:r>
        <w:rPr>
          <w:rFonts w:eastAsia="Times New Roman"/>
          <w:color w:val="000000"/>
          <w:sz w:val="20"/>
          <w:szCs w:val="20"/>
        </w:rPr>
        <w:t>The total amount of unrecognized tax benefits relating to the Company's tax pos</w:t>
      </w:r>
      <w:r>
        <w:rPr>
          <w:rFonts w:eastAsia="Times New Roman"/>
          <w:color w:val="000000"/>
          <w:sz w:val="20"/>
          <w:szCs w:val="20"/>
        </w:rPr>
        <w:t>itions is subject to change based on future events including, but not limited to, settlements of ongoing tax audits and assessments and the expiration of applicable statutes of limitations. Although the outcomes and timing of such events are highly uncerta</w:t>
      </w:r>
      <w:r>
        <w:rPr>
          <w:rFonts w:eastAsia="Times New Roman"/>
          <w:color w:val="000000"/>
          <w:sz w:val="20"/>
          <w:szCs w:val="20"/>
        </w:rPr>
        <w:t>in, the Company does not anticipate that the balance of gross unrecognized tax benefits, excluding interest and penalties, will change significantly during the next twelve months. However, changes in the occurrence, expected outcomes, and timing of such ev</w:t>
      </w:r>
      <w:r>
        <w:rPr>
          <w:rFonts w:eastAsia="Times New Roman"/>
          <w:color w:val="000000"/>
          <w:sz w:val="20"/>
          <w:szCs w:val="20"/>
        </w:rPr>
        <w:t>ents could cause the Company's current estimate to change materially in the future.</w:t>
      </w:r>
    </w:p>
    <w:p w14:paraId="086BE974" w14:textId="77777777" w:rsidR="00000000" w:rsidRDefault="00EE5306">
      <w:pPr>
        <w:ind w:firstLine="540"/>
        <w:jc w:val="both"/>
        <w:divId w:val="1104304424"/>
        <w:rPr>
          <w:rFonts w:eastAsia="Times New Roman"/>
        </w:rPr>
      </w:pPr>
      <w:r>
        <w:rPr>
          <w:rFonts w:eastAsia="Times New Roman"/>
          <w:color w:val="000000"/>
          <w:sz w:val="20"/>
          <w:szCs w:val="20"/>
        </w:rPr>
        <w:t>The Company files a consolidated U.S. federal income tax return, as well as tax returns in various state, local, and foreign jurisdictions. The Company is generally no long</w:t>
      </w:r>
      <w:r>
        <w:rPr>
          <w:rFonts w:eastAsia="Times New Roman"/>
          <w:color w:val="000000"/>
          <w:sz w:val="20"/>
          <w:szCs w:val="20"/>
        </w:rPr>
        <w:t>er subject to examinations by the relevant tax authorities for years prior to its fiscal year ended March 30, 2013.</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7C8F18A" w14:textId="77777777">
        <w:trPr>
          <w:divId w:val="391781331"/>
          <w:jc w:val="center"/>
        </w:trPr>
        <w:tc>
          <w:tcPr>
            <w:tcW w:w="50" w:type="pct"/>
            <w:vAlign w:val="center"/>
            <w:hideMark/>
          </w:tcPr>
          <w:p w14:paraId="2EE7C1D0" w14:textId="77777777" w:rsidR="00000000" w:rsidRDefault="00EE5306">
            <w:pPr>
              <w:ind w:firstLine="540"/>
              <w:jc w:val="both"/>
              <w:rPr>
                <w:rFonts w:eastAsia="Times New Roman"/>
              </w:rPr>
            </w:pPr>
          </w:p>
        </w:tc>
        <w:tc>
          <w:tcPr>
            <w:tcW w:w="1699" w:type="pct"/>
            <w:vAlign w:val="center"/>
            <w:hideMark/>
          </w:tcPr>
          <w:p w14:paraId="0C0304A9" w14:textId="77777777" w:rsidR="00000000" w:rsidRDefault="00EE5306">
            <w:pPr>
              <w:spacing w:after="100"/>
              <w:rPr>
                <w:rFonts w:eastAsia="Times New Roman"/>
                <w:sz w:val="20"/>
                <w:szCs w:val="20"/>
              </w:rPr>
            </w:pPr>
          </w:p>
        </w:tc>
        <w:tc>
          <w:tcPr>
            <w:tcW w:w="5" w:type="pct"/>
            <w:vAlign w:val="center"/>
            <w:hideMark/>
          </w:tcPr>
          <w:p w14:paraId="6AD66E6E" w14:textId="77777777" w:rsidR="00000000" w:rsidRDefault="00EE5306">
            <w:pPr>
              <w:spacing w:after="100"/>
              <w:rPr>
                <w:rFonts w:eastAsia="Times New Roman"/>
                <w:sz w:val="20"/>
                <w:szCs w:val="20"/>
              </w:rPr>
            </w:pPr>
          </w:p>
        </w:tc>
        <w:tc>
          <w:tcPr>
            <w:tcW w:w="50" w:type="pct"/>
            <w:vAlign w:val="center"/>
            <w:hideMark/>
          </w:tcPr>
          <w:p w14:paraId="3F576427" w14:textId="77777777" w:rsidR="00000000" w:rsidRDefault="00EE5306">
            <w:pPr>
              <w:spacing w:after="100"/>
              <w:rPr>
                <w:rFonts w:eastAsia="Times New Roman"/>
                <w:sz w:val="20"/>
                <w:szCs w:val="20"/>
              </w:rPr>
            </w:pPr>
          </w:p>
        </w:tc>
        <w:tc>
          <w:tcPr>
            <w:tcW w:w="1436" w:type="pct"/>
            <w:vAlign w:val="center"/>
            <w:hideMark/>
          </w:tcPr>
          <w:p w14:paraId="16A9FF1E" w14:textId="77777777" w:rsidR="00000000" w:rsidRDefault="00EE5306">
            <w:pPr>
              <w:spacing w:after="100"/>
              <w:rPr>
                <w:rFonts w:eastAsia="Times New Roman"/>
                <w:sz w:val="20"/>
                <w:szCs w:val="20"/>
              </w:rPr>
            </w:pPr>
          </w:p>
        </w:tc>
        <w:tc>
          <w:tcPr>
            <w:tcW w:w="5" w:type="pct"/>
            <w:vAlign w:val="center"/>
            <w:hideMark/>
          </w:tcPr>
          <w:p w14:paraId="12ACD84D" w14:textId="77777777" w:rsidR="00000000" w:rsidRDefault="00EE5306">
            <w:pPr>
              <w:spacing w:after="100"/>
              <w:rPr>
                <w:rFonts w:eastAsia="Times New Roman"/>
                <w:sz w:val="20"/>
                <w:szCs w:val="20"/>
              </w:rPr>
            </w:pPr>
          </w:p>
        </w:tc>
        <w:tc>
          <w:tcPr>
            <w:tcW w:w="50" w:type="pct"/>
            <w:vAlign w:val="center"/>
            <w:hideMark/>
          </w:tcPr>
          <w:p w14:paraId="0BF2B082" w14:textId="77777777" w:rsidR="00000000" w:rsidRDefault="00EE5306">
            <w:pPr>
              <w:spacing w:after="100"/>
              <w:rPr>
                <w:rFonts w:eastAsia="Times New Roman"/>
                <w:sz w:val="20"/>
                <w:szCs w:val="20"/>
              </w:rPr>
            </w:pPr>
          </w:p>
        </w:tc>
        <w:tc>
          <w:tcPr>
            <w:tcW w:w="1699" w:type="pct"/>
            <w:vAlign w:val="center"/>
            <w:hideMark/>
          </w:tcPr>
          <w:p w14:paraId="786A16FB" w14:textId="77777777" w:rsidR="00000000" w:rsidRDefault="00EE5306">
            <w:pPr>
              <w:spacing w:after="100"/>
              <w:rPr>
                <w:rFonts w:eastAsia="Times New Roman"/>
                <w:sz w:val="20"/>
                <w:szCs w:val="20"/>
              </w:rPr>
            </w:pPr>
          </w:p>
        </w:tc>
        <w:tc>
          <w:tcPr>
            <w:tcW w:w="5" w:type="pct"/>
            <w:vAlign w:val="center"/>
            <w:hideMark/>
          </w:tcPr>
          <w:p w14:paraId="19009E63" w14:textId="77777777" w:rsidR="00000000" w:rsidRDefault="00EE5306">
            <w:pPr>
              <w:spacing w:after="100"/>
              <w:rPr>
                <w:rFonts w:eastAsia="Times New Roman"/>
                <w:sz w:val="20"/>
                <w:szCs w:val="20"/>
              </w:rPr>
            </w:pPr>
          </w:p>
        </w:tc>
      </w:tr>
      <w:tr w:rsidR="00000000" w14:paraId="0BEDE65D" w14:textId="77777777">
        <w:trPr>
          <w:divId w:val="391781331"/>
          <w:jc w:val="center"/>
        </w:trPr>
        <w:tc>
          <w:tcPr>
            <w:tcW w:w="0" w:type="auto"/>
            <w:gridSpan w:val="3"/>
            <w:tcMar>
              <w:top w:w="0" w:type="dxa"/>
              <w:left w:w="20" w:type="dxa"/>
              <w:bottom w:w="0" w:type="dxa"/>
              <w:right w:w="20" w:type="dxa"/>
            </w:tcMar>
            <w:vAlign w:val="center"/>
            <w:hideMark/>
          </w:tcPr>
          <w:p w14:paraId="02E7101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618E88" w14:textId="77777777" w:rsidR="00000000" w:rsidRDefault="00EE5306">
            <w:pPr>
              <w:spacing w:after="100"/>
              <w:jc w:val="center"/>
              <w:rPr>
                <w:rFonts w:eastAsia="Times New Roman"/>
              </w:rPr>
            </w:pPr>
            <w:r>
              <w:rPr>
                <w:rFonts w:eastAsia="Times New Roman"/>
                <w:color w:val="000000"/>
                <w:sz w:val="20"/>
                <w:szCs w:val="20"/>
              </w:rPr>
              <w:t>F-32</w:t>
            </w:r>
          </w:p>
        </w:tc>
        <w:tc>
          <w:tcPr>
            <w:tcW w:w="0" w:type="auto"/>
            <w:gridSpan w:val="3"/>
            <w:tcMar>
              <w:top w:w="0" w:type="dxa"/>
              <w:left w:w="20" w:type="dxa"/>
              <w:bottom w:w="0" w:type="dxa"/>
              <w:right w:w="20" w:type="dxa"/>
            </w:tcMar>
            <w:vAlign w:val="center"/>
            <w:hideMark/>
          </w:tcPr>
          <w:p w14:paraId="3AA5F67D" w14:textId="77777777" w:rsidR="00000000" w:rsidRDefault="00EE5306">
            <w:pPr>
              <w:spacing w:after="100"/>
              <w:jc w:val="center"/>
              <w:rPr>
                <w:rFonts w:eastAsia="Times New Roman"/>
              </w:rPr>
            </w:pPr>
          </w:p>
        </w:tc>
      </w:tr>
    </w:tbl>
    <w:p w14:paraId="40AB462B" w14:textId="77777777" w:rsidR="00000000" w:rsidRDefault="00EE5306">
      <w:pPr>
        <w:rPr>
          <w:rFonts w:eastAsia="Times New Roman"/>
        </w:rPr>
      </w:pPr>
      <w:r>
        <w:rPr>
          <w:rFonts w:eastAsia="Times New Roman"/>
        </w:rPr>
        <w:pict w14:anchorId="6F5C7F2C">
          <v:rect id="_x0000_i1142" style="width:0;height:1.5pt" o:hralign="center" o:hrstd="t" o:hr="t" fillcolor="#a0a0a0" stroked="f"/>
        </w:pict>
      </w:r>
    </w:p>
    <w:p w14:paraId="05AFA4EF" w14:textId="77777777" w:rsidR="00000000" w:rsidRDefault="00EE5306">
      <w:pPr>
        <w:jc w:val="center"/>
        <w:divId w:val="189608349"/>
        <w:rPr>
          <w:rFonts w:eastAsia="Times New Roman"/>
        </w:rPr>
      </w:pPr>
    </w:p>
    <w:p w14:paraId="3E5718FA" w14:textId="77777777" w:rsidR="00000000" w:rsidRDefault="00EE5306">
      <w:pPr>
        <w:jc w:val="center"/>
        <w:divId w:val="189608349"/>
        <w:rPr>
          <w:rFonts w:eastAsia="Times New Roman"/>
        </w:rPr>
      </w:pPr>
      <w:r>
        <w:rPr>
          <w:rFonts w:eastAsia="Times New Roman"/>
          <w:b/>
          <w:bCs/>
          <w:color w:val="000000"/>
          <w:sz w:val="20"/>
          <w:szCs w:val="20"/>
        </w:rPr>
        <w:t>RALPH LAUREN CORPORATION</w:t>
      </w:r>
    </w:p>
    <w:p w14:paraId="2E65F27B" w14:textId="77777777" w:rsidR="00000000" w:rsidRDefault="00EE5306">
      <w:pPr>
        <w:jc w:val="center"/>
        <w:divId w:val="1928727743"/>
        <w:rPr>
          <w:rFonts w:eastAsia="Times New Roman"/>
        </w:rPr>
      </w:pPr>
      <w:r>
        <w:rPr>
          <w:rFonts w:eastAsia="Times New Roman"/>
          <w:b/>
          <w:bCs/>
          <w:color w:val="000000"/>
          <w:sz w:val="20"/>
          <w:szCs w:val="20"/>
        </w:rPr>
        <w:t>NOTES TO CONSOLIDATED FINANCIAL STATEMENTS (Continued)</w:t>
      </w:r>
    </w:p>
    <w:p w14:paraId="18143359" w14:textId="77777777" w:rsidR="00000000" w:rsidRDefault="00EE5306">
      <w:pPr>
        <w:ind w:hanging="540"/>
        <w:divId w:val="1744057904"/>
        <w:rPr>
          <w:rFonts w:eastAsia="Times New Roman"/>
        </w:rPr>
      </w:pPr>
      <w:r>
        <w:rPr>
          <w:rFonts w:eastAsia="Times New Roman"/>
          <w:b/>
          <w:bCs/>
          <w:color w:val="000000"/>
          <w:sz w:val="20"/>
          <w:szCs w:val="20"/>
        </w:rPr>
        <w:t>11.    Debt</w:t>
      </w:r>
    </w:p>
    <w:p w14:paraId="5A02AEED" w14:textId="77777777" w:rsidR="00000000" w:rsidRDefault="00EE5306">
      <w:pPr>
        <w:ind w:firstLine="540"/>
        <w:divId w:val="1537693019"/>
        <w:rPr>
          <w:rFonts w:eastAsia="Times New Roman"/>
        </w:rPr>
      </w:pPr>
      <w:r>
        <w:rPr>
          <w:rFonts w:eastAsia="Times New Roman"/>
          <w:color w:val="000000"/>
          <w:sz w:val="20"/>
          <w:szCs w:val="20"/>
        </w:rPr>
        <w:t>Debt consists of the following:</w:t>
      </w:r>
    </w:p>
    <w:tbl>
      <w:tblPr>
        <w:tblW w:w="4736" w:type="pct"/>
        <w:tblCellMar>
          <w:top w:w="15" w:type="dxa"/>
          <w:left w:w="15" w:type="dxa"/>
          <w:bottom w:w="15" w:type="dxa"/>
          <w:right w:w="15" w:type="dxa"/>
        </w:tblCellMar>
        <w:tblLook w:val="04A0" w:firstRow="1" w:lastRow="0" w:firstColumn="1" w:lastColumn="0" w:noHBand="0" w:noVBand="1"/>
      </w:tblPr>
      <w:tblGrid>
        <w:gridCol w:w="38"/>
        <w:gridCol w:w="5495"/>
        <w:gridCol w:w="37"/>
        <w:gridCol w:w="36"/>
        <w:gridCol w:w="36"/>
        <w:gridCol w:w="36"/>
        <w:gridCol w:w="120"/>
        <w:gridCol w:w="883"/>
        <w:gridCol w:w="36"/>
        <w:gridCol w:w="36"/>
        <w:gridCol w:w="36"/>
        <w:gridCol w:w="36"/>
        <w:gridCol w:w="121"/>
        <w:gridCol w:w="885"/>
        <w:gridCol w:w="36"/>
      </w:tblGrid>
      <w:tr w:rsidR="00000000" w14:paraId="76E86DFA" w14:textId="77777777">
        <w:trPr>
          <w:divId w:val="1962149272"/>
        </w:trPr>
        <w:tc>
          <w:tcPr>
            <w:tcW w:w="50" w:type="pct"/>
            <w:vAlign w:val="center"/>
            <w:hideMark/>
          </w:tcPr>
          <w:p w14:paraId="33FDB2E2" w14:textId="77777777" w:rsidR="00000000" w:rsidRDefault="00EE5306">
            <w:pPr>
              <w:ind w:firstLine="540"/>
              <w:rPr>
                <w:rFonts w:eastAsia="Times New Roman"/>
              </w:rPr>
            </w:pPr>
          </w:p>
        </w:tc>
        <w:tc>
          <w:tcPr>
            <w:tcW w:w="3525" w:type="pct"/>
            <w:vAlign w:val="center"/>
            <w:hideMark/>
          </w:tcPr>
          <w:p w14:paraId="26C45A73" w14:textId="77777777" w:rsidR="00000000" w:rsidRDefault="00EE5306">
            <w:pPr>
              <w:spacing w:after="100"/>
              <w:rPr>
                <w:rFonts w:eastAsia="Times New Roman"/>
                <w:sz w:val="20"/>
                <w:szCs w:val="20"/>
              </w:rPr>
            </w:pPr>
          </w:p>
        </w:tc>
        <w:tc>
          <w:tcPr>
            <w:tcW w:w="5" w:type="pct"/>
            <w:vAlign w:val="center"/>
            <w:hideMark/>
          </w:tcPr>
          <w:p w14:paraId="55CEB927" w14:textId="77777777" w:rsidR="00000000" w:rsidRDefault="00EE5306">
            <w:pPr>
              <w:spacing w:after="100"/>
              <w:rPr>
                <w:rFonts w:eastAsia="Times New Roman"/>
                <w:sz w:val="20"/>
                <w:szCs w:val="20"/>
              </w:rPr>
            </w:pPr>
          </w:p>
        </w:tc>
        <w:tc>
          <w:tcPr>
            <w:tcW w:w="5" w:type="pct"/>
            <w:vAlign w:val="center"/>
            <w:hideMark/>
          </w:tcPr>
          <w:p w14:paraId="76A20307" w14:textId="77777777" w:rsidR="00000000" w:rsidRDefault="00EE5306">
            <w:pPr>
              <w:spacing w:after="100"/>
              <w:rPr>
                <w:rFonts w:eastAsia="Times New Roman"/>
                <w:sz w:val="20"/>
                <w:szCs w:val="20"/>
              </w:rPr>
            </w:pPr>
          </w:p>
        </w:tc>
        <w:tc>
          <w:tcPr>
            <w:tcW w:w="28" w:type="pct"/>
            <w:vAlign w:val="center"/>
            <w:hideMark/>
          </w:tcPr>
          <w:p w14:paraId="405B1908" w14:textId="77777777" w:rsidR="00000000" w:rsidRDefault="00EE5306">
            <w:pPr>
              <w:spacing w:after="100"/>
              <w:rPr>
                <w:rFonts w:eastAsia="Times New Roman"/>
                <w:sz w:val="20"/>
                <w:szCs w:val="20"/>
              </w:rPr>
            </w:pPr>
          </w:p>
        </w:tc>
        <w:tc>
          <w:tcPr>
            <w:tcW w:w="5" w:type="pct"/>
            <w:vAlign w:val="center"/>
            <w:hideMark/>
          </w:tcPr>
          <w:p w14:paraId="01DC1A8E" w14:textId="77777777" w:rsidR="00000000" w:rsidRDefault="00EE5306">
            <w:pPr>
              <w:spacing w:after="100"/>
              <w:rPr>
                <w:rFonts w:eastAsia="Times New Roman"/>
                <w:sz w:val="20"/>
                <w:szCs w:val="20"/>
              </w:rPr>
            </w:pPr>
          </w:p>
        </w:tc>
        <w:tc>
          <w:tcPr>
            <w:tcW w:w="50" w:type="pct"/>
            <w:vAlign w:val="center"/>
            <w:hideMark/>
          </w:tcPr>
          <w:p w14:paraId="73F37A79" w14:textId="77777777" w:rsidR="00000000" w:rsidRDefault="00EE5306">
            <w:pPr>
              <w:spacing w:after="100"/>
              <w:rPr>
                <w:rFonts w:eastAsia="Times New Roman"/>
                <w:sz w:val="20"/>
                <w:szCs w:val="20"/>
              </w:rPr>
            </w:pPr>
          </w:p>
        </w:tc>
        <w:tc>
          <w:tcPr>
            <w:tcW w:w="616" w:type="pct"/>
            <w:vAlign w:val="center"/>
            <w:hideMark/>
          </w:tcPr>
          <w:p w14:paraId="5EAE5956" w14:textId="77777777" w:rsidR="00000000" w:rsidRDefault="00EE5306">
            <w:pPr>
              <w:spacing w:after="100"/>
              <w:rPr>
                <w:rFonts w:eastAsia="Times New Roman"/>
                <w:sz w:val="20"/>
                <w:szCs w:val="20"/>
              </w:rPr>
            </w:pPr>
          </w:p>
        </w:tc>
        <w:tc>
          <w:tcPr>
            <w:tcW w:w="5" w:type="pct"/>
            <w:vAlign w:val="center"/>
            <w:hideMark/>
          </w:tcPr>
          <w:p w14:paraId="61A61FDE" w14:textId="77777777" w:rsidR="00000000" w:rsidRDefault="00EE5306">
            <w:pPr>
              <w:spacing w:after="100"/>
              <w:rPr>
                <w:rFonts w:eastAsia="Times New Roman"/>
                <w:sz w:val="20"/>
                <w:szCs w:val="20"/>
              </w:rPr>
            </w:pPr>
          </w:p>
        </w:tc>
        <w:tc>
          <w:tcPr>
            <w:tcW w:w="5" w:type="pct"/>
            <w:vAlign w:val="center"/>
            <w:hideMark/>
          </w:tcPr>
          <w:p w14:paraId="3D216981" w14:textId="77777777" w:rsidR="00000000" w:rsidRDefault="00EE5306">
            <w:pPr>
              <w:spacing w:after="100"/>
              <w:rPr>
                <w:rFonts w:eastAsia="Times New Roman"/>
                <w:sz w:val="20"/>
                <w:szCs w:val="20"/>
              </w:rPr>
            </w:pPr>
          </w:p>
        </w:tc>
        <w:tc>
          <w:tcPr>
            <w:tcW w:w="28" w:type="pct"/>
            <w:vAlign w:val="center"/>
            <w:hideMark/>
          </w:tcPr>
          <w:p w14:paraId="45D95C3E" w14:textId="77777777" w:rsidR="00000000" w:rsidRDefault="00EE5306">
            <w:pPr>
              <w:spacing w:after="100"/>
              <w:rPr>
                <w:rFonts w:eastAsia="Times New Roman"/>
                <w:sz w:val="20"/>
                <w:szCs w:val="20"/>
              </w:rPr>
            </w:pPr>
          </w:p>
        </w:tc>
        <w:tc>
          <w:tcPr>
            <w:tcW w:w="5" w:type="pct"/>
            <w:vAlign w:val="center"/>
            <w:hideMark/>
          </w:tcPr>
          <w:p w14:paraId="3EB4A352" w14:textId="77777777" w:rsidR="00000000" w:rsidRDefault="00EE5306">
            <w:pPr>
              <w:spacing w:after="100"/>
              <w:rPr>
                <w:rFonts w:eastAsia="Times New Roman"/>
                <w:sz w:val="20"/>
                <w:szCs w:val="20"/>
              </w:rPr>
            </w:pPr>
          </w:p>
        </w:tc>
        <w:tc>
          <w:tcPr>
            <w:tcW w:w="50" w:type="pct"/>
            <w:vAlign w:val="center"/>
            <w:hideMark/>
          </w:tcPr>
          <w:p w14:paraId="32EA50BD" w14:textId="77777777" w:rsidR="00000000" w:rsidRDefault="00EE5306">
            <w:pPr>
              <w:spacing w:after="100"/>
              <w:rPr>
                <w:rFonts w:eastAsia="Times New Roman"/>
                <w:sz w:val="20"/>
                <w:szCs w:val="20"/>
              </w:rPr>
            </w:pPr>
          </w:p>
        </w:tc>
        <w:tc>
          <w:tcPr>
            <w:tcW w:w="616" w:type="pct"/>
            <w:vAlign w:val="center"/>
            <w:hideMark/>
          </w:tcPr>
          <w:p w14:paraId="6228353B" w14:textId="77777777" w:rsidR="00000000" w:rsidRDefault="00EE5306">
            <w:pPr>
              <w:spacing w:after="100"/>
              <w:rPr>
                <w:rFonts w:eastAsia="Times New Roman"/>
                <w:sz w:val="20"/>
                <w:szCs w:val="20"/>
              </w:rPr>
            </w:pPr>
          </w:p>
        </w:tc>
        <w:tc>
          <w:tcPr>
            <w:tcW w:w="5" w:type="pct"/>
            <w:vAlign w:val="center"/>
            <w:hideMark/>
          </w:tcPr>
          <w:p w14:paraId="3B8EF8B8" w14:textId="77777777" w:rsidR="00000000" w:rsidRDefault="00EE5306">
            <w:pPr>
              <w:spacing w:after="100"/>
              <w:rPr>
                <w:rFonts w:eastAsia="Times New Roman"/>
                <w:sz w:val="20"/>
                <w:szCs w:val="20"/>
              </w:rPr>
            </w:pPr>
          </w:p>
        </w:tc>
      </w:tr>
      <w:tr w:rsidR="00000000" w14:paraId="705575C6" w14:textId="77777777">
        <w:trPr>
          <w:divId w:val="1962149272"/>
        </w:trPr>
        <w:tc>
          <w:tcPr>
            <w:tcW w:w="0" w:type="auto"/>
            <w:gridSpan w:val="3"/>
            <w:tcMar>
              <w:top w:w="0" w:type="dxa"/>
              <w:left w:w="20" w:type="dxa"/>
              <w:bottom w:w="0" w:type="dxa"/>
              <w:right w:w="20" w:type="dxa"/>
            </w:tcMar>
            <w:vAlign w:val="center"/>
            <w:hideMark/>
          </w:tcPr>
          <w:p w14:paraId="4DD0066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93987B"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4D7D73"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2CD28BA8"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4446EA5"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221F0D5A" w14:textId="77777777">
        <w:trPr>
          <w:divId w:val="1962149272"/>
        </w:trPr>
        <w:tc>
          <w:tcPr>
            <w:tcW w:w="0" w:type="auto"/>
            <w:gridSpan w:val="3"/>
            <w:tcMar>
              <w:top w:w="0" w:type="dxa"/>
              <w:left w:w="20" w:type="dxa"/>
              <w:bottom w:w="0" w:type="dxa"/>
              <w:right w:w="20" w:type="dxa"/>
            </w:tcMar>
            <w:vAlign w:val="center"/>
            <w:hideMark/>
          </w:tcPr>
          <w:p w14:paraId="199411DC"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07DF22C" w14:textId="77777777" w:rsidR="00000000" w:rsidRDefault="00EE530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AC0663D"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6A2EFB08" w14:textId="77777777">
        <w:trPr>
          <w:divId w:val="1962149272"/>
        </w:trPr>
        <w:tc>
          <w:tcPr>
            <w:tcW w:w="0" w:type="auto"/>
            <w:gridSpan w:val="3"/>
            <w:shd w:val="clear" w:color="auto" w:fill="CCEEFF"/>
            <w:tcMar>
              <w:top w:w="30" w:type="dxa"/>
              <w:left w:w="20" w:type="dxa"/>
              <w:bottom w:w="30" w:type="dxa"/>
              <w:right w:w="20" w:type="dxa"/>
            </w:tcMar>
            <w:vAlign w:val="bottom"/>
            <w:hideMark/>
          </w:tcPr>
          <w:p w14:paraId="1C4FEB59" w14:textId="77777777" w:rsidR="00000000" w:rsidRDefault="00EE5306">
            <w:pPr>
              <w:spacing w:after="100"/>
              <w:divId w:val="389814661"/>
              <w:rPr>
                <w:rFonts w:eastAsia="Times New Roman"/>
              </w:rPr>
            </w:pPr>
            <w:r>
              <w:rPr>
                <w:rFonts w:eastAsia="Times New Roman"/>
                <w:color w:val="000000"/>
                <w:sz w:val="20"/>
                <w:szCs w:val="20"/>
              </w:rPr>
              <w:t>$300 million 2.625% Senior Note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1046AE8"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1861B4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0D03F56"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1AC55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0B70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4A520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39872B" w14:textId="77777777" w:rsidR="00000000" w:rsidRDefault="00EE5306">
            <w:pPr>
              <w:spacing w:after="100"/>
              <w:jc w:val="right"/>
              <w:rPr>
                <w:rFonts w:eastAsia="Times New Roman"/>
              </w:rPr>
            </w:pPr>
            <w:r>
              <w:rPr>
                <w:rFonts w:eastAsia="Times New Roman"/>
                <w:color w:val="000000"/>
                <w:sz w:val="20"/>
                <w:szCs w:val="20"/>
              </w:rPr>
              <w:t>299.6 </w:t>
            </w:r>
          </w:p>
        </w:tc>
        <w:tc>
          <w:tcPr>
            <w:tcW w:w="0" w:type="auto"/>
            <w:shd w:val="clear" w:color="auto" w:fill="CCEEFF"/>
            <w:tcMar>
              <w:top w:w="30" w:type="dxa"/>
              <w:left w:w="0" w:type="dxa"/>
              <w:bottom w:w="30" w:type="dxa"/>
              <w:right w:w="20" w:type="dxa"/>
            </w:tcMar>
            <w:vAlign w:val="bottom"/>
            <w:hideMark/>
          </w:tcPr>
          <w:p w14:paraId="52037867" w14:textId="77777777" w:rsidR="00000000" w:rsidRDefault="00EE5306">
            <w:pPr>
              <w:spacing w:after="100"/>
              <w:jc w:val="right"/>
              <w:rPr>
                <w:rFonts w:eastAsia="Times New Roman"/>
              </w:rPr>
            </w:pPr>
          </w:p>
        </w:tc>
      </w:tr>
      <w:tr w:rsidR="00000000" w14:paraId="4E5CE962" w14:textId="77777777">
        <w:trPr>
          <w:divId w:val="1962149272"/>
        </w:trPr>
        <w:tc>
          <w:tcPr>
            <w:tcW w:w="0" w:type="auto"/>
            <w:gridSpan w:val="3"/>
            <w:shd w:val="clear" w:color="auto" w:fill="FFFFFF"/>
            <w:tcMar>
              <w:top w:w="30" w:type="dxa"/>
              <w:left w:w="20" w:type="dxa"/>
              <w:bottom w:w="30" w:type="dxa"/>
              <w:right w:w="20" w:type="dxa"/>
            </w:tcMar>
            <w:vAlign w:val="bottom"/>
            <w:hideMark/>
          </w:tcPr>
          <w:p w14:paraId="2761462A" w14:textId="77777777" w:rsidR="00000000" w:rsidRDefault="00EE5306">
            <w:pPr>
              <w:spacing w:after="100"/>
              <w:divId w:val="364404070"/>
              <w:rPr>
                <w:rFonts w:eastAsia="Times New Roman"/>
              </w:rPr>
            </w:pPr>
            <w:r>
              <w:rPr>
                <w:rFonts w:eastAsia="Times New Roman"/>
                <w:color w:val="000000"/>
                <w:sz w:val="20"/>
                <w:szCs w:val="20"/>
              </w:rPr>
              <w:t>$400 million 3.750% Senior Note</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9CD6E15"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04F7A4" w14:textId="77777777" w:rsidR="00000000" w:rsidRDefault="00EE5306">
            <w:pPr>
              <w:spacing w:after="100"/>
              <w:jc w:val="right"/>
              <w:rPr>
                <w:rFonts w:eastAsia="Times New Roman"/>
              </w:rPr>
            </w:pPr>
            <w:r>
              <w:rPr>
                <w:rFonts w:eastAsia="Times New Roman"/>
                <w:color w:val="000000"/>
                <w:sz w:val="20"/>
                <w:szCs w:val="20"/>
              </w:rPr>
              <w:t>397.1 </w:t>
            </w:r>
          </w:p>
        </w:tc>
        <w:tc>
          <w:tcPr>
            <w:tcW w:w="0" w:type="auto"/>
            <w:shd w:val="clear" w:color="auto" w:fill="FFFFFF"/>
            <w:tcMar>
              <w:top w:w="30" w:type="dxa"/>
              <w:left w:w="0" w:type="dxa"/>
              <w:bottom w:w="30" w:type="dxa"/>
              <w:right w:w="20" w:type="dxa"/>
            </w:tcMar>
            <w:vAlign w:val="bottom"/>
            <w:hideMark/>
          </w:tcPr>
          <w:p w14:paraId="0E9D2A8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4DEE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98DCD3" w14:textId="77777777" w:rsidR="00000000" w:rsidRDefault="00EE5306">
            <w:pPr>
              <w:spacing w:after="100"/>
              <w:jc w:val="right"/>
              <w:rPr>
                <w:rFonts w:eastAsia="Times New Roman"/>
              </w:rPr>
            </w:pPr>
            <w:r>
              <w:rPr>
                <w:rFonts w:eastAsia="Times New Roman"/>
                <w:color w:val="000000"/>
                <w:sz w:val="20"/>
                <w:szCs w:val="20"/>
              </w:rPr>
              <w:t>396.4 </w:t>
            </w:r>
          </w:p>
        </w:tc>
        <w:tc>
          <w:tcPr>
            <w:tcW w:w="0" w:type="auto"/>
            <w:shd w:val="clear" w:color="auto" w:fill="FFFFFF"/>
            <w:tcMar>
              <w:top w:w="30" w:type="dxa"/>
              <w:left w:w="0" w:type="dxa"/>
              <w:bottom w:w="30" w:type="dxa"/>
              <w:right w:w="20" w:type="dxa"/>
            </w:tcMar>
            <w:vAlign w:val="bottom"/>
            <w:hideMark/>
          </w:tcPr>
          <w:p w14:paraId="175C635F" w14:textId="77777777" w:rsidR="00000000" w:rsidRDefault="00EE5306">
            <w:pPr>
              <w:spacing w:after="100"/>
              <w:jc w:val="right"/>
              <w:rPr>
                <w:rFonts w:eastAsia="Times New Roman"/>
              </w:rPr>
            </w:pPr>
          </w:p>
        </w:tc>
      </w:tr>
      <w:tr w:rsidR="00000000" w14:paraId="15F21AF1" w14:textId="77777777">
        <w:trPr>
          <w:divId w:val="1962149272"/>
        </w:trPr>
        <w:tc>
          <w:tcPr>
            <w:tcW w:w="0" w:type="auto"/>
            <w:gridSpan w:val="3"/>
            <w:shd w:val="clear" w:color="auto" w:fill="CCEEFF"/>
            <w:tcMar>
              <w:top w:w="30" w:type="dxa"/>
              <w:left w:w="20" w:type="dxa"/>
              <w:bottom w:w="30" w:type="dxa"/>
              <w:right w:w="20" w:type="dxa"/>
            </w:tcMar>
            <w:vAlign w:val="bottom"/>
            <w:hideMark/>
          </w:tcPr>
          <w:p w14:paraId="5D724571" w14:textId="77777777" w:rsidR="00000000" w:rsidRDefault="00EE5306">
            <w:pPr>
              <w:spacing w:after="100"/>
              <w:divId w:val="958727360"/>
              <w:rPr>
                <w:rFonts w:eastAsia="Times New Roman"/>
              </w:rPr>
            </w:pPr>
            <w:r>
              <w:rPr>
                <w:rFonts w:eastAsia="Times New Roman"/>
                <w:color w:val="000000"/>
                <w:sz w:val="20"/>
                <w:szCs w:val="20"/>
              </w:rPr>
              <w:t>$500 million 1.700% Senior Note</w:t>
            </w:r>
            <w:r>
              <w:rPr>
                <w:rFonts w:eastAsia="Times New Roman"/>
                <w:color w:val="000000"/>
                <w:sz w:val="20"/>
                <w:szCs w:val="20"/>
              </w:rPr>
              <w:t>s</w:t>
            </w:r>
            <w:r>
              <w:rPr>
                <w:rFonts w:eastAsia="Times New Roman"/>
                <w:b/>
                <w:bCs/>
                <w:color w:val="000000"/>
                <w:sz w:val="13"/>
                <w:szCs w:val="13"/>
              </w:rPr>
              <w:t>(c</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3DEEF06"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846D08" w14:textId="77777777" w:rsidR="00000000" w:rsidRDefault="00EE5306">
            <w:pPr>
              <w:spacing w:after="100"/>
              <w:jc w:val="right"/>
              <w:rPr>
                <w:rFonts w:eastAsia="Times New Roman"/>
              </w:rPr>
            </w:pPr>
            <w:r>
              <w:rPr>
                <w:rFonts w:eastAsia="Times New Roman"/>
                <w:color w:val="000000"/>
                <w:sz w:val="20"/>
                <w:szCs w:val="20"/>
              </w:rPr>
              <w:t>498.4 </w:t>
            </w:r>
          </w:p>
        </w:tc>
        <w:tc>
          <w:tcPr>
            <w:tcW w:w="0" w:type="auto"/>
            <w:shd w:val="clear" w:color="auto" w:fill="CCEEFF"/>
            <w:tcMar>
              <w:top w:w="30" w:type="dxa"/>
              <w:left w:w="0" w:type="dxa"/>
              <w:bottom w:w="30" w:type="dxa"/>
              <w:right w:w="20" w:type="dxa"/>
            </w:tcMar>
            <w:vAlign w:val="bottom"/>
            <w:hideMark/>
          </w:tcPr>
          <w:p w14:paraId="65579A0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DF63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9C2BE5"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4CD0C6" w14:textId="77777777" w:rsidR="00000000" w:rsidRDefault="00EE5306">
            <w:pPr>
              <w:spacing w:after="100"/>
              <w:jc w:val="right"/>
              <w:rPr>
                <w:rFonts w:eastAsia="Times New Roman"/>
              </w:rPr>
            </w:pPr>
          </w:p>
        </w:tc>
      </w:tr>
      <w:tr w:rsidR="00000000" w14:paraId="7B2F9D71" w14:textId="77777777">
        <w:trPr>
          <w:divId w:val="1962149272"/>
        </w:trPr>
        <w:tc>
          <w:tcPr>
            <w:tcW w:w="0" w:type="auto"/>
            <w:gridSpan w:val="3"/>
            <w:shd w:val="clear" w:color="auto" w:fill="FFFFFF"/>
            <w:tcMar>
              <w:top w:w="30" w:type="dxa"/>
              <w:left w:w="20" w:type="dxa"/>
              <w:bottom w:w="30" w:type="dxa"/>
              <w:right w:w="20" w:type="dxa"/>
            </w:tcMar>
            <w:vAlign w:val="bottom"/>
            <w:hideMark/>
          </w:tcPr>
          <w:p w14:paraId="04004F52" w14:textId="77777777" w:rsidR="00000000" w:rsidRDefault="00EE5306">
            <w:pPr>
              <w:spacing w:after="100"/>
              <w:divId w:val="1415663705"/>
              <w:rPr>
                <w:rFonts w:eastAsia="Times New Roman"/>
              </w:rPr>
            </w:pPr>
            <w:r>
              <w:rPr>
                <w:rFonts w:eastAsia="Times New Roman"/>
                <w:color w:val="000000"/>
                <w:sz w:val="20"/>
                <w:szCs w:val="20"/>
              </w:rPr>
              <w:t>$750 million 2.950% Senior Note</w:t>
            </w:r>
            <w:r>
              <w:rPr>
                <w:rFonts w:eastAsia="Times New Roman"/>
                <w:color w:val="000000"/>
                <w:sz w:val="20"/>
                <w:szCs w:val="20"/>
              </w:rPr>
              <w:t>s</w:t>
            </w:r>
            <w:r>
              <w:rPr>
                <w:rFonts w:eastAsia="Times New Roman"/>
                <w:b/>
                <w:bCs/>
                <w:color w:val="000000"/>
                <w:sz w:val="13"/>
                <w:szCs w:val="13"/>
              </w:rPr>
              <w:t>(d</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AEFA00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DA2E70" w14:textId="77777777" w:rsidR="00000000" w:rsidRDefault="00EE5306">
            <w:pPr>
              <w:spacing w:after="100"/>
              <w:jc w:val="right"/>
              <w:rPr>
                <w:rFonts w:eastAsia="Times New Roman"/>
              </w:rPr>
            </w:pPr>
            <w:r>
              <w:rPr>
                <w:rFonts w:eastAsia="Times New Roman"/>
                <w:color w:val="000000"/>
                <w:sz w:val="20"/>
                <w:szCs w:val="20"/>
              </w:rPr>
              <w:t>737.4 </w:t>
            </w:r>
          </w:p>
        </w:tc>
        <w:tc>
          <w:tcPr>
            <w:tcW w:w="0" w:type="auto"/>
            <w:shd w:val="clear" w:color="auto" w:fill="FFFFFF"/>
            <w:tcMar>
              <w:top w:w="30" w:type="dxa"/>
              <w:left w:w="0" w:type="dxa"/>
              <w:bottom w:w="30" w:type="dxa"/>
              <w:right w:w="20" w:type="dxa"/>
            </w:tcMar>
            <w:vAlign w:val="bottom"/>
            <w:hideMark/>
          </w:tcPr>
          <w:p w14:paraId="4E3463F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CD0E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80323"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3D5D44" w14:textId="77777777" w:rsidR="00000000" w:rsidRDefault="00EE5306">
            <w:pPr>
              <w:spacing w:after="100"/>
              <w:jc w:val="right"/>
              <w:rPr>
                <w:rFonts w:eastAsia="Times New Roman"/>
              </w:rPr>
            </w:pPr>
          </w:p>
        </w:tc>
      </w:tr>
      <w:tr w:rsidR="00000000" w14:paraId="229BA99C" w14:textId="77777777">
        <w:trPr>
          <w:divId w:val="1962149272"/>
        </w:trPr>
        <w:tc>
          <w:tcPr>
            <w:tcW w:w="0" w:type="auto"/>
            <w:gridSpan w:val="3"/>
            <w:shd w:val="clear" w:color="auto" w:fill="CCEEFF"/>
            <w:tcMar>
              <w:top w:w="30" w:type="dxa"/>
              <w:left w:w="20" w:type="dxa"/>
              <w:bottom w:w="30" w:type="dxa"/>
              <w:right w:w="20" w:type="dxa"/>
            </w:tcMar>
            <w:vAlign w:val="bottom"/>
            <w:hideMark/>
          </w:tcPr>
          <w:p w14:paraId="6CB7EA8A" w14:textId="77777777" w:rsidR="00000000" w:rsidRDefault="00EE5306">
            <w:pPr>
              <w:spacing w:after="100"/>
              <w:rPr>
                <w:rFonts w:eastAsia="Times New Roman"/>
              </w:rPr>
            </w:pPr>
            <w:r>
              <w:rPr>
                <w:rFonts w:eastAsia="Times New Roman"/>
                <w:color w:val="000000"/>
                <w:sz w:val="20"/>
                <w:szCs w:val="20"/>
              </w:rPr>
              <w:t>Borrowings outstanding under credit facilities</w:t>
            </w:r>
          </w:p>
        </w:tc>
        <w:tc>
          <w:tcPr>
            <w:tcW w:w="0" w:type="auto"/>
            <w:gridSpan w:val="3"/>
            <w:shd w:val="clear" w:color="auto" w:fill="CCEEFF"/>
            <w:tcMar>
              <w:top w:w="0" w:type="dxa"/>
              <w:left w:w="20" w:type="dxa"/>
              <w:bottom w:w="0" w:type="dxa"/>
              <w:right w:w="20" w:type="dxa"/>
            </w:tcMar>
            <w:vAlign w:val="center"/>
            <w:hideMark/>
          </w:tcPr>
          <w:p w14:paraId="66AD9EF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B7C2FE"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C067A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4982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5D0195" w14:textId="77777777" w:rsidR="00000000" w:rsidRDefault="00EE5306">
            <w:pPr>
              <w:spacing w:after="100"/>
              <w:jc w:val="right"/>
              <w:rPr>
                <w:rFonts w:eastAsia="Times New Roman"/>
              </w:rPr>
            </w:pPr>
            <w:r>
              <w:rPr>
                <w:rFonts w:eastAsia="Times New Roman"/>
                <w:color w:val="000000"/>
                <w:sz w:val="20"/>
                <w:szCs w:val="20"/>
              </w:rPr>
              <w:t>475.0 </w:t>
            </w:r>
          </w:p>
        </w:tc>
        <w:tc>
          <w:tcPr>
            <w:tcW w:w="0" w:type="auto"/>
            <w:shd w:val="clear" w:color="auto" w:fill="CCEEFF"/>
            <w:tcMar>
              <w:top w:w="30" w:type="dxa"/>
              <w:left w:w="0" w:type="dxa"/>
              <w:bottom w:w="30" w:type="dxa"/>
              <w:right w:w="20" w:type="dxa"/>
            </w:tcMar>
            <w:vAlign w:val="bottom"/>
            <w:hideMark/>
          </w:tcPr>
          <w:p w14:paraId="14127192" w14:textId="77777777" w:rsidR="00000000" w:rsidRDefault="00EE5306">
            <w:pPr>
              <w:spacing w:after="100"/>
              <w:jc w:val="right"/>
              <w:rPr>
                <w:rFonts w:eastAsia="Times New Roman"/>
              </w:rPr>
            </w:pPr>
          </w:p>
        </w:tc>
      </w:tr>
      <w:tr w:rsidR="00000000" w14:paraId="6C47AA9A" w14:textId="77777777">
        <w:trPr>
          <w:divId w:val="1962149272"/>
        </w:trPr>
        <w:tc>
          <w:tcPr>
            <w:tcW w:w="0" w:type="auto"/>
            <w:gridSpan w:val="3"/>
            <w:shd w:val="clear" w:color="auto" w:fill="FFFFFF"/>
            <w:tcMar>
              <w:top w:w="30" w:type="dxa"/>
              <w:left w:w="155" w:type="dxa"/>
              <w:bottom w:w="30" w:type="dxa"/>
              <w:right w:w="20" w:type="dxa"/>
            </w:tcMar>
            <w:vAlign w:val="bottom"/>
            <w:hideMark/>
          </w:tcPr>
          <w:p w14:paraId="48C688A8" w14:textId="77777777" w:rsidR="00000000" w:rsidRDefault="00EE5306">
            <w:pPr>
              <w:spacing w:after="100"/>
              <w:rPr>
                <w:rFonts w:eastAsia="Times New Roman"/>
              </w:rPr>
            </w:pPr>
            <w:r>
              <w:rPr>
                <w:rFonts w:eastAsia="Times New Roman"/>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14:paraId="03757DB6"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645914" w14:textId="77777777" w:rsidR="00000000" w:rsidRDefault="00EE5306">
            <w:pPr>
              <w:spacing w:after="100"/>
              <w:jc w:val="right"/>
              <w:rPr>
                <w:rFonts w:eastAsia="Times New Roman"/>
              </w:rPr>
            </w:pPr>
            <w:r>
              <w:rPr>
                <w:rFonts w:eastAsia="Times New Roman"/>
                <w:color w:val="000000"/>
                <w:sz w:val="20"/>
                <w:szCs w:val="20"/>
              </w:rPr>
              <w:t>1,632.9 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BA235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9A61B"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961ED2" w14:textId="77777777" w:rsidR="00000000" w:rsidRDefault="00EE5306">
            <w:pPr>
              <w:spacing w:after="100"/>
              <w:jc w:val="right"/>
              <w:rPr>
                <w:rFonts w:eastAsia="Times New Roman"/>
              </w:rPr>
            </w:pPr>
            <w:r>
              <w:rPr>
                <w:rFonts w:eastAsia="Times New Roman"/>
                <w:color w:val="000000"/>
                <w:sz w:val="20"/>
                <w:szCs w:val="20"/>
              </w:rPr>
              <w:t>1,171.0 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291CEE" w14:textId="77777777" w:rsidR="00000000" w:rsidRDefault="00EE5306">
            <w:pPr>
              <w:spacing w:after="100"/>
              <w:jc w:val="right"/>
              <w:rPr>
                <w:rFonts w:eastAsia="Times New Roman"/>
              </w:rPr>
            </w:pPr>
          </w:p>
        </w:tc>
      </w:tr>
      <w:tr w:rsidR="00000000" w14:paraId="5C3BE4AC" w14:textId="77777777">
        <w:trPr>
          <w:divId w:val="1962149272"/>
        </w:trPr>
        <w:tc>
          <w:tcPr>
            <w:tcW w:w="0" w:type="auto"/>
            <w:gridSpan w:val="3"/>
            <w:shd w:val="clear" w:color="auto" w:fill="CCEEFF"/>
            <w:tcMar>
              <w:top w:w="30" w:type="dxa"/>
              <w:left w:w="20" w:type="dxa"/>
              <w:bottom w:w="30" w:type="dxa"/>
              <w:right w:w="20" w:type="dxa"/>
            </w:tcMar>
            <w:vAlign w:val="bottom"/>
            <w:hideMark/>
          </w:tcPr>
          <w:p w14:paraId="1468D57A" w14:textId="77777777" w:rsidR="00000000" w:rsidRDefault="00EE5306">
            <w:pPr>
              <w:spacing w:after="100"/>
              <w:rPr>
                <w:rFonts w:eastAsia="Times New Roman"/>
              </w:rPr>
            </w:pPr>
            <w:r>
              <w:rPr>
                <w:rFonts w:eastAsia="Times New Roman"/>
                <w:color w:val="000000"/>
                <w:sz w:val="20"/>
                <w:szCs w:val="20"/>
              </w:rPr>
              <w:t>Less: short-term debt and current portion of long-term debt</w:t>
            </w:r>
          </w:p>
        </w:tc>
        <w:tc>
          <w:tcPr>
            <w:tcW w:w="0" w:type="auto"/>
            <w:gridSpan w:val="3"/>
            <w:shd w:val="clear" w:color="auto" w:fill="CCEEFF"/>
            <w:tcMar>
              <w:top w:w="0" w:type="dxa"/>
              <w:left w:w="20" w:type="dxa"/>
              <w:bottom w:w="0" w:type="dxa"/>
              <w:right w:w="20" w:type="dxa"/>
            </w:tcMar>
            <w:vAlign w:val="center"/>
            <w:hideMark/>
          </w:tcPr>
          <w:p w14:paraId="14D262C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24C56F"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B71C4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C57BC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2B72C3" w14:textId="77777777" w:rsidR="00000000" w:rsidRDefault="00EE5306">
            <w:pPr>
              <w:spacing w:after="100"/>
              <w:jc w:val="right"/>
              <w:rPr>
                <w:rFonts w:eastAsia="Times New Roman"/>
              </w:rPr>
            </w:pPr>
            <w:r>
              <w:rPr>
                <w:rFonts w:eastAsia="Times New Roman"/>
                <w:color w:val="000000"/>
                <w:sz w:val="20"/>
                <w:szCs w:val="20"/>
              </w:rPr>
              <w:t>774.6 </w:t>
            </w:r>
          </w:p>
        </w:tc>
        <w:tc>
          <w:tcPr>
            <w:tcW w:w="0" w:type="auto"/>
            <w:shd w:val="clear" w:color="auto" w:fill="CCEEFF"/>
            <w:tcMar>
              <w:top w:w="30" w:type="dxa"/>
              <w:left w:w="0" w:type="dxa"/>
              <w:bottom w:w="30" w:type="dxa"/>
              <w:right w:w="20" w:type="dxa"/>
            </w:tcMar>
            <w:vAlign w:val="bottom"/>
            <w:hideMark/>
          </w:tcPr>
          <w:p w14:paraId="1EDE9662" w14:textId="77777777" w:rsidR="00000000" w:rsidRDefault="00EE5306">
            <w:pPr>
              <w:spacing w:after="100"/>
              <w:jc w:val="right"/>
              <w:rPr>
                <w:rFonts w:eastAsia="Times New Roman"/>
              </w:rPr>
            </w:pPr>
          </w:p>
        </w:tc>
      </w:tr>
      <w:tr w:rsidR="00000000" w14:paraId="243B2308" w14:textId="77777777">
        <w:trPr>
          <w:divId w:val="1962149272"/>
        </w:trPr>
        <w:tc>
          <w:tcPr>
            <w:tcW w:w="0" w:type="auto"/>
            <w:gridSpan w:val="3"/>
            <w:shd w:val="clear" w:color="auto" w:fill="FFFFFF"/>
            <w:tcMar>
              <w:top w:w="30" w:type="dxa"/>
              <w:left w:w="155" w:type="dxa"/>
              <w:bottom w:w="30" w:type="dxa"/>
              <w:right w:w="20" w:type="dxa"/>
            </w:tcMar>
            <w:vAlign w:val="bottom"/>
            <w:hideMark/>
          </w:tcPr>
          <w:p w14:paraId="00C087BC" w14:textId="77777777" w:rsidR="00000000" w:rsidRDefault="00EE5306">
            <w:pPr>
              <w:spacing w:after="100"/>
              <w:rPr>
                <w:rFonts w:eastAsia="Times New Roman"/>
              </w:rPr>
            </w:pPr>
            <w:r>
              <w:rPr>
                <w:rFonts w:eastAsia="Times New Roman"/>
                <w:color w:val="000000"/>
                <w:sz w:val="20"/>
                <w:szCs w:val="20"/>
              </w:rPr>
              <w:t>Total long-term debt</w:t>
            </w:r>
          </w:p>
        </w:tc>
        <w:tc>
          <w:tcPr>
            <w:tcW w:w="0" w:type="auto"/>
            <w:gridSpan w:val="3"/>
            <w:shd w:val="clear" w:color="auto" w:fill="FFFFFF"/>
            <w:tcMar>
              <w:top w:w="0" w:type="dxa"/>
              <w:left w:w="20" w:type="dxa"/>
              <w:bottom w:w="0" w:type="dxa"/>
              <w:right w:w="20" w:type="dxa"/>
            </w:tcMar>
            <w:vAlign w:val="center"/>
            <w:hideMark/>
          </w:tcPr>
          <w:p w14:paraId="7523E453"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FB4AB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6E8947" w14:textId="77777777" w:rsidR="00000000" w:rsidRDefault="00EE5306">
            <w:pPr>
              <w:spacing w:after="100"/>
              <w:jc w:val="right"/>
              <w:rPr>
                <w:rFonts w:eastAsia="Times New Roman"/>
              </w:rPr>
            </w:pPr>
            <w:r>
              <w:rPr>
                <w:rFonts w:eastAsia="Times New Roman"/>
                <w:color w:val="000000"/>
                <w:sz w:val="20"/>
                <w:szCs w:val="20"/>
              </w:rPr>
              <w:t>1,632.9 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953C3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2DDA6"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6DE57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092754" w14:textId="77777777" w:rsidR="00000000" w:rsidRDefault="00EE5306">
            <w:pPr>
              <w:spacing w:after="100"/>
              <w:jc w:val="right"/>
              <w:rPr>
                <w:rFonts w:eastAsia="Times New Roman"/>
              </w:rPr>
            </w:pPr>
            <w:r>
              <w:rPr>
                <w:rFonts w:eastAsia="Times New Roman"/>
                <w:color w:val="000000"/>
                <w:sz w:val="20"/>
                <w:szCs w:val="20"/>
              </w:rPr>
              <w:t>396.4 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36893A"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7867DB25" w14:textId="77777777">
        <w:tc>
          <w:tcPr>
            <w:tcW w:w="50" w:type="pct"/>
            <w:vAlign w:val="center"/>
            <w:hideMark/>
          </w:tcPr>
          <w:p w14:paraId="0BBB9CCA" w14:textId="77777777" w:rsidR="00000000" w:rsidRDefault="00EE5306">
            <w:pPr>
              <w:rPr>
                <w:rFonts w:eastAsia="Times New Roman"/>
              </w:rPr>
            </w:pPr>
          </w:p>
        </w:tc>
        <w:tc>
          <w:tcPr>
            <w:tcW w:w="4945" w:type="pct"/>
            <w:vAlign w:val="center"/>
            <w:hideMark/>
          </w:tcPr>
          <w:p w14:paraId="377A96CF" w14:textId="77777777" w:rsidR="00000000" w:rsidRDefault="00EE5306">
            <w:pPr>
              <w:spacing w:after="100"/>
              <w:rPr>
                <w:rFonts w:eastAsia="Times New Roman"/>
                <w:sz w:val="20"/>
                <w:szCs w:val="20"/>
              </w:rPr>
            </w:pPr>
          </w:p>
        </w:tc>
        <w:tc>
          <w:tcPr>
            <w:tcW w:w="5" w:type="pct"/>
            <w:vAlign w:val="center"/>
            <w:hideMark/>
          </w:tcPr>
          <w:p w14:paraId="74F865D7" w14:textId="77777777" w:rsidR="00000000" w:rsidRDefault="00EE5306">
            <w:pPr>
              <w:spacing w:after="100"/>
              <w:rPr>
                <w:rFonts w:eastAsia="Times New Roman"/>
                <w:sz w:val="20"/>
                <w:szCs w:val="20"/>
              </w:rPr>
            </w:pPr>
          </w:p>
        </w:tc>
      </w:tr>
      <w:tr w:rsidR="00000000" w14:paraId="49A4A162"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434F05F7" w14:textId="77777777" w:rsidR="00000000" w:rsidRDefault="00EE5306">
            <w:pPr>
              <w:spacing w:after="100"/>
              <w:rPr>
                <w:rFonts w:eastAsia="Times New Roman"/>
                <w:sz w:val="20"/>
                <w:szCs w:val="20"/>
              </w:rPr>
            </w:pPr>
          </w:p>
        </w:tc>
      </w:tr>
    </w:tbl>
    <w:p w14:paraId="4BCFFF79" w14:textId="77777777" w:rsidR="00000000" w:rsidRDefault="00EE5306">
      <w:pPr>
        <w:rPr>
          <w:rFonts w:eastAsia="Times New Roman"/>
        </w:rPr>
      </w:pPr>
      <w:r>
        <w:rPr>
          <w:rFonts w:eastAsia="Times New Roman"/>
          <w:color w:val="000000"/>
          <w:sz w:val="20"/>
          <w:szCs w:val="20"/>
        </w:rPr>
        <w:t> </w:t>
      </w:r>
    </w:p>
    <w:p w14:paraId="05889AC1" w14:textId="77777777" w:rsidR="00000000" w:rsidRDefault="00EE5306">
      <w:pPr>
        <w:ind w:hanging="360"/>
        <w:jc w:val="both"/>
        <w:divId w:val="445782706"/>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The carrying value of the 2.625% Senior Notes as of March </w:t>
      </w:r>
      <w:r>
        <w:rPr>
          <w:rFonts w:eastAsia="Times New Roman"/>
          <w:color w:val="000000"/>
          <w:sz w:val="20"/>
          <w:szCs w:val="20"/>
        </w:rPr>
        <w:t>28, 2020 is presented net of unamortized debt issuance costs and original issue discount of $0.2 million and also reflects an adjustment of $0.2 million associated with a related interest rate swap contract (see Note 13).</w:t>
      </w:r>
    </w:p>
    <w:p w14:paraId="64A590C3" w14:textId="77777777" w:rsidR="00000000" w:rsidRDefault="00EE5306">
      <w:pPr>
        <w:ind w:hanging="360"/>
        <w:jc w:val="both"/>
        <w:divId w:val="630522333"/>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The carrying value of the 3.750</w:t>
      </w:r>
      <w:r>
        <w:rPr>
          <w:rFonts w:eastAsia="Times New Roman"/>
          <w:color w:val="000000"/>
          <w:sz w:val="20"/>
          <w:szCs w:val="20"/>
        </w:rPr>
        <w:t>% Senior Notes is presented net of unamortized debt issuance costs and original issue discount of $2.9 million and $3.6 million as of March 27, 2021 and March 28, 2020, respectively.</w:t>
      </w:r>
    </w:p>
    <w:p w14:paraId="3EAF80F3" w14:textId="77777777" w:rsidR="00000000" w:rsidRDefault="00EE5306">
      <w:pPr>
        <w:ind w:hanging="360"/>
        <w:jc w:val="both"/>
        <w:divId w:val="376201050"/>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The carrying value of the 1.700% Senior Notes is presented net of unam</w:t>
      </w:r>
      <w:r>
        <w:rPr>
          <w:rFonts w:eastAsia="Times New Roman"/>
          <w:color w:val="000000"/>
          <w:sz w:val="20"/>
          <w:szCs w:val="20"/>
        </w:rPr>
        <w:t>ortized debt issuance costs and original issue discount of $1.6 million as of March 27, 2021.</w:t>
      </w:r>
    </w:p>
    <w:p w14:paraId="6DF2CAA2" w14:textId="77777777" w:rsidR="00000000" w:rsidRDefault="00EE5306">
      <w:pPr>
        <w:ind w:hanging="360"/>
        <w:jc w:val="both"/>
        <w:divId w:val="756441502"/>
        <w:rPr>
          <w:rFonts w:eastAsia="Times New Roman"/>
        </w:rPr>
      </w:pPr>
      <w:r>
        <w:rPr>
          <w:rFonts w:eastAsia="Times New Roman"/>
          <w:b/>
          <w:bCs/>
          <w:color w:val="000000"/>
          <w:sz w:val="13"/>
          <w:szCs w:val="13"/>
        </w:rPr>
        <w:t>(d</w:t>
      </w:r>
      <w:r>
        <w:rPr>
          <w:rFonts w:eastAsia="Times New Roman"/>
          <w:b/>
          <w:bCs/>
          <w:color w:val="000000"/>
          <w:sz w:val="13"/>
          <w:szCs w:val="13"/>
        </w:rPr>
        <w:t>)</w:t>
      </w:r>
      <w:r>
        <w:rPr>
          <w:rFonts w:eastAsia="Times New Roman"/>
          <w:color w:val="000000"/>
          <w:sz w:val="20"/>
          <w:szCs w:val="20"/>
        </w:rPr>
        <w:t xml:space="preserve">The carrying value of the 2.950% Senior Notes is presented net of unamortized debt issuance costs and original issue discount of $12.6 million as of March 27, </w:t>
      </w:r>
      <w:r>
        <w:rPr>
          <w:rFonts w:eastAsia="Times New Roman"/>
          <w:color w:val="000000"/>
          <w:sz w:val="20"/>
          <w:szCs w:val="20"/>
        </w:rPr>
        <w:t>2021.</w:t>
      </w:r>
    </w:p>
    <w:p w14:paraId="16549952" w14:textId="77777777" w:rsidR="00000000" w:rsidRDefault="00EE5306">
      <w:pPr>
        <w:ind w:firstLine="360"/>
        <w:divId w:val="2112898039"/>
        <w:rPr>
          <w:rFonts w:eastAsia="Times New Roman"/>
        </w:rPr>
      </w:pPr>
      <w:r>
        <w:rPr>
          <w:rFonts w:eastAsia="Times New Roman"/>
          <w:b/>
          <w:bCs/>
          <w:i/>
          <w:iCs/>
          <w:color w:val="000000"/>
          <w:sz w:val="20"/>
          <w:szCs w:val="20"/>
        </w:rPr>
        <w:t>Senior Notes</w:t>
      </w:r>
    </w:p>
    <w:p w14:paraId="468AAAFE" w14:textId="77777777" w:rsidR="00000000" w:rsidRDefault="00EE5306">
      <w:pPr>
        <w:ind w:firstLine="540"/>
        <w:jc w:val="both"/>
        <w:divId w:val="105127140"/>
        <w:rPr>
          <w:rFonts w:eastAsia="Times New Roman"/>
        </w:rPr>
      </w:pPr>
      <w:r>
        <w:rPr>
          <w:rFonts w:eastAsia="Times New Roman"/>
          <w:color w:val="000000"/>
          <w:sz w:val="20"/>
          <w:szCs w:val="20"/>
        </w:rPr>
        <w:t>In August 2018, the Company completed a registered public debt offering and issued $400 million aggregate principal amount of unsecured senior notes due September 15, 2025</w:t>
      </w:r>
      <w:r>
        <w:rPr>
          <w:rFonts w:eastAsia="Times New Roman"/>
          <w:color w:val="000000"/>
          <w:sz w:val="20"/>
          <w:szCs w:val="20"/>
        </w:rPr>
        <w:t>, which bear interest at a fixed rate of 3.750%, payable semi-annually (the "3.750% Senior Notes"). The 3.750% Senior Notes were issued at a price equal to 99.521% of their principal amount. The proceeds from this offering were used for general corporate p</w:t>
      </w:r>
      <w:r>
        <w:rPr>
          <w:rFonts w:eastAsia="Times New Roman"/>
          <w:color w:val="000000"/>
          <w:sz w:val="20"/>
          <w:szCs w:val="20"/>
        </w:rPr>
        <w:t>urposes, including repayment of the Company's previously outstanding $300 million principal amount of unsecured 2.125% senior notes that matured September 26, 2018 (the "2.125% Senior Notes").</w:t>
      </w:r>
    </w:p>
    <w:p w14:paraId="50CEA1B2" w14:textId="77777777" w:rsidR="00000000" w:rsidRDefault="00EE5306">
      <w:pPr>
        <w:ind w:firstLine="540"/>
        <w:jc w:val="both"/>
        <w:divId w:val="1802267267"/>
        <w:rPr>
          <w:rFonts w:eastAsia="Times New Roman"/>
        </w:rPr>
      </w:pPr>
      <w:r>
        <w:rPr>
          <w:rFonts w:eastAsia="Times New Roman"/>
          <w:color w:val="000000"/>
          <w:sz w:val="20"/>
          <w:szCs w:val="20"/>
        </w:rPr>
        <w:t>In June 2020, the Company completed another registered public d</w:t>
      </w:r>
      <w:r>
        <w:rPr>
          <w:rFonts w:eastAsia="Times New Roman"/>
          <w:color w:val="000000"/>
          <w:sz w:val="20"/>
          <w:szCs w:val="20"/>
        </w:rPr>
        <w:t>ebt offering and issued an additional $500 million aggregate principal amount of unsecured senior notes due June 15, 2022, which bear interest at a fixed rate of 1.700%, payable semi-annually (the "1.700% Senior Notes"), and $750 million aggregate principa</w:t>
      </w:r>
      <w:r>
        <w:rPr>
          <w:rFonts w:eastAsia="Times New Roman"/>
          <w:color w:val="000000"/>
          <w:sz w:val="20"/>
          <w:szCs w:val="20"/>
        </w:rPr>
        <w:t>l amount of unsecured senior notes due June 15, 2030, which bear interest at a fixed rate of 2.950%, payable semi-annually (the "2.950% Senior Notes"). The 1.700% Senior Notes and 2.950% Senior Notes were issued at prices equal to 99.880% and 98.995% of th</w:t>
      </w:r>
      <w:r>
        <w:rPr>
          <w:rFonts w:eastAsia="Times New Roman"/>
          <w:color w:val="000000"/>
          <w:sz w:val="20"/>
          <w:szCs w:val="20"/>
        </w:rPr>
        <w:t xml:space="preserve">eir principal amounts, respectively. The proceeds from these offerings are being used for general corporate purposes, which included the repayment of $475 million previously outstanding under the Company's Global Credit Facility (as defined below) on June </w:t>
      </w:r>
      <w:r>
        <w:rPr>
          <w:rFonts w:eastAsia="Times New Roman"/>
          <w:color w:val="000000"/>
          <w:sz w:val="20"/>
          <w:szCs w:val="20"/>
        </w:rPr>
        <w:t>3, 2020 and repayment of its previously outstanding $300 million principal amount of unsecured 2.625% senior notes that matured August 18, 2020 (the "2.625% Senior Notes").</w:t>
      </w:r>
    </w:p>
    <w:p w14:paraId="221E182F" w14:textId="77777777" w:rsidR="00000000" w:rsidRDefault="00EE5306">
      <w:pPr>
        <w:ind w:firstLine="540"/>
        <w:jc w:val="both"/>
        <w:divId w:val="1049957545"/>
        <w:rPr>
          <w:rFonts w:eastAsia="Times New Roman"/>
        </w:rPr>
      </w:pPr>
      <w:r>
        <w:rPr>
          <w:rFonts w:eastAsia="Times New Roman"/>
          <w:color w:val="000000"/>
          <w:sz w:val="20"/>
          <w:szCs w:val="20"/>
        </w:rPr>
        <w:t xml:space="preserve">The Company has the option to redeem the 3.750% Senior Notes, 1.700% Senior Notes, </w:t>
      </w:r>
      <w:r>
        <w:rPr>
          <w:rFonts w:eastAsia="Times New Roman"/>
          <w:color w:val="000000"/>
          <w:sz w:val="20"/>
          <w:szCs w:val="20"/>
        </w:rPr>
        <w:t>and 2.950% Senior Notes (collectively, the "Senior Notes"), in whole or in part, at any time at a price equal to accrued and unpaid interest on the redemption date plus the greater of (i) 100% of the principal amount of the series of Senior Notes to be red</w:t>
      </w:r>
      <w:r>
        <w:rPr>
          <w:rFonts w:eastAsia="Times New Roman"/>
          <w:color w:val="000000"/>
          <w:sz w:val="20"/>
          <w:szCs w:val="20"/>
        </w:rPr>
        <w:t>eemed or (ii) the sum of the present value of Remaining Scheduled Payments, as defined in the supplemental indentures governing such Senior Notes (together with the indenture governing the Senior Notes, the "Indenture"). The Indenture contains certain cove</w:t>
      </w:r>
      <w:r>
        <w:rPr>
          <w:rFonts w:eastAsia="Times New Roman"/>
          <w:color w:val="000000"/>
          <w:sz w:val="20"/>
          <w:szCs w:val="20"/>
        </w:rPr>
        <w:t>nants that restrict the Company's ability, subject to specified exceptions, to incur certain liens; enter into sale and leaseback transactions; consolidate or merge with another party; or sell, lease, or convey all or substantially all of the Company's pro</w:t>
      </w:r>
      <w:r>
        <w:rPr>
          <w:rFonts w:eastAsia="Times New Roman"/>
          <w:color w:val="000000"/>
          <w:sz w:val="20"/>
          <w:szCs w:val="20"/>
        </w:rPr>
        <w:t>perty or assets to another party. However, the Indenture does not contain any financial covenants.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8EAA7BC" w14:textId="77777777">
        <w:trPr>
          <w:divId w:val="163085816"/>
          <w:jc w:val="center"/>
        </w:trPr>
        <w:tc>
          <w:tcPr>
            <w:tcW w:w="50" w:type="pct"/>
            <w:vAlign w:val="center"/>
            <w:hideMark/>
          </w:tcPr>
          <w:p w14:paraId="779299D7" w14:textId="77777777" w:rsidR="00000000" w:rsidRDefault="00EE5306">
            <w:pPr>
              <w:ind w:firstLine="540"/>
              <w:jc w:val="both"/>
              <w:rPr>
                <w:rFonts w:eastAsia="Times New Roman"/>
              </w:rPr>
            </w:pPr>
          </w:p>
        </w:tc>
        <w:tc>
          <w:tcPr>
            <w:tcW w:w="1699" w:type="pct"/>
            <w:vAlign w:val="center"/>
            <w:hideMark/>
          </w:tcPr>
          <w:p w14:paraId="4E24B3FB" w14:textId="77777777" w:rsidR="00000000" w:rsidRDefault="00EE5306">
            <w:pPr>
              <w:spacing w:after="100"/>
              <w:rPr>
                <w:rFonts w:eastAsia="Times New Roman"/>
                <w:sz w:val="20"/>
                <w:szCs w:val="20"/>
              </w:rPr>
            </w:pPr>
          </w:p>
        </w:tc>
        <w:tc>
          <w:tcPr>
            <w:tcW w:w="5" w:type="pct"/>
            <w:vAlign w:val="center"/>
            <w:hideMark/>
          </w:tcPr>
          <w:p w14:paraId="71198D28" w14:textId="77777777" w:rsidR="00000000" w:rsidRDefault="00EE5306">
            <w:pPr>
              <w:spacing w:after="100"/>
              <w:rPr>
                <w:rFonts w:eastAsia="Times New Roman"/>
                <w:sz w:val="20"/>
                <w:szCs w:val="20"/>
              </w:rPr>
            </w:pPr>
          </w:p>
        </w:tc>
        <w:tc>
          <w:tcPr>
            <w:tcW w:w="50" w:type="pct"/>
            <w:vAlign w:val="center"/>
            <w:hideMark/>
          </w:tcPr>
          <w:p w14:paraId="7C4923B9" w14:textId="77777777" w:rsidR="00000000" w:rsidRDefault="00EE5306">
            <w:pPr>
              <w:spacing w:after="100"/>
              <w:rPr>
                <w:rFonts w:eastAsia="Times New Roman"/>
                <w:sz w:val="20"/>
                <w:szCs w:val="20"/>
              </w:rPr>
            </w:pPr>
          </w:p>
        </w:tc>
        <w:tc>
          <w:tcPr>
            <w:tcW w:w="1436" w:type="pct"/>
            <w:vAlign w:val="center"/>
            <w:hideMark/>
          </w:tcPr>
          <w:p w14:paraId="1CEC7B80" w14:textId="77777777" w:rsidR="00000000" w:rsidRDefault="00EE5306">
            <w:pPr>
              <w:spacing w:after="100"/>
              <w:rPr>
                <w:rFonts w:eastAsia="Times New Roman"/>
                <w:sz w:val="20"/>
                <w:szCs w:val="20"/>
              </w:rPr>
            </w:pPr>
          </w:p>
        </w:tc>
        <w:tc>
          <w:tcPr>
            <w:tcW w:w="5" w:type="pct"/>
            <w:vAlign w:val="center"/>
            <w:hideMark/>
          </w:tcPr>
          <w:p w14:paraId="374AAAC0" w14:textId="77777777" w:rsidR="00000000" w:rsidRDefault="00EE5306">
            <w:pPr>
              <w:spacing w:after="100"/>
              <w:rPr>
                <w:rFonts w:eastAsia="Times New Roman"/>
                <w:sz w:val="20"/>
                <w:szCs w:val="20"/>
              </w:rPr>
            </w:pPr>
          </w:p>
        </w:tc>
        <w:tc>
          <w:tcPr>
            <w:tcW w:w="50" w:type="pct"/>
            <w:vAlign w:val="center"/>
            <w:hideMark/>
          </w:tcPr>
          <w:p w14:paraId="46856C01" w14:textId="77777777" w:rsidR="00000000" w:rsidRDefault="00EE5306">
            <w:pPr>
              <w:spacing w:after="100"/>
              <w:rPr>
                <w:rFonts w:eastAsia="Times New Roman"/>
                <w:sz w:val="20"/>
                <w:szCs w:val="20"/>
              </w:rPr>
            </w:pPr>
          </w:p>
        </w:tc>
        <w:tc>
          <w:tcPr>
            <w:tcW w:w="1699" w:type="pct"/>
            <w:vAlign w:val="center"/>
            <w:hideMark/>
          </w:tcPr>
          <w:p w14:paraId="078D3D8E" w14:textId="77777777" w:rsidR="00000000" w:rsidRDefault="00EE5306">
            <w:pPr>
              <w:spacing w:after="100"/>
              <w:rPr>
                <w:rFonts w:eastAsia="Times New Roman"/>
                <w:sz w:val="20"/>
                <w:szCs w:val="20"/>
              </w:rPr>
            </w:pPr>
          </w:p>
        </w:tc>
        <w:tc>
          <w:tcPr>
            <w:tcW w:w="5" w:type="pct"/>
            <w:vAlign w:val="center"/>
            <w:hideMark/>
          </w:tcPr>
          <w:p w14:paraId="507F263C" w14:textId="77777777" w:rsidR="00000000" w:rsidRDefault="00EE5306">
            <w:pPr>
              <w:spacing w:after="100"/>
              <w:rPr>
                <w:rFonts w:eastAsia="Times New Roman"/>
                <w:sz w:val="20"/>
                <w:szCs w:val="20"/>
              </w:rPr>
            </w:pPr>
          </w:p>
        </w:tc>
      </w:tr>
      <w:tr w:rsidR="00000000" w14:paraId="0801AC1C" w14:textId="77777777">
        <w:trPr>
          <w:divId w:val="163085816"/>
          <w:jc w:val="center"/>
        </w:trPr>
        <w:tc>
          <w:tcPr>
            <w:tcW w:w="0" w:type="auto"/>
            <w:gridSpan w:val="3"/>
            <w:tcMar>
              <w:top w:w="0" w:type="dxa"/>
              <w:left w:w="20" w:type="dxa"/>
              <w:bottom w:w="0" w:type="dxa"/>
              <w:right w:w="20" w:type="dxa"/>
            </w:tcMar>
            <w:vAlign w:val="center"/>
            <w:hideMark/>
          </w:tcPr>
          <w:p w14:paraId="1D31AC4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5AA85CC" w14:textId="77777777" w:rsidR="00000000" w:rsidRDefault="00EE5306">
            <w:pPr>
              <w:spacing w:after="100"/>
              <w:jc w:val="center"/>
              <w:rPr>
                <w:rFonts w:eastAsia="Times New Roman"/>
              </w:rPr>
            </w:pPr>
            <w:r>
              <w:rPr>
                <w:rFonts w:eastAsia="Times New Roman"/>
                <w:color w:val="000000"/>
                <w:sz w:val="20"/>
                <w:szCs w:val="20"/>
              </w:rPr>
              <w:t>F-33</w:t>
            </w:r>
          </w:p>
        </w:tc>
        <w:tc>
          <w:tcPr>
            <w:tcW w:w="0" w:type="auto"/>
            <w:gridSpan w:val="3"/>
            <w:tcMar>
              <w:top w:w="0" w:type="dxa"/>
              <w:left w:w="20" w:type="dxa"/>
              <w:bottom w:w="0" w:type="dxa"/>
              <w:right w:w="20" w:type="dxa"/>
            </w:tcMar>
            <w:vAlign w:val="center"/>
            <w:hideMark/>
          </w:tcPr>
          <w:p w14:paraId="49DB9576" w14:textId="77777777" w:rsidR="00000000" w:rsidRDefault="00EE5306">
            <w:pPr>
              <w:spacing w:after="100"/>
              <w:jc w:val="center"/>
              <w:rPr>
                <w:rFonts w:eastAsia="Times New Roman"/>
              </w:rPr>
            </w:pPr>
          </w:p>
        </w:tc>
      </w:tr>
    </w:tbl>
    <w:p w14:paraId="4334524A" w14:textId="77777777" w:rsidR="00000000" w:rsidRDefault="00EE5306">
      <w:pPr>
        <w:rPr>
          <w:rFonts w:eastAsia="Times New Roman"/>
        </w:rPr>
      </w:pPr>
      <w:r>
        <w:rPr>
          <w:rFonts w:eastAsia="Times New Roman"/>
        </w:rPr>
        <w:pict w14:anchorId="4A87AF6C">
          <v:rect id="_x0000_i1143" style="width:0;height:1.5pt" o:hralign="center" o:hrstd="t" o:hr="t" fillcolor="#a0a0a0" stroked="f"/>
        </w:pict>
      </w:r>
    </w:p>
    <w:p w14:paraId="4945A97D" w14:textId="77777777" w:rsidR="00000000" w:rsidRDefault="00EE5306">
      <w:pPr>
        <w:jc w:val="center"/>
        <w:divId w:val="80378239"/>
        <w:rPr>
          <w:rFonts w:eastAsia="Times New Roman"/>
        </w:rPr>
      </w:pPr>
    </w:p>
    <w:p w14:paraId="1083FAA1" w14:textId="77777777" w:rsidR="00000000" w:rsidRDefault="00EE5306">
      <w:pPr>
        <w:jc w:val="center"/>
        <w:divId w:val="80378239"/>
        <w:rPr>
          <w:rFonts w:eastAsia="Times New Roman"/>
        </w:rPr>
      </w:pPr>
      <w:r>
        <w:rPr>
          <w:rFonts w:eastAsia="Times New Roman"/>
          <w:b/>
          <w:bCs/>
          <w:color w:val="000000"/>
          <w:sz w:val="20"/>
          <w:szCs w:val="20"/>
        </w:rPr>
        <w:t>RALPH LAUREN CORPORATION</w:t>
      </w:r>
    </w:p>
    <w:p w14:paraId="32329A47" w14:textId="77777777" w:rsidR="00000000" w:rsidRDefault="00EE5306">
      <w:pPr>
        <w:jc w:val="center"/>
        <w:divId w:val="162160737"/>
        <w:rPr>
          <w:rFonts w:eastAsia="Times New Roman"/>
        </w:rPr>
      </w:pPr>
      <w:r>
        <w:rPr>
          <w:rFonts w:eastAsia="Times New Roman"/>
          <w:b/>
          <w:bCs/>
          <w:color w:val="000000"/>
          <w:sz w:val="20"/>
          <w:szCs w:val="20"/>
        </w:rPr>
        <w:t>NOTES TO CONSOLIDATED FINANCIAL STATEMENTS (Continued)</w:t>
      </w:r>
    </w:p>
    <w:p w14:paraId="5A555A93" w14:textId="77777777" w:rsidR="00000000" w:rsidRDefault="00EE5306">
      <w:pPr>
        <w:ind w:firstLine="360"/>
        <w:divId w:val="497842387"/>
        <w:rPr>
          <w:rFonts w:eastAsia="Times New Roman"/>
        </w:rPr>
      </w:pPr>
      <w:r>
        <w:rPr>
          <w:rFonts w:eastAsia="Times New Roman"/>
          <w:b/>
          <w:bCs/>
          <w:i/>
          <w:iCs/>
          <w:color w:val="000000"/>
          <w:sz w:val="20"/>
          <w:szCs w:val="20"/>
        </w:rPr>
        <w:t>Commercial Paper</w:t>
      </w:r>
    </w:p>
    <w:p w14:paraId="1780AFDE" w14:textId="77777777" w:rsidR="00000000" w:rsidRDefault="00EE5306">
      <w:pPr>
        <w:ind w:firstLine="540"/>
        <w:jc w:val="both"/>
        <w:divId w:val="1723090925"/>
        <w:rPr>
          <w:rFonts w:eastAsia="Times New Roman"/>
        </w:rPr>
      </w:pPr>
      <w:r>
        <w:rPr>
          <w:rFonts w:eastAsia="Times New Roman"/>
          <w:color w:val="000000"/>
          <w:sz w:val="20"/>
          <w:szCs w:val="20"/>
        </w:rPr>
        <w:t>The Company has a commercial paper borrowing program that allows it to issue up to $500 million of unsecured commercial p</w:t>
      </w:r>
      <w:r>
        <w:rPr>
          <w:rFonts w:eastAsia="Times New Roman"/>
          <w:color w:val="000000"/>
          <w:sz w:val="20"/>
          <w:szCs w:val="20"/>
        </w:rPr>
        <w:t>aper notes through private placement using third-party broker-dealers (the "Commercial Paper Program").</w:t>
      </w:r>
    </w:p>
    <w:p w14:paraId="3EE791CB" w14:textId="77777777" w:rsidR="00000000" w:rsidRDefault="00EE5306">
      <w:pPr>
        <w:ind w:firstLine="540"/>
        <w:jc w:val="both"/>
        <w:divId w:val="1524203008"/>
        <w:rPr>
          <w:rFonts w:eastAsia="Times New Roman"/>
        </w:rPr>
      </w:pPr>
      <w:r>
        <w:rPr>
          <w:rFonts w:eastAsia="Times New Roman"/>
          <w:color w:val="000000"/>
          <w:sz w:val="20"/>
          <w:szCs w:val="20"/>
        </w:rPr>
        <w:t>Borrowings under the Commercial Paper Program are supported by the Global Credit Facility, as defined below. Accordingly, the Company does not expect co</w:t>
      </w:r>
      <w:r>
        <w:rPr>
          <w:rFonts w:eastAsia="Times New Roman"/>
          <w:color w:val="000000"/>
          <w:sz w:val="20"/>
          <w:szCs w:val="20"/>
        </w:rPr>
        <w:t>mbined borrowings outstanding under the Commercial Paper Program and Global Credit Facility to exceed $500 million. Commercial Paper Program borrowings may be used to support the Company's general working capital and corporate needs. Maturities of commerci</w:t>
      </w:r>
      <w:r>
        <w:rPr>
          <w:rFonts w:eastAsia="Times New Roman"/>
          <w:color w:val="000000"/>
          <w:sz w:val="20"/>
          <w:szCs w:val="20"/>
        </w:rPr>
        <w:t>al paper notes vary, but cannot exceed 397 days from the date of issuance. Commercial paper notes issued under the Commercial Paper Program rank equally in seniority with the Company's other forms of unsecured indebtedness. As of both March 27, 2021 and Ma</w:t>
      </w:r>
      <w:r>
        <w:rPr>
          <w:rFonts w:eastAsia="Times New Roman"/>
          <w:color w:val="000000"/>
          <w:sz w:val="20"/>
          <w:szCs w:val="20"/>
        </w:rPr>
        <w:t>rch 28, 2020 there were no borrowings outstanding under the Commercial Paper Program.</w:t>
      </w:r>
    </w:p>
    <w:p w14:paraId="54D0F0C9" w14:textId="77777777" w:rsidR="00000000" w:rsidRDefault="00EE5306">
      <w:pPr>
        <w:ind w:firstLine="360"/>
        <w:jc w:val="both"/>
        <w:divId w:val="1934899158"/>
        <w:rPr>
          <w:rFonts w:eastAsia="Times New Roman"/>
        </w:rPr>
      </w:pPr>
      <w:r>
        <w:rPr>
          <w:rFonts w:eastAsia="Times New Roman"/>
          <w:b/>
          <w:bCs/>
          <w:i/>
          <w:iCs/>
          <w:color w:val="000000"/>
          <w:sz w:val="20"/>
          <w:szCs w:val="20"/>
        </w:rPr>
        <w:t>Revolving Credit Facilities</w:t>
      </w:r>
    </w:p>
    <w:p w14:paraId="6EB23944" w14:textId="77777777" w:rsidR="00000000" w:rsidRDefault="00EE5306">
      <w:pPr>
        <w:ind w:firstLine="360"/>
        <w:jc w:val="both"/>
        <w:divId w:val="480469274"/>
        <w:rPr>
          <w:rFonts w:eastAsia="Times New Roman"/>
        </w:rPr>
      </w:pPr>
      <w:r>
        <w:rPr>
          <w:rFonts w:eastAsia="Times New Roman"/>
          <w:i/>
          <w:iCs/>
          <w:color w:val="000000"/>
          <w:sz w:val="20"/>
          <w:szCs w:val="20"/>
        </w:rPr>
        <w:t>Global Credit Facility</w:t>
      </w:r>
    </w:p>
    <w:p w14:paraId="464BD545" w14:textId="77777777" w:rsidR="00000000" w:rsidRDefault="00EE5306">
      <w:pPr>
        <w:ind w:firstLine="540"/>
        <w:jc w:val="both"/>
        <w:divId w:val="1378118182"/>
        <w:rPr>
          <w:rFonts w:eastAsia="Times New Roman"/>
        </w:rPr>
      </w:pPr>
      <w:r>
        <w:rPr>
          <w:rFonts w:eastAsia="Times New Roman"/>
          <w:color w:val="000000"/>
          <w:sz w:val="20"/>
          <w:szCs w:val="20"/>
        </w:rPr>
        <w:t>In August 2019, the Company replaced its existing credit facility and entered into a new credit facility that provides for a $500 million senior unsecured revolving line of credit through August 12, 2024 (the "Global Credit Facility") under terms and condi</w:t>
      </w:r>
      <w:r>
        <w:rPr>
          <w:rFonts w:eastAsia="Times New Roman"/>
          <w:color w:val="000000"/>
          <w:sz w:val="20"/>
          <w:szCs w:val="20"/>
        </w:rPr>
        <w:t>tions substantially similar to those of the previous facility. The Global Credit Facility is also used to support the issuance of letters of credit and maintenance of the Commercial Paper Program. Borrowings under the Global Credit Facility may be denomina</w:t>
      </w:r>
      <w:r>
        <w:rPr>
          <w:rFonts w:eastAsia="Times New Roman"/>
          <w:color w:val="000000"/>
          <w:sz w:val="20"/>
          <w:szCs w:val="20"/>
        </w:rPr>
        <w:t xml:space="preserve">ted in U.S. Dollars and certain other currencies, including Euros, Hong Kong Dollars, and Japanese Yen, and are guaranteed by all of the Company's domestic significant subsidiaries. In accordance with the terms of the agreement governing the Global Credit </w:t>
      </w:r>
      <w:r>
        <w:rPr>
          <w:rFonts w:eastAsia="Times New Roman"/>
          <w:color w:val="000000"/>
          <w:sz w:val="20"/>
          <w:szCs w:val="20"/>
        </w:rPr>
        <w:t>Facility, the Company has the ability to expand its borrowing availability under the Global Credit Facility to $1 billion, subject to the agreement of one or more new or existing lenders under the facility to increase their commitments. There are no mandat</w:t>
      </w:r>
      <w:r>
        <w:rPr>
          <w:rFonts w:eastAsia="Times New Roman"/>
          <w:color w:val="000000"/>
          <w:sz w:val="20"/>
          <w:szCs w:val="20"/>
        </w:rPr>
        <w:t>ory reductions in borrowing ability throughout the term of the Global Credit Facility.</w:t>
      </w:r>
    </w:p>
    <w:p w14:paraId="6641A3BD" w14:textId="77777777" w:rsidR="00000000" w:rsidRDefault="00EE5306">
      <w:pPr>
        <w:ind w:firstLine="540"/>
        <w:jc w:val="both"/>
        <w:divId w:val="1668483673"/>
        <w:rPr>
          <w:rFonts w:eastAsia="Times New Roman"/>
        </w:rPr>
      </w:pPr>
      <w:r>
        <w:rPr>
          <w:rFonts w:eastAsia="Times New Roman"/>
          <w:color w:val="000000"/>
          <w:sz w:val="20"/>
          <w:szCs w:val="20"/>
        </w:rPr>
        <w:t>Under the Global Credit Facility as originally implemented, U.S. Dollar-denominated borrowings bear interest, at the Company's option, either at (a) a base rate, by refe</w:t>
      </w:r>
      <w:r>
        <w:rPr>
          <w:rFonts w:eastAsia="Times New Roman"/>
          <w:color w:val="000000"/>
          <w:sz w:val="20"/>
          <w:szCs w:val="20"/>
        </w:rPr>
        <w:t>rence to the greatest of: (i) the annual prime commercial lending rate of JPMorgan Chase Bank, N.A. in effect from time to time, (ii) the weighted-average overnight Federal funds rate plus 50 basis points, or (iii) one-month LIBOR plus 100 basis points; or</w:t>
      </w:r>
      <w:r>
        <w:rPr>
          <w:rFonts w:eastAsia="Times New Roman"/>
          <w:color w:val="000000"/>
          <w:sz w:val="20"/>
          <w:szCs w:val="20"/>
        </w:rPr>
        <w:t xml:space="preserve"> (b) LIBOR, adjusted for the Federal Reserve Board's Eurocurrency liabilities maximum reserve percentage, plus a spread of 75 basis points, subject to adjustment based on the Company's credit ratings ("Adjusted LIBOR"). Foreign currency-denominated borrowi</w:t>
      </w:r>
      <w:r>
        <w:rPr>
          <w:rFonts w:eastAsia="Times New Roman"/>
          <w:color w:val="000000"/>
          <w:sz w:val="20"/>
          <w:szCs w:val="20"/>
        </w:rPr>
        <w:t>ngs bear interest at Adjusted LIBOR. In addition to paying interest on any outstanding borrowings under the Global Credit Facility, the Company is required to pay a commitment fee to the lenders under the Global Credit Facility relating to the unutilized c</w:t>
      </w:r>
      <w:r>
        <w:rPr>
          <w:rFonts w:eastAsia="Times New Roman"/>
          <w:color w:val="000000"/>
          <w:sz w:val="20"/>
          <w:szCs w:val="20"/>
        </w:rPr>
        <w:t>ommitments. The commitment fee rate of 6.5 basis points is subject to adjustment based on the Company's credit ratings. These provisions were amended in May 2020, as discussed further below.</w:t>
      </w:r>
    </w:p>
    <w:p w14:paraId="7F33642C" w14:textId="77777777" w:rsidR="00000000" w:rsidRDefault="00EE5306">
      <w:pPr>
        <w:ind w:firstLine="540"/>
        <w:jc w:val="both"/>
        <w:divId w:val="2114009948"/>
        <w:rPr>
          <w:rFonts w:eastAsia="Times New Roman"/>
        </w:rPr>
      </w:pPr>
      <w:r>
        <w:rPr>
          <w:rFonts w:eastAsia="Times New Roman"/>
          <w:color w:val="000000"/>
          <w:sz w:val="20"/>
          <w:szCs w:val="20"/>
        </w:rPr>
        <w:t>The Global Credit Facility contains a number of covenants that, a</w:t>
      </w:r>
      <w:r>
        <w:rPr>
          <w:rFonts w:eastAsia="Times New Roman"/>
          <w:color w:val="000000"/>
          <w:sz w:val="20"/>
          <w:szCs w:val="20"/>
        </w:rPr>
        <w:t xml:space="preserve">mong other things, restrict the Company's ability, subject to specified exceptions, to incur additional debt; incur liens; sell or dispose of assets; merge with or acquire other companies; liquidate or dissolve itself; engage in businesses that are not in </w:t>
      </w:r>
      <w:r>
        <w:rPr>
          <w:rFonts w:eastAsia="Times New Roman"/>
          <w:color w:val="000000"/>
          <w:sz w:val="20"/>
          <w:szCs w:val="20"/>
        </w:rPr>
        <w:t>a related line of business; make loans, advances, or guarantees; engage in transactions with affiliates; and make certain investments. As originally implemented, the Global Credit Facility also required the Company to maintain a maximum ratio of Adjusted D</w:t>
      </w:r>
      <w:r>
        <w:rPr>
          <w:rFonts w:eastAsia="Times New Roman"/>
          <w:color w:val="000000"/>
          <w:sz w:val="20"/>
          <w:szCs w:val="20"/>
        </w:rPr>
        <w:t>ebt to Consolidated EBITDAR (the "leverage ratio") of no greater than 4.25 as of the date of measurement for the four most recent consecutive fiscal quarters. Adjusted Debt is defined generally as consolidated debt outstanding, including finance lease obli</w:t>
      </w:r>
      <w:r>
        <w:rPr>
          <w:rFonts w:eastAsia="Times New Roman"/>
          <w:color w:val="000000"/>
          <w:sz w:val="20"/>
          <w:szCs w:val="20"/>
        </w:rPr>
        <w:t>gations, plus all operating lease obligations. Consolidated EBITDAR is defined generally as consolidated net income plus (i) income tax expense, (ii) net interest expense, (iii) depreciation and amortization expense, (iv) operating lease cost, (v) restruct</w:t>
      </w:r>
      <w:r>
        <w:rPr>
          <w:rFonts w:eastAsia="Times New Roman"/>
          <w:color w:val="000000"/>
          <w:sz w:val="20"/>
          <w:szCs w:val="20"/>
        </w:rPr>
        <w:t xml:space="preserve">uring and other non-recurring expenses, and (vi) acquisition-related costs. This requirement was amended in May 2020, as discussed below. </w:t>
      </w:r>
    </w:p>
    <w:p w14:paraId="7196D601" w14:textId="77777777" w:rsidR="00000000" w:rsidRDefault="00EE5306">
      <w:pPr>
        <w:ind w:firstLine="540"/>
        <w:jc w:val="both"/>
        <w:divId w:val="1656640771"/>
        <w:rPr>
          <w:rFonts w:eastAsia="Times New Roman"/>
        </w:rPr>
      </w:pPr>
      <w:r>
        <w:rPr>
          <w:rFonts w:eastAsia="Times New Roman"/>
          <w:color w:val="000000"/>
          <w:sz w:val="20"/>
          <w:szCs w:val="20"/>
        </w:rPr>
        <w:t>In May 2020, the Company entered into an amendment of its Global Credit Facility (the "Amendment"). Under the Amendme</w:t>
      </w:r>
      <w:r>
        <w:rPr>
          <w:rFonts w:eastAsia="Times New Roman"/>
          <w:color w:val="000000"/>
          <w:sz w:val="20"/>
          <w:szCs w:val="20"/>
        </w:rPr>
        <w:t>nt, until the earlier of (a) the date on which the Company provides the periodic reporting information required under the Global Credit Facility for the quarter ending September 30, 2021 and (b) the date on which the Company certifies that its leverage rat</w:t>
      </w:r>
      <w:r>
        <w:rPr>
          <w:rFonts w:eastAsia="Times New Roman"/>
          <w:color w:val="000000"/>
          <w:sz w:val="20"/>
          <w:szCs w:val="20"/>
        </w:rPr>
        <w:t>io as of the last day of the two most recent fiscal quarters was no greater than 4.25 (the "Ratings-Based Toggle Date"), for loans based on Adjusted LIBOR, the spread over Adjusted LIBOR will be increased to 187.5 basis points, the spread on loans based on</w:t>
      </w:r>
      <w:r>
        <w:rPr>
          <w:rFonts w:eastAsia="Times New Roman"/>
          <w:color w:val="000000"/>
          <w:sz w:val="20"/>
          <w:szCs w:val="20"/>
        </w:rPr>
        <w:t xml:space="preserve"> the base rate will be 87.5 basis points and the commitment fee will be increased to 25 basis points, in each case with no adjustments based on the Company's credit ratings. The pricing will return to the original levels set forth in the Global Credit Faci</w:t>
      </w:r>
      <w:r>
        <w:rPr>
          <w:rFonts w:eastAsia="Times New Roman"/>
          <w:color w:val="000000"/>
          <w:sz w:val="20"/>
          <w:szCs w:val="20"/>
        </w:rPr>
        <w:t xml:space="preserve">lity on the Ratings-Based Toggle Date. Additionally, the leverage ratio requirements have been waived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3B720E8" w14:textId="77777777">
        <w:trPr>
          <w:divId w:val="1396009335"/>
          <w:jc w:val="center"/>
        </w:trPr>
        <w:tc>
          <w:tcPr>
            <w:tcW w:w="50" w:type="pct"/>
            <w:vAlign w:val="center"/>
            <w:hideMark/>
          </w:tcPr>
          <w:p w14:paraId="429CE577" w14:textId="77777777" w:rsidR="00000000" w:rsidRDefault="00EE5306">
            <w:pPr>
              <w:ind w:firstLine="540"/>
              <w:jc w:val="both"/>
              <w:rPr>
                <w:rFonts w:eastAsia="Times New Roman"/>
              </w:rPr>
            </w:pPr>
          </w:p>
        </w:tc>
        <w:tc>
          <w:tcPr>
            <w:tcW w:w="1699" w:type="pct"/>
            <w:vAlign w:val="center"/>
            <w:hideMark/>
          </w:tcPr>
          <w:p w14:paraId="181BDEE0" w14:textId="77777777" w:rsidR="00000000" w:rsidRDefault="00EE5306">
            <w:pPr>
              <w:spacing w:after="100"/>
              <w:rPr>
                <w:rFonts w:eastAsia="Times New Roman"/>
                <w:sz w:val="20"/>
                <w:szCs w:val="20"/>
              </w:rPr>
            </w:pPr>
          </w:p>
        </w:tc>
        <w:tc>
          <w:tcPr>
            <w:tcW w:w="5" w:type="pct"/>
            <w:vAlign w:val="center"/>
            <w:hideMark/>
          </w:tcPr>
          <w:p w14:paraId="0041E649" w14:textId="77777777" w:rsidR="00000000" w:rsidRDefault="00EE5306">
            <w:pPr>
              <w:spacing w:after="100"/>
              <w:rPr>
                <w:rFonts w:eastAsia="Times New Roman"/>
                <w:sz w:val="20"/>
                <w:szCs w:val="20"/>
              </w:rPr>
            </w:pPr>
          </w:p>
        </w:tc>
        <w:tc>
          <w:tcPr>
            <w:tcW w:w="50" w:type="pct"/>
            <w:vAlign w:val="center"/>
            <w:hideMark/>
          </w:tcPr>
          <w:p w14:paraId="7B2C26C1" w14:textId="77777777" w:rsidR="00000000" w:rsidRDefault="00EE5306">
            <w:pPr>
              <w:spacing w:after="100"/>
              <w:rPr>
                <w:rFonts w:eastAsia="Times New Roman"/>
                <w:sz w:val="20"/>
                <w:szCs w:val="20"/>
              </w:rPr>
            </w:pPr>
          </w:p>
        </w:tc>
        <w:tc>
          <w:tcPr>
            <w:tcW w:w="1436" w:type="pct"/>
            <w:vAlign w:val="center"/>
            <w:hideMark/>
          </w:tcPr>
          <w:p w14:paraId="67D7A8B5" w14:textId="77777777" w:rsidR="00000000" w:rsidRDefault="00EE5306">
            <w:pPr>
              <w:spacing w:after="100"/>
              <w:rPr>
                <w:rFonts w:eastAsia="Times New Roman"/>
                <w:sz w:val="20"/>
                <w:szCs w:val="20"/>
              </w:rPr>
            </w:pPr>
          </w:p>
        </w:tc>
        <w:tc>
          <w:tcPr>
            <w:tcW w:w="5" w:type="pct"/>
            <w:vAlign w:val="center"/>
            <w:hideMark/>
          </w:tcPr>
          <w:p w14:paraId="577013E0" w14:textId="77777777" w:rsidR="00000000" w:rsidRDefault="00EE5306">
            <w:pPr>
              <w:spacing w:after="100"/>
              <w:rPr>
                <w:rFonts w:eastAsia="Times New Roman"/>
                <w:sz w:val="20"/>
                <w:szCs w:val="20"/>
              </w:rPr>
            </w:pPr>
          </w:p>
        </w:tc>
        <w:tc>
          <w:tcPr>
            <w:tcW w:w="50" w:type="pct"/>
            <w:vAlign w:val="center"/>
            <w:hideMark/>
          </w:tcPr>
          <w:p w14:paraId="01B75657" w14:textId="77777777" w:rsidR="00000000" w:rsidRDefault="00EE5306">
            <w:pPr>
              <w:spacing w:after="100"/>
              <w:rPr>
                <w:rFonts w:eastAsia="Times New Roman"/>
                <w:sz w:val="20"/>
                <w:szCs w:val="20"/>
              </w:rPr>
            </w:pPr>
          </w:p>
        </w:tc>
        <w:tc>
          <w:tcPr>
            <w:tcW w:w="1699" w:type="pct"/>
            <w:vAlign w:val="center"/>
            <w:hideMark/>
          </w:tcPr>
          <w:p w14:paraId="7177F289" w14:textId="77777777" w:rsidR="00000000" w:rsidRDefault="00EE5306">
            <w:pPr>
              <w:spacing w:after="100"/>
              <w:rPr>
                <w:rFonts w:eastAsia="Times New Roman"/>
                <w:sz w:val="20"/>
                <w:szCs w:val="20"/>
              </w:rPr>
            </w:pPr>
          </w:p>
        </w:tc>
        <w:tc>
          <w:tcPr>
            <w:tcW w:w="5" w:type="pct"/>
            <w:vAlign w:val="center"/>
            <w:hideMark/>
          </w:tcPr>
          <w:p w14:paraId="21A0750C" w14:textId="77777777" w:rsidR="00000000" w:rsidRDefault="00EE5306">
            <w:pPr>
              <w:spacing w:after="100"/>
              <w:rPr>
                <w:rFonts w:eastAsia="Times New Roman"/>
                <w:sz w:val="20"/>
                <w:szCs w:val="20"/>
              </w:rPr>
            </w:pPr>
          </w:p>
        </w:tc>
      </w:tr>
      <w:tr w:rsidR="00000000" w14:paraId="14BA2958" w14:textId="77777777">
        <w:trPr>
          <w:divId w:val="1396009335"/>
          <w:jc w:val="center"/>
        </w:trPr>
        <w:tc>
          <w:tcPr>
            <w:tcW w:w="0" w:type="auto"/>
            <w:gridSpan w:val="3"/>
            <w:tcMar>
              <w:top w:w="0" w:type="dxa"/>
              <w:left w:w="20" w:type="dxa"/>
              <w:bottom w:w="0" w:type="dxa"/>
              <w:right w:w="20" w:type="dxa"/>
            </w:tcMar>
            <w:vAlign w:val="center"/>
            <w:hideMark/>
          </w:tcPr>
          <w:p w14:paraId="43762C10"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7853C1A" w14:textId="77777777" w:rsidR="00000000" w:rsidRDefault="00EE5306">
            <w:pPr>
              <w:spacing w:after="100"/>
              <w:jc w:val="center"/>
              <w:rPr>
                <w:rFonts w:eastAsia="Times New Roman"/>
              </w:rPr>
            </w:pPr>
            <w:r>
              <w:rPr>
                <w:rFonts w:eastAsia="Times New Roman"/>
                <w:color w:val="000000"/>
                <w:sz w:val="20"/>
                <w:szCs w:val="20"/>
              </w:rPr>
              <w:t>F-34</w:t>
            </w:r>
          </w:p>
        </w:tc>
        <w:tc>
          <w:tcPr>
            <w:tcW w:w="0" w:type="auto"/>
            <w:gridSpan w:val="3"/>
            <w:tcMar>
              <w:top w:w="0" w:type="dxa"/>
              <w:left w:w="20" w:type="dxa"/>
              <w:bottom w:w="0" w:type="dxa"/>
              <w:right w:w="20" w:type="dxa"/>
            </w:tcMar>
            <w:vAlign w:val="center"/>
            <w:hideMark/>
          </w:tcPr>
          <w:p w14:paraId="3D5F8690" w14:textId="77777777" w:rsidR="00000000" w:rsidRDefault="00EE5306">
            <w:pPr>
              <w:spacing w:after="100"/>
              <w:jc w:val="center"/>
              <w:rPr>
                <w:rFonts w:eastAsia="Times New Roman"/>
              </w:rPr>
            </w:pPr>
          </w:p>
        </w:tc>
      </w:tr>
    </w:tbl>
    <w:p w14:paraId="44D0BF14" w14:textId="77777777" w:rsidR="00000000" w:rsidRDefault="00EE5306">
      <w:pPr>
        <w:rPr>
          <w:rFonts w:eastAsia="Times New Roman"/>
        </w:rPr>
      </w:pPr>
      <w:r>
        <w:rPr>
          <w:rFonts w:eastAsia="Times New Roman"/>
        </w:rPr>
        <w:pict w14:anchorId="5261A690">
          <v:rect id="_x0000_i1144" style="width:0;height:1.5pt" o:hralign="center" o:hrstd="t" o:hr="t" fillcolor="#a0a0a0" stroked="f"/>
        </w:pict>
      </w:r>
    </w:p>
    <w:p w14:paraId="173F3F41" w14:textId="77777777" w:rsidR="00000000" w:rsidRDefault="00EE5306">
      <w:pPr>
        <w:jc w:val="center"/>
        <w:divId w:val="1149512976"/>
        <w:rPr>
          <w:rFonts w:eastAsia="Times New Roman"/>
        </w:rPr>
      </w:pPr>
    </w:p>
    <w:p w14:paraId="706A640C" w14:textId="77777777" w:rsidR="00000000" w:rsidRDefault="00EE5306">
      <w:pPr>
        <w:jc w:val="center"/>
        <w:divId w:val="1149512976"/>
        <w:rPr>
          <w:rFonts w:eastAsia="Times New Roman"/>
        </w:rPr>
      </w:pPr>
      <w:r>
        <w:rPr>
          <w:rFonts w:eastAsia="Times New Roman"/>
          <w:b/>
          <w:bCs/>
          <w:color w:val="000000"/>
          <w:sz w:val="20"/>
          <w:szCs w:val="20"/>
        </w:rPr>
        <w:t>RALPH LAUREN CORPORATION</w:t>
      </w:r>
    </w:p>
    <w:p w14:paraId="3C8D0C7B" w14:textId="77777777" w:rsidR="00000000" w:rsidRDefault="00EE5306">
      <w:pPr>
        <w:jc w:val="center"/>
        <w:divId w:val="614216269"/>
        <w:rPr>
          <w:rFonts w:eastAsia="Times New Roman"/>
        </w:rPr>
      </w:pPr>
      <w:r>
        <w:rPr>
          <w:rFonts w:eastAsia="Times New Roman"/>
          <w:b/>
          <w:bCs/>
          <w:color w:val="000000"/>
          <w:sz w:val="20"/>
          <w:szCs w:val="20"/>
        </w:rPr>
        <w:t>NOTES TO CONSOLIDATED FINANCIAL STATEMENTS (Continued)</w:t>
      </w:r>
    </w:p>
    <w:p w14:paraId="0A24A8B9" w14:textId="77777777" w:rsidR="00000000" w:rsidRDefault="00EE5306">
      <w:pPr>
        <w:jc w:val="both"/>
        <w:divId w:val="1618832123"/>
        <w:rPr>
          <w:rFonts w:eastAsia="Times New Roman"/>
        </w:rPr>
      </w:pPr>
      <w:r>
        <w:rPr>
          <w:rFonts w:eastAsia="Times New Roman"/>
          <w:color w:val="000000"/>
          <w:sz w:val="20"/>
          <w:szCs w:val="20"/>
        </w:rPr>
        <w:t>until the quarter ending September 30, 2021. The maximum permitted leverage ratio for that fiscal quarter would be 5.25. For the fiscal qu</w:t>
      </w:r>
      <w:r>
        <w:rPr>
          <w:rFonts w:eastAsia="Times New Roman"/>
          <w:color w:val="000000"/>
          <w:sz w:val="20"/>
          <w:szCs w:val="20"/>
        </w:rPr>
        <w:t>arters ending December 31, 2021 and March 31, 2022, the maximum permitted leverage ratio would be 4.75. For each fiscal quarter ending on or after June 30, 2022, the maximum permitted leverage ratio would return to 4.25. The Amendment also (a) imposes a ne</w:t>
      </w:r>
      <w:r>
        <w:rPr>
          <w:rFonts w:eastAsia="Times New Roman"/>
          <w:color w:val="000000"/>
          <w:sz w:val="20"/>
          <w:szCs w:val="20"/>
        </w:rPr>
        <w:t>w requirement that would remain in effect until the Ratings-Based Toggle Date that the aggregate amount of unrestricted cash of the Company and its subsidiaries plus the undrawn amounts available under the Global Credit Facility may not be less than $750 m</w:t>
      </w:r>
      <w:r>
        <w:rPr>
          <w:rFonts w:eastAsia="Times New Roman"/>
          <w:color w:val="000000"/>
          <w:sz w:val="20"/>
          <w:szCs w:val="20"/>
        </w:rPr>
        <w:t>illion, (b) restricts the amount of dividends and distributions on, or purchases, redemptions, repurchases, retirements or acquisitions of, the Company's stock until the Specified Period Termination Date (as defined below), (c) until March 31, 2021, amends</w:t>
      </w:r>
      <w:r>
        <w:rPr>
          <w:rFonts w:eastAsia="Times New Roman"/>
          <w:color w:val="000000"/>
          <w:sz w:val="20"/>
          <w:szCs w:val="20"/>
        </w:rPr>
        <w:t xml:space="preserve"> the material adverse change representation to disregard pandemic-related impacts to the business, and (d) until the Specified Period Termination Date, adds certain other restrictions on indebtedness incurred by the Company and its subsidiaries and investm</w:t>
      </w:r>
      <w:r>
        <w:rPr>
          <w:rFonts w:eastAsia="Times New Roman"/>
          <w:color w:val="000000"/>
          <w:sz w:val="20"/>
          <w:szCs w:val="20"/>
        </w:rPr>
        <w:t>ents and acquisitions by the Company and its subsidiaries. The "Specified Period Termination Date" is the earlier of (i) the date on which the Company provides the periodic reporting information required under the Global Credit Facility for the quarter end</w:t>
      </w:r>
      <w:r>
        <w:rPr>
          <w:rFonts w:eastAsia="Times New Roman"/>
          <w:color w:val="000000"/>
          <w:sz w:val="20"/>
          <w:szCs w:val="20"/>
        </w:rPr>
        <w:t>ing June 30, 2022 and (ii) the date on which the Company certifies that its leverage ratio as of the last day of the two most recent fiscal quarters was no greater than 4.25.</w:t>
      </w:r>
    </w:p>
    <w:p w14:paraId="3B69731C" w14:textId="77777777" w:rsidR="00000000" w:rsidRDefault="00EE5306">
      <w:pPr>
        <w:ind w:firstLine="540"/>
        <w:jc w:val="both"/>
        <w:divId w:val="1193769139"/>
        <w:rPr>
          <w:rFonts w:eastAsia="Times New Roman"/>
        </w:rPr>
      </w:pPr>
      <w:r>
        <w:rPr>
          <w:rFonts w:eastAsia="Times New Roman"/>
          <w:color w:val="000000"/>
          <w:sz w:val="20"/>
          <w:szCs w:val="20"/>
        </w:rPr>
        <w:t xml:space="preserve">Upon the occurrence of an Event of Default under the Global Credit Facility, the </w:t>
      </w:r>
      <w:r>
        <w:rPr>
          <w:rFonts w:eastAsia="Times New Roman"/>
          <w:color w:val="000000"/>
          <w:sz w:val="20"/>
          <w:szCs w:val="20"/>
        </w:rPr>
        <w:t>lenders may cease making loans, terminate the Global Credit Facility, and declare all amounts outstanding to be immediately due and payable. The Global Credit Facility specifies a number of events of default (many of which are subject to applicable grace p</w:t>
      </w:r>
      <w:r>
        <w:rPr>
          <w:rFonts w:eastAsia="Times New Roman"/>
          <w:color w:val="000000"/>
          <w:sz w:val="20"/>
          <w:szCs w:val="20"/>
        </w:rPr>
        <w:t>eriods), including, among others, the failure to make timely principal, interest, and fee payments or to satisfy the covenants, including the financial covenant described above. Additionally, the Global Credit Facility provides that an Event of Default wil</w:t>
      </w:r>
      <w:r>
        <w:rPr>
          <w:rFonts w:eastAsia="Times New Roman"/>
          <w:color w:val="000000"/>
          <w:sz w:val="20"/>
          <w:szCs w:val="20"/>
        </w:rPr>
        <w:t xml:space="preserve">l occur if Mr. Ralph Lauren, the Company's Executive Chairman and Chief Creative Officer, and entities controlled by the Lauren family fail to maintain a specified minimum percentage of the voting power of the Company's common stock. As of March 27, 2021, </w:t>
      </w:r>
      <w:r>
        <w:rPr>
          <w:rFonts w:eastAsia="Times New Roman"/>
          <w:color w:val="000000"/>
          <w:sz w:val="20"/>
          <w:szCs w:val="20"/>
        </w:rPr>
        <w:t>no Event of Default (as such term is defined pursuant to the Global Credit Facility) has occurred under the Company's Global Credit Facility.</w:t>
      </w:r>
    </w:p>
    <w:p w14:paraId="5771D1F6" w14:textId="77777777" w:rsidR="00000000" w:rsidRDefault="00EE5306">
      <w:pPr>
        <w:ind w:firstLine="540"/>
        <w:jc w:val="both"/>
        <w:divId w:val="256982478"/>
        <w:rPr>
          <w:rFonts w:eastAsia="Times New Roman"/>
        </w:rPr>
      </w:pPr>
      <w:r>
        <w:rPr>
          <w:rFonts w:eastAsia="Times New Roman"/>
          <w:color w:val="000000"/>
          <w:sz w:val="20"/>
          <w:szCs w:val="20"/>
        </w:rPr>
        <w:t>In March 2020, the Company borrowed $475.0 million under the Global Credit Facility as a preemptive action to pres</w:t>
      </w:r>
      <w:r>
        <w:rPr>
          <w:rFonts w:eastAsia="Times New Roman"/>
          <w:color w:val="000000"/>
          <w:sz w:val="20"/>
          <w:szCs w:val="20"/>
        </w:rPr>
        <w:t>erve cash and strengthen its liquidity position in response to the COVID-19 pandemic. These borrowings were subsequently repaid in June 2020. As of March 27, 2021, there were no borrowings outstanding under the Global Credit Facility and the Company was co</w:t>
      </w:r>
      <w:r>
        <w:rPr>
          <w:rFonts w:eastAsia="Times New Roman"/>
          <w:color w:val="000000"/>
          <w:sz w:val="20"/>
          <w:szCs w:val="20"/>
        </w:rPr>
        <w:t>ntingently liable for $8.9 million of outstanding letters of credit</w:t>
      </w:r>
    </w:p>
    <w:p w14:paraId="4490AD93" w14:textId="77777777" w:rsidR="00000000" w:rsidRDefault="00EE5306">
      <w:pPr>
        <w:ind w:firstLine="360"/>
        <w:jc w:val="both"/>
        <w:divId w:val="395394903"/>
        <w:rPr>
          <w:rFonts w:eastAsia="Times New Roman"/>
        </w:rPr>
      </w:pPr>
      <w:r>
        <w:rPr>
          <w:rFonts w:eastAsia="Times New Roman"/>
          <w:i/>
          <w:iCs/>
          <w:color w:val="000000"/>
          <w:sz w:val="20"/>
          <w:szCs w:val="20"/>
        </w:rPr>
        <w:t>364 Day Facility</w:t>
      </w:r>
    </w:p>
    <w:p w14:paraId="7D5FA6C2" w14:textId="77777777" w:rsidR="00000000" w:rsidRDefault="00EE5306">
      <w:pPr>
        <w:ind w:firstLine="540"/>
        <w:jc w:val="both"/>
        <w:divId w:val="137965531"/>
        <w:rPr>
          <w:rFonts w:eastAsia="Times New Roman"/>
        </w:rPr>
      </w:pPr>
      <w:r>
        <w:rPr>
          <w:rFonts w:eastAsia="Times New Roman"/>
          <w:color w:val="000000"/>
          <w:sz w:val="20"/>
          <w:szCs w:val="20"/>
        </w:rPr>
        <w:t xml:space="preserve">In May 2020, the Company entered into a new credit facility with the same lenders that are parties to the Global Credit Facility (the "364 Day Facility") as a preemptive measure to strengthen its liquidity in response to the COVID-19 pandemic. The 364 Day </w:t>
      </w:r>
      <w:r>
        <w:rPr>
          <w:rFonts w:eastAsia="Times New Roman"/>
          <w:color w:val="000000"/>
          <w:sz w:val="20"/>
          <w:szCs w:val="20"/>
        </w:rPr>
        <w:t>Facility provided for a $500 million senior unsecured revolving line of credit through May 25, 2021, provided that the maturity date may be earlier if the Company was to issue senior notes other than to refinance the previously outstanding 2.625% Senior No</w:t>
      </w:r>
      <w:r>
        <w:rPr>
          <w:rFonts w:eastAsia="Times New Roman"/>
          <w:color w:val="000000"/>
          <w:sz w:val="20"/>
          <w:szCs w:val="20"/>
        </w:rPr>
        <w:t>tes. In connection with the issuances of the 1.700% Senior Notes and the 2.950% Senior Notes in June 2020, the 364 Day Facility automatically terminated in accordance with its terms because the aggregate proceeds received upon issuance of these senior note</w:t>
      </w:r>
      <w:r>
        <w:rPr>
          <w:rFonts w:eastAsia="Times New Roman"/>
          <w:color w:val="000000"/>
          <w:sz w:val="20"/>
          <w:szCs w:val="20"/>
        </w:rPr>
        <w:t>s exceeded the amount necessary to refinance the 2.625% Senior Notes.</w:t>
      </w:r>
    </w:p>
    <w:p w14:paraId="598D4FD2" w14:textId="77777777" w:rsidR="00000000" w:rsidRDefault="00EE5306">
      <w:pPr>
        <w:ind w:firstLine="360"/>
        <w:jc w:val="both"/>
        <w:divId w:val="1937857315"/>
        <w:rPr>
          <w:rFonts w:eastAsia="Times New Roman"/>
        </w:rPr>
      </w:pPr>
      <w:r>
        <w:rPr>
          <w:rFonts w:eastAsia="Times New Roman"/>
          <w:i/>
          <w:iCs/>
          <w:color w:val="000000"/>
          <w:sz w:val="20"/>
          <w:szCs w:val="20"/>
        </w:rPr>
        <w:t>Pan-Asia Borrowing Facilities</w:t>
      </w:r>
    </w:p>
    <w:p w14:paraId="1D3C0222" w14:textId="77777777" w:rsidR="00000000" w:rsidRDefault="00EE5306">
      <w:pPr>
        <w:ind w:firstLine="540"/>
        <w:jc w:val="both"/>
        <w:divId w:val="2058581464"/>
        <w:rPr>
          <w:rFonts w:eastAsia="Times New Roman"/>
        </w:rPr>
      </w:pPr>
      <w:r>
        <w:rPr>
          <w:rFonts w:eastAsia="Times New Roman"/>
          <w:color w:val="000000"/>
          <w:sz w:val="20"/>
          <w:szCs w:val="20"/>
        </w:rPr>
        <w:t>Certain of the Company's subsidiaries in Asia have uncommitted credit facilities with regional branches of JPMorgan Chase in China and South Korea (the "Pan</w:t>
      </w:r>
      <w:r>
        <w:rPr>
          <w:rFonts w:eastAsia="Times New Roman"/>
          <w:color w:val="000000"/>
          <w:sz w:val="20"/>
          <w:szCs w:val="20"/>
        </w:rPr>
        <w:t>-Asia Credit Facilities"). Additionally, the Company's Japan subsidiary has an uncommitted overdraft facility with Sumitomo Mitsui Banking Corporation (the "Japan Overdraft Facility"). The Pan-Asia Credit Facilities and Japan Overdraft Facility (collective</w:t>
      </w:r>
      <w:r>
        <w:rPr>
          <w:rFonts w:eastAsia="Times New Roman"/>
          <w:color w:val="000000"/>
          <w:sz w:val="20"/>
          <w:szCs w:val="20"/>
        </w:rPr>
        <w:t>ly, the "Pan-Asia Borrowing Facilities") are subject to annual renewal and may be used to fund general working capital needs of the Company's operations in the respective countries. Borrowings under the Pan-Asia Borrowing Facilities are guaranteed by the p</w:t>
      </w:r>
      <w:r>
        <w:rPr>
          <w:rFonts w:eastAsia="Times New Roman"/>
          <w:color w:val="000000"/>
          <w:sz w:val="20"/>
          <w:szCs w:val="20"/>
        </w:rPr>
        <w:t>arent company and are granted at the sole discretion of the respective banks, subject to availability of the banks' funds and satisfaction of certain regulatory requirements. The Pan-Asia Borrowing Facilities do not contain any financial covenants. A summa</w:t>
      </w:r>
      <w:r>
        <w:rPr>
          <w:rFonts w:eastAsia="Times New Roman"/>
          <w:color w:val="000000"/>
          <w:sz w:val="20"/>
          <w:szCs w:val="20"/>
        </w:rPr>
        <w:t>ry of the Company's Pan-Asia Borrowing Facilities by country is as follows:</w:t>
      </w:r>
    </w:p>
    <w:p w14:paraId="222A99D6" w14:textId="77777777" w:rsidR="00000000" w:rsidRDefault="00EE5306">
      <w:pPr>
        <w:ind w:hanging="360"/>
        <w:jc w:val="both"/>
        <w:divId w:val="165093323"/>
        <w:rPr>
          <w:rFonts w:eastAsia="Times New Roman"/>
        </w:rPr>
      </w:pPr>
      <w:r>
        <w:rPr>
          <w:rFonts w:eastAsia="Times New Roman"/>
          <w:color w:val="000000"/>
          <w:sz w:val="20"/>
          <w:szCs w:val="20"/>
        </w:rPr>
        <w:t>•</w:t>
      </w:r>
      <w:r>
        <w:rPr>
          <w:rFonts w:eastAsia="Times New Roman"/>
          <w:color w:val="000000"/>
          <w:sz w:val="20"/>
          <w:szCs w:val="20"/>
          <w:u w:val="single"/>
        </w:rPr>
        <w:t>China Credit Facility</w:t>
      </w:r>
      <w:r>
        <w:rPr>
          <w:rFonts w:eastAsia="Times New Roman"/>
          <w:color w:val="000000"/>
          <w:sz w:val="20"/>
          <w:szCs w:val="20"/>
        </w:rPr>
        <w:t xml:space="preserve"> — provides Ralph Lauren Trading (Shanghai) Co., Ltd. with a revolving line of credit of up to 50 million Chinese Renminbi (approximately $8 million) through </w:t>
      </w:r>
      <w:r>
        <w:rPr>
          <w:rFonts w:eastAsia="Times New Roman"/>
          <w:color w:val="000000"/>
          <w:sz w:val="20"/>
          <w:szCs w:val="20"/>
        </w:rPr>
        <w:t xml:space="preserve">April 3, 2022, which is also able to be used to support bank guarantees. </w:t>
      </w:r>
    </w:p>
    <w:p w14:paraId="575C6528" w14:textId="77777777" w:rsidR="00000000" w:rsidRDefault="00EE5306">
      <w:pPr>
        <w:ind w:hanging="360"/>
        <w:jc w:val="both"/>
        <w:divId w:val="1183976970"/>
        <w:rPr>
          <w:rFonts w:eastAsia="Times New Roman"/>
        </w:rPr>
      </w:pPr>
      <w:r>
        <w:rPr>
          <w:rFonts w:eastAsia="Times New Roman"/>
          <w:color w:val="000000"/>
          <w:sz w:val="20"/>
          <w:szCs w:val="20"/>
        </w:rPr>
        <w:t>•</w:t>
      </w:r>
      <w:r>
        <w:rPr>
          <w:rFonts w:eastAsia="Times New Roman"/>
          <w:color w:val="000000"/>
          <w:sz w:val="20"/>
          <w:szCs w:val="20"/>
          <w:u w:val="single"/>
        </w:rPr>
        <w:t>South Korea Credit Facility</w:t>
      </w:r>
      <w:r>
        <w:rPr>
          <w:rFonts w:eastAsia="Times New Roman"/>
          <w:color w:val="000000"/>
          <w:sz w:val="20"/>
          <w:szCs w:val="20"/>
        </w:rPr>
        <w:t xml:space="preserve"> — provides Ralph Lauren (Korea) Ltd. with a revolving line of credit of up to 30 billion South Korean Won (approximately $26 million) through October 29,</w:t>
      </w:r>
      <w:r>
        <w:rPr>
          <w:rFonts w:eastAsia="Times New Roman"/>
          <w:color w:val="000000"/>
          <w:sz w:val="20"/>
          <w:szCs w:val="20"/>
        </w:rPr>
        <w:t xml:space="preserve">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C3D0A7C" w14:textId="77777777">
        <w:trPr>
          <w:divId w:val="2016609324"/>
          <w:jc w:val="center"/>
        </w:trPr>
        <w:tc>
          <w:tcPr>
            <w:tcW w:w="50" w:type="pct"/>
            <w:vAlign w:val="center"/>
            <w:hideMark/>
          </w:tcPr>
          <w:p w14:paraId="0EA19523" w14:textId="77777777" w:rsidR="00000000" w:rsidRDefault="00EE5306">
            <w:pPr>
              <w:ind w:hanging="360"/>
              <w:jc w:val="both"/>
              <w:rPr>
                <w:rFonts w:eastAsia="Times New Roman"/>
              </w:rPr>
            </w:pPr>
          </w:p>
        </w:tc>
        <w:tc>
          <w:tcPr>
            <w:tcW w:w="1699" w:type="pct"/>
            <w:vAlign w:val="center"/>
            <w:hideMark/>
          </w:tcPr>
          <w:p w14:paraId="67E31EE1" w14:textId="77777777" w:rsidR="00000000" w:rsidRDefault="00EE5306">
            <w:pPr>
              <w:spacing w:after="100"/>
              <w:rPr>
                <w:rFonts w:eastAsia="Times New Roman"/>
                <w:sz w:val="20"/>
                <w:szCs w:val="20"/>
              </w:rPr>
            </w:pPr>
          </w:p>
        </w:tc>
        <w:tc>
          <w:tcPr>
            <w:tcW w:w="5" w:type="pct"/>
            <w:vAlign w:val="center"/>
            <w:hideMark/>
          </w:tcPr>
          <w:p w14:paraId="0F247C4D" w14:textId="77777777" w:rsidR="00000000" w:rsidRDefault="00EE5306">
            <w:pPr>
              <w:spacing w:after="100"/>
              <w:rPr>
                <w:rFonts w:eastAsia="Times New Roman"/>
                <w:sz w:val="20"/>
                <w:szCs w:val="20"/>
              </w:rPr>
            </w:pPr>
          </w:p>
        </w:tc>
        <w:tc>
          <w:tcPr>
            <w:tcW w:w="50" w:type="pct"/>
            <w:vAlign w:val="center"/>
            <w:hideMark/>
          </w:tcPr>
          <w:p w14:paraId="05C1524B" w14:textId="77777777" w:rsidR="00000000" w:rsidRDefault="00EE5306">
            <w:pPr>
              <w:spacing w:after="100"/>
              <w:rPr>
                <w:rFonts w:eastAsia="Times New Roman"/>
                <w:sz w:val="20"/>
                <w:szCs w:val="20"/>
              </w:rPr>
            </w:pPr>
          </w:p>
        </w:tc>
        <w:tc>
          <w:tcPr>
            <w:tcW w:w="1436" w:type="pct"/>
            <w:vAlign w:val="center"/>
            <w:hideMark/>
          </w:tcPr>
          <w:p w14:paraId="647EC330" w14:textId="77777777" w:rsidR="00000000" w:rsidRDefault="00EE5306">
            <w:pPr>
              <w:spacing w:after="100"/>
              <w:rPr>
                <w:rFonts w:eastAsia="Times New Roman"/>
                <w:sz w:val="20"/>
                <w:szCs w:val="20"/>
              </w:rPr>
            </w:pPr>
          </w:p>
        </w:tc>
        <w:tc>
          <w:tcPr>
            <w:tcW w:w="5" w:type="pct"/>
            <w:vAlign w:val="center"/>
            <w:hideMark/>
          </w:tcPr>
          <w:p w14:paraId="6E12EE43" w14:textId="77777777" w:rsidR="00000000" w:rsidRDefault="00EE5306">
            <w:pPr>
              <w:spacing w:after="100"/>
              <w:rPr>
                <w:rFonts w:eastAsia="Times New Roman"/>
                <w:sz w:val="20"/>
                <w:szCs w:val="20"/>
              </w:rPr>
            </w:pPr>
          </w:p>
        </w:tc>
        <w:tc>
          <w:tcPr>
            <w:tcW w:w="50" w:type="pct"/>
            <w:vAlign w:val="center"/>
            <w:hideMark/>
          </w:tcPr>
          <w:p w14:paraId="674B7AC5" w14:textId="77777777" w:rsidR="00000000" w:rsidRDefault="00EE5306">
            <w:pPr>
              <w:spacing w:after="100"/>
              <w:rPr>
                <w:rFonts w:eastAsia="Times New Roman"/>
                <w:sz w:val="20"/>
                <w:szCs w:val="20"/>
              </w:rPr>
            </w:pPr>
          </w:p>
        </w:tc>
        <w:tc>
          <w:tcPr>
            <w:tcW w:w="1699" w:type="pct"/>
            <w:vAlign w:val="center"/>
            <w:hideMark/>
          </w:tcPr>
          <w:p w14:paraId="55B1D046" w14:textId="77777777" w:rsidR="00000000" w:rsidRDefault="00EE5306">
            <w:pPr>
              <w:spacing w:after="100"/>
              <w:rPr>
                <w:rFonts w:eastAsia="Times New Roman"/>
                <w:sz w:val="20"/>
                <w:szCs w:val="20"/>
              </w:rPr>
            </w:pPr>
          </w:p>
        </w:tc>
        <w:tc>
          <w:tcPr>
            <w:tcW w:w="5" w:type="pct"/>
            <w:vAlign w:val="center"/>
            <w:hideMark/>
          </w:tcPr>
          <w:p w14:paraId="218FFF2C" w14:textId="77777777" w:rsidR="00000000" w:rsidRDefault="00EE5306">
            <w:pPr>
              <w:spacing w:after="100"/>
              <w:rPr>
                <w:rFonts w:eastAsia="Times New Roman"/>
                <w:sz w:val="20"/>
                <w:szCs w:val="20"/>
              </w:rPr>
            </w:pPr>
          </w:p>
        </w:tc>
      </w:tr>
      <w:tr w:rsidR="00000000" w14:paraId="0ABF1B0B" w14:textId="77777777">
        <w:trPr>
          <w:divId w:val="2016609324"/>
          <w:jc w:val="center"/>
        </w:trPr>
        <w:tc>
          <w:tcPr>
            <w:tcW w:w="0" w:type="auto"/>
            <w:gridSpan w:val="3"/>
            <w:tcMar>
              <w:top w:w="0" w:type="dxa"/>
              <w:left w:w="20" w:type="dxa"/>
              <w:bottom w:w="0" w:type="dxa"/>
              <w:right w:w="20" w:type="dxa"/>
            </w:tcMar>
            <w:vAlign w:val="center"/>
            <w:hideMark/>
          </w:tcPr>
          <w:p w14:paraId="3CC8062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0A198A1" w14:textId="77777777" w:rsidR="00000000" w:rsidRDefault="00EE5306">
            <w:pPr>
              <w:spacing w:after="100"/>
              <w:jc w:val="center"/>
              <w:rPr>
                <w:rFonts w:eastAsia="Times New Roman"/>
              </w:rPr>
            </w:pPr>
            <w:r>
              <w:rPr>
                <w:rFonts w:eastAsia="Times New Roman"/>
                <w:color w:val="000000"/>
                <w:sz w:val="20"/>
                <w:szCs w:val="20"/>
              </w:rPr>
              <w:t>F-35</w:t>
            </w:r>
          </w:p>
        </w:tc>
        <w:tc>
          <w:tcPr>
            <w:tcW w:w="0" w:type="auto"/>
            <w:gridSpan w:val="3"/>
            <w:tcMar>
              <w:top w:w="0" w:type="dxa"/>
              <w:left w:w="20" w:type="dxa"/>
              <w:bottom w:w="0" w:type="dxa"/>
              <w:right w:w="20" w:type="dxa"/>
            </w:tcMar>
            <w:vAlign w:val="center"/>
            <w:hideMark/>
          </w:tcPr>
          <w:p w14:paraId="32693FBE" w14:textId="77777777" w:rsidR="00000000" w:rsidRDefault="00EE5306">
            <w:pPr>
              <w:spacing w:after="100"/>
              <w:jc w:val="center"/>
              <w:rPr>
                <w:rFonts w:eastAsia="Times New Roman"/>
              </w:rPr>
            </w:pPr>
          </w:p>
        </w:tc>
      </w:tr>
    </w:tbl>
    <w:p w14:paraId="607D1F41" w14:textId="77777777" w:rsidR="00000000" w:rsidRDefault="00EE5306">
      <w:pPr>
        <w:rPr>
          <w:rFonts w:eastAsia="Times New Roman"/>
        </w:rPr>
      </w:pPr>
      <w:r>
        <w:rPr>
          <w:rFonts w:eastAsia="Times New Roman"/>
        </w:rPr>
        <w:pict w14:anchorId="073FC479">
          <v:rect id="_x0000_i1145" style="width:0;height:1.5pt" o:hralign="center" o:hrstd="t" o:hr="t" fillcolor="#a0a0a0" stroked="f"/>
        </w:pict>
      </w:r>
    </w:p>
    <w:p w14:paraId="3B24EB89" w14:textId="77777777" w:rsidR="00000000" w:rsidRDefault="00EE5306">
      <w:pPr>
        <w:jc w:val="center"/>
        <w:divId w:val="1443649688"/>
        <w:rPr>
          <w:rFonts w:eastAsia="Times New Roman"/>
        </w:rPr>
      </w:pPr>
    </w:p>
    <w:p w14:paraId="126CC854" w14:textId="77777777" w:rsidR="00000000" w:rsidRDefault="00EE5306">
      <w:pPr>
        <w:jc w:val="center"/>
        <w:divId w:val="1443649688"/>
        <w:rPr>
          <w:rFonts w:eastAsia="Times New Roman"/>
        </w:rPr>
      </w:pPr>
      <w:r>
        <w:rPr>
          <w:rFonts w:eastAsia="Times New Roman"/>
          <w:b/>
          <w:bCs/>
          <w:color w:val="000000"/>
          <w:sz w:val="20"/>
          <w:szCs w:val="20"/>
        </w:rPr>
        <w:t>RALPH LAUREN CORPORATION</w:t>
      </w:r>
    </w:p>
    <w:p w14:paraId="724E0505" w14:textId="77777777" w:rsidR="00000000" w:rsidRDefault="00EE5306">
      <w:pPr>
        <w:jc w:val="center"/>
        <w:divId w:val="953290802"/>
        <w:rPr>
          <w:rFonts w:eastAsia="Times New Roman"/>
        </w:rPr>
      </w:pPr>
      <w:r>
        <w:rPr>
          <w:rFonts w:eastAsia="Times New Roman"/>
          <w:b/>
          <w:bCs/>
          <w:color w:val="000000"/>
          <w:sz w:val="20"/>
          <w:szCs w:val="20"/>
        </w:rPr>
        <w:t>NOTES TO CONSOLIDATED FINANCIAL STATEMENTS (Continued)</w:t>
      </w:r>
    </w:p>
    <w:p w14:paraId="36238E19" w14:textId="77777777" w:rsidR="00000000" w:rsidRDefault="00EE5306">
      <w:pPr>
        <w:ind w:hanging="360"/>
        <w:jc w:val="both"/>
        <w:divId w:val="1848443947"/>
        <w:rPr>
          <w:rFonts w:eastAsia="Times New Roman"/>
        </w:rPr>
      </w:pPr>
      <w:r>
        <w:rPr>
          <w:rFonts w:eastAsia="Times New Roman"/>
          <w:color w:val="000000"/>
          <w:sz w:val="20"/>
          <w:szCs w:val="20"/>
        </w:rPr>
        <w:t>•</w:t>
      </w:r>
      <w:r>
        <w:rPr>
          <w:rFonts w:eastAsia="Times New Roman"/>
          <w:color w:val="000000"/>
          <w:sz w:val="20"/>
          <w:szCs w:val="20"/>
          <w:u w:val="single"/>
        </w:rPr>
        <w:t>Japan Overdraft Facility</w:t>
      </w:r>
      <w:r>
        <w:rPr>
          <w:rFonts w:eastAsia="Times New Roman"/>
          <w:color w:val="000000"/>
          <w:sz w:val="20"/>
          <w:szCs w:val="20"/>
        </w:rPr>
        <w:t xml:space="preserve"> — provides Ralph Lauren Corporation Japan with an overdraft amount of up to 5 billion Japanese Yen (approximatel</w:t>
      </w:r>
      <w:r>
        <w:rPr>
          <w:rFonts w:eastAsia="Times New Roman"/>
          <w:color w:val="000000"/>
          <w:sz w:val="20"/>
          <w:szCs w:val="20"/>
        </w:rPr>
        <w:t>y $46 million) through April 28, 2022.</w:t>
      </w:r>
    </w:p>
    <w:p w14:paraId="0D0F2389" w14:textId="77777777" w:rsidR="00000000" w:rsidRDefault="00EE5306">
      <w:pPr>
        <w:ind w:firstLine="540"/>
        <w:jc w:val="both"/>
        <w:divId w:val="1558080870"/>
        <w:rPr>
          <w:rFonts w:eastAsia="Times New Roman"/>
        </w:rPr>
      </w:pPr>
      <w:r>
        <w:rPr>
          <w:rFonts w:eastAsia="Times New Roman"/>
          <w:color w:val="000000"/>
          <w:sz w:val="20"/>
          <w:szCs w:val="20"/>
        </w:rPr>
        <w:t>As of both March 27, 2021 and March 28, 2020 there were no borrowings outstanding under the Pan-Asia Borrowing Facilities.</w:t>
      </w:r>
    </w:p>
    <w:p w14:paraId="18D2F911" w14:textId="77777777" w:rsidR="00000000" w:rsidRDefault="00EE5306">
      <w:pPr>
        <w:ind w:hanging="540"/>
        <w:divId w:val="318047741"/>
        <w:rPr>
          <w:rFonts w:eastAsia="Times New Roman"/>
        </w:rPr>
      </w:pPr>
      <w:r>
        <w:rPr>
          <w:rFonts w:eastAsia="Times New Roman"/>
          <w:b/>
          <w:bCs/>
          <w:color w:val="000000"/>
          <w:sz w:val="20"/>
          <w:szCs w:val="20"/>
        </w:rPr>
        <w:t>12.    Fair Value Measurements</w:t>
      </w:r>
    </w:p>
    <w:p w14:paraId="70A9C0CA" w14:textId="77777777" w:rsidR="00000000" w:rsidRDefault="00EE5306">
      <w:pPr>
        <w:ind w:firstLine="540"/>
        <w:jc w:val="both"/>
        <w:divId w:val="965157231"/>
        <w:rPr>
          <w:rFonts w:eastAsia="Times New Roman"/>
        </w:rPr>
      </w:pPr>
      <w:r>
        <w:rPr>
          <w:rFonts w:eastAsia="Times New Roman"/>
          <w:color w:val="000000"/>
          <w:sz w:val="20"/>
          <w:szCs w:val="20"/>
        </w:rPr>
        <w:t>U.S. </w:t>
      </w:r>
      <w:r>
        <w:rPr>
          <w:rFonts w:eastAsia="Times New Roman"/>
          <w:color w:val="000000"/>
          <w:sz w:val="20"/>
          <w:szCs w:val="20"/>
        </w:rPr>
        <w:t>GAAP establishes a three-level valuation hierarchy for disclosure of fair value measurements. The determination of the applicable level within the hierarchy for a particular asset or liability depends on the inputs used in its valuation as of the measureme</w:t>
      </w:r>
      <w:r>
        <w:rPr>
          <w:rFonts w:eastAsia="Times New Roman"/>
          <w:color w:val="000000"/>
          <w:sz w:val="20"/>
          <w:szCs w:val="20"/>
        </w:rPr>
        <w:t>nt date, notably the extent to which the inputs are market-based (observable) or internally-derived (unobservable). A financial instrument's categorization within the valuation hierarchy is based upon the lowest level of input that is significant to the fa</w:t>
      </w:r>
      <w:r>
        <w:rPr>
          <w:rFonts w:eastAsia="Times New Roman"/>
          <w:color w:val="000000"/>
          <w:sz w:val="20"/>
          <w:szCs w:val="20"/>
        </w:rPr>
        <w:t>ir value measurement. The three levels are defined as follows:</w:t>
      </w:r>
    </w:p>
    <w:p w14:paraId="3B55E764" w14:textId="77777777" w:rsidR="00000000" w:rsidRDefault="00EE5306">
      <w:pPr>
        <w:ind w:hanging="360"/>
        <w:jc w:val="both"/>
        <w:divId w:val="981077495"/>
        <w:rPr>
          <w:rFonts w:eastAsia="Times New Roman"/>
        </w:rPr>
      </w:pPr>
      <w:r>
        <w:rPr>
          <w:rFonts w:eastAsia="Times New Roman"/>
          <w:color w:val="000000"/>
          <w:sz w:val="20"/>
          <w:szCs w:val="20"/>
        </w:rPr>
        <w:t>•</w:t>
      </w:r>
      <w:r>
        <w:rPr>
          <w:rFonts w:eastAsia="Times New Roman"/>
          <w:color w:val="000000"/>
          <w:sz w:val="20"/>
          <w:szCs w:val="20"/>
          <w:u w:val="single"/>
        </w:rPr>
        <w:t>Level 1</w:t>
      </w:r>
      <w:r>
        <w:rPr>
          <w:rFonts w:eastAsia="Times New Roman"/>
          <w:color w:val="000000"/>
          <w:sz w:val="20"/>
          <w:szCs w:val="20"/>
        </w:rPr>
        <w:t xml:space="preserve"> — </w:t>
      </w:r>
      <w:r>
        <w:rPr>
          <w:rFonts w:eastAsia="Times New Roman"/>
          <w:color w:val="000000"/>
          <w:sz w:val="20"/>
          <w:szCs w:val="20"/>
        </w:rPr>
        <w:t>inputs to the valuation methodology based on quoted prices (unadjusted) for identical assets or liabilities in active markets.</w:t>
      </w:r>
    </w:p>
    <w:p w14:paraId="699AB148" w14:textId="77777777" w:rsidR="00000000" w:rsidRDefault="00EE5306">
      <w:pPr>
        <w:ind w:hanging="360"/>
        <w:jc w:val="both"/>
        <w:divId w:val="993604281"/>
        <w:rPr>
          <w:rFonts w:eastAsia="Times New Roman"/>
        </w:rPr>
      </w:pPr>
      <w:r>
        <w:rPr>
          <w:rFonts w:eastAsia="Times New Roman"/>
          <w:color w:val="000000"/>
          <w:sz w:val="20"/>
          <w:szCs w:val="20"/>
        </w:rPr>
        <w:t>•</w:t>
      </w:r>
      <w:r>
        <w:rPr>
          <w:rFonts w:eastAsia="Times New Roman"/>
          <w:color w:val="000000"/>
          <w:sz w:val="20"/>
          <w:szCs w:val="20"/>
          <w:u w:val="single"/>
        </w:rPr>
        <w:t>Level 2</w:t>
      </w:r>
      <w:r>
        <w:rPr>
          <w:rFonts w:eastAsia="Times New Roman"/>
          <w:color w:val="000000"/>
          <w:sz w:val="20"/>
          <w:szCs w:val="20"/>
        </w:rPr>
        <w:t> — inputs to the valuation methodology based on quoted prices for similar assets or liabilities in active markets for sub</w:t>
      </w:r>
      <w:r>
        <w:rPr>
          <w:rFonts w:eastAsia="Times New Roman"/>
          <w:color w:val="000000"/>
          <w:sz w:val="20"/>
          <w:szCs w:val="20"/>
        </w:rPr>
        <w:t>stantially the full term of the financial instrument; quoted prices for identical or similar instruments in markets that are not active for substantially the full term of the financial instrument; and model-derived valuations whose inputs or significant va</w:t>
      </w:r>
      <w:r>
        <w:rPr>
          <w:rFonts w:eastAsia="Times New Roman"/>
          <w:color w:val="000000"/>
          <w:sz w:val="20"/>
          <w:szCs w:val="20"/>
        </w:rPr>
        <w:t>lue drivers are observable.</w:t>
      </w:r>
    </w:p>
    <w:p w14:paraId="6E8FFBB5" w14:textId="77777777" w:rsidR="00000000" w:rsidRDefault="00EE5306">
      <w:pPr>
        <w:ind w:hanging="360"/>
        <w:jc w:val="both"/>
        <w:divId w:val="222715400"/>
        <w:rPr>
          <w:rFonts w:eastAsia="Times New Roman"/>
        </w:rPr>
      </w:pPr>
      <w:r>
        <w:rPr>
          <w:rFonts w:eastAsia="Times New Roman"/>
          <w:color w:val="000000"/>
          <w:sz w:val="20"/>
          <w:szCs w:val="20"/>
        </w:rPr>
        <w:t>•</w:t>
      </w:r>
      <w:r>
        <w:rPr>
          <w:rFonts w:eastAsia="Times New Roman"/>
          <w:color w:val="000000"/>
          <w:sz w:val="20"/>
          <w:szCs w:val="20"/>
          <w:u w:val="single"/>
        </w:rPr>
        <w:t>Level 3</w:t>
      </w:r>
      <w:r>
        <w:rPr>
          <w:rFonts w:eastAsia="Times New Roman"/>
          <w:color w:val="000000"/>
          <w:sz w:val="20"/>
          <w:szCs w:val="20"/>
        </w:rPr>
        <w:t> — inputs to the valuation methodology based on unobservable prices or valuation techniques that are significant to the fair value measurement.</w:t>
      </w:r>
    </w:p>
    <w:p w14:paraId="24B845D1" w14:textId="77777777" w:rsidR="00000000" w:rsidRDefault="00EE5306">
      <w:pPr>
        <w:ind w:firstLine="540"/>
        <w:jc w:val="both"/>
        <w:divId w:val="85733423"/>
        <w:rPr>
          <w:rFonts w:eastAsia="Times New Roman"/>
        </w:rPr>
      </w:pPr>
      <w:r>
        <w:rPr>
          <w:rFonts w:eastAsia="Times New Roman"/>
          <w:color w:val="000000"/>
          <w:sz w:val="20"/>
          <w:szCs w:val="20"/>
        </w:rPr>
        <w:t>The following table summarizes the Company's financial assets and liabilitie</w:t>
      </w:r>
      <w:r>
        <w:rPr>
          <w:rFonts w:eastAsia="Times New Roman"/>
          <w:color w:val="000000"/>
          <w:sz w:val="20"/>
          <w:szCs w:val="20"/>
        </w:rPr>
        <w:t>s that are measured and recorded at fair value on a recurring basis, excluding accrued interest components:</w:t>
      </w:r>
    </w:p>
    <w:tbl>
      <w:tblPr>
        <w:tblW w:w="4729" w:type="pct"/>
        <w:tblCellMar>
          <w:top w:w="15" w:type="dxa"/>
          <w:left w:w="15" w:type="dxa"/>
          <w:bottom w:w="15" w:type="dxa"/>
          <w:right w:w="15" w:type="dxa"/>
        </w:tblCellMar>
        <w:tblLook w:val="04A0" w:firstRow="1" w:lastRow="0" w:firstColumn="1" w:lastColumn="0" w:noHBand="0" w:noVBand="1"/>
      </w:tblPr>
      <w:tblGrid>
        <w:gridCol w:w="37"/>
        <w:gridCol w:w="5171"/>
        <w:gridCol w:w="36"/>
        <w:gridCol w:w="36"/>
        <w:gridCol w:w="36"/>
        <w:gridCol w:w="36"/>
        <w:gridCol w:w="121"/>
        <w:gridCol w:w="1041"/>
        <w:gridCol w:w="36"/>
        <w:gridCol w:w="36"/>
        <w:gridCol w:w="36"/>
        <w:gridCol w:w="36"/>
        <w:gridCol w:w="120"/>
        <w:gridCol w:w="1042"/>
        <w:gridCol w:w="36"/>
      </w:tblGrid>
      <w:tr w:rsidR="00000000" w14:paraId="10A6E8D4" w14:textId="77777777">
        <w:trPr>
          <w:divId w:val="1000691593"/>
        </w:trPr>
        <w:tc>
          <w:tcPr>
            <w:tcW w:w="50" w:type="pct"/>
            <w:vAlign w:val="center"/>
            <w:hideMark/>
          </w:tcPr>
          <w:p w14:paraId="4C5B2E87" w14:textId="77777777" w:rsidR="00000000" w:rsidRDefault="00EE5306">
            <w:pPr>
              <w:ind w:firstLine="540"/>
              <w:jc w:val="both"/>
              <w:rPr>
                <w:rFonts w:eastAsia="Times New Roman"/>
              </w:rPr>
            </w:pPr>
          </w:p>
        </w:tc>
        <w:tc>
          <w:tcPr>
            <w:tcW w:w="3322" w:type="pct"/>
            <w:vAlign w:val="center"/>
            <w:hideMark/>
          </w:tcPr>
          <w:p w14:paraId="6114D572" w14:textId="77777777" w:rsidR="00000000" w:rsidRDefault="00EE5306">
            <w:pPr>
              <w:spacing w:after="100"/>
              <w:rPr>
                <w:rFonts w:eastAsia="Times New Roman"/>
                <w:sz w:val="20"/>
                <w:szCs w:val="20"/>
              </w:rPr>
            </w:pPr>
          </w:p>
        </w:tc>
        <w:tc>
          <w:tcPr>
            <w:tcW w:w="5" w:type="pct"/>
            <w:vAlign w:val="center"/>
            <w:hideMark/>
          </w:tcPr>
          <w:p w14:paraId="774D5F89" w14:textId="77777777" w:rsidR="00000000" w:rsidRDefault="00EE5306">
            <w:pPr>
              <w:spacing w:after="100"/>
              <w:rPr>
                <w:rFonts w:eastAsia="Times New Roman"/>
                <w:sz w:val="20"/>
                <w:szCs w:val="20"/>
              </w:rPr>
            </w:pPr>
          </w:p>
        </w:tc>
        <w:tc>
          <w:tcPr>
            <w:tcW w:w="5" w:type="pct"/>
            <w:vAlign w:val="center"/>
            <w:hideMark/>
          </w:tcPr>
          <w:p w14:paraId="6E5704E6" w14:textId="77777777" w:rsidR="00000000" w:rsidRDefault="00EE5306">
            <w:pPr>
              <w:spacing w:after="100"/>
              <w:rPr>
                <w:rFonts w:eastAsia="Times New Roman"/>
                <w:sz w:val="20"/>
                <w:szCs w:val="20"/>
              </w:rPr>
            </w:pPr>
          </w:p>
        </w:tc>
        <w:tc>
          <w:tcPr>
            <w:tcW w:w="28" w:type="pct"/>
            <w:vAlign w:val="center"/>
            <w:hideMark/>
          </w:tcPr>
          <w:p w14:paraId="1B63EEC2" w14:textId="77777777" w:rsidR="00000000" w:rsidRDefault="00EE5306">
            <w:pPr>
              <w:spacing w:after="100"/>
              <w:rPr>
                <w:rFonts w:eastAsia="Times New Roman"/>
                <w:sz w:val="20"/>
                <w:szCs w:val="20"/>
              </w:rPr>
            </w:pPr>
          </w:p>
        </w:tc>
        <w:tc>
          <w:tcPr>
            <w:tcW w:w="5" w:type="pct"/>
            <w:vAlign w:val="center"/>
            <w:hideMark/>
          </w:tcPr>
          <w:p w14:paraId="63CB3E0C" w14:textId="77777777" w:rsidR="00000000" w:rsidRDefault="00EE5306">
            <w:pPr>
              <w:spacing w:after="100"/>
              <w:rPr>
                <w:rFonts w:eastAsia="Times New Roman"/>
                <w:sz w:val="20"/>
                <w:szCs w:val="20"/>
              </w:rPr>
            </w:pPr>
          </w:p>
        </w:tc>
        <w:tc>
          <w:tcPr>
            <w:tcW w:w="50" w:type="pct"/>
            <w:vAlign w:val="center"/>
            <w:hideMark/>
          </w:tcPr>
          <w:p w14:paraId="07184DB2" w14:textId="77777777" w:rsidR="00000000" w:rsidRDefault="00EE5306">
            <w:pPr>
              <w:spacing w:after="100"/>
              <w:rPr>
                <w:rFonts w:eastAsia="Times New Roman"/>
                <w:sz w:val="20"/>
                <w:szCs w:val="20"/>
              </w:rPr>
            </w:pPr>
          </w:p>
        </w:tc>
        <w:tc>
          <w:tcPr>
            <w:tcW w:w="717" w:type="pct"/>
            <w:vAlign w:val="center"/>
            <w:hideMark/>
          </w:tcPr>
          <w:p w14:paraId="4A695864" w14:textId="77777777" w:rsidR="00000000" w:rsidRDefault="00EE5306">
            <w:pPr>
              <w:spacing w:after="100"/>
              <w:rPr>
                <w:rFonts w:eastAsia="Times New Roman"/>
                <w:sz w:val="20"/>
                <w:szCs w:val="20"/>
              </w:rPr>
            </w:pPr>
          </w:p>
        </w:tc>
        <w:tc>
          <w:tcPr>
            <w:tcW w:w="5" w:type="pct"/>
            <w:vAlign w:val="center"/>
            <w:hideMark/>
          </w:tcPr>
          <w:p w14:paraId="4670CD0B" w14:textId="77777777" w:rsidR="00000000" w:rsidRDefault="00EE5306">
            <w:pPr>
              <w:spacing w:after="100"/>
              <w:rPr>
                <w:rFonts w:eastAsia="Times New Roman"/>
                <w:sz w:val="20"/>
                <w:szCs w:val="20"/>
              </w:rPr>
            </w:pPr>
          </w:p>
        </w:tc>
        <w:tc>
          <w:tcPr>
            <w:tcW w:w="5" w:type="pct"/>
            <w:vAlign w:val="center"/>
            <w:hideMark/>
          </w:tcPr>
          <w:p w14:paraId="7076FB3B" w14:textId="77777777" w:rsidR="00000000" w:rsidRDefault="00EE5306">
            <w:pPr>
              <w:spacing w:after="100"/>
              <w:rPr>
                <w:rFonts w:eastAsia="Times New Roman"/>
                <w:sz w:val="20"/>
                <w:szCs w:val="20"/>
              </w:rPr>
            </w:pPr>
          </w:p>
        </w:tc>
        <w:tc>
          <w:tcPr>
            <w:tcW w:w="28" w:type="pct"/>
            <w:vAlign w:val="center"/>
            <w:hideMark/>
          </w:tcPr>
          <w:p w14:paraId="1F90F747" w14:textId="77777777" w:rsidR="00000000" w:rsidRDefault="00EE5306">
            <w:pPr>
              <w:spacing w:after="100"/>
              <w:rPr>
                <w:rFonts w:eastAsia="Times New Roman"/>
                <w:sz w:val="20"/>
                <w:szCs w:val="20"/>
              </w:rPr>
            </w:pPr>
          </w:p>
        </w:tc>
        <w:tc>
          <w:tcPr>
            <w:tcW w:w="5" w:type="pct"/>
            <w:vAlign w:val="center"/>
            <w:hideMark/>
          </w:tcPr>
          <w:p w14:paraId="176B278D" w14:textId="77777777" w:rsidR="00000000" w:rsidRDefault="00EE5306">
            <w:pPr>
              <w:spacing w:after="100"/>
              <w:rPr>
                <w:rFonts w:eastAsia="Times New Roman"/>
                <w:sz w:val="20"/>
                <w:szCs w:val="20"/>
              </w:rPr>
            </w:pPr>
          </w:p>
        </w:tc>
        <w:tc>
          <w:tcPr>
            <w:tcW w:w="50" w:type="pct"/>
            <w:vAlign w:val="center"/>
            <w:hideMark/>
          </w:tcPr>
          <w:p w14:paraId="04D90E03" w14:textId="77777777" w:rsidR="00000000" w:rsidRDefault="00EE5306">
            <w:pPr>
              <w:spacing w:after="100"/>
              <w:rPr>
                <w:rFonts w:eastAsia="Times New Roman"/>
                <w:sz w:val="20"/>
                <w:szCs w:val="20"/>
              </w:rPr>
            </w:pPr>
          </w:p>
        </w:tc>
        <w:tc>
          <w:tcPr>
            <w:tcW w:w="717" w:type="pct"/>
            <w:vAlign w:val="center"/>
            <w:hideMark/>
          </w:tcPr>
          <w:p w14:paraId="15FB4F00" w14:textId="77777777" w:rsidR="00000000" w:rsidRDefault="00EE5306">
            <w:pPr>
              <w:spacing w:after="100"/>
              <w:rPr>
                <w:rFonts w:eastAsia="Times New Roman"/>
                <w:sz w:val="20"/>
                <w:szCs w:val="20"/>
              </w:rPr>
            </w:pPr>
          </w:p>
        </w:tc>
        <w:tc>
          <w:tcPr>
            <w:tcW w:w="5" w:type="pct"/>
            <w:vAlign w:val="center"/>
            <w:hideMark/>
          </w:tcPr>
          <w:p w14:paraId="65127888" w14:textId="77777777" w:rsidR="00000000" w:rsidRDefault="00EE5306">
            <w:pPr>
              <w:spacing w:after="100"/>
              <w:rPr>
                <w:rFonts w:eastAsia="Times New Roman"/>
                <w:sz w:val="20"/>
                <w:szCs w:val="20"/>
              </w:rPr>
            </w:pPr>
          </w:p>
        </w:tc>
      </w:tr>
      <w:tr w:rsidR="00000000" w14:paraId="3466BFFA" w14:textId="77777777">
        <w:trPr>
          <w:divId w:val="1000691593"/>
        </w:trPr>
        <w:tc>
          <w:tcPr>
            <w:tcW w:w="0" w:type="auto"/>
            <w:gridSpan w:val="3"/>
            <w:tcMar>
              <w:top w:w="0" w:type="dxa"/>
              <w:left w:w="20" w:type="dxa"/>
              <w:bottom w:w="0" w:type="dxa"/>
              <w:right w:w="20" w:type="dxa"/>
            </w:tcMar>
            <w:vAlign w:val="center"/>
            <w:hideMark/>
          </w:tcPr>
          <w:p w14:paraId="6E3EC44F"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FE0CD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3FCE4D"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3BDA4859"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0165925"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61E54B85" w14:textId="77777777">
        <w:trPr>
          <w:divId w:val="1000691593"/>
        </w:trPr>
        <w:tc>
          <w:tcPr>
            <w:tcW w:w="0" w:type="auto"/>
            <w:gridSpan w:val="3"/>
            <w:tcMar>
              <w:top w:w="30" w:type="dxa"/>
              <w:left w:w="20" w:type="dxa"/>
              <w:bottom w:w="30" w:type="dxa"/>
              <w:right w:w="20" w:type="dxa"/>
            </w:tcMar>
            <w:vAlign w:val="bottom"/>
            <w:hideMark/>
          </w:tcPr>
          <w:p w14:paraId="64DFA3F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2A36718" w14:textId="77777777" w:rsidR="00000000" w:rsidRDefault="00EE530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1B6EE6C"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3C28927E" w14:textId="77777777">
        <w:trPr>
          <w:divId w:val="1000691593"/>
        </w:trPr>
        <w:tc>
          <w:tcPr>
            <w:tcW w:w="0" w:type="auto"/>
            <w:gridSpan w:val="3"/>
            <w:shd w:val="clear" w:color="auto" w:fill="CCEEFF"/>
            <w:tcMar>
              <w:top w:w="30" w:type="dxa"/>
              <w:left w:w="20" w:type="dxa"/>
              <w:bottom w:w="30" w:type="dxa"/>
              <w:right w:w="20" w:type="dxa"/>
            </w:tcMar>
            <w:vAlign w:val="bottom"/>
            <w:hideMark/>
          </w:tcPr>
          <w:p w14:paraId="348F268E" w14:textId="77777777" w:rsidR="00000000" w:rsidRDefault="00EE5306">
            <w:pPr>
              <w:spacing w:after="100"/>
              <w:divId w:val="264581438"/>
              <w:rPr>
                <w:rFonts w:eastAsia="Times New Roman"/>
              </w:rPr>
            </w:pPr>
            <w:r>
              <w:rPr>
                <w:rFonts w:eastAsia="Times New Roman"/>
                <w:color w:val="000000"/>
                <w:sz w:val="20"/>
                <w:szCs w:val="20"/>
              </w:rPr>
              <w:t>Investments in commercial pape</w:t>
            </w:r>
            <w:r>
              <w:rPr>
                <w:rFonts w:eastAsia="Times New Roman"/>
                <w:color w:val="000000"/>
                <w:sz w:val="20"/>
                <w:szCs w:val="20"/>
              </w:rPr>
              <w:t>r</w:t>
            </w:r>
            <w:r>
              <w:rPr>
                <w:rFonts w:eastAsia="Times New Roman"/>
                <w:b/>
                <w:bCs/>
                <w:color w:val="000000"/>
                <w:sz w:val="13"/>
                <w:szCs w:val="13"/>
              </w:rPr>
              <w:t>(a)(b</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2C6DC04"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1F37BC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DFE0DA"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C1CC1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F2701"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48485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0C6941" w14:textId="77777777" w:rsidR="00000000" w:rsidRDefault="00EE5306">
            <w:pPr>
              <w:spacing w:after="100"/>
              <w:jc w:val="right"/>
              <w:rPr>
                <w:rFonts w:eastAsia="Times New Roman"/>
              </w:rPr>
            </w:pPr>
            <w:r>
              <w:rPr>
                <w:rFonts w:eastAsia="Times New Roman"/>
                <w:color w:val="000000"/>
                <w:sz w:val="20"/>
                <w:szCs w:val="20"/>
              </w:rPr>
              <w:t>243.6 </w:t>
            </w:r>
          </w:p>
        </w:tc>
        <w:tc>
          <w:tcPr>
            <w:tcW w:w="0" w:type="auto"/>
            <w:shd w:val="clear" w:color="auto" w:fill="CCEEFF"/>
            <w:tcMar>
              <w:top w:w="30" w:type="dxa"/>
              <w:left w:w="0" w:type="dxa"/>
              <w:bottom w:w="30" w:type="dxa"/>
              <w:right w:w="20" w:type="dxa"/>
            </w:tcMar>
            <w:vAlign w:val="bottom"/>
            <w:hideMark/>
          </w:tcPr>
          <w:p w14:paraId="2B2EC42C" w14:textId="77777777" w:rsidR="00000000" w:rsidRDefault="00EE5306">
            <w:pPr>
              <w:spacing w:after="100"/>
              <w:jc w:val="right"/>
              <w:rPr>
                <w:rFonts w:eastAsia="Times New Roman"/>
              </w:rPr>
            </w:pPr>
          </w:p>
        </w:tc>
      </w:tr>
      <w:tr w:rsidR="00000000" w14:paraId="3C17BDA0" w14:textId="77777777">
        <w:trPr>
          <w:divId w:val="1000691593"/>
        </w:trPr>
        <w:tc>
          <w:tcPr>
            <w:tcW w:w="0" w:type="auto"/>
            <w:gridSpan w:val="3"/>
            <w:shd w:val="clear" w:color="auto" w:fill="FFFFFF"/>
            <w:tcMar>
              <w:top w:w="30" w:type="dxa"/>
              <w:left w:w="20" w:type="dxa"/>
              <w:bottom w:w="30" w:type="dxa"/>
              <w:right w:w="20" w:type="dxa"/>
            </w:tcMar>
            <w:vAlign w:val="bottom"/>
            <w:hideMark/>
          </w:tcPr>
          <w:p w14:paraId="7B88C2B0" w14:textId="77777777" w:rsidR="00000000" w:rsidRDefault="00EE5306">
            <w:pPr>
              <w:spacing w:after="100"/>
              <w:divId w:val="912398421"/>
              <w:rPr>
                <w:rFonts w:eastAsia="Times New Roman"/>
              </w:rPr>
            </w:pPr>
            <w:r>
              <w:rPr>
                <w:rFonts w:eastAsia="Times New Roman"/>
                <w:color w:val="000000"/>
                <w:sz w:val="20"/>
                <w:szCs w:val="20"/>
              </w:rPr>
              <w:t>Derivative asset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8A1CEC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857C7D" w14:textId="77777777" w:rsidR="00000000" w:rsidRDefault="00EE5306">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14:paraId="560567A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5696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886935" w14:textId="77777777" w:rsidR="00000000" w:rsidRDefault="00EE5306">
            <w:pPr>
              <w:spacing w:after="100"/>
              <w:jc w:val="right"/>
              <w:rPr>
                <w:rFonts w:eastAsia="Times New Roman"/>
              </w:rPr>
            </w:pPr>
            <w:r>
              <w:rPr>
                <w:rFonts w:eastAsia="Times New Roman"/>
                <w:color w:val="000000"/>
                <w:sz w:val="20"/>
                <w:szCs w:val="20"/>
              </w:rPr>
              <w:t>62.3 </w:t>
            </w:r>
          </w:p>
        </w:tc>
        <w:tc>
          <w:tcPr>
            <w:tcW w:w="0" w:type="auto"/>
            <w:shd w:val="clear" w:color="auto" w:fill="FFFFFF"/>
            <w:tcMar>
              <w:top w:w="30" w:type="dxa"/>
              <w:left w:w="0" w:type="dxa"/>
              <w:bottom w:w="30" w:type="dxa"/>
              <w:right w:w="20" w:type="dxa"/>
            </w:tcMar>
            <w:vAlign w:val="bottom"/>
            <w:hideMark/>
          </w:tcPr>
          <w:p w14:paraId="6D38EE38" w14:textId="77777777" w:rsidR="00000000" w:rsidRDefault="00EE5306">
            <w:pPr>
              <w:spacing w:after="100"/>
              <w:jc w:val="right"/>
              <w:rPr>
                <w:rFonts w:eastAsia="Times New Roman"/>
              </w:rPr>
            </w:pPr>
          </w:p>
        </w:tc>
      </w:tr>
      <w:tr w:rsidR="00000000" w14:paraId="571A856E" w14:textId="77777777">
        <w:trPr>
          <w:divId w:val="1000691593"/>
        </w:trPr>
        <w:tc>
          <w:tcPr>
            <w:tcW w:w="0" w:type="auto"/>
            <w:gridSpan w:val="3"/>
            <w:shd w:val="clear" w:color="auto" w:fill="CCEEFF"/>
            <w:tcMar>
              <w:top w:w="30" w:type="dxa"/>
              <w:left w:w="20" w:type="dxa"/>
              <w:bottom w:w="30" w:type="dxa"/>
              <w:right w:w="20" w:type="dxa"/>
            </w:tcMar>
            <w:vAlign w:val="bottom"/>
            <w:hideMark/>
          </w:tcPr>
          <w:p w14:paraId="75D27086" w14:textId="77777777" w:rsidR="00000000" w:rsidRDefault="00EE5306">
            <w:pPr>
              <w:spacing w:after="100"/>
              <w:divId w:val="265503856"/>
              <w:rPr>
                <w:rFonts w:eastAsia="Times New Roman"/>
              </w:rPr>
            </w:pPr>
            <w:r>
              <w:rPr>
                <w:rFonts w:eastAsia="Times New Roman"/>
                <w:color w:val="000000"/>
                <w:sz w:val="20"/>
                <w:szCs w:val="20"/>
              </w:rPr>
              <w:t>Derivative liabilitie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533B6D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FB5BF5" w14:textId="77777777" w:rsidR="00000000" w:rsidRDefault="00EE5306">
            <w:pPr>
              <w:spacing w:after="100"/>
              <w:jc w:val="right"/>
              <w:rPr>
                <w:rFonts w:eastAsia="Times New Roman"/>
              </w:rPr>
            </w:pPr>
            <w:r>
              <w:rPr>
                <w:rFonts w:eastAsia="Times New Roman"/>
                <w:color w:val="000000"/>
                <w:sz w:val="20"/>
                <w:szCs w:val="20"/>
              </w:rPr>
              <w:t>55.4 </w:t>
            </w:r>
          </w:p>
        </w:tc>
        <w:tc>
          <w:tcPr>
            <w:tcW w:w="0" w:type="auto"/>
            <w:shd w:val="clear" w:color="auto" w:fill="CCEEFF"/>
            <w:tcMar>
              <w:top w:w="30" w:type="dxa"/>
              <w:left w:w="0" w:type="dxa"/>
              <w:bottom w:w="30" w:type="dxa"/>
              <w:right w:w="20" w:type="dxa"/>
            </w:tcMar>
            <w:vAlign w:val="bottom"/>
            <w:hideMark/>
          </w:tcPr>
          <w:p w14:paraId="0503A2C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80E1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91A734" w14:textId="77777777" w:rsidR="00000000" w:rsidRDefault="00EE5306">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14:paraId="23C852BB"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146F8D63" w14:textId="77777777">
        <w:tc>
          <w:tcPr>
            <w:tcW w:w="50" w:type="pct"/>
            <w:vAlign w:val="center"/>
            <w:hideMark/>
          </w:tcPr>
          <w:p w14:paraId="2F7DC153" w14:textId="77777777" w:rsidR="00000000" w:rsidRDefault="00EE5306">
            <w:pPr>
              <w:rPr>
                <w:rFonts w:eastAsia="Times New Roman"/>
              </w:rPr>
            </w:pPr>
          </w:p>
        </w:tc>
        <w:tc>
          <w:tcPr>
            <w:tcW w:w="4945" w:type="pct"/>
            <w:vAlign w:val="center"/>
            <w:hideMark/>
          </w:tcPr>
          <w:p w14:paraId="066E6A5E" w14:textId="77777777" w:rsidR="00000000" w:rsidRDefault="00EE5306">
            <w:pPr>
              <w:spacing w:after="100"/>
              <w:rPr>
                <w:rFonts w:eastAsia="Times New Roman"/>
                <w:sz w:val="20"/>
                <w:szCs w:val="20"/>
              </w:rPr>
            </w:pPr>
          </w:p>
        </w:tc>
        <w:tc>
          <w:tcPr>
            <w:tcW w:w="5" w:type="pct"/>
            <w:vAlign w:val="center"/>
            <w:hideMark/>
          </w:tcPr>
          <w:p w14:paraId="54F34A20" w14:textId="77777777" w:rsidR="00000000" w:rsidRDefault="00EE5306">
            <w:pPr>
              <w:spacing w:after="100"/>
              <w:rPr>
                <w:rFonts w:eastAsia="Times New Roman"/>
                <w:sz w:val="20"/>
                <w:szCs w:val="20"/>
              </w:rPr>
            </w:pPr>
          </w:p>
        </w:tc>
      </w:tr>
      <w:tr w:rsidR="00000000" w14:paraId="24EC71AC"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168FC7B0" w14:textId="77777777" w:rsidR="00000000" w:rsidRDefault="00EE5306">
            <w:pPr>
              <w:spacing w:after="100"/>
              <w:rPr>
                <w:rFonts w:eastAsia="Times New Roman"/>
                <w:sz w:val="20"/>
                <w:szCs w:val="20"/>
              </w:rPr>
            </w:pPr>
          </w:p>
        </w:tc>
      </w:tr>
    </w:tbl>
    <w:p w14:paraId="1DD198F2" w14:textId="77777777" w:rsidR="00000000" w:rsidRDefault="00EE5306">
      <w:pPr>
        <w:ind w:hanging="360"/>
        <w:jc w:val="both"/>
        <w:divId w:val="1463040554"/>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Based on Level 2 measurements.</w:t>
      </w:r>
    </w:p>
    <w:p w14:paraId="0CE53E01" w14:textId="77777777" w:rsidR="00000000" w:rsidRDefault="00EE5306">
      <w:pPr>
        <w:ind w:hanging="360"/>
        <w:jc w:val="both"/>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Amounts are included within short-term investments in the consolidated balance sheet.</w:t>
      </w:r>
    </w:p>
    <w:p w14:paraId="518867C8" w14:textId="77777777" w:rsidR="00000000" w:rsidRDefault="00EE5306">
      <w:pPr>
        <w:ind w:firstLine="540"/>
        <w:jc w:val="both"/>
        <w:divId w:val="88164442"/>
        <w:rPr>
          <w:rFonts w:eastAsia="Times New Roman"/>
        </w:rPr>
      </w:pPr>
      <w:r>
        <w:rPr>
          <w:rFonts w:eastAsia="Times New Roman"/>
          <w:color w:val="000000"/>
          <w:sz w:val="20"/>
          <w:szCs w:val="20"/>
        </w:rPr>
        <w:t>The Company's investments in commercial paper are classified as available-for-sale and recorded at fair value in its consolidated balance sheets using external pricing da</w:t>
      </w:r>
      <w:r>
        <w:rPr>
          <w:rFonts w:eastAsia="Times New Roman"/>
          <w:color w:val="000000"/>
          <w:sz w:val="20"/>
          <w:szCs w:val="20"/>
        </w:rPr>
        <w:t>ta, based on interest rates and credit ratings for similar issuances with the same remaining term as the Company's investments. To the extent the Company invests in bonds, such investments are also classified as available-for-sale and recorded at fair valu</w:t>
      </w:r>
      <w:r>
        <w:rPr>
          <w:rFonts w:eastAsia="Times New Roman"/>
          <w:color w:val="000000"/>
          <w:sz w:val="20"/>
          <w:szCs w:val="20"/>
        </w:rPr>
        <w:t>e in its consolidated balance sheets based on quoted prices in active markets.</w:t>
      </w:r>
    </w:p>
    <w:p w14:paraId="79023F11" w14:textId="77777777" w:rsidR="00000000" w:rsidRDefault="00EE5306">
      <w:pPr>
        <w:ind w:firstLine="540"/>
        <w:jc w:val="both"/>
        <w:divId w:val="1252010537"/>
        <w:rPr>
          <w:rFonts w:eastAsia="Times New Roman"/>
        </w:rPr>
      </w:pPr>
      <w:r>
        <w:rPr>
          <w:rFonts w:eastAsia="Times New Roman"/>
          <w:color w:val="000000"/>
          <w:sz w:val="20"/>
          <w:szCs w:val="20"/>
        </w:rPr>
        <w:t>The Company's derivative financial instruments are recorded at fair value in its consolidated balance sheets and are valued using pricing models that are primarily based on market observable external inputs, including spot and forward currency exchange rat</w:t>
      </w:r>
      <w:r>
        <w:rPr>
          <w:rFonts w:eastAsia="Times New Roman"/>
          <w:color w:val="000000"/>
          <w:sz w:val="20"/>
          <w:szCs w:val="20"/>
        </w:rPr>
        <w:t>es, benchmark interest rates, and discount rates consistent with the instrument's tenor, and consider the impact of the Company's own credit risk, if any. Changes in counterparty credit risk are also considered in the valuation of derivative financial inst</w:t>
      </w:r>
      <w:r>
        <w:rPr>
          <w:rFonts w:eastAsia="Times New Roman"/>
          <w:color w:val="000000"/>
          <w:sz w:val="20"/>
          <w:szCs w:val="20"/>
        </w:rPr>
        <w:t>ruments.</w:t>
      </w:r>
    </w:p>
    <w:p w14:paraId="663A6017" w14:textId="77777777" w:rsidR="00000000" w:rsidRDefault="00EE5306">
      <w:pPr>
        <w:ind w:firstLine="540"/>
        <w:jc w:val="both"/>
        <w:divId w:val="143359465"/>
        <w:rPr>
          <w:rFonts w:eastAsia="Times New Roman"/>
        </w:rPr>
      </w:pPr>
      <w:r>
        <w:rPr>
          <w:rFonts w:eastAsia="Times New Roman"/>
          <w:color w:val="000000"/>
          <w:sz w:val="20"/>
          <w:szCs w:val="20"/>
        </w:rPr>
        <w:t>The Company's cash and cash equivalents, restricted cash, and time deposits are recorded at carrying value, which generally approximates fair value based on Level 1 measurements.</w:t>
      </w:r>
    </w:p>
    <w:p w14:paraId="6885485E" w14:textId="77777777" w:rsidR="00000000" w:rsidRDefault="00EE5306">
      <w:pPr>
        <w:ind w:firstLine="540"/>
        <w:jc w:val="both"/>
        <w:divId w:val="1973439712"/>
        <w:rPr>
          <w:rFonts w:eastAsia="Times New Roman"/>
        </w:rPr>
      </w:pPr>
      <w:r>
        <w:rPr>
          <w:rFonts w:eastAsia="Times New Roman"/>
          <w:color w:val="000000"/>
          <w:sz w:val="20"/>
          <w:szCs w:val="20"/>
        </w:rPr>
        <w:t>The Company's debt instruments are recorded at their carrying values</w:t>
      </w:r>
      <w:r>
        <w:rPr>
          <w:rFonts w:eastAsia="Times New Roman"/>
          <w:color w:val="000000"/>
          <w:sz w:val="20"/>
          <w:szCs w:val="20"/>
        </w:rPr>
        <w:t xml:space="preserve"> in its consolidated balance sheets, which may differ from their respective fair values. The fair values of the Senior Notes are estimated based on external pricing data, including available quoted market prices, and with reference to comparable debt instr</w:t>
      </w:r>
      <w:r>
        <w:rPr>
          <w:rFonts w:eastAsia="Times New Roman"/>
          <w:color w:val="000000"/>
          <w:sz w:val="20"/>
          <w:szCs w:val="20"/>
        </w:rPr>
        <w:t xml:space="preserve">uments with similar interest rates, credit ratings, and trading frequency, among other factors. The fair values of the Company's commercial paper notes and borrowings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369CEBDB" w14:textId="77777777">
        <w:trPr>
          <w:divId w:val="193471693"/>
          <w:jc w:val="center"/>
        </w:trPr>
        <w:tc>
          <w:tcPr>
            <w:tcW w:w="50" w:type="pct"/>
            <w:vAlign w:val="center"/>
            <w:hideMark/>
          </w:tcPr>
          <w:p w14:paraId="5C361B35" w14:textId="77777777" w:rsidR="00000000" w:rsidRDefault="00EE5306">
            <w:pPr>
              <w:ind w:firstLine="540"/>
              <w:jc w:val="both"/>
              <w:rPr>
                <w:rFonts w:eastAsia="Times New Roman"/>
              </w:rPr>
            </w:pPr>
          </w:p>
        </w:tc>
        <w:tc>
          <w:tcPr>
            <w:tcW w:w="1699" w:type="pct"/>
            <w:vAlign w:val="center"/>
            <w:hideMark/>
          </w:tcPr>
          <w:p w14:paraId="22BEB106" w14:textId="77777777" w:rsidR="00000000" w:rsidRDefault="00EE5306">
            <w:pPr>
              <w:spacing w:after="100"/>
              <w:rPr>
                <w:rFonts w:eastAsia="Times New Roman"/>
                <w:sz w:val="20"/>
                <w:szCs w:val="20"/>
              </w:rPr>
            </w:pPr>
          </w:p>
        </w:tc>
        <w:tc>
          <w:tcPr>
            <w:tcW w:w="5" w:type="pct"/>
            <w:vAlign w:val="center"/>
            <w:hideMark/>
          </w:tcPr>
          <w:p w14:paraId="0899F4D2" w14:textId="77777777" w:rsidR="00000000" w:rsidRDefault="00EE5306">
            <w:pPr>
              <w:spacing w:after="100"/>
              <w:rPr>
                <w:rFonts w:eastAsia="Times New Roman"/>
                <w:sz w:val="20"/>
                <w:szCs w:val="20"/>
              </w:rPr>
            </w:pPr>
          </w:p>
        </w:tc>
        <w:tc>
          <w:tcPr>
            <w:tcW w:w="50" w:type="pct"/>
            <w:vAlign w:val="center"/>
            <w:hideMark/>
          </w:tcPr>
          <w:p w14:paraId="1551D443" w14:textId="77777777" w:rsidR="00000000" w:rsidRDefault="00EE5306">
            <w:pPr>
              <w:spacing w:after="100"/>
              <w:rPr>
                <w:rFonts w:eastAsia="Times New Roman"/>
                <w:sz w:val="20"/>
                <w:szCs w:val="20"/>
              </w:rPr>
            </w:pPr>
          </w:p>
        </w:tc>
        <w:tc>
          <w:tcPr>
            <w:tcW w:w="1436" w:type="pct"/>
            <w:vAlign w:val="center"/>
            <w:hideMark/>
          </w:tcPr>
          <w:p w14:paraId="7F48DC1D" w14:textId="77777777" w:rsidR="00000000" w:rsidRDefault="00EE5306">
            <w:pPr>
              <w:spacing w:after="100"/>
              <w:rPr>
                <w:rFonts w:eastAsia="Times New Roman"/>
                <w:sz w:val="20"/>
                <w:szCs w:val="20"/>
              </w:rPr>
            </w:pPr>
          </w:p>
        </w:tc>
        <w:tc>
          <w:tcPr>
            <w:tcW w:w="5" w:type="pct"/>
            <w:vAlign w:val="center"/>
            <w:hideMark/>
          </w:tcPr>
          <w:p w14:paraId="29313335" w14:textId="77777777" w:rsidR="00000000" w:rsidRDefault="00EE5306">
            <w:pPr>
              <w:spacing w:after="100"/>
              <w:rPr>
                <w:rFonts w:eastAsia="Times New Roman"/>
                <w:sz w:val="20"/>
                <w:szCs w:val="20"/>
              </w:rPr>
            </w:pPr>
          </w:p>
        </w:tc>
        <w:tc>
          <w:tcPr>
            <w:tcW w:w="50" w:type="pct"/>
            <w:vAlign w:val="center"/>
            <w:hideMark/>
          </w:tcPr>
          <w:p w14:paraId="5F8636AB" w14:textId="77777777" w:rsidR="00000000" w:rsidRDefault="00EE5306">
            <w:pPr>
              <w:spacing w:after="100"/>
              <w:rPr>
                <w:rFonts w:eastAsia="Times New Roman"/>
                <w:sz w:val="20"/>
                <w:szCs w:val="20"/>
              </w:rPr>
            </w:pPr>
          </w:p>
        </w:tc>
        <w:tc>
          <w:tcPr>
            <w:tcW w:w="1699" w:type="pct"/>
            <w:vAlign w:val="center"/>
            <w:hideMark/>
          </w:tcPr>
          <w:p w14:paraId="3AEC23B9" w14:textId="77777777" w:rsidR="00000000" w:rsidRDefault="00EE5306">
            <w:pPr>
              <w:spacing w:after="100"/>
              <w:rPr>
                <w:rFonts w:eastAsia="Times New Roman"/>
                <w:sz w:val="20"/>
                <w:szCs w:val="20"/>
              </w:rPr>
            </w:pPr>
          </w:p>
        </w:tc>
        <w:tc>
          <w:tcPr>
            <w:tcW w:w="5" w:type="pct"/>
            <w:vAlign w:val="center"/>
            <w:hideMark/>
          </w:tcPr>
          <w:p w14:paraId="102355BD" w14:textId="77777777" w:rsidR="00000000" w:rsidRDefault="00EE5306">
            <w:pPr>
              <w:spacing w:after="100"/>
              <w:rPr>
                <w:rFonts w:eastAsia="Times New Roman"/>
                <w:sz w:val="20"/>
                <w:szCs w:val="20"/>
              </w:rPr>
            </w:pPr>
          </w:p>
        </w:tc>
      </w:tr>
      <w:tr w:rsidR="00000000" w14:paraId="36E11785" w14:textId="77777777">
        <w:trPr>
          <w:divId w:val="193471693"/>
          <w:jc w:val="center"/>
        </w:trPr>
        <w:tc>
          <w:tcPr>
            <w:tcW w:w="0" w:type="auto"/>
            <w:gridSpan w:val="3"/>
            <w:tcMar>
              <w:top w:w="0" w:type="dxa"/>
              <w:left w:w="20" w:type="dxa"/>
              <w:bottom w:w="0" w:type="dxa"/>
              <w:right w:w="20" w:type="dxa"/>
            </w:tcMar>
            <w:vAlign w:val="center"/>
            <w:hideMark/>
          </w:tcPr>
          <w:p w14:paraId="3D11133D"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31BED77" w14:textId="77777777" w:rsidR="00000000" w:rsidRDefault="00EE5306">
            <w:pPr>
              <w:spacing w:after="100"/>
              <w:jc w:val="center"/>
              <w:rPr>
                <w:rFonts w:eastAsia="Times New Roman"/>
              </w:rPr>
            </w:pPr>
            <w:r>
              <w:rPr>
                <w:rFonts w:eastAsia="Times New Roman"/>
                <w:color w:val="000000"/>
                <w:sz w:val="20"/>
                <w:szCs w:val="20"/>
              </w:rPr>
              <w:t>F-36</w:t>
            </w:r>
          </w:p>
        </w:tc>
        <w:tc>
          <w:tcPr>
            <w:tcW w:w="0" w:type="auto"/>
            <w:gridSpan w:val="3"/>
            <w:tcMar>
              <w:top w:w="0" w:type="dxa"/>
              <w:left w:w="20" w:type="dxa"/>
              <w:bottom w:w="0" w:type="dxa"/>
              <w:right w:w="20" w:type="dxa"/>
            </w:tcMar>
            <w:vAlign w:val="center"/>
            <w:hideMark/>
          </w:tcPr>
          <w:p w14:paraId="7171D40E" w14:textId="77777777" w:rsidR="00000000" w:rsidRDefault="00EE5306">
            <w:pPr>
              <w:spacing w:after="100"/>
              <w:jc w:val="center"/>
              <w:rPr>
                <w:rFonts w:eastAsia="Times New Roman"/>
              </w:rPr>
            </w:pPr>
          </w:p>
        </w:tc>
      </w:tr>
    </w:tbl>
    <w:p w14:paraId="74501BA9" w14:textId="77777777" w:rsidR="00000000" w:rsidRDefault="00EE5306">
      <w:pPr>
        <w:rPr>
          <w:rFonts w:eastAsia="Times New Roman"/>
        </w:rPr>
      </w:pPr>
      <w:r>
        <w:rPr>
          <w:rFonts w:eastAsia="Times New Roman"/>
        </w:rPr>
        <w:pict w14:anchorId="3461077C">
          <v:rect id="_x0000_i1146" style="width:0;height:1.5pt" o:hralign="center" o:hrstd="t" o:hr="t" fillcolor="#a0a0a0" stroked="f"/>
        </w:pict>
      </w:r>
    </w:p>
    <w:p w14:paraId="40421423" w14:textId="77777777" w:rsidR="00000000" w:rsidRDefault="00EE5306">
      <w:pPr>
        <w:jc w:val="center"/>
        <w:divId w:val="1095125871"/>
        <w:rPr>
          <w:rFonts w:eastAsia="Times New Roman"/>
        </w:rPr>
      </w:pPr>
    </w:p>
    <w:p w14:paraId="420B525D" w14:textId="77777777" w:rsidR="00000000" w:rsidRDefault="00EE5306">
      <w:pPr>
        <w:jc w:val="center"/>
        <w:divId w:val="1095125871"/>
        <w:rPr>
          <w:rFonts w:eastAsia="Times New Roman"/>
        </w:rPr>
      </w:pPr>
      <w:r>
        <w:rPr>
          <w:rFonts w:eastAsia="Times New Roman"/>
          <w:b/>
          <w:bCs/>
          <w:color w:val="000000"/>
          <w:sz w:val="20"/>
          <w:szCs w:val="20"/>
        </w:rPr>
        <w:t>RALPH LAUREN CORPORATION</w:t>
      </w:r>
    </w:p>
    <w:p w14:paraId="476396D9" w14:textId="77777777" w:rsidR="00000000" w:rsidRDefault="00EE5306">
      <w:pPr>
        <w:jc w:val="center"/>
        <w:divId w:val="932319"/>
        <w:rPr>
          <w:rFonts w:eastAsia="Times New Roman"/>
        </w:rPr>
      </w:pPr>
      <w:r>
        <w:rPr>
          <w:rFonts w:eastAsia="Times New Roman"/>
          <w:b/>
          <w:bCs/>
          <w:color w:val="000000"/>
          <w:sz w:val="20"/>
          <w:szCs w:val="20"/>
        </w:rPr>
        <w:t>NOTES TO CONSOLIDATED FINANCIAL STATEMENTS (Continued)</w:t>
      </w:r>
    </w:p>
    <w:p w14:paraId="529ECD3C" w14:textId="77777777" w:rsidR="00000000" w:rsidRDefault="00EE5306">
      <w:pPr>
        <w:jc w:val="both"/>
        <w:divId w:val="2067874783"/>
        <w:rPr>
          <w:rFonts w:eastAsia="Times New Roman"/>
        </w:rPr>
      </w:pPr>
      <w:r>
        <w:rPr>
          <w:rFonts w:eastAsia="Times New Roman"/>
          <w:color w:val="000000"/>
          <w:sz w:val="20"/>
          <w:szCs w:val="20"/>
        </w:rPr>
        <w:t>outstanding under its credit facilities, if any, are estimated using external pricing data, based on interest rates and credit ratings for</w:t>
      </w:r>
      <w:r>
        <w:rPr>
          <w:rFonts w:eastAsia="Times New Roman"/>
          <w:color w:val="000000"/>
          <w:sz w:val="20"/>
          <w:szCs w:val="20"/>
        </w:rPr>
        <w:t xml:space="preserve"> similar issuances with the same remaining term as the Company's outstanding borrowings. Due to their short-term nature, the fair values of the Company's commercial paper notes and borrowings outstanding under its credit facilities, if any, generally appro</w:t>
      </w:r>
      <w:r>
        <w:rPr>
          <w:rFonts w:eastAsia="Times New Roman"/>
          <w:color w:val="000000"/>
          <w:sz w:val="20"/>
          <w:szCs w:val="20"/>
        </w:rPr>
        <w:t>ximate their carrying values.</w:t>
      </w:r>
    </w:p>
    <w:p w14:paraId="31345ECC" w14:textId="77777777" w:rsidR="00000000" w:rsidRDefault="00EE5306">
      <w:pPr>
        <w:ind w:firstLine="540"/>
        <w:jc w:val="both"/>
        <w:divId w:val="1490361509"/>
        <w:rPr>
          <w:rFonts w:eastAsia="Times New Roman"/>
        </w:rPr>
      </w:pPr>
      <w:r>
        <w:rPr>
          <w:rFonts w:eastAsia="Times New Roman"/>
          <w:color w:val="000000"/>
          <w:sz w:val="20"/>
          <w:szCs w:val="20"/>
        </w:rPr>
        <w:t>The following table summarizes the carrying values and the estimated fair values of the Company's debt instruments:</w:t>
      </w:r>
    </w:p>
    <w:tbl>
      <w:tblPr>
        <w:tblW w:w="4736" w:type="pct"/>
        <w:tblCellMar>
          <w:top w:w="15" w:type="dxa"/>
          <w:left w:w="15" w:type="dxa"/>
          <w:bottom w:w="15" w:type="dxa"/>
          <w:right w:w="15" w:type="dxa"/>
        </w:tblCellMar>
        <w:tblLook w:val="04A0" w:firstRow="1" w:lastRow="0" w:firstColumn="1" w:lastColumn="0" w:noHBand="0" w:noVBand="1"/>
      </w:tblPr>
      <w:tblGrid>
        <w:gridCol w:w="38"/>
        <w:gridCol w:w="3249"/>
        <w:gridCol w:w="37"/>
        <w:gridCol w:w="36"/>
        <w:gridCol w:w="36"/>
        <w:gridCol w:w="36"/>
        <w:gridCol w:w="121"/>
        <w:gridCol w:w="871"/>
        <w:gridCol w:w="36"/>
        <w:gridCol w:w="36"/>
        <w:gridCol w:w="36"/>
        <w:gridCol w:w="36"/>
        <w:gridCol w:w="121"/>
        <w:gridCol w:w="871"/>
        <w:gridCol w:w="36"/>
        <w:gridCol w:w="36"/>
        <w:gridCol w:w="36"/>
        <w:gridCol w:w="36"/>
        <w:gridCol w:w="121"/>
        <w:gridCol w:w="871"/>
        <w:gridCol w:w="36"/>
        <w:gridCol w:w="36"/>
        <w:gridCol w:w="36"/>
        <w:gridCol w:w="36"/>
        <w:gridCol w:w="120"/>
        <w:gridCol w:w="871"/>
        <w:gridCol w:w="36"/>
      </w:tblGrid>
      <w:tr w:rsidR="00000000" w14:paraId="5A288BB0" w14:textId="77777777">
        <w:trPr>
          <w:divId w:val="1793481377"/>
        </w:trPr>
        <w:tc>
          <w:tcPr>
            <w:tcW w:w="50" w:type="pct"/>
            <w:vAlign w:val="center"/>
            <w:hideMark/>
          </w:tcPr>
          <w:p w14:paraId="41259672" w14:textId="77777777" w:rsidR="00000000" w:rsidRDefault="00EE5306">
            <w:pPr>
              <w:ind w:firstLine="540"/>
              <w:jc w:val="both"/>
              <w:rPr>
                <w:rFonts w:eastAsia="Times New Roman"/>
              </w:rPr>
            </w:pPr>
          </w:p>
        </w:tc>
        <w:tc>
          <w:tcPr>
            <w:tcW w:w="2105" w:type="pct"/>
            <w:vAlign w:val="center"/>
            <w:hideMark/>
          </w:tcPr>
          <w:p w14:paraId="5A096130" w14:textId="77777777" w:rsidR="00000000" w:rsidRDefault="00EE5306">
            <w:pPr>
              <w:spacing w:after="100"/>
              <w:rPr>
                <w:rFonts w:eastAsia="Times New Roman"/>
                <w:sz w:val="20"/>
                <w:szCs w:val="20"/>
              </w:rPr>
            </w:pPr>
          </w:p>
        </w:tc>
        <w:tc>
          <w:tcPr>
            <w:tcW w:w="5" w:type="pct"/>
            <w:vAlign w:val="center"/>
            <w:hideMark/>
          </w:tcPr>
          <w:p w14:paraId="34E25D1C" w14:textId="77777777" w:rsidR="00000000" w:rsidRDefault="00EE5306">
            <w:pPr>
              <w:spacing w:after="100"/>
              <w:rPr>
                <w:rFonts w:eastAsia="Times New Roman"/>
                <w:sz w:val="20"/>
                <w:szCs w:val="20"/>
              </w:rPr>
            </w:pPr>
          </w:p>
        </w:tc>
        <w:tc>
          <w:tcPr>
            <w:tcW w:w="5" w:type="pct"/>
            <w:vAlign w:val="center"/>
            <w:hideMark/>
          </w:tcPr>
          <w:p w14:paraId="6B1AB983" w14:textId="77777777" w:rsidR="00000000" w:rsidRDefault="00EE5306">
            <w:pPr>
              <w:spacing w:after="100"/>
              <w:rPr>
                <w:rFonts w:eastAsia="Times New Roman"/>
                <w:sz w:val="20"/>
                <w:szCs w:val="20"/>
              </w:rPr>
            </w:pPr>
          </w:p>
        </w:tc>
        <w:tc>
          <w:tcPr>
            <w:tcW w:w="28" w:type="pct"/>
            <w:vAlign w:val="center"/>
            <w:hideMark/>
          </w:tcPr>
          <w:p w14:paraId="7B4BB539" w14:textId="77777777" w:rsidR="00000000" w:rsidRDefault="00EE5306">
            <w:pPr>
              <w:spacing w:after="100"/>
              <w:rPr>
                <w:rFonts w:eastAsia="Times New Roman"/>
                <w:sz w:val="20"/>
                <w:szCs w:val="20"/>
              </w:rPr>
            </w:pPr>
          </w:p>
        </w:tc>
        <w:tc>
          <w:tcPr>
            <w:tcW w:w="5" w:type="pct"/>
            <w:vAlign w:val="center"/>
            <w:hideMark/>
          </w:tcPr>
          <w:p w14:paraId="2274356F" w14:textId="77777777" w:rsidR="00000000" w:rsidRDefault="00EE5306">
            <w:pPr>
              <w:spacing w:after="100"/>
              <w:rPr>
                <w:rFonts w:eastAsia="Times New Roman"/>
                <w:sz w:val="20"/>
                <w:szCs w:val="20"/>
              </w:rPr>
            </w:pPr>
          </w:p>
        </w:tc>
        <w:tc>
          <w:tcPr>
            <w:tcW w:w="50" w:type="pct"/>
            <w:vAlign w:val="center"/>
            <w:hideMark/>
          </w:tcPr>
          <w:p w14:paraId="5F32A230" w14:textId="77777777" w:rsidR="00000000" w:rsidRDefault="00EE5306">
            <w:pPr>
              <w:spacing w:after="100"/>
              <w:rPr>
                <w:rFonts w:eastAsia="Times New Roman"/>
                <w:sz w:val="20"/>
                <w:szCs w:val="20"/>
              </w:rPr>
            </w:pPr>
          </w:p>
        </w:tc>
        <w:tc>
          <w:tcPr>
            <w:tcW w:w="616" w:type="pct"/>
            <w:vAlign w:val="center"/>
            <w:hideMark/>
          </w:tcPr>
          <w:p w14:paraId="3484F47D" w14:textId="77777777" w:rsidR="00000000" w:rsidRDefault="00EE5306">
            <w:pPr>
              <w:spacing w:after="100"/>
              <w:rPr>
                <w:rFonts w:eastAsia="Times New Roman"/>
                <w:sz w:val="20"/>
                <w:szCs w:val="20"/>
              </w:rPr>
            </w:pPr>
          </w:p>
        </w:tc>
        <w:tc>
          <w:tcPr>
            <w:tcW w:w="5" w:type="pct"/>
            <w:vAlign w:val="center"/>
            <w:hideMark/>
          </w:tcPr>
          <w:p w14:paraId="6BA42C36" w14:textId="77777777" w:rsidR="00000000" w:rsidRDefault="00EE5306">
            <w:pPr>
              <w:spacing w:after="100"/>
              <w:rPr>
                <w:rFonts w:eastAsia="Times New Roman"/>
                <w:sz w:val="20"/>
                <w:szCs w:val="20"/>
              </w:rPr>
            </w:pPr>
          </w:p>
        </w:tc>
        <w:tc>
          <w:tcPr>
            <w:tcW w:w="5" w:type="pct"/>
            <w:vAlign w:val="center"/>
            <w:hideMark/>
          </w:tcPr>
          <w:p w14:paraId="1440F46D" w14:textId="77777777" w:rsidR="00000000" w:rsidRDefault="00EE5306">
            <w:pPr>
              <w:spacing w:after="100"/>
              <w:rPr>
                <w:rFonts w:eastAsia="Times New Roman"/>
                <w:sz w:val="20"/>
                <w:szCs w:val="20"/>
              </w:rPr>
            </w:pPr>
          </w:p>
        </w:tc>
        <w:tc>
          <w:tcPr>
            <w:tcW w:w="28" w:type="pct"/>
            <w:vAlign w:val="center"/>
            <w:hideMark/>
          </w:tcPr>
          <w:p w14:paraId="1AEDC727" w14:textId="77777777" w:rsidR="00000000" w:rsidRDefault="00EE5306">
            <w:pPr>
              <w:spacing w:after="100"/>
              <w:rPr>
                <w:rFonts w:eastAsia="Times New Roman"/>
                <w:sz w:val="20"/>
                <w:szCs w:val="20"/>
              </w:rPr>
            </w:pPr>
          </w:p>
        </w:tc>
        <w:tc>
          <w:tcPr>
            <w:tcW w:w="5" w:type="pct"/>
            <w:vAlign w:val="center"/>
            <w:hideMark/>
          </w:tcPr>
          <w:p w14:paraId="2EFDD692" w14:textId="77777777" w:rsidR="00000000" w:rsidRDefault="00EE5306">
            <w:pPr>
              <w:spacing w:after="100"/>
              <w:rPr>
                <w:rFonts w:eastAsia="Times New Roman"/>
                <w:sz w:val="20"/>
                <w:szCs w:val="20"/>
              </w:rPr>
            </w:pPr>
          </w:p>
        </w:tc>
        <w:tc>
          <w:tcPr>
            <w:tcW w:w="50" w:type="pct"/>
            <w:vAlign w:val="center"/>
            <w:hideMark/>
          </w:tcPr>
          <w:p w14:paraId="5B1D69BE" w14:textId="77777777" w:rsidR="00000000" w:rsidRDefault="00EE5306">
            <w:pPr>
              <w:spacing w:after="100"/>
              <w:rPr>
                <w:rFonts w:eastAsia="Times New Roman"/>
                <w:sz w:val="20"/>
                <w:szCs w:val="20"/>
              </w:rPr>
            </w:pPr>
          </w:p>
        </w:tc>
        <w:tc>
          <w:tcPr>
            <w:tcW w:w="616" w:type="pct"/>
            <w:vAlign w:val="center"/>
            <w:hideMark/>
          </w:tcPr>
          <w:p w14:paraId="126E7B89" w14:textId="77777777" w:rsidR="00000000" w:rsidRDefault="00EE5306">
            <w:pPr>
              <w:spacing w:after="100"/>
              <w:rPr>
                <w:rFonts w:eastAsia="Times New Roman"/>
                <w:sz w:val="20"/>
                <w:szCs w:val="20"/>
              </w:rPr>
            </w:pPr>
          </w:p>
        </w:tc>
        <w:tc>
          <w:tcPr>
            <w:tcW w:w="5" w:type="pct"/>
            <w:vAlign w:val="center"/>
            <w:hideMark/>
          </w:tcPr>
          <w:p w14:paraId="3386049F" w14:textId="77777777" w:rsidR="00000000" w:rsidRDefault="00EE5306">
            <w:pPr>
              <w:spacing w:after="100"/>
              <w:rPr>
                <w:rFonts w:eastAsia="Times New Roman"/>
                <w:sz w:val="20"/>
                <w:szCs w:val="20"/>
              </w:rPr>
            </w:pPr>
          </w:p>
        </w:tc>
        <w:tc>
          <w:tcPr>
            <w:tcW w:w="5" w:type="pct"/>
            <w:vAlign w:val="center"/>
            <w:hideMark/>
          </w:tcPr>
          <w:p w14:paraId="376C1709" w14:textId="77777777" w:rsidR="00000000" w:rsidRDefault="00EE5306">
            <w:pPr>
              <w:spacing w:after="100"/>
              <w:rPr>
                <w:rFonts w:eastAsia="Times New Roman"/>
                <w:sz w:val="20"/>
                <w:szCs w:val="20"/>
              </w:rPr>
            </w:pPr>
          </w:p>
        </w:tc>
        <w:tc>
          <w:tcPr>
            <w:tcW w:w="28" w:type="pct"/>
            <w:vAlign w:val="center"/>
            <w:hideMark/>
          </w:tcPr>
          <w:p w14:paraId="48BC94DA" w14:textId="77777777" w:rsidR="00000000" w:rsidRDefault="00EE5306">
            <w:pPr>
              <w:spacing w:after="100"/>
              <w:rPr>
                <w:rFonts w:eastAsia="Times New Roman"/>
                <w:sz w:val="20"/>
                <w:szCs w:val="20"/>
              </w:rPr>
            </w:pPr>
          </w:p>
        </w:tc>
        <w:tc>
          <w:tcPr>
            <w:tcW w:w="5" w:type="pct"/>
            <w:vAlign w:val="center"/>
            <w:hideMark/>
          </w:tcPr>
          <w:p w14:paraId="05A74E35" w14:textId="77777777" w:rsidR="00000000" w:rsidRDefault="00EE5306">
            <w:pPr>
              <w:spacing w:after="100"/>
              <w:rPr>
                <w:rFonts w:eastAsia="Times New Roman"/>
                <w:sz w:val="20"/>
                <w:szCs w:val="20"/>
              </w:rPr>
            </w:pPr>
          </w:p>
        </w:tc>
        <w:tc>
          <w:tcPr>
            <w:tcW w:w="50" w:type="pct"/>
            <w:vAlign w:val="center"/>
            <w:hideMark/>
          </w:tcPr>
          <w:p w14:paraId="7E700704" w14:textId="77777777" w:rsidR="00000000" w:rsidRDefault="00EE5306">
            <w:pPr>
              <w:spacing w:after="100"/>
              <w:rPr>
                <w:rFonts w:eastAsia="Times New Roman"/>
                <w:sz w:val="20"/>
                <w:szCs w:val="20"/>
              </w:rPr>
            </w:pPr>
          </w:p>
        </w:tc>
        <w:tc>
          <w:tcPr>
            <w:tcW w:w="616" w:type="pct"/>
            <w:vAlign w:val="center"/>
            <w:hideMark/>
          </w:tcPr>
          <w:p w14:paraId="2ACA1466" w14:textId="77777777" w:rsidR="00000000" w:rsidRDefault="00EE5306">
            <w:pPr>
              <w:spacing w:after="100"/>
              <w:rPr>
                <w:rFonts w:eastAsia="Times New Roman"/>
                <w:sz w:val="20"/>
                <w:szCs w:val="20"/>
              </w:rPr>
            </w:pPr>
          </w:p>
        </w:tc>
        <w:tc>
          <w:tcPr>
            <w:tcW w:w="5" w:type="pct"/>
            <w:vAlign w:val="center"/>
            <w:hideMark/>
          </w:tcPr>
          <w:p w14:paraId="257D4EEB" w14:textId="77777777" w:rsidR="00000000" w:rsidRDefault="00EE5306">
            <w:pPr>
              <w:spacing w:after="100"/>
              <w:rPr>
                <w:rFonts w:eastAsia="Times New Roman"/>
                <w:sz w:val="20"/>
                <w:szCs w:val="20"/>
              </w:rPr>
            </w:pPr>
          </w:p>
        </w:tc>
        <w:tc>
          <w:tcPr>
            <w:tcW w:w="5" w:type="pct"/>
            <w:vAlign w:val="center"/>
            <w:hideMark/>
          </w:tcPr>
          <w:p w14:paraId="53495A3F" w14:textId="77777777" w:rsidR="00000000" w:rsidRDefault="00EE5306">
            <w:pPr>
              <w:spacing w:after="100"/>
              <w:rPr>
                <w:rFonts w:eastAsia="Times New Roman"/>
                <w:sz w:val="20"/>
                <w:szCs w:val="20"/>
              </w:rPr>
            </w:pPr>
          </w:p>
        </w:tc>
        <w:tc>
          <w:tcPr>
            <w:tcW w:w="28" w:type="pct"/>
            <w:vAlign w:val="center"/>
            <w:hideMark/>
          </w:tcPr>
          <w:p w14:paraId="40180AAA" w14:textId="77777777" w:rsidR="00000000" w:rsidRDefault="00EE5306">
            <w:pPr>
              <w:spacing w:after="100"/>
              <w:rPr>
                <w:rFonts w:eastAsia="Times New Roman"/>
                <w:sz w:val="20"/>
                <w:szCs w:val="20"/>
              </w:rPr>
            </w:pPr>
          </w:p>
        </w:tc>
        <w:tc>
          <w:tcPr>
            <w:tcW w:w="5" w:type="pct"/>
            <w:vAlign w:val="center"/>
            <w:hideMark/>
          </w:tcPr>
          <w:p w14:paraId="755DE52F" w14:textId="77777777" w:rsidR="00000000" w:rsidRDefault="00EE5306">
            <w:pPr>
              <w:spacing w:after="100"/>
              <w:rPr>
                <w:rFonts w:eastAsia="Times New Roman"/>
                <w:sz w:val="20"/>
                <w:szCs w:val="20"/>
              </w:rPr>
            </w:pPr>
          </w:p>
        </w:tc>
        <w:tc>
          <w:tcPr>
            <w:tcW w:w="50" w:type="pct"/>
            <w:vAlign w:val="center"/>
            <w:hideMark/>
          </w:tcPr>
          <w:p w14:paraId="2E2E3C94" w14:textId="77777777" w:rsidR="00000000" w:rsidRDefault="00EE5306">
            <w:pPr>
              <w:spacing w:after="100"/>
              <w:rPr>
                <w:rFonts w:eastAsia="Times New Roman"/>
                <w:sz w:val="20"/>
                <w:szCs w:val="20"/>
              </w:rPr>
            </w:pPr>
          </w:p>
        </w:tc>
        <w:tc>
          <w:tcPr>
            <w:tcW w:w="616" w:type="pct"/>
            <w:vAlign w:val="center"/>
            <w:hideMark/>
          </w:tcPr>
          <w:p w14:paraId="3ED6C106" w14:textId="77777777" w:rsidR="00000000" w:rsidRDefault="00EE5306">
            <w:pPr>
              <w:spacing w:after="100"/>
              <w:rPr>
                <w:rFonts w:eastAsia="Times New Roman"/>
                <w:sz w:val="20"/>
                <w:szCs w:val="20"/>
              </w:rPr>
            </w:pPr>
          </w:p>
        </w:tc>
        <w:tc>
          <w:tcPr>
            <w:tcW w:w="5" w:type="pct"/>
            <w:vAlign w:val="center"/>
            <w:hideMark/>
          </w:tcPr>
          <w:p w14:paraId="4FB7D30D" w14:textId="77777777" w:rsidR="00000000" w:rsidRDefault="00EE5306">
            <w:pPr>
              <w:spacing w:after="100"/>
              <w:rPr>
                <w:rFonts w:eastAsia="Times New Roman"/>
                <w:sz w:val="20"/>
                <w:szCs w:val="20"/>
              </w:rPr>
            </w:pPr>
          </w:p>
        </w:tc>
      </w:tr>
      <w:tr w:rsidR="00000000" w14:paraId="7195030A" w14:textId="77777777">
        <w:trPr>
          <w:divId w:val="1793481377"/>
        </w:trPr>
        <w:tc>
          <w:tcPr>
            <w:tcW w:w="0" w:type="auto"/>
            <w:gridSpan w:val="3"/>
            <w:tcMar>
              <w:top w:w="30" w:type="dxa"/>
              <w:left w:w="20" w:type="dxa"/>
              <w:bottom w:w="30" w:type="dxa"/>
              <w:right w:w="20" w:type="dxa"/>
            </w:tcMar>
            <w:vAlign w:val="bottom"/>
            <w:hideMark/>
          </w:tcPr>
          <w:p w14:paraId="6083C35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9E9C9BB" w14:textId="77777777" w:rsidR="00000000" w:rsidRDefault="00EE5306">
            <w:pPr>
              <w:spacing w:after="100"/>
              <w:rPr>
                <w:rFonts w:eastAsia="Times New Roman"/>
              </w:rPr>
            </w:pPr>
          </w:p>
        </w:tc>
        <w:tc>
          <w:tcPr>
            <w:tcW w:w="0" w:type="auto"/>
            <w:gridSpan w:val="9"/>
            <w:tcMar>
              <w:top w:w="30" w:type="dxa"/>
              <w:left w:w="20" w:type="dxa"/>
              <w:bottom w:w="30" w:type="dxa"/>
              <w:right w:w="20" w:type="dxa"/>
            </w:tcMar>
            <w:vAlign w:val="bottom"/>
            <w:hideMark/>
          </w:tcPr>
          <w:p w14:paraId="58ECDEB4" w14:textId="77777777" w:rsidR="00000000" w:rsidRDefault="00EE5306">
            <w:pPr>
              <w:spacing w:after="100"/>
              <w:jc w:val="center"/>
              <w:rPr>
                <w:rFonts w:eastAsia="Times New Roman"/>
              </w:rPr>
            </w:pPr>
            <w:r>
              <w:rPr>
                <w:rFonts w:eastAsia="Times New Roman"/>
                <w:b/>
                <w:bCs/>
                <w:color w:val="000000"/>
                <w:sz w:val="16"/>
                <w:szCs w:val="16"/>
              </w:rPr>
              <w:t>March 27, 2021</w:t>
            </w:r>
          </w:p>
        </w:tc>
        <w:tc>
          <w:tcPr>
            <w:tcW w:w="0" w:type="auto"/>
            <w:gridSpan w:val="3"/>
            <w:tcMar>
              <w:top w:w="0" w:type="dxa"/>
              <w:left w:w="20" w:type="dxa"/>
              <w:bottom w:w="0" w:type="dxa"/>
              <w:right w:w="20" w:type="dxa"/>
            </w:tcMar>
            <w:vAlign w:val="center"/>
            <w:hideMark/>
          </w:tcPr>
          <w:p w14:paraId="12287C14" w14:textId="77777777" w:rsidR="00000000" w:rsidRDefault="00EE530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62CD931" w14:textId="77777777" w:rsidR="00000000" w:rsidRDefault="00EE5306">
            <w:pPr>
              <w:spacing w:after="100"/>
              <w:jc w:val="center"/>
              <w:rPr>
                <w:rFonts w:eastAsia="Times New Roman"/>
              </w:rPr>
            </w:pPr>
            <w:r>
              <w:rPr>
                <w:rFonts w:eastAsia="Times New Roman"/>
                <w:b/>
                <w:bCs/>
                <w:color w:val="000000"/>
                <w:sz w:val="16"/>
                <w:szCs w:val="16"/>
              </w:rPr>
              <w:t>March 28, 2020</w:t>
            </w:r>
          </w:p>
        </w:tc>
      </w:tr>
      <w:tr w:rsidR="00000000" w14:paraId="2FCD09CA" w14:textId="77777777">
        <w:trPr>
          <w:divId w:val="1793481377"/>
        </w:trPr>
        <w:tc>
          <w:tcPr>
            <w:tcW w:w="0" w:type="auto"/>
            <w:gridSpan w:val="3"/>
            <w:tcMar>
              <w:top w:w="30" w:type="dxa"/>
              <w:left w:w="20" w:type="dxa"/>
              <w:bottom w:w="30" w:type="dxa"/>
              <w:right w:w="20" w:type="dxa"/>
            </w:tcMar>
            <w:vAlign w:val="bottom"/>
            <w:hideMark/>
          </w:tcPr>
          <w:p w14:paraId="7CA29974"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4E5FD0B"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2932E4" w14:textId="77777777" w:rsidR="00000000" w:rsidRDefault="00EE5306">
            <w:pPr>
              <w:spacing w:after="100"/>
              <w:jc w:val="center"/>
              <w:rPr>
                <w:rFonts w:eastAsia="Times New Roman"/>
              </w:rPr>
            </w:pPr>
            <w:r>
              <w:rPr>
                <w:rFonts w:eastAsia="Times New Roman"/>
                <w:b/>
                <w:bCs/>
                <w:color w:val="000000"/>
                <w:sz w:val="16"/>
                <w:szCs w:val="16"/>
              </w:rPr>
              <w:t>Carrying Valu</w:t>
            </w:r>
            <w:r>
              <w:rPr>
                <w:rFonts w:eastAsia="Times New Roman"/>
                <w:b/>
                <w:bCs/>
                <w:color w:val="000000"/>
                <w:sz w:val="16"/>
                <w:szCs w:val="16"/>
              </w:rPr>
              <w:t>e</w:t>
            </w:r>
            <w:r>
              <w:rPr>
                <w:rFonts w:eastAsia="Times New Roman"/>
                <w:b/>
                <w:bCs/>
                <w:color w:val="000000"/>
                <w:sz w:val="10"/>
                <w:szCs w:val="10"/>
              </w:rPr>
              <w:t>(a</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5920887"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5E099E" w14:textId="77777777" w:rsidR="00000000" w:rsidRDefault="00EE5306">
            <w:pPr>
              <w:spacing w:after="100"/>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r>
              <w:rPr>
                <w:rFonts w:eastAsia="Times New Roman"/>
                <w:b/>
                <w:bCs/>
                <w:color w:val="000000"/>
                <w:sz w:val="10"/>
                <w:szCs w:val="10"/>
              </w:rPr>
              <w:t>(b</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78A3E5DC"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2B625AD" w14:textId="77777777" w:rsidR="00000000" w:rsidRDefault="00EE5306">
            <w:pPr>
              <w:spacing w:after="100"/>
              <w:jc w:val="center"/>
              <w:rPr>
                <w:rFonts w:eastAsia="Times New Roman"/>
              </w:rPr>
            </w:pPr>
            <w:r>
              <w:rPr>
                <w:rFonts w:eastAsia="Times New Roman"/>
                <w:b/>
                <w:bCs/>
                <w:color w:val="000000"/>
                <w:sz w:val="16"/>
                <w:szCs w:val="16"/>
              </w:rPr>
              <w:t>Carrying Valu</w:t>
            </w:r>
            <w:r>
              <w:rPr>
                <w:rFonts w:eastAsia="Times New Roman"/>
                <w:b/>
                <w:bCs/>
                <w:color w:val="000000"/>
                <w:sz w:val="16"/>
                <w:szCs w:val="16"/>
              </w:rPr>
              <w:t>e</w:t>
            </w:r>
            <w:r>
              <w:rPr>
                <w:rFonts w:eastAsia="Times New Roman"/>
                <w:b/>
                <w:bCs/>
                <w:color w:val="000000"/>
                <w:sz w:val="10"/>
                <w:szCs w:val="10"/>
              </w:rPr>
              <w:t>(a</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0D04852"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734FE6" w14:textId="77777777" w:rsidR="00000000" w:rsidRDefault="00EE5306">
            <w:pPr>
              <w:spacing w:after="100"/>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r>
              <w:rPr>
                <w:rFonts w:eastAsia="Times New Roman"/>
                <w:b/>
                <w:bCs/>
                <w:color w:val="000000"/>
                <w:sz w:val="10"/>
                <w:szCs w:val="10"/>
              </w:rPr>
              <w:t>(b</w:t>
            </w:r>
            <w:r>
              <w:rPr>
                <w:rFonts w:eastAsia="Times New Roman"/>
                <w:b/>
                <w:bCs/>
                <w:color w:val="000000"/>
                <w:sz w:val="10"/>
                <w:szCs w:val="10"/>
              </w:rPr>
              <w:t>)</w:t>
            </w:r>
          </w:p>
        </w:tc>
      </w:tr>
      <w:tr w:rsidR="00000000" w14:paraId="37D61AB9" w14:textId="77777777">
        <w:trPr>
          <w:divId w:val="1793481377"/>
        </w:trPr>
        <w:tc>
          <w:tcPr>
            <w:tcW w:w="0" w:type="auto"/>
            <w:gridSpan w:val="3"/>
            <w:tcMar>
              <w:top w:w="30" w:type="dxa"/>
              <w:left w:w="20" w:type="dxa"/>
              <w:bottom w:w="30" w:type="dxa"/>
              <w:right w:w="20" w:type="dxa"/>
            </w:tcMar>
            <w:vAlign w:val="bottom"/>
            <w:hideMark/>
          </w:tcPr>
          <w:p w14:paraId="67FD5F0D"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E34594D" w14:textId="77777777" w:rsidR="00000000" w:rsidRDefault="00EE5306">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3952C82C"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1C069C36" w14:textId="77777777">
        <w:trPr>
          <w:divId w:val="1793481377"/>
        </w:trPr>
        <w:tc>
          <w:tcPr>
            <w:tcW w:w="0" w:type="auto"/>
            <w:gridSpan w:val="3"/>
            <w:shd w:val="clear" w:color="auto" w:fill="CCEEFF"/>
            <w:tcMar>
              <w:top w:w="30" w:type="dxa"/>
              <w:left w:w="20" w:type="dxa"/>
              <w:bottom w:w="30" w:type="dxa"/>
              <w:right w:w="20" w:type="dxa"/>
            </w:tcMar>
            <w:vAlign w:val="bottom"/>
            <w:hideMark/>
          </w:tcPr>
          <w:p w14:paraId="2BCC03C6" w14:textId="77777777" w:rsidR="00000000" w:rsidRDefault="00EE5306">
            <w:pPr>
              <w:spacing w:after="100"/>
              <w:rPr>
                <w:rFonts w:eastAsia="Times New Roman"/>
              </w:rPr>
            </w:pPr>
            <w:r>
              <w:rPr>
                <w:rFonts w:eastAsia="Times New Roman"/>
                <w:color w:val="000000"/>
                <w:sz w:val="20"/>
                <w:szCs w:val="20"/>
              </w:rPr>
              <w:t>$300 million 2.625% Senior Notes</w:t>
            </w:r>
          </w:p>
        </w:tc>
        <w:tc>
          <w:tcPr>
            <w:tcW w:w="0" w:type="auto"/>
            <w:gridSpan w:val="3"/>
            <w:shd w:val="clear" w:color="auto" w:fill="CCEEFF"/>
            <w:tcMar>
              <w:top w:w="0" w:type="dxa"/>
              <w:left w:w="20" w:type="dxa"/>
              <w:bottom w:w="0" w:type="dxa"/>
              <w:right w:w="20" w:type="dxa"/>
            </w:tcMar>
            <w:vAlign w:val="center"/>
            <w:hideMark/>
          </w:tcPr>
          <w:p w14:paraId="4CB9913B"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605572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ED6164"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BDF43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4EFFB4"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B483C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30CFB2"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9CCE6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75773"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D2D7A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A80BB1" w14:textId="77777777" w:rsidR="00000000" w:rsidRDefault="00EE5306">
            <w:pPr>
              <w:spacing w:after="100"/>
              <w:jc w:val="right"/>
              <w:rPr>
                <w:rFonts w:eastAsia="Times New Roman"/>
              </w:rPr>
            </w:pPr>
            <w:r>
              <w:rPr>
                <w:rFonts w:eastAsia="Times New Roman"/>
                <w:color w:val="000000"/>
                <w:sz w:val="20"/>
                <w:szCs w:val="20"/>
              </w:rPr>
              <w:t>299.6 </w:t>
            </w:r>
          </w:p>
        </w:tc>
        <w:tc>
          <w:tcPr>
            <w:tcW w:w="0" w:type="auto"/>
            <w:shd w:val="clear" w:color="auto" w:fill="CCEEFF"/>
            <w:tcMar>
              <w:top w:w="30" w:type="dxa"/>
              <w:left w:w="0" w:type="dxa"/>
              <w:bottom w:w="30" w:type="dxa"/>
              <w:right w:w="20" w:type="dxa"/>
            </w:tcMar>
            <w:vAlign w:val="bottom"/>
            <w:hideMark/>
          </w:tcPr>
          <w:p w14:paraId="64D5600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D23832"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C2CAD3"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EBF9BD" w14:textId="77777777" w:rsidR="00000000" w:rsidRDefault="00EE5306">
            <w:pPr>
              <w:spacing w:after="100"/>
              <w:jc w:val="right"/>
              <w:rPr>
                <w:rFonts w:eastAsia="Times New Roman"/>
              </w:rPr>
            </w:pPr>
            <w:r>
              <w:rPr>
                <w:rFonts w:eastAsia="Times New Roman"/>
                <w:color w:val="000000"/>
                <w:sz w:val="20"/>
                <w:szCs w:val="20"/>
              </w:rPr>
              <w:t>299.8 </w:t>
            </w:r>
          </w:p>
        </w:tc>
        <w:tc>
          <w:tcPr>
            <w:tcW w:w="0" w:type="auto"/>
            <w:shd w:val="clear" w:color="auto" w:fill="CCEEFF"/>
            <w:tcMar>
              <w:top w:w="30" w:type="dxa"/>
              <w:left w:w="0" w:type="dxa"/>
              <w:bottom w:w="30" w:type="dxa"/>
              <w:right w:w="20" w:type="dxa"/>
            </w:tcMar>
            <w:vAlign w:val="bottom"/>
            <w:hideMark/>
          </w:tcPr>
          <w:p w14:paraId="71D88F84" w14:textId="77777777" w:rsidR="00000000" w:rsidRDefault="00EE5306">
            <w:pPr>
              <w:spacing w:after="100"/>
              <w:jc w:val="right"/>
              <w:rPr>
                <w:rFonts w:eastAsia="Times New Roman"/>
              </w:rPr>
            </w:pPr>
          </w:p>
        </w:tc>
      </w:tr>
      <w:tr w:rsidR="00000000" w14:paraId="66675732" w14:textId="77777777">
        <w:trPr>
          <w:divId w:val="1793481377"/>
        </w:trPr>
        <w:tc>
          <w:tcPr>
            <w:tcW w:w="0" w:type="auto"/>
            <w:gridSpan w:val="3"/>
            <w:shd w:val="clear" w:color="auto" w:fill="FFFFFF"/>
            <w:tcMar>
              <w:top w:w="30" w:type="dxa"/>
              <w:left w:w="20" w:type="dxa"/>
              <w:bottom w:w="30" w:type="dxa"/>
              <w:right w:w="20" w:type="dxa"/>
            </w:tcMar>
            <w:vAlign w:val="bottom"/>
            <w:hideMark/>
          </w:tcPr>
          <w:p w14:paraId="44A394C4" w14:textId="77777777" w:rsidR="00000000" w:rsidRDefault="00EE5306">
            <w:pPr>
              <w:spacing w:after="100"/>
              <w:rPr>
                <w:rFonts w:eastAsia="Times New Roman"/>
              </w:rPr>
            </w:pPr>
            <w:r>
              <w:rPr>
                <w:rFonts w:eastAsia="Times New Roman"/>
                <w:color w:val="000000"/>
                <w:sz w:val="20"/>
                <w:szCs w:val="20"/>
              </w:rPr>
              <w:t>$400 million 3.750% Senior Notes</w:t>
            </w:r>
          </w:p>
        </w:tc>
        <w:tc>
          <w:tcPr>
            <w:tcW w:w="0" w:type="auto"/>
            <w:gridSpan w:val="3"/>
            <w:shd w:val="clear" w:color="auto" w:fill="FFFFFF"/>
            <w:tcMar>
              <w:top w:w="0" w:type="dxa"/>
              <w:left w:w="20" w:type="dxa"/>
              <w:bottom w:w="0" w:type="dxa"/>
              <w:right w:w="20" w:type="dxa"/>
            </w:tcMar>
            <w:vAlign w:val="center"/>
            <w:hideMark/>
          </w:tcPr>
          <w:p w14:paraId="528EF22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ED936B" w14:textId="77777777" w:rsidR="00000000" w:rsidRDefault="00EE5306">
            <w:pPr>
              <w:spacing w:after="100"/>
              <w:jc w:val="right"/>
              <w:rPr>
                <w:rFonts w:eastAsia="Times New Roman"/>
              </w:rPr>
            </w:pPr>
            <w:r>
              <w:rPr>
                <w:rFonts w:eastAsia="Times New Roman"/>
                <w:color w:val="000000"/>
                <w:sz w:val="20"/>
                <w:szCs w:val="20"/>
              </w:rPr>
              <w:t>397.1 </w:t>
            </w:r>
          </w:p>
        </w:tc>
        <w:tc>
          <w:tcPr>
            <w:tcW w:w="0" w:type="auto"/>
            <w:shd w:val="clear" w:color="auto" w:fill="FFFFFF"/>
            <w:tcMar>
              <w:top w:w="30" w:type="dxa"/>
              <w:left w:w="0" w:type="dxa"/>
              <w:bottom w:w="30" w:type="dxa"/>
              <w:right w:w="20" w:type="dxa"/>
            </w:tcMar>
            <w:vAlign w:val="bottom"/>
            <w:hideMark/>
          </w:tcPr>
          <w:p w14:paraId="453D5F5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0576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A6552C" w14:textId="77777777" w:rsidR="00000000" w:rsidRDefault="00EE5306">
            <w:pPr>
              <w:spacing w:after="100"/>
              <w:jc w:val="right"/>
              <w:rPr>
                <w:rFonts w:eastAsia="Times New Roman"/>
              </w:rPr>
            </w:pPr>
            <w:r>
              <w:rPr>
                <w:rFonts w:eastAsia="Times New Roman"/>
                <w:color w:val="000000"/>
                <w:sz w:val="20"/>
                <w:szCs w:val="20"/>
              </w:rPr>
              <w:t>443.4 </w:t>
            </w:r>
          </w:p>
        </w:tc>
        <w:tc>
          <w:tcPr>
            <w:tcW w:w="0" w:type="auto"/>
            <w:shd w:val="clear" w:color="auto" w:fill="FFFFFF"/>
            <w:tcMar>
              <w:top w:w="30" w:type="dxa"/>
              <w:left w:w="0" w:type="dxa"/>
              <w:bottom w:w="30" w:type="dxa"/>
              <w:right w:w="20" w:type="dxa"/>
            </w:tcMar>
            <w:vAlign w:val="bottom"/>
            <w:hideMark/>
          </w:tcPr>
          <w:p w14:paraId="141E66C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8D7F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634255" w14:textId="77777777" w:rsidR="00000000" w:rsidRDefault="00EE5306">
            <w:pPr>
              <w:spacing w:after="100"/>
              <w:jc w:val="right"/>
              <w:rPr>
                <w:rFonts w:eastAsia="Times New Roman"/>
              </w:rPr>
            </w:pPr>
            <w:r>
              <w:rPr>
                <w:rFonts w:eastAsia="Times New Roman"/>
                <w:color w:val="000000"/>
                <w:sz w:val="20"/>
                <w:szCs w:val="20"/>
              </w:rPr>
              <w:t>396.4 </w:t>
            </w:r>
          </w:p>
        </w:tc>
        <w:tc>
          <w:tcPr>
            <w:tcW w:w="0" w:type="auto"/>
            <w:shd w:val="clear" w:color="auto" w:fill="FFFFFF"/>
            <w:tcMar>
              <w:top w:w="30" w:type="dxa"/>
              <w:left w:w="0" w:type="dxa"/>
              <w:bottom w:w="30" w:type="dxa"/>
              <w:right w:w="20" w:type="dxa"/>
            </w:tcMar>
            <w:vAlign w:val="bottom"/>
            <w:hideMark/>
          </w:tcPr>
          <w:p w14:paraId="6EF4718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4EA5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8DF2FA" w14:textId="77777777" w:rsidR="00000000" w:rsidRDefault="00EE5306">
            <w:pPr>
              <w:spacing w:after="100"/>
              <w:jc w:val="right"/>
              <w:rPr>
                <w:rFonts w:eastAsia="Times New Roman"/>
              </w:rPr>
            </w:pPr>
            <w:r>
              <w:rPr>
                <w:rFonts w:eastAsia="Times New Roman"/>
                <w:color w:val="000000"/>
                <w:sz w:val="20"/>
                <w:szCs w:val="20"/>
              </w:rPr>
              <w:t>415.1 </w:t>
            </w:r>
          </w:p>
        </w:tc>
        <w:tc>
          <w:tcPr>
            <w:tcW w:w="0" w:type="auto"/>
            <w:shd w:val="clear" w:color="auto" w:fill="FFFFFF"/>
            <w:tcMar>
              <w:top w:w="30" w:type="dxa"/>
              <w:left w:w="0" w:type="dxa"/>
              <w:bottom w:w="30" w:type="dxa"/>
              <w:right w:w="20" w:type="dxa"/>
            </w:tcMar>
            <w:vAlign w:val="bottom"/>
            <w:hideMark/>
          </w:tcPr>
          <w:p w14:paraId="1DAF3A96" w14:textId="77777777" w:rsidR="00000000" w:rsidRDefault="00EE5306">
            <w:pPr>
              <w:spacing w:after="100"/>
              <w:jc w:val="right"/>
              <w:rPr>
                <w:rFonts w:eastAsia="Times New Roman"/>
              </w:rPr>
            </w:pPr>
          </w:p>
        </w:tc>
      </w:tr>
      <w:tr w:rsidR="00000000" w14:paraId="12A07804" w14:textId="77777777">
        <w:trPr>
          <w:divId w:val="1793481377"/>
        </w:trPr>
        <w:tc>
          <w:tcPr>
            <w:tcW w:w="0" w:type="auto"/>
            <w:gridSpan w:val="3"/>
            <w:shd w:val="clear" w:color="auto" w:fill="CCEEFF"/>
            <w:tcMar>
              <w:top w:w="30" w:type="dxa"/>
              <w:left w:w="20" w:type="dxa"/>
              <w:bottom w:w="30" w:type="dxa"/>
              <w:right w:w="20" w:type="dxa"/>
            </w:tcMar>
            <w:vAlign w:val="bottom"/>
            <w:hideMark/>
          </w:tcPr>
          <w:p w14:paraId="2588F6AD" w14:textId="77777777" w:rsidR="00000000" w:rsidRDefault="00EE5306">
            <w:pPr>
              <w:spacing w:after="100"/>
              <w:rPr>
                <w:rFonts w:eastAsia="Times New Roman"/>
              </w:rPr>
            </w:pPr>
            <w:r>
              <w:rPr>
                <w:rFonts w:eastAsia="Times New Roman"/>
                <w:color w:val="000000"/>
                <w:sz w:val="20"/>
                <w:szCs w:val="20"/>
              </w:rPr>
              <w:t>$500 million 1.700% Senior Notes</w:t>
            </w:r>
          </w:p>
        </w:tc>
        <w:tc>
          <w:tcPr>
            <w:tcW w:w="0" w:type="auto"/>
            <w:gridSpan w:val="3"/>
            <w:shd w:val="clear" w:color="auto" w:fill="CCEEFF"/>
            <w:tcMar>
              <w:top w:w="0" w:type="dxa"/>
              <w:left w:w="20" w:type="dxa"/>
              <w:bottom w:w="0" w:type="dxa"/>
              <w:right w:w="20" w:type="dxa"/>
            </w:tcMar>
            <w:vAlign w:val="center"/>
            <w:hideMark/>
          </w:tcPr>
          <w:p w14:paraId="126C18B4"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FC5A4D" w14:textId="77777777" w:rsidR="00000000" w:rsidRDefault="00EE5306">
            <w:pPr>
              <w:spacing w:after="100"/>
              <w:jc w:val="right"/>
              <w:rPr>
                <w:rFonts w:eastAsia="Times New Roman"/>
              </w:rPr>
            </w:pPr>
            <w:r>
              <w:rPr>
                <w:rFonts w:eastAsia="Times New Roman"/>
                <w:color w:val="000000"/>
                <w:sz w:val="20"/>
                <w:szCs w:val="20"/>
              </w:rPr>
              <w:t>498.4 </w:t>
            </w:r>
          </w:p>
        </w:tc>
        <w:tc>
          <w:tcPr>
            <w:tcW w:w="0" w:type="auto"/>
            <w:shd w:val="clear" w:color="auto" w:fill="CCEEFF"/>
            <w:tcMar>
              <w:top w:w="30" w:type="dxa"/>
              <w:left w:w="0" w:type="dxa"/>
              <w:bottom w:w="30" w:type="dxa"/>
              <w:right w:w="20" w:type="dxa"/>
            </w:tcMar>
            <w:vAlign w:val="bottom"/>
            <w:hideMark/>
          </w:tcPr>
          <w:p w14:paraId="07211C8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1529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DA7758" w14:textId="77777777" w:rsidR="00000000" w:rsidRDefault="00EE5306">
            <w:pPr>
              <w:spacing w:after="100"/>
              <w:jc w:val="right"/>
              <w:rPr>
                <w:rFonts w:eastAsia="Times New Roman"/>
              </w:rPr>
            </w:pPr>
            <w:r>
              <w:rPr>
                <w:rFonts w:eastAsia="Times New Roman"/>
                <w:color w:val="000000"/>
                <w:sz w:val="20"/>
                <w:szCs w:val="20"/>
              </w:rPr>
              <w:t>507.8 </w:t>
            </w:r>
          </w:p>
        </w:tc>
        <w:tc>
          <w:tcPr>
            <w:tcW w:w="0" w:type="auto"/>
            <w:shd w:val="clear" w:color="auto" w:fill="CCEEFF"/>
            <w:tcMar>
              <w:top w:w="30" w:type="dxa"/>
              <w:left w:w="0" w:type="dxa"/>
              <w:bottom w:w="30" w:type="dxa"/>
              <w:right w:w="20" w:type="dxa"/>
            </w:tcMar>
            <w:vAlign w:val="bottom"/>
            <w:hideMark/>
          </w:tcPr>
          <w:p w14:paraId="36215AE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984D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5B2BE3"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AF8B3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D92F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7B74C8"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3BE3D7" w14:textId="77777777" w:rsidR="00000000" w:rsidRDefault="00EE5306">
            <w:pPr>
              <w:spacing w:after="100"/>
              <w:jc w:val="right"/>
              <w:rPr>
                <w:rFonts w:eastAsia="Times New Roman"/>
              </w:rPr>
            </w:pPr>
          </w:p>
        </w:tc>
      </w:tr>
      <w:tr w:rsidR="00000000" w14:paraId="6D169D2F" w14:textId="77777777">
        <w:trPr>
          <w:divId w:val="1793481377"/>
        </w:trPr>
        <w:tc>
          <w:tcPr>
            <w:tcW w:w="0" w:type="auto"/>
            <w:gridSpan w:val="3"/>
            <w:shd w:val="clear" w:color="auto" w:fill="FFFFFF"/>
            <w:tcMar>
              <w:top w:w="30" w:type="dxa"/>
              <w:left w:w="20" w:type="dxa"/>
              <w:bottom w:w="30" w:type="dxa"/>
              <w:right w:w="20" w:type="dxa"/>
            </w:tcMar>
            <w:vAlign w:val="bottom"/>
            <w:hideMark/>
          </w:tcPr>
          <w:p w14:paraId="3128DAD1" w14:textId="77777777" w:rsidR="00000000" w:rsidRDefault="00EE5306">
            <w:pPr>
              <w:spacing w:after="100"/>
              <w:rPr>
                <w:rFonts w:eastAsia="Times New Roman"/>
              </w:rPr>
            </w:pPr>
            <w:r>
              <w:rPr>
                <w:rFonts w:eastAsia="Times New Roman"/>
                <w:color w:val="000000"/>
                <w:sz w:val="20"/>
                <w:szCs w:val="20"/>
              </w:rPr>
              <w:t>$750 million 2.950% Senior Notes</w:t>
            </w:r>
          </w:p>
        </w:tc>
        <w:tc>
          <w:tcPr>
            <w:tcW w:w="0" w:type="auto"/>
            <w:gridSpan w:val="3"/>
            <w:shd w:val="clear" w:color="auto" w:fill="FFFFFF"/>
            <w:tcMar>
              <w:top w:w="0" w:type="dxa"/>
              <w:left w:w="20" w:type="dxa"/>
              <w:bottom w:w="0" w:type="dxa"/>
              <w:right w:w="20" w:type="dxa"/>
            </w:tcMar>
            <w:vAlign w:val="center"/>
            <w:hideMark/>
          </w:tcPr>
          <w:p w14:paraId="075F419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642A80" w14:textId="77777777" w:rsidR="00000000" w:rsidRDefault="00EE5306">
            <w:pPr>
              <w:spacing w:after="100"/>
              <w:jc w:val="right"/>
              <w:rPr>
                <w:rFonts w:eastAsia="Times New Roman"/>
              </w:rPr>
            </w:pPr>
            <w:r>
              <w:rPr>
                <w:rFonts w:eastAsia="Times New Roman"/>
                <w:color w:val="000000"/>
                <w:sz w:val="20"/>
                <w:szCs w:val="20"/>
              </w:rPr>
              <w:t>737.4 </w:t>
            </w:r>
          </w:p>
        </w:tc>
        <w:tc>
          <w:tcPr>
            <w:tcW w:w="0" w:type="auto"/>
            <w:shd w:val="clear" w:color="auto" w:fill="FFFFFF"/>
            <w:tcMar>
              <w:top w:w="30" w:type="dxa"/>
              <w:left w:w="0" w:type="dxa"/>
              <w:bottom w:w="30" w:type="dxa"/>
              <w:right w:w="20" w:type="dxa"/>
            </w:tcMar>
            <w:vAlign w:val="bottom"/>
            <w:hideMark/>
          </w:tcPr>
          <w:p w14:paraId="59BF58E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1644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3044D8" w14:textId="77777777" w:rsidR="00000000" w:rsidRDefault="00EE5306">
            <w:pPr>
              <w:spacing w:after="100"/>
              <w:jc w:val="right"/>
              <w:rPr>
                <w:rFonts w:eastAsia="Times New Roman"/>
              </w:rPr>
            </w:pPr>
            <w:r>
              <w:rPr>
                <w:rFonts w:eastAsia="Times New Roman"/>
                <w:color w:val="000000"/>
                <w:sz w:val="20"/>
                <w:szCs w:val="20"/>
              </w:rPr>
              <w:t>779.4 </w:t>
            </w:r>
          </w:p>
        </w:tc>
        <w:tc>
          <w:tcPr>
            <w:tcW w:w="0" w:type="auto"/>
            <w:shd w:val="clear" w:color="auto" w:fill="FFFFFF"/>
            <w:tcMar>
              <w:top w:w="30" w:type="dxa"/>
              <w:left w:w="0" w:type="dxa"/>
              <w:bottom w:w="30" w:type="dxa"/>
              <w:right w:w="20" w:type="dxa"/>
            </w:tcMar>
            <w:vAlign w:val="bottom"/>
            <w:hideMark/>
          </w:tcPr>
          <w:p w14:paraId="50CDD88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8868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4D36C3"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3ADB9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7EAC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C6BED7"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94232F" w14:textId="77777777" w:rsidR="00000000" w:rsidRDefault="00EE5306">
            <w:pPr>
              <w:spacing w:after="100"/>
              <w:jc w:val="right"/>
              <w:rPr>
                <w:rFonts w:eastAsia="Times New Roman"/>
              </w:rPr>
            </w:pPr>
          </w:p>
        </w:tc>
      </w:tr>
      <w:tr w:rsidR="00000000" w14:paraId="7AB0F4E1" w14:textId="77777777">
        <w:trPr>
          <w:divId w:val="1793481377"/>
        </w:trPr>
        <w:tc>
          <w:tcPr>
            <w:tcW w:w="0" w:type="auto"/>
            <w:gridSpan w:val="3"/>
            <w:shd w:val="clear" w:color="auto" w:fill="CCEEFF"/>
            <w:tcMar>
              <w:top w:w="30" w:type="dxa"/>
              <w:left w:w="20" w:type="dxa"/>
              <w:bottom w:w="30" w:type="dxa"/>
              <w:right w:w="20" w:type="dxa"/>
            </w:tcMar>
            <w:vAlign w:val="bottom"/>
            <w:hideMark/>
          </w:tcPr>
          <w:p w14:paraId="17990F7C" w14:textId="77777777" w:rsidR="00000000" w:rsidRDefault="00EE5306">
            <w:pPr>
              <w:spacing w:after="100"/>
              <w:rPr>
                <w:rFonts w:eastAsia="Times New Roman"/>
              </w:rPr>
            </w:pPr>
            <w:r>
              <w:rPr>
                <w:rFonts w:eastAsia="Times New Roman"/>
                <w:color w:val="000000"/>
                <w:sz w:val="20"/>
                <w:szCs w:val="20"/>
              </w:rPr>
              <w:t>Borrowings outstanding under credit facilities</w:t>
            </w:r>
          </w:p>
        </w:tc>
        <w:tc>
          <w:tcPr>
            <w:tcW w:w="0" w:type="auto"/>
            <w:gridSpan w:val="3"/>
            <w:shd w:val="clear" w:color="auto" w:fill="CCEEFF"/>
            <w:tcMar>
              <w:top w:w="0" w:type="dxa"/>
              <w:left w:w="20" w:type="dxa"/>
              <w:bottom w:w="0" w:type="dxa"/>
              <w:right w:w="20" w:type="dxa"/>
            </w:tcMar>
            <w:vAlign w:val="center"/>
            <w:hideMark/>
          </w:tcPr>
          <w:p w14:paraId="65F3C1D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5F4A7D"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B975E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CE64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49FC17"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58EC3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A454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F1A703" w14:textId="77777777" w:rsidR="00000000" w:rsidRDefault="00EE5306">
            <w:pPr>
              <w:spacing w:after="100"/>
              <w:jc w:val="right"/>
              <w:rPr>
                <w:rFonts w:eastAsia="Times New Roman"/>
              </w:rPr>
            </w:pPr>
            <w:r>
              <w:rPr>
                <w:rFonts w:eastAsia="Times New Roman"/>
                <w:color w:val="000000"/>
                <w:sz w:val="20"/>
                <w:szCs w:val="20"/>
              </w:rPr>
              <w:t>475.0 </w:t>
            </w:r>
          </w:p>
        </w:tc>
        <w:tc>
          <w:tcPr>
            <w:tcW w:w="0" w:type="auto"/>
            <w:shd w:val="clear" w:color="auto" w:fill="CCEEFF"/>
            <w:tcMar>
              <w:top w:w="30" w:type="dxa"/>
              <w:left w:w="0" w:type="dxa"/>
              <w:bottom w:w="30" w:type="dxa"/>
              <w:right w:w="20" w:type="dxa"/>
            </w:tcMar>
            <w:vAlign w:val="bottom"/>
            <w:hideMark/>
          </w:tcPr>
          <w:p w14:paraId="1CA10A9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FF6E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50EB85" w14:textId="77777777" w:rsidR="00000000" w:rsidRDefault="00EE5306">
            <w:pPr>
              <w:spacing w:after="100"/>
              <w:jc w:val="right"/>
              <w:rPr>
                <w:rFonts w:eastAsia="Times New Roman"/>
              </w:rPr>
            </w:pPr>
            <w:r>
              <w:rPr>
                <w:rFonts w:eastAsia="Times New Roman"/>
                <w:color w:val="000000"/>
                <w:sz w:val="20"/>
                <w:szCs w:val="20"/>
              </w:rPr>
              <w:t>473.0 </w:t>
            </w:r>
          </w:p>
        </w:tc>
        <w:tc>
          <w:tcPr>
            <w:tcW w:w="0" w:type="auto"/>
            <w:shd w:val="clear" w:color="auto" w:fill="CCEEFF"/>
            <w:tcMar>
              <w:top w:w="30" w:type="dxa"/>
              <w:left w:w="0" w:type="dxa"/>
              <w:bottom w:w="30" w:type="dxa"/>
              <w:right w:w="20" w:type="dxa"/>
            </w:tcMar>
            <w:vAlign w:val="bottom"/>
            <w:hideMark/>
          </w:tcPr>
          <w:p w14:paraId="5D6805BC"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64DA4E99" w14:textId="77777777">
        <w:tc>
          <w:tcPr>
            <w:tcW w:w="50" w:type="pct"/>
            <w:vAlign w:val="center"/>
            <w:hideMark/>
          </w:tcPr>
          <w:p w14:paraId="71AF580B" w14:textId="77777777" w:rsidR="00000000" w:rsidRDefault="00EE5306">
            <w:pPr>
              <w:rPr>
                <w:rFonts w:eastAsia="Times New Roman"/>
              </w:rPr>
            </w:pPr>
          </w:p>
        </w:tc>
        <w:tc>
          <w:tcPr>
            <w:tcW w:w="4945" w:type="pct"/>
            <w:vAlign w:val="center"/>
            <w:hideMark/>
          </w:tcPr>
          <w:p w14:paraId="6ED18505" w14:textId="77777777" w:rsidR="00000000" w:rsidRDefault="00EE5306">
            <w:pPr>
              <w:spacing w:after="100"/>
              <w:rPr>
                <w:rFonts w:eastAsia="Times New Roman"/>
                <w:sz w:val="20"/>
                <w:szCs w:val="20"/>
              </w:rPr>
            </w:pPr>
          </w:p>
        </w:tc>
        <w:tc>
          <w:tcPr>
            <w:tcW w:w="5" w:type="pct"/>
            <w:vAlign w:val="center"/>
            <w:hideMark/>
          </w:tcPr>
          <w:p w14:paraId="76E907B9" w14:textId="77777777" w:rsidR="00000000" w:rsidRDefault="00EE5306">
            <w:pPr>
              <w:spacing w:after="100"/>
              <w:rPr>
                <w:rFonts w:eastAsia="Times New Roman"/>
                <w:sz w:val="20"/>
                <w:szCs w:val="20"/>
              </w:rPr>
            </w:pPr>
          </w:p>
        </w:tc>
      </w:tr>
      <w:tr w:rsidR="00000000" w14:paraId="5677E951"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2606304E" w14:textId="77777777" w:rsidR="00000000" w:rsidRDefault="00EE5306">
            <w:pPr>
              <w:spacing w:after="100"/>
              <w:rPr>
                <w:rFonts w:eastAsia="Times New Roman"/>
                <w:sz w:val="20"/>
                <w:szCs w:val="20"/>
              </w:rPr>
            </w:pPr>
          </w:p>
        </w:tc>
      </w:tr>
    </w:tbl>
    <w:p w14:paraId="513E9F1E" w14:textId="77777777" w:rsidR="00000000" w:rsidRDefault="00EE5306">
      <w:pPr>
        <w:rPr>
          <w:rFonts w:eastAsia="Times New Roman"/>
        </w:rPr>
      </w:pPr>
      <w:r>
        <w:rPr>
          <w:rFonts w:eastAsia="Times New Roman"/>
          <w:color w:val="000000"/>
          <w:sz w:val="20"/>
          <w:szCs w:val="20"/>
        </w:rPr>
        <w:t> </w:t>
      </w:r>
    </w:p>
    <w:p w14:paraId="6A6B21CE" w14:textId="77777777" w:rsidR="00000000" w:rsidRDefault="00EE5306">
      <w:pPr>
        <w:ind w:hanging="360"/>
        <w:jc w:val="both"/>
        <w:divId w:val="1777871494"/>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See Note 11 for discussion of the carrying values of the Company's senior notes.</w:t>
      </w:r>
    </w:p>
    <w:p w14:paraId="2AFCC8DC" w14:textId="77777777" w:rsidR="00000000" w:rsidRDefault="00EE5306">
      <w:pPr>
        <w:ind w:hanging="360"/>
        <w:jc w:val="both"/>
        <w:divId w:val="1809933933"/>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Based on Level 2 measurements.</w:t>
      </w:r>
    </w:p>
    <w:p w14:paraId="3EB25E6A" w14:textId="77777777" w:rsidR="00000000" w:rsidRDefault="00EE5306">
      <w:pPr>
        <w:ind w:firstLine="540"/>
        <w:jc w:val="both"/>
        <w:divId w:val="322046675"/>
        <w:rPr>
          <w:rFonts w:eastAsia="Times New Roman"/>
        </w:rPr>
      </w:pPr>
      <w:r>
        <w:rPr>
          <w:rFonts w:eastAsia="Times New Roman"/>
          <w:color w:val="000000"/>
          <w:sz w:val="20"/>
          <w:szCs w:val="20"/>
        </w:rPr>
        <w:t>Unrealized gains or losses resulting from changes in the fair value of the Company's debt instruments do not result in the realization or exp</w:t>
      </w:r>
      <w:r>
        <w:rPr>
          <w:rFonts w:eastAsia="Times New Roman"/>
          <w:color w:val="000000"/>
          <w:sz w:val="20"/>
          <w:szCs w:val="20"/>
        </w:rPr>
        <w:t>enditure of cash, unless the debt is retired prior to its maturity.</w:t>
      </w:r>
    </w:p>
    <w:p w14:paraId="5BDCCEB7" w14:textId="77777777" w:rsidR="00000000" w:rsidRDefault="00EE5306">
      <w:pPr>
        <w:ind w:firstLine="540"/>
        <w:jc w:val="both"/>
        <w:divId w:val="1474251654"/>
        <w:rPr>
          <w:rFonts w:eastAsia="Times New Roman"/>
        </w:rPr>
      </w:pPr>
      <w:r>
        <w:rPr>
          <w:rFonts w:eastAsia="Times New Roman"/>
          <w:b/>
          <w:bCs/>
          <w:i/>
          <w:iCs/>
          <w:color w:val="000000"/>
          <w:sz w:val="20"/>
          <w:szCs w:val="20"/>
        </w:rPr>
        <w:t>Non-financial Assets and Liabilities</w:t>
      </w:r>
    </w:p>
    <w:p w14:paraId="40F323E3" w14:textId="77777777" w:rsidR="00000000" w:rsidRDefault="00EE5306">
      <w:pPr>
        <w:ind w:firstLine="540"/>
        <w:jc w:val="both"/>
        <w:divId w:val="1956716278"/>
        <w:rPr>
          <w:rFonts w:eastAsia="Times New Roman"/>
        </w:rPr>
      </w:pPr>
      <w:r>
        <w:rPr>
          <w:rFonts w:eastAsia="Times New Roman"/>
          <w:color w:val="000000"/>
          <w:sz w:val="20"/>
          <w:szCs w:val="20"/>
        </w:rPr>
        <w:t>The Company's non-financial assets, which primarily consist of goodwill, other intangible assets, property and equipment, and lease-related ROU assets, are not required to be measured at fair value on a recurring basis, and instead are reported at carrying</w:t>
      </w:r>
      <w:r>
        <w:rPr>
          <w:rFonts w:eastAsia="Times New Roman"/>
          <w:color w:val="000000"/>
          <w:sz w:val="20"/>
          <w:szCs w:val="20"/>
        </w:rPr>
        <w:t xml:space="preserve"> value in its consolidated balance sheet. However, on a periodic basis or whenever events or changes in circumstances indicate that they may not be fully recoverable (and at least annually for goodwill and indefinite-lived intangible assets), the respectiv</w:t>
      </w:r>
      <w:r>
        <w:rPr>
          <w:rFonts w:eastAsia="Times New Roman"/>
          <w:color w:val="000000"/>
          <w:sz w:val="20"/>
          <w:szCs w:val="20"/>
        </w:rPr>
        <w:t>e carrying value of non-financial assets are assessed for impairment and, if ultimately considered impaired, are adjusted and written down to their fair value, as estimated based on consideration of external market participant assumptions and discounted ca</w:t>
      </w:r>
      <w:r>
        <w:rPr>
          <w:rFonts w:eastAsia="Times New Roman"/>
          <w:color w:val="000000"/>
          <w:sz w:val="20"/>
          <w:szCs w:val="20"/>
        </w:rPr>
        <w:t>sh flows.</w:t>
      </w:r>
    </w:p>
    <w:p w14:paraId="4AB49A66" w14:textId="77777777" w:rsidR="00000000" w:rsidRDefault="00EE5306">
      <w:pPr>
        <w:ind w:firstLine="540"/>
        <w:jc w:val="both"/>
        <w:divId w:val="1266496846"/>
        <w:rPr>
          <w:rFonts w:eastAsia="Times New Roman"/>
        </w:rPr>
      </w:pPr>
      <w:r>
        <w:rPr>
          <w:rFonts w:eastAsia="Times New Roman"/>
          <w:color w:val="000000"/>
          <w:sz w:val="20"/>
          <w:szCs w:val="20"/>
        </w:rPr>
        <w:t>During Fiscal 2021, Fiscal 2020, and Fiscal 2019, the Company recorded non-cash impairment charges to reduce the carrying values of certain long-lived assets to their estimated fair values. The fair values of these assets were determined based on Level 3 m</w:t>
      </w:r>
      <w:r>
        <w:rPr>
          <w:rFonts w:eastAsia="Times New Roman"/>
          <w:color w:val="000000"/>
          <w:sz w:val="20"/>
          <w:szCs w:val="20"/>
        </w:rPr>
        <w:t>easurements, the related inputs of which included estimates of the amount and timing of the assets' net future discounted cash flows (including any potential sublease income for lease-related ROU assets), based on historical experience and consideration of</w:t>
      </w:r>
      <w:r>
        <w:rPr>
          <w:rFonts w:eastAsia="Times New Roman"/>
          <w:color w:val="000000"/>
          <w:sz w:val="20"/>
          <w:szCs w:val="20"/>
        </w:rPr>
        <w:t xml:space="preserve"> current trends, market conditions, and comparable sales, as applicable.</w:t>
      </w:r>
    </w:p>
    <w:p w14:paraId="0D941A38" w14:textId="77777777" w:rsidR="00000000" w:rsidRDefault="00EE5306">
      <w:pPr>
        <w:ind w:firstLine="540"/>
        <w:jc w:val="both"/>
        <w:divId w:val="113525304"/>
        <w:rPr>
          <w:rFonts w:eastAsia="Times New Roman"/>
        </w:rPr>
      </w:pPr>
      <w:r>
        <w:rPr>
          <w:rFonts w:eastAsia="Times New Roman"/>
          <w:color w:val="000000"/>
          <w:sz w:val="20"/>
          <w:szCs w:val="20"/>
        </w:rPr>
        <w:t>The following tables summarize non-cash impairment charges recorded by the Company during the fiscal years presented in order to reduce the carrying values of certain long-lived asset</w:t>
      </w:r>
      <w:r>
        <w:rPr>
          <w:rFonts w:eastAsia="Times New Roman"/>
          <w:color w:val="000000"/>
          <w:sz w:val="20"/>
          <w:szCs w:val="20"/>
        </w:rPr>
        <w:t>s to their estimated fair values as of the assessment date:</w:t>
      </w:r>
    </w:p>
    <w:tbl>
      <w:tblPr>
        <w:tblW w:w="4722" w:type="pct"/>
        <w:jc w:val="center"/>
        <w:tblCellMar>
          <w:top w:w="15" w:type="dxa"/>
          <w:left w:w="15" w:type="dxa"/>
          <w:bottom w:w="15" w:type="dxa"/>
          <w:right w:w="15" w:type="dxa"/>
        </w:tblCellMar>
        <w:tblLook w:val="04A0" w:firstRow="1" w:lastRow="0" w:firstColumn="1" w:lastColumn="0" w:noHBand="0" w:noVBand="1"/>
      </w:tblPr>
      <w:tblGrid>
        <w:gridCol w:w="38"/>
        <w:gridCol w:w="1106"/>
        <w:gridCol w:w="37"/>
        <w:gridCol w:w="36"/>
        <w:gridCol w:w="36"/>
        <w:gridCol w:w="36"/>
        <w:gridCol w:w="101"/>
        <w:gridCol w:w="782"/>
        <w:gridCol w:w="36"/>
        <w:gridCol w:w="36"/>
        <w:gridCol w:w="36"/>
        <w:gridCol w:w="36"/>
        <w:gridCol w:w="101"/>
        <w:gridCol w:w="949"/>
        <w:gridCol w:w="36"/>
        <w:gridCol w:w="36"/>
        <w:gridCol w:w="36"/>
        <w:gridCol w:w="36"/>
        <w:gridCol w:w="101"/>
        <w:gridCol w:w="782"/>
        <w:gridCol w:w="36"/>
        <w:gridCol w:w="36"/>
        <w:gridCol w:w="36"/>
        <w:gridCol w:w="36"/>
        <w:gridCol w:w="101"/>
        <w:gridCol w:w="949"/>
        <w:gridCol w:w="36"/>
        <w:gridCol w:w="36"/>
        <w:gridCol w:w="36"/>
        <w:gridCol w:w="36"/>
        <w:gridCol w:w="101"/>
        <w:gridCol w:w="782"/>
        <w:gridCol w:w="36"/>
        <w:gridCol w:w="36"/>
        <w:gridCol w:w="36"/>
        <w:gridCol w:w="36"/>
        <w:gridCol w:w="101"/>
        <w:gridCol w:w="949"/>
        <w:gridCol w:w="36"/>
      </w:tblGrid>
      <w:tr w:rsidR="00000000" w14:paraId="075A5070" w14:textId="77777777">
        <w:trPr>
          <w:divId w:val="877858552"/>
          <w:jc w:val="center"/>
        </w:trPr>
        <w:tc>
          <w:tcPr>
            <w:tcW w:w="50" w:type="pct"/>
            <w:vAlign w:val="center"/>
            <w:hideMark/>
          </w:tcPr>
          <w:p w14:paraId="05BE7DAF" w14:textId="77777777" w:rsidR="00000000" w:rsidRDefault="00EE5306">
            <w:pPr>
              <w:ind w:firstLine="540"/>
              <w:jc w:val="both"/>
              <w:rPr>
                <w:rFonts w:eastAsia="Times New Roman"/>
              </w:rPr>
            </w:pPr>
          </w:p>
        </w:tc>
        <w:tc>
          <w:tcPr>
            <w:tcW w:w="1276" w:type="pct"/>
            <w:vAlign w:val="center"/>
            <w:hideMark/>
          </w:tcPr>
          <w:p w14:paraId="77E863E9" w14:textId="77777777" w:rsidR="00000000" w:rsidRDefault="00EE5306">
            <w:pPr>
              <w:spacing w:after="100"/>
              <w:rPr>
                <w:rFonts w:eastAsia="Times New Roman"/>
                <w:sz w:val="20"/>
                <w:szCs w:val="20"/>
              </w:rPr>
            </w:pPr>
          </w:p>
        </w:tc>
        <w:tc>
          <w:tcPr>
            <w:tcW w:w="5" w:type="pct"/>
            <w:vAlign w:val="center"/>
            <w:hideMark/>
          </w:tcPr>
          <w:p w14:paraId="294DCA79" w14:textId="77777777" w:rsidR="00000000" w:rsidRDefault="00EE5306">
            <w:pPr>
              <w:spacing w:after="100"/>
              <w:rPr>
                <w:rFonts w:eastAsia="Times New Roman"/>
                <w:sz w:val="20"/>
                <w:szCs w:val="20"/>
              </w:rPr>
            </w:pPr>
          </w:p>
        </w:tc>
        <w:tc>
          <w:tcPr>
            <w:tcW w:w="5" w:type="pct"/>
            <w:vAlign w:val="center"/>
            <w:hideMark/>
          </w:tcPr>
          <w:p w14:paraId="285D3BEE" w14:textId="77777777" w:rsidR="00000000" w:rsidRDefault="00EE5306">
            <w:pPr>
              <w:spacing w:after="100"/>
              <w:rPr>
                <w:rFonts w:eastAsia="Times New Roman"/>
                <w:sz w:val="20"/>
                <w:szCs w:val="20"/>
              </w:rPr>
            </w:pPr>
          </w:p>
        </w:tc>
        <w:tc>
          <w:tcPr>
            <w:tcW w:w="28" w:type="pct"/>
            <w:vAlign w:val="center"/>
            <w:hideMark/>
          </w:tcPr>
          <w:p w14:paraId="1BD0E73D" w14:textId="77777777" w:rsidR="00000000" w:rsidRDefault="00EE5306">
            <w:pPr>
              <w:spacing w:after="100"/>
              <w:rPr>
                <w:rFonts w:eastAsia="Times New Roman"/>
                <w:sz w:val="20"/>
                <w:szCs w:val="20"/>
              </w:rPr>
            </w:pPr>
          </w:p>
        </w:tc>
        <w:tc>
          <w:tcPr>
            <w:tcW w:w="5" w:type="pct"/>
            <w:vAlign w:val="center"/>
            <w:hideMark/>
          </w:tcPr>
          <w:p w14:paraId="3843D777" w14:textId="77777777" w:rsidR="00000000" w:rsidRDefault="00EE5306">
            <w:pPr>
              <w:spacing w:after="100"/>
              <w:rPr>
                <w:rFonts w:eastAsia="Times New Roman"/>
                <w:sz w:val="20"/>
                <w:szCs w:val="20"/>
              </w:rPr>
            </w:pPr>
          </w:p>
        </w:tc>
        <w:tc>
          <w:tcPr>
            <w:tcW w:w="50" w:type="pct"/>
            <w:vAlign w:val="center"/>
            <w:hideMark/>
          </w:tcPr>
          <w:p w14:paraId="1DADD4F0" w14:textId="77777777" w:rsidR="00000000" w:rsidRDefault="00EE5306">
            <w:pPr>
              <w:spacing w:after="100"/>
              <w:rPr>
                <w:rFonts w:eastAsia="Times New Roman"/>
                <w:sz w:val="20"/>
                <w:szCs w:val="20"/>
              </w:rPr>
            </w:pPr>
          </w:p>
        </w:tc>
        <w:tc>
          <w:tcPr>
            <w:tcW w:w="502" w:type="pct"/>
            <w:vAlign w:val="center"/>
            <w:hideMark/>
          </w:tcPr>
          <w:p w14:paraId="30CEB376" w14:textId="77777777" w:rsidR="00000000" w:rsidRDefault="00EE5306">
            <w:pPr>
              <w:spacing w:after="100"/>
              <w:rPr>
                <w:rFonts w:eastAsia="Times New Roman"/>
                <w:sz w:val="20"/>
                <w:szCs w:val="20"/>
              </w:rPr>
            </w:pPr>
          </w:p>
        </w:tc>
        <w:tc>
          <w:tcPr>
            <w:tcW w:w="5" w:type="pct"/>
            <w:vAlign w:val="center"/>
            <w:hideMark/>
          </w:tcPr>
          <w:p w14:paraId="04C77928" w14:textId="77777777" w:rsidR="00000000" w:rsidRDefault="00EE5306">
            <w:pPr>
              <w:spacing w:after="100"/>
              <w:rPr>
                <w:rFonts w:eastAsia="Times New Roman"/>
                <w:sz w:val="20"/>
                <w:szCs w:val="20"/>
              </w:rPr>
            </w:pPr>
          </w:p>
        </w:tc>
        <w:tc>
          <w:tcPr>
            <w:tcW w:w="5" w:type="pct"/>
            <w:vAlign w:val="center"/>
            <w:hideMark/>
          </w:tcPr>
          <w:p w14:paraId="737FAB5A" w14:textId="77777777" w:rsidR="00000000" w:rsidRDefault="00EE5306">
            <w:pPr>
              <w:spacing w:after="100"/>
              <w:rPr>
                <w:rFonts w:eastAsia="Times New Roman"/>
                <w:sz w:val="20"/>
                <w:szCs w:val="20"/>
              </w:rPr>
            </w:pPr>
          </w:p>
        </w:tc>
        <w:tc>
          <w:tcPr>
            <w:tcW w:w="28" w:type="pct"/>
            <w:vAlign w:val="center"/>
            <w:hideMark/>
          </w:tcPr>
          <w:p w14:paraId="03DD81E7" w14:textId="77777777" w:rsidR="00000000" w:rsidRDefault="00EE5306">
            <w:pPr>
              <w:spacing w:after="100"/>
              <w:rPr>
                <w:rFonts w:eastAsia="Times New Roman"/>
                <w:sz w:val="20"/>
                <w:szCs w:val="20"/>
              </w:rPr>
            </w:pPr>
          </w:p>
        </w:tc>
        <w:tc>
          <w:tcPr>
            <w:tcW w:w="5" w:type="pct"/>
            <w:vAlign w:val="center"/>
            <w:hideMark/>
          </w:tcPr>
          <w:p w14:paraId="63CD251A" w14:textId="77777777" w:rsidR="00000000" w:rsidRDefault="00EE5306">
            <w:pPr>
              <w:spacing w:after="100"/>
              <w:rPr>
                <w:rFonts w:eastAsia="Times New Roman"/>
                <w:sz w:val="20"/>
                <w:szCs w:val="20"/>
              </w:rPr>
            </w:pPr>
          </w:p>
        </w:tc>
        <w:tc>
          <w:tcPr>
            <w:tcW w:w="50" w:type="pct"/>
            <w:vAlign w:val="center"/>
            <w:hideMark/>
          </w:tcPr>
          <w:p w14:paraId="50153A66" w14:textId="77777777" w:rsidR="00000000" w:rsidRDefault="00EE5306">
            <w:pPr>
              <w:spacing w:after="100"/>
              <w:rPr>
                <w:rFonts w:eastAsia="Times New Roman"/>
                <w:sz w:val="20"/>
                <w:szCs w:val="20"/>
              </w:rPr>
            </w:pPr>
          </w:p>
        </w:tc>
        <w:tc>
          <w:tcPr>
            <w:tcW w:w="533" w:type="pct"/>
            <w:vAlign w:val="center"/>
            <w:hideMark/>
          </w:tcPr>
          <w:p w14:paraId="596E40BB" w14:textId="77777777" w:rsidR="00000000" w:rsidRDefault="00EE5306">
            <w:pPr>
              <w:spacing w:after="100"/>
              <w:rPr>
                <w:rFonts w:eastAsia="Times New Roman"/>
                <w:sz w:val="20"/>
                <w:szCs w:val="20"/>
              </w:rPr>
            </w:pPr>
          </w:p>
        </w:tc>
        <w:tc>
          <w:tcPr>
            <w:tcW w:w="5" w:type="pct"/>
            <w:vAlign w:val="center"/>
            <w:hideMark/>
          </w:tcPr>
          <w:p w14:paraId="75B6326D" w14:textId="77777777" w:rsidR="00000000" w:rsidRDefault="00EE5306">
            <w:pPr>
              <w:spacing w:after="100"/>
              <w:rPr>
                <w:rFonts w:eastAsia="Times New Roman"/>
                <w:sz w:val="20"/>
                <w:szCs w:val="20"/>
              </w:rPr>
            </w:pPr>
          </w:p>
        </w:tc>
        <w:tc>
          <w:tcPr>
            <w:tcW w:w="5" w:type="pct"/>
            <w:vAlign w:val="center"/>
            <w:hideMark/>
          </w:tcPr>
          <w:p w14:paraId="69B98066" w14:textId="77777777" w:rsidR="00000000" w:rsidRDefault="00EE5306">
            <w:pPr>
              <w:spacing w:after="100"/>
              <w:rPr>
                <w:rFonts w:eastAsia="Times New Roman"/>
                <w:sz w:val="20"/>
                <w:szCs w:val="20"/>
              </w:rPr>
            </w:pPr>
          </w:p>
        </w:tc>
        <w:tc>
          <w:tcPr>
            <w:tcW w:w="28" w:type="pct"/>
            <w:vAlign w:val="center"/>
            <w:hideMark/>
          </w:tcPr>
          <w:p w14:paraId="0C7FAC30" w14:textId="77777777" w:rsidR="00000000" w:rsidRDefault="00EE5306">
            <w:pPr>
              <w:spacing w:after="100"/>
              <w:rPr>
                <w:rFonts w:eastAsia="Times New Roman"/>
                <w:sz w:val="20"/>
                <w:szCs w:val="20"/>
              </w:rPr>
            </w:pPr>
          </w:p>
        </w:tc>
        <w:tc>
          <w:tcPr>
            <w:tcW w:w="5" w:type="pct"/>
            <w:vAlign w:val="center"/>
            <w:hideMark/>
          </w:tcPr>
          <w:p w14:paraId="18FD6CD4" w14:textId="77777777" w:rsidR="00000000" w:rsidRDefault="00EE5306">
            <w:pPr>
              <w:spacing w:after="100"/>
              <w:rPr>
                <w:rFonts w:eastAsia="Times New Roman"/>
                <w:sz w:val="20"/>
                <w:szCs w:val="20"/>
              </w:rPr>
            </w:pPr>
          </w:p>
        </w:tc>
        <w:tc>
          <w:tcPr>
            <w:tcW w:w="50" w:type="pct"/>
            <w:vAlign w:val="center"/>
            <w:hideMark/>
          </w:tcPr>
          <w:p w14:paraId="4D44CE1E" w14:textId="77777777" w:rsidR="00000000" w:rsidRDefault="00EE5306">
            <w:pPr>
              <w:spacing w:after="100"/>
              <w:rPr>
                <w:rFonts w:eastAsia="Times New Roman"/>
                <w:sz w:val="20"/>
                <w:szCs w:val="20"/>
              </w:rPr>
            </w:pPr>
          </w:p>
        </w:tc>
        <w:tc>
          <w:tcPr>
            <w:tcW w:w="502" w:type="pct"/>
            <w:vAlign w:val="center"/>
            <w:hideMark/>
          </w:tcPr>
          <w:p w14:paraId="63A42B37" w14:textId="77777777" w:rsidR="00000000" w:rsidRDefault="00EE5306">
            <w:pPr>
              <w:spacing w:after="100"/>
              <w:rPr>
                <w:rFonts w:eastAsia="Times New Roman"/>
                <w:sz w:val="20"/>
                <w:szCs w:val="20"/>
              </w:rPr>
            </w:pPr>
          </w:p>
        </w:tc>
        <w:tc>
          <w:tcPr>
            <w:tcW w:w="5" w:type="pct"/>
            <w:vAlign w:val="center"/>
            <w:hideMark/>
          </w:tcPr>
          <w:p w14:paraId="2C1AC069" w14:textId="77777777" w:rsidR="00000000" w:rsidRDefault="00EE5306">
            <w:pPr>
              <w:spacing w:after="100"/>
              <w:rPr>
                <w:rFonts w:eastAsia="Times New Roman"/>
                <w:sz w:val="20"/>
                <w:szCs w:val="20"/>
              </w:rPr>
            </w:pPr>
          </w:p>
        </w:tc>
        <w:tc>
          <w:tcPr>
            <w:tcW w:w="5" w:type="pct"/>
            <w:vAlign w:val="center"/>
            <w:hideMark/>
          </w:tcPr>
          <w:p w14:paraId="19545769" w14:textId="77777777" w:rsidR="00000000" w:rsidRDefault="00EE5306">
            <w:pPr>
              <w:spacing w:after="100"/>
              <w:rPr>
                <w:rFonts w:eastAsia="Times New Roman"/>
                <w:sz w:val="20"/>
                <w:szCs w:val="20"/>
              </w:rPr>
            </w:pPr>
          </w:p>
        </w:tc>
        <w:tc>
          <w:tcPr>
            <w:tcW w:w="28" w:type="pct"/>
            <w:vAlign w:val="center"/>
            <w:hideMark/>
          </w:tcPr>
          <w:p w14:paraId="53AA13C3" w14:textId="77777777" w:rsidR="00000000" w:rsidRDefault="00EE5306">
            <w:pPr>
              <w:spacing w:after="100"/>
              <w:rPr>
                <w:rFonts w:eastAsia="Times New Roman"/>
                <w:sz w:val="20"/>
                <w:szCs w:val="20"/>
              </w:rPr>
            </w:pPr>
          </w:p>
        </w:tc>
        <w:tc>
          <w:tcPr>
            <w:tcW w:w="5" w:type="pct"/>
            <w:vAlign w:val="center"/>
            <w:hideMark/>
          </w:tcPr>
          <w:p w14:paraId="3EC4F7A8" w14:textId="77777777" w:rsidR="00000000" w:rsidRDefault="00EE5306">
            <w:pPr>
              <w:spacing w:after="100"/>
              <w:rPr>
                <w:rFonts w:eastAsia="Times New Roman"/>
                <w:sz w:val="20"/>
                <w:szCs w:val="20"/>
              </w:rPr>
            </w:pPr>
          </w:p>
        </w:tc>
        <w:tc>
          <w:tcPr>
            <w:tcW w:w="50" w:type="pct"/>
            <w:vAlign w:val="center"/>
            <w:hideMark/>
          </w:tcPr>
          <w:p w14:paraId="255DBD60" w14:textId="77777777" w:rsidR="00000000" w:rsidRDefault="00EE5306">
            <w:pPr>
              <w:spacing w:after="100"/>
              <w:rPr>
                <w:rFonts w:eastAsia="Times New Roman"/>
                <w:sz w:val="20"/>
                <w:szCs w:val="20"/>
              </w:rPr>
            </w:pPr>
          </w:p>
        </w:tc>
        <w:tc>
          <w:tcPr>
            <w:tcW w:w="533" w:type="pct"/>
            <w:vAlign w:val="center"/>
            <w:hideMark/>
          </w:tcPr>
          <w:p w14:paraId="1836E172" w14:textId="77777777" w:rsidR="00000000" w:rsidRDefault="00EE5306">
            <w:pPr>
              <w:spacing w:after="100"/>
              <w:rPr>
                <w:rFonts w:eastAsia="Times New Roman"/>
                <w:sz w:val="20"/>
                <w:szCs w:val="20"/>
              </w:rPr>
            </w:pPr>
          </w:p>
        </w:tc>
        <w:tc>
          <w:tcPr>
            <w:tcW w:w="5" w:type="pct"/>
            <w:vAlign w:val="center"/>
            <w:hideMark/>
          </w:tcPr>
          <w:p w14:paraId="0C739687" w14:textId="77777777" w:rsidR="00000000" w:rsidRDefault="00EE5306">
            <w:pPr>
              <w:spacing w:after="100"/>
              <w:rPr>
                <w:rFonts w:eastAsia="Times New Roman"/>
                <w:sz w:val="20"/>
                <w:szCs w:val="20"/>
              </w:rPr>
            </w:pPr>
          </w:p>
        </w:tc>
        <w:tc>
          <w:tcPr>
            <w:tcW w:w="5" w:type="pct"/>
            <w:vAlign w:val="center"/>
            <w:hideMark/>
          </w:tcPr>
          <w:p w14:paraId="496270CA" w14:textId="77777777" w:rsidR="00000000" w:rsidRDefault="00EE5306">
            <w:pPr>
              <w:spacing w:after="100"/>
              <w:rPr>
                <w:rFonts w:eastAsia="Times New Roman"/>
                <w:sz w:val="20"/>
                <w:szCs w:val="20"/>
              </w:rPr>
            </w:pPr>
          </w:p>
        </w:tc>
        <w:tc>
          <w:tcPr>
            <w:tcW w:w="28" w:type="pct"/>
            <w:vAlign w:val="center"/>
            <w:hideMark/>
          </w:tcPr>
          <w:p w14:paraId="608DD49D" w14:textId="77777777" w:rsidR="00000000" w:rsidRDefault="00EE5306">
            <w:pPr>
              <w:spacing w:after="100"/>
              <w:rPr>
                <w:rFonts w:eastAsia="Times New Roman"/>
                <w:sz w:val="20"/>
                <w:szCs w:val="20"/>
              </w:rPr>
            </w:pPr>
          </w:p>
        </w:tc>
        <w:tc>
          <w:tcPr>
            <w:tcW w:w="5" w:type="pct"/>
            <w:vAlign w:val="center"/>
            <w:hideMark/>
          </w:tcPr>
          <w:p w14:paraId="3C228611" w14:textId="77777777" w:rsidR="00000000" w:rsidRDefault="00EE5306">
            <w:pPr>
              <w:spacing w:after="100"/>
              <w:rPr>
                <w:rFonts w:eastAsia="Times New Roman"/>
                <w:sz w:val="20"/>
                <w:szCs w:val="20"/>
              </w:rPr>
            </w:pPr>
          </w:p>
        </w:tc>
        <w:tc>
          <w:tcPr>
            <w:tcW w:w="50" w:type="pct"/>
            <w:vAlign w:val="center"/>
            <w:hideMark/>
          </w:tcPr>
          <w:p w14:paraId="137E1DC2" w14:textId="77777777" w:rsidR="00000000" w:rsidRDefault="00EE5306">
            <w:pPr>
              <w:spacing w:after="100"/>
              <w:rPr>
                <w:rFonts w:eastAsia="Times New Roman"/>
                <w:sz w:val="20"/>
                <w:szCs w:val="20"/>
              </w:rPr>
            </w:pPr>
          </w:p>
        </w:tc>
        <w:tc>
          <w:tcPr>
            <w:tcW w:w="502" w:type="pct"/>
            <w:vAlign w:val="center"/>
            <w:hideMark/>
          </w:tcPr>
          <w:p w14:paraId="68485E4F" w14:textId="77777777" w:rsidR="00000000" w:rsidRDefault="00EE5306">
            <w:pPr>
              <w:spacing w:after="100"/>
              <w:rPr>
                <w:rFonts w:eastAsia="Times New Roman"/>
                <w:sz w:val="20"/>
                <w:szCs w:val="20"/>
              </w:rPr>
            </w:pPr>
          </w:p>
        </w:tc>
        <w:tc>
          <w:tcPr>
            <w:tcW w:w="5" w:type="pct"/>
            <w:vAlign w:val="center"/>
            <w:hideMark/>
          </w:tcPr>
          <w:p w14:paraId="3B56FDCD" w14:textId="77777777" w:rsidR="00000000" w:rsidRDefault="00EE5306">
            <w:pPr>
              <w:spacing w:after="100"/>
              <w:rPr>
                <w:rFonts w:eastAsia="Times New Roman"/>
                <w:sz w:val="20"/>
                <w:szCs w:val="20"/>
              </w:rPr>
            </w:pPr>
          </w:p>
        </w:tc>
        <w:tc>
          <w:tcPr>
            <w:tcW w:w="5" w:type="pct"/>
            <w:vAlign w:val="center"/>
            <w:hideMark/>
          </w:tcPr>
          <w:p w14:paraId="13537A0A" w14:textId="77777777" w:rsidR="00000000" w:rsidRDefault="00EE5306">
            <w:pPr>
              <w:spacing w:after="100"/>
              <w:rPr>
                <w:rFonts w:eastAsia="Times New Roman"/>
                <w:sz w:val="20"/>
                <w:szCs w:val="20"/>
              </w:rPr>
            </w:pPr>
          </w:p>
        </w:tc>
        <w:tc>
          <w:tcPr>
            <w:tcW w:w="28" w:type="pct"/>
            <w:vAlign w:val="center"/>
            <w:hideMark/>
          </w:tcPr>
          <w:p w14:paraId="047D9FF0" w14:textId="77777777" w:rsidR="00000000" w:rsidRDefault="00EE5306">
            <w:pPr>
              <w:spacing w:after="100"/>
              <w:rPr>
                <w:rFonts w:eastAsia="Times New Roman"/>
                <w:sz w:val="20"/>
                <w:szCs w:val="20"/>
              </w:rPr>
            </w:pPr>
          </w:p>
        </w:tc>
        <w:tc>
          <w:tcPr>
            <w:tcW w:w="5" w:type="pct"/>
            <w:vAlign w:val="center"/>
            <w:hideMark/>
          </w:tcPr>
          <w:p w14:paraId="626D668B" w14:textId="77777777" w:rsidR="00000000" w:rsidRDefault="00EE5306">
            <w:pPr>
              <w:spacing w:after="100"/>
              <w:rPr>
                <w:rFonts w:eastAsia="Times New Roman"/>
                <w:sz w:val="20"/>
                <w:szCs w:val="20"/>
              </w:rPr>
            </w:pPr>
          </w:p>
        </w:tc>
        <w:tc>
          <w:tcPr>
            <w:tcW w:w="50" w:type="pct"/>
            <w:vAlign w:val="center"/>
            <w:hideMark/>
          </w:tcPr>
          <w:p w14:paraId="1A03D0B8" w14:textId="77777777" w:rsidR="00000000" w:rsidRDefault="00EE5306">
            <w:pPr>
              <w:spacing w:after="100"/>
              <w:rPr>
                <w:rFonts w:eastAsia="Times New Roman"/>
                <w:sz w:val="20"/>
                <w:szCs w:val="20"/>
              </w:rPr>
            </w:pPr>
          </w:p>
        </w:tc>
        <w:tc>
          <w:tcPr>
            <w:tcW w:w="533" w:type="pct"/>
            <w:vAlign w:val="center"/>
            <w:hideMark/>
          </w:tcPr>
          <w:p w14:paraId="1F6ADDBD" w14:textId="77777777" w:rsidR="00000000" w:rsidRDefault="00EE5306">
            <w:pPr>
              <w:spacing w:after="100"/>
              <w:rPr>
                <w:rFonts w:eastAsia="Times New Roman"/>
                <w:sz w:val="20"/>
                <w:szCs w:val="20"/>
              </w:rPr>
            </w:pPr>
          </w:p>
        </w:tc>
        <w:tc>
          <w:tcPr>
            <w:tcW w:w="5" w:type="pct"/>
            <w:vAlign w:val="center"/>
            <w:hideMark/>
          </w:tcPr>
          <w:p w14:paraId="61C96CA8" w14:textId="77777777" w:rsidR="00000000" w:rsidRDefault="00EE5306">
            <w:pPr>
              <w:spacing w:after="100"/>
              <w:rPr>
                <w:rFonts w:eastAsia="Times New Roman"/>
                <w:sz w:val="20"/>
                <w:szCs w:val="20"/>
              </w:rPr>
            </w:pPr>
          </w:p>
        </w:tc>
      </w:tr>
      <w:tr w:rsidR="00000000" w14:paraId="5504E59E" w14:textId="77777777">
        <w:trPr>
          <w:divId w:val="877858552"/>
          <w:jc w:val="center"/>
        </w:trPr>
        <w:tc>
          <w:tcPr>
            <w:tcW w:w="0" w:type="auto"/>
            <w:gridSpan w:val="3"/>
            <w:tcMar>
              <w:top w:w="0" w:type="dxa"/>
              <w:left w:w="20" w:type="dxa"/>
              <w:bottom w:w="0" w:type="dxa"/>
              <w:right w:w="20" w:type="dxa"/>
            </w:tcMar>
            <w:vAlign w:val="center"/>
            <w:hideMark/>
          </w:tcPr>
          <w:p w14:paraId="2ECC7F47"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3B8F2C" w14:textId="77777777" w:rsidR="00000000" w:rsidRDefault="00EE530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65F076A8"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0D62D6A7" w14:textId="77777777">
        <w:trPr>
          <w:divId w:val="877858552"/>
          <w:jc w:val="center"/>
        </w:trPr>
        <w:tc>
          <w:tcPr>
            <w:tcW w:w="0" w:type="auto"/>
            <w:gridSpan w:val="3"/>
            <w:tcMar>
              <w:top w:w="0" w:type="dxa"/>
              <w:left w:w="20" w:type="dxa"/>
              <w:bottom w:w="0" w:type="dxa"/>
              <w:right w:w="20" w:type="dxa"/>
            </w:tcMar>
            <w:vAlign w:val="center"/>
            <w:hideMark/>
          </w:tcPr>
          <w:p w14:paraId="37E9CF64"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FC605DF" w14:textId="77777777" w:rsidR="00000000" w:rsidRDefault="00EE530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ADC0DFD" w14:textId="77777777" w:rsidR="00000000" w:rsidRDefault="00EE5306">
            <w:pPr>
              <w:spacing w:after="100"/>
              <w:jc w:val="center"/>
              <w:rPr>
                <w:rFonts w:eastAsia="Times New Roman"/>
              </w:rPr>
            </w:pPr>
            <w:r>
              <w:rPr>
                <w:rFonts w:eastAsia="Times New Roman"/>
                <w:b/>
                <w:bCs/>
                <w:color w:val="000000"/>
                <w:sz w:val="16"/>
                <w:szCs w:val="16"/>
              </w:rPr>
              <w:t>March 27, 2021</w:t>
            </w:r>
          </w:p>
        </w:tc>
        <w:tc>
          <w:tcPr>
            <w:tcW w:w="0" w:type="auto"/>
            <w:gridSpan w:val="3"/>
            <w:tcBorders>
              <w:top w:val="single" w:sz="8" w:space="0" w:color="000000"/>
            </w:tcBorders>
            <w:tcMar>
              <w:top w:w="0" w:type="dxa"/>
              <w:left w:w="20" w:type="dxa"/>
              <w:bottom w:w="0" w:type="dxa"/>
              <w:right w:w="20" w:type="dxa"/>
            </w:tcMar>
            <w:vAlign w:val="center"/>
            <w:hideMark/>
          </w:tcPr>
          <w:p w14:paraId="37114B72" w14:textId="77777777" w:rsidR="00000000" w:rsidRDefault="00EE530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D883885" w14:textId="77777777" w:rsidR="00000000" w:rsidRDefault="00EE5306">
            <w:pPr>
              <w:spacing w:after="100"/>
              <w:jc w:val="center"/>
              <w:rPr>
                <w:rFonts w:eastAsia="Times New Roman"/>
              </w:rPr>
            </w:pPr>
            <w:r>
              <w:rPr>
                <w:rFonts w:eastAsia="Times New Roman"/>
                <w:b/>
                <w:bCs/>
                <w:color w:val="000000"/>
                <w:sz w:val="16"/>
                <w:szCs w:val="16"/>
              </w:rPr>
              <w:t>March 28, 2020</w:t>
            </w:r>
          </w:p>
        </w:tc>
        <w:tc>
          <w:tcPr>
            <w:tcW w:w="0" w:type="auto"/>
            <w:gridSpan w:val="3"/>
            <w:tcBorders>
              <w:top w:val="single" w:sz="8" w:space="0" w:color="000000"/>
            </w:tcBorders>
            <w:tcMar>
              <w:top w:w="0" w:type="dxa"/>
              <w:left w:w="20" w:type="dxa"/>
              <w:bottom w:w="0" w:type="dxa"/>
              <w:right w:w="20" w:type="dxa"/>
            </w:tcMar>
            <w:vAlign w:val="center"/>
            <w:hideMark/>
          </w:tcPr>
          <w:p w14:paraId="5DED1391" w14:textId="77777777" w:rsidR="00000000" w:rsidRDefault="00EE530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B1485ED" w14:textId="77777777" w:rsidR="00000000" w:rsidRDefault="00EE5306">
            <w:pPr>
              <w:spacing w:after="100"/>
              <w:jc w:val="center"/>
              <w:rPr>
                <w:rFonts w:eastAsia="Times New Roman"/>
              </w:rPr>
            </w:pPr>
            <w:r>
              <w:rPr>
                <w:rFonts w:eastAsia="Times New Roman"/>
                <w:b/>
                <w:bCs/>
                <w:color w:val="000000"/>
                <w:sz w:val="16"/>
                <w:szCs w:val="16"/>
              </w:rPr>
              <w:t>March 30, 2019</w:t>
            </w:r>
          </w:p>
        </w:tc>
      </w:tr>
      <w:tr w:rsidR="00000000" w14:paraId="617C69D6" w14:textId="77777777">
        <w:trPr>
          <w:divId w:val="877858552"/>
          <w:jc w:val="center"/>
        </w:trPr>
        <w:tc>
          <w:tcPr>
            <w:tcW w:w="0" w:type="auto"/>
            <w:gridSpan w:val="3"/>
            <w:tcMar>
              <w:top w:w="30" w:type="dxa"/>
              <w:left w:w="20" w:type="dxa"/>
              <w:bottom w:w="30" w:type="dxa"/>
              <w:right w:w="20" w:type="dxa"/>
            </w:tcMar>
            <w:vAlign w:val="bottom"/>
            <w:hideMark/>
          </w:tcPr>
          <w:p w14:paraId="23D17A65" w14:textId="77777777" w:rsidR="00000000" w:rsidRDefault="00EE5306">
            <w:pPr>
              <w:spacing w:after="100"/>
              <w:rPr>
                <w:rFonts w:eastAsia="Times New Roman"/>
              </w:rPr>
            </w:pPr>
            <w:r>
              <w:rPr>
                <w:rFonts w:eastAsia="Times New Roman"/>
                <w:b/>
                <w:bCs/>
                <w:color w:val="000000"/>
                <w:sz w:val="16"/>
                <w:szCs w:val="16"/>
                <w:u w:val="single"/>
              </w:rPr>
              <w:t>Long-Lived Asset Category</w:t>
            </w:r>
          </w:p>
        </w:tc>
        <w:tc>
          <w:tcPr>
            <w:tcW w:w="0" w:type="auto"/>
            <w:gridSpan w:val="3"/>
            <w:tcMar>
              <w:top w:w="0" w:type="dxa"/>
              <w:left w:w="20" w:type="dxa"/>
              <w:bottom w:w="0" w:type="dxa"/>
              <w:right w:w="20" w:type="dxa"/>
            </w:tcMar>
            <w:vAlign w:val="center"/>
            <w:hideMark/>
          </w:tcPr>
          <w:p w14:paraId="3651313C"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DA9BA5" w14:textId="77777777" w:rsidR="00000000" w:rsidRDefault="00EE5306">
            <w:pPr>
              <w:spacing w:after="100"/>
              <w:jc w:val="center"/>
              <w:rPr>
                <w:rFonts w:eastAsia="Times New Roman"/>
              </w:rPr>
            </w:pPr>
            <w:r>
              <w:rPr>
                <w:rFonts w:eastAsia="Times New Roman"/>
                <w:b/>
                <w:bCs/>
                <w:color w:val="000000"/>
                <w:sz w:val="16"/>
                <w:szCs w:val="16"/>
              </w:rPr>
              <w:t xml:space="preserve">Fair Value </w:t>
            </w:r>
            <w:r>
              <w:rPr>
                <w:rFonts w:eastAsia="Times New Roman"/>
                <w:b/>
                <w:bCs/>
                <w:color w:val="000000"/>
                <w:sz w:val="16"/>
                <w:szCs w:val="16"/>
              </w:rPr>
              <w:br/>
              <w:t>As of Impairment Date</w:t>
            </w:r>
          </w:p>
        </w:tc>
        <w:tc>
          <w:tcPr>
            <w:tcW w:w="0" w:type="auto"/>
            <w:gridSpan w:val="3"/>
            <w:tcBorders>
              <w:top w:val="single" w:sz="8" w:space="0" w:color="000000"/>
            </w:tcBorders>
            <w:tcMar>
              <w:top w:w="0" w:type="dxa"/>
              <w:left w:w="20" w:type="dxa"/>
              <w:bottom w:w="0" w:type="dxa"/>
              <w:right w:w="20" w:type="dxa"/>
            </w:tcMar>
            <w:vAlign w:val="center"/>
            <w:hideMark/>
          </w:tcPr>
          <w:p w14:paraId="5491E268"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BA784F9" w14:textId="77777777" w:rsidR="00000000" w:rsidRDefault="00EE5306">
            <w:pPr>
              <w:spacing w:after="100"/>
              <w:jc w:val="center"/>
              <w:rPr>
                <w:rFonts w:eastAsia="Times New Roman"/>
              </w:rPr>
            </w:pPr>
            <w:r>
              <w:rPr>
                <w:rFonts w:eastAsia="Times New Roman"/>
                <w:b/>
                <w:bCs/>
                <w:color w:val="000000"/>
                <w:sz w:val="16"/>
                <w:szCs w:val="16"/>
              </w:rPr>
              <w:t>Total Impairment</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64A53273"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08D587E" w14:textId="77777777" w:rsidR="00000000" w:rsidRDefault="00EE5306">
            <w:pPr>
              <w:spacing w:after="100"/>
              <w:jc w:val="center"/>
              <w:rPr>
                <w:rFonts w:eastAsia="Times New Roman"/>
              </w:rPr>
            </w:pPr>
            <w:r>
              <w:rPr>
                <w:rFonts w:eastAsia="Times New Roman"/>
                <w:b/>
                <w:bCs/>
                <w:color w:val="000000"/>
                <w:sz w:val="16"/>
                <w:szCs w:val="16"/>
              </w:rPr>
              <w:t xml:space="preserve">Fair Value </w:t>
            </w:r>
            <w:r>
              <w:rPr>
                <w:rFonts w:eastAsia="Times New Roman"/>
                <w:b/>
                <w:bCs/>
                <w:color w:val="000000"/>
                <w:sz w:val="16"/>
                <w:szCs w:val="16"/>
              </w:rPr>
              <w:br/>
              <w:t>As of Impairment Date</w:t>
            </w:r>
          </w:p>
        </w:tc>
        <w:tc>
          <w:tcPr>
            <w:tcW w:w="0" w:type="auto"/>
            <w:gridSpan w:val="3"/>
            <w:tcBorders>
              <w:top w:val="single" w:sz="8" w:space="0" w:color="000000"/>
            </w:tcBorders>
            <w:tcMar>
              <w:top w:w="0" w:type="dxa"/>
              <w:left w:w="20" w:type="dxa"/>
              <w:bottom w:w="0" w:type="dxa"/>
              <w:right w:w="20" w:type="dxa"/>
            </w:tcMar>
            <w:vAlign w:val="center"/>
            <w:hideMark/>
          </w:tcPr>
          <w:p w14:paraId="3988B723"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CE679A1" w14:textId="77777777" w:rsidR="00000000" w:rsidRDefault="00EE5306">
            <w:pPr>
              <w:spacing w:after="100"/>
              <w:jc w:val="center"/>
              <w:rPr>
                <w:rFonts w:eastAsia="Times New Roman"/>
              </w:rPr>
            </w:pPr>
            <w:r>
              <w:rPr>
                <w:rFonts w:eastAsia="Times New Roman"/>
                <w:b/>
                <w:bCs/>
                <w:color w:val="000000"/>
                <w:sz w:val="16"/>
                <w:szCs w:val="16"/>
              </w:rPr>
              <w:t>Total Impairment</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40D4ED01"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951F32" w14:textId="77777777" w:rsidR="00000000" w:rsidRDefault="00EE5306">
            <w:pPr>
              <w:spacing w:after="100"/>
              <w:jc w:val="center"/>
              <w:rPr>
                <w:rFonts w:eastAsia="Times New Roman"/>
              </w:rPr>
            </w:pPr>
            <w:r>
              <w:rPr>
                <w:rFonts w:eastAsia="Times New Roman"/>
                <w:b/>
                <w:bCs/>
                <w:color w:val="000000"/>
                <w:sz w:val="16"/>
                <w:szCs w:val="16"/>
              </w:rPr>
              <w:t xml:space="preserve">Fair Value </w:t>
            </w:r>
            <w:r>
              <w:rPr>
                <w:rFonts w:eastAsia="Times New Roman"/>
                <w:b/>
                <w:bCs/>
                <w:color w:val="000000"/>
                <w:sz w:val="16"/>
                <w:szCs w:val="16"/>
              </w:rPr>
              <w:br/>
              <w:t>As of Impairment Date</w:t>
            </w:r>
          </w:p>
        </w:tc>
        <w:tc>
          <w:tcPr>
            <w:tcW w:w="0" w:type="auto"/>
            <w:gridSpan w:val="3"/>
            <w:tcBorders>
              <w:top w:val="single" w:sz="8" w:space="0" w:color="000000"/>
            </w:tcBorders>
            <w:tcMar>
              <w:top w:w="0" w:type="dxa"/>
              <w:left w:w="20" w:type="dxa"/>
              <w:bottom w:w="0" w:type="dxa"/>
              <w:right w:w="20" w:type="dxa"/>
            </w:tcMar>
            <w:vAlign w:val="center"/>
            <w:hideMark/>
          </w:tcPr>
          <w:p w14:paraId="4ADAA737"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14DD1F5" w14:textId="77777777" w:rsidR="00000000" w:rsidRDefault="00EE5306">
            <w:pPr>
              <w:spacing w:after="100"/>
              <w:jc w:val="center"/>
              <w:rPr>
                <w:rFonts w:eastAsia="Times New Roman"/>
              </w:rPr>
            </w:pPr>
            <w:r>
              <w:rPr>
                <w:rFonts w:eastAsia="Times New Roman"/>
                <w:b/>
                <w:bCs/>
                <w:color w:val="000000"/>
                <w:sz w:val="16"/>
                <w:szCs w:val="16"/>
              </w:rPr>
              <w:t>Total Impairment</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r>
      <w:tr w:rsidR="00000000" w14:paraId="4ADE1443" w14:textId="77777777">
        <w:trPr>
          <w:divId w:val="877858552"/>
          <w:jc w:val="center"/>
        </w:trPr>
        <w:tc>
          <w:tcPr>
            <w:tcW w:w="0" w:type="auto"/>
            <w:gridSpan w:val="3"/>
            <w:tcMar>
              <w:top w:w="30" w:type="dxa"/>
              <w:left w:w="20" w:type="dxa"/>
              <w:bottom w:w="30" w:type="dxa"/>
              <w:right w:w="20" w:type="dxa"/>
            </w:tcMar>
            <w:vAlign w:val="bottom"/>
            <w:hideMark/>
          </w:tcPr>
          <w:p w14:paraId="7CF51BAB"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23362A9" w14:textId="77777777" w:rsidR="00000000" w:rsidRDefault="00EE5306">
            <w:pPr>
              <w:spacing w:after="100"/>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14:paraId="685CCAD4"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6621D6C0" w14:textId="77777777">
        <w:trPr>
          <w:divId w:val="877858552"/>
          <w:jc w:val="center"/>
        </w:trPr>
        <w:tc>
          <w:tcPr>
            <w:tcW w:w="0" w:type="auto"/>
            <w:gridSpan w:val="3"/>
            <w:shd w:val="clear" w:color="auto" w:fill="CCEEFF"/>
            <w:tcMar>
              <w:top w:w="30" w:type="dxa"/>
              <w:left w:w="20" w:type="dxa"/>
              <w:bottom w:w="30" w:type="dxa"/>
              <w:right w:w="20" w:type="dxa"/>
            </w:tcMar>
            <w:vAlign w:val="bottom"/>
            <w:hideMark/>
          </w:tcPr>
          <w:p w14:paraId="44BC21BC" w14:textId="77777777" w:rsidR="00000000" w:rsidRDefault="00EE5306">
            <w:pPr>
              <w:spacing w:after="100"/>
              <w:ind w:hanging="270"/>
              <w:divId w:val="147862164"/>
              <w:rPr>
                <w:rFonts w:eastAsia="Times New Roman"/>
              </w:rPr>
            </w:pPr>
            <w:r>
              <w:rPr>
                <w:rFonts w:eastAsia="Times New Roman"/>
                <w:color w:val="000000"/>
                <w:sz w:val="16"/>
                <w:szCs w:val="16"/>
              </w:rPr>
              <w:t>Property and equipment, ne</w:t>
            </w:r>
            <w:r>
              <w:rPr>
                <w:rFonts w:eastAsia="Times New Roman"/>
                <w:color w:val="000000"/>
                <w:sz w:val="16"/>
                <w:szCs w:val="16"/>
              </w:rPr>
              <w:t>t</w:t>
            </w:r>
            <w:r>
              <w:rPr>
                <w:rFonts w:eastAsia="Times New Roman"/>
                <w:b/>
                <w:bCs/>
                <w:color w:val="000000"/>
                <w:sz w:val="10"/>
                <w:szCs w:val="10"/>
              </w:rPr>
              <w:t>(b</w:t>
            </w:r>
            <w:r>
              <w:rPr>
                <w:rFonts w:eastAsia="Times New Roman"/>
                <w:b/>
                <w:bCs/>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00670982" w14:textId="77777777" w:rsidR="00000000" w:rsidRDefault="00EE5306">
            <w:pPr>
              <w:spacing w:after="100"/>
              <w:ind w:hanging="270"/>
              <w:rPr>
                <w:rFonts w:eastAsia="Times New Roman"/>
              </w:rPr>
            </w:pPr>
          </w:p>
        </w:tc>
        <w:tc>
          <w:tcPr>
            <w:tcW w:w="0" w:type="auto"/>
            <w:shd w:val="clear" w:color="auto" w:fill="CCEEFF"/>
            <w:tcMar>
              <w:top w:w="30" w:type="dxa"/>
              <w:left w:w="20" w:type="dxa"/>
              <w:bottom w:w="30" w:type="dxa"/>
              <w:right w:w="0" w:type="dxa"/>
            </w:tcMar>
            <w:vAlign w:val="bottom"/>
            <w:hideMark/>
          </w:tcPr>
          <w:p w14:paraId="0BE47C66"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7850310" w14:textId="77777777" w:rsidR="00000000" w:rsidRDefault="00EE5306">
            <w:pPr>
              <w:spacing w:after="100"/>
              <w:jc w:val="right"/>
              <w:rPr>
                <w:rFonts w:eastAsia="Times New Roman"/>
              </w:rPr>
            </w:pPr>
            <w:r>
              <w:rPr>
                <w:rFonts w:eastAsia="Times New Roman"/>
                <w:color w:val="000000"/>
                <w:sz w:val="16"/>
                <w:szCs w:val="16"/>
              </w:rPr>
              <w:t>23.5 </w:t>
            </w:r>
          </w:p>
        </w:tc>
        <w:tc>
          <w:tcPr>
            <w:tcW w:w="0" w:type="auto"/>
            <w:shd w:val="clear" w:color="auto" w:fill="CCEEFF"/>
            <w:tcMar>
              <w:top w:w="30" w:type="dxa"/>
              <w:left w:w="0" w:type="dxa"/>
              <w:bottom w:w="30" w:type="dxa"/>
              <w:right w:w="20" w:type="dxa"/>
            </w:tcMar>
            <w:vAlign w:val="bottom"/>
            <w:hideMark/>
          </w:tcPr>
          <w:p w14:paraId="24D352E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000CB"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CB5147"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AF9C8FD" w14:textId="77777777" w:rsidR="00000000" w:rsidRDefault="00EE5306">
            <w:pPr>
              <w:spacing w:after="100"/>
              <w:jc w:val="right"/>
              <w:rPr>
                <w:rFonts w:eastAsia="Times New Roman"/>
              </w:rPr>
            </w:pPr>
            <w:r>
              <w:rPr>
                <w:rFonts w:eastAsia="Times New Roman"/>
                <w:color w:val="000000"/>
                <w:sz w:val="16"/>
                <w:szCs w:val="16"/>
              </w:rPr>
              <w:t>44.1 </w:t>
            </w:r>
          </w:p>
        </w:tc>
        <w:tc>
          <w:tcPr>
            <w:tcW w:w="0" w:type="auto"/>
            <w:shd w:val="clear" w:color="auto" w:fill="CCEEFF"/>
            <w:tcMar>
              <w:top w:w="30" w:type="dxa"/>
              <w:left w:w="0" w:type="dxa"/>
              <w:bottom w:w="30" w:type="dxa"/>
              <w:right w:w="20" w:type="dxa"/>
            </w:tcMar>
            <w:vAlign w:val="bottom"/>
            <w:hideMark/>
          </w:tcPr>
          <w:p w14:paraId="6BA0749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5A72A"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0AB5B9"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8EA4E47" w14:textId="77777777" w:rsidR="00000000" w:rsidRDefault="00EE5306">
            <w:pPr>
              <w:spacing w:after="100"/>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vAlign w:val="bottom"/>
            <w:hideMark/>
          </w:tcPr>
          <w:p w14:paraId="6FC9CBF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38CB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5A2039"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892F914" w14:textId="77777777" w:rsidR="00000000" w:rsidRDefault="00EE5306">
            <w:pPr>
              <w:spacing w:after="100"/>
              <w:jc w:val="right"/>
              <w:rPr>
                <w:rFonts w:eastAsia="Times New Roman"/>
              </w:rPr>
            </w:pPr>
            <w:r>
              <w:rPr>
                <w:rFonts w:eastAsia="Times New Roman"/>
                <w:color w:val="000000"/>
                <w:sz w:val="16"/>
                <w:szCs w:val="16"/>
              </w:rPr>
              <w:t>16.8 </w:t>
            </w:r>
          </w:p>
        </w:tc>
        <w:tc>
          <w:tcPr>
            <w:tcW w:w="0" w:type="auto"/>
            <w:shd w:val="clear" w:color="auto" w:fill="CCEEFF"/>
            <w:tcMar>
              <w:top w:w="30" w:type="dxa"/>
              <w:left w:w="0" w:type="dxa"/>
              <w:bottom w:w="30" w:type="dxa"/>
              <w:right w:w="20" w:type="dxa"/>
            </w:tcMar>
            <w:vAlign w:val="bottom"/>
            <w:hideMark/>
          </w:tcPr>
          <w:p w14:paraId="696A745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D3186"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61C350"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88EA18A" w14:textId="77777777" w:rsidR="00000000" w:rsidRDefault="00EE5306">
            <w:pPr>
              <w:spacing w:after="100"/>
              <w:jc w:val="right"/>
              <w:rPr>
                <w:rFonts w:eastAsia="Times New Roman"/>
              </w:rPr>
            </w:pPr>
            <w:r>
              <w:rPr>
                <w:rFonts w:eastAsia="Times New Roman"/>
                <w:color w:val="000000"/>
                <w:sz w:val="16"/>
                <w:szCs w:val="16"/>
              </w:rPr>
              <w:t>20.8 </w:t>
            </w:r>
          </w:p>
        </w:tc>
        <w:tc>
          <w:tcPr>
            <w:tcW w:w="0" w:type="auto"/>
            <w:shd w:val="clear" w:color="auto" w:fill="CCEEFF"/>
            <w:tcMar>
              <w:top w:w="30" w:type="dxa"/>
              <w:left w:w="0" w:type="dxa"/>
              <w:bottom w:w="30" w:type="dxa"/>
              <w:right w:w="20" w:type="dxa"/>
            </w:tcMar>
            <w:vAlign w:val="bottom"/>
            <w:hideMark/>
          </w:tcPr>
          <w:p w14:paraId="02D7FDE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56249"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0867A9"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77D8068" w14:textId="77777777" w:rsidR="00000000" w:rsidRDefault="00EE5306">
            <w:pPr>
              <w:spacing w:after="100"/>
              <w:jc w:val="right"/>
              <w:rPr>
                <w:rFonts w:eastAsia="Times New Roman"/>
              </w:rPr>
            </w:pPr>
            <w:r>
              <w:rPr>
                <w:rFonts w:eastAsia="Times New Roman"/>
                <w:color w:val="000000"/>
                <w:sz w:val="16"/>
                <w:szCs w:val="16"/>
              </w:rPr>
              <w:t>25.8 </w:t>
            </w:r>
          </w:p>
        </w:tc>
        <w:tc>
          <w:tcPr>
            <w:tcW w:w="0" w:type="auto"/>
            <w:shd w:val="clear" w:color="auto" w:fill="CCEEFF"/>
            <w:tcMar>
              <w:top w:w="30" w:type="dxa"/>
              <w:left w:w="0" w:type="dxa"/>
              <w:bottom w:w="30" w:type="dxa"/>
              <w:right w:w="20" w:type="dxa"/>
            </w:tcMar>
            <w:vAlign w:val="bottom"/>
            <w:hideMark/>
          </w:tcPr>
          <w:p w14:paraId="64B3F098" w14:textId="77777777" w:rsidR="00000000" w:rsidRDefault="00EE5306">
            <w:pPr>
              <w:spacing w:after="100"/>
              <w:jc w:val="right"/>
              <w:rPr>
                <w:rFonts w:eastAsia="Times New Roman"/>
              </w:rPr>
            </w:pPr>
          </w:p>
        </w:tc>
      </w:tr>
      <w:tr w:rsidR="00000000" w14:paraId="717E284A" w14:textId="77777777">
        <w:trPr>
          <w:divId w:val="877858552"/>
          <w:jc w:val="center"/>
        </w:trPr>
        <w:tc>
          <w:tcPr>
            <w:tcW w:w="0" w:type="auto"/>
            <w:gridSpan w:val="3"/>
            <w:shd w:val="clear" w:color="auto" w:fill="FFFFFF"/>
            <w:tcMar>
              <w:top w:w="30" w:type="dxa"/>
              <w:left w:w="20" w:type="dxa"/>
              <w:bottom w:w="30" w:type="dxa"/>
              <w:right w:w="20" w:type="dxa"/>
            </w:tcMar>
            <w:vAlign w:val="bottom"/>
            <w:hideMark/>
          </w:tcPr>
          <w:p w14:paraId="3B38744B" w14:textId="77777777" w:rsidR="00000000" w:rsidRDefault="00EE5306">
            <w:pPr>
              <w:spacing w:after="100"/>
              <w:ind w:hanging="270"/>
              <w:divId w:val="1881820869"/>
              <w:rPr>
                <w:rFonts w:eastAsia="Times New Roman"/>
              </w:rPr>
            </w:pPr>
            <w:r>
              <w:rPr>
                <w:rFonts w:eastAsia="Times New Roman"/>
                <w:color w:val="000000"/>
                <w:sz w:val="16"/>
                <w:szCs w:val="16"/>
              </w:rPr>
              <w:t>Operating lease right-of-use asset</w:t>
            </w:r>
            <w:r>
              <w:rPr>
                <w:rFonts w:eastAsia="Times New Roman"/>
                <w:color w:val="000000"/>
                <w:sz w:val="16"/>
                <w:szCs w:val="16"/>
              </w:rPr>
              <w:t>s</w:t>
            </w:r>
            <w:r>
              <w:rPr>
                <w:rFonts w:eastAsia="Times New Roman"/>
                <w:b/>
                <w:bCs/>
                <w:color w:val="000000"/>
                <w:sz w:val="10"/>
                <w:szCs w:val="10"/>
              </w:rPr>
              <w:t>(c</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7FD23457" w14:textId="77777777" w:rsidR="00000000" w:rsidRDefault="00EE5306">
            <w:pPr>
              <w:spacing w:after="100"/>
              <w:ind w:hanging="27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2ED84E" w14:textId="77777777" w:rsidR="00000000" w:rsidRDefault="00EE5306">
            <w:pPr>
              <w:spacing w:after="100"/>
              <w:jc w:val="right"/>
              <w:rPr>
                <w:rFonts w:eastAsia="Times New Roman"/>
              </w:rPr>
            </w:pPr>
            <w:r>
              <w:rPr>
                <w:rFonts w:eastAsia="Times New Roman"/>
                <w:color w:val="000000"/>
                <w:sz w:val="16"/>
                <w:szCs w:val="16"/>
              </w:rPr>
              <w:t>84.3 </w:t>
            </w:r>
          </w:p>
        </w:tc>
        <w:tc>
          <w:tcPr>
            <w:tcW w:w="0" w:type="auto"/>
            <w:shd w:val="clear" w:color="auto" w:fill="FFFFFF"/>
            <w:tcMar>
              <w:top w:w="30" w:type="dxa"/>
              <w:left w:w="0" w:type="dxa"/>
              <w:bottom w:w="30" w:type="dxa"/>
              <w:right w:w="20" w:type="dxa"/>
            </w:tcMar>
            <w:vAlign w:val="bottom"/>
            <w:hideMark/>
          </w:tcPr>
          <w:p w14:paraId="262CF4F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F60C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F0AE73" w14:textId="77777777" w:rsidR="00000000" w:rsidRDefault="00EE5306">
            <w:pPr>
              <w:spacing w:after="100"/>
              <w:jc w:val="right"/>
              <w:rPr>
                <w:rFonts w:eastAsia="Times New Roman"/>
              </w:rPr>
            </w:pPr>
            <w:r>
              <w:rPr>
                <w:rFonts w:eastAsia="Times New Roman"/>
                <w:color w:val="000000"/>
                <w:sz w:val="16"/>
                <w:szCs w:val="16"/>
              </w:rPr>
              <w:t>51.9 </w:t>
            </w:r>
          </w:p>
        </w:tc>
        <w:tc>
          <w:tcPr>
            <w:tcW w:w="0" w:type="auto"/>
            <w:shd w:val="clear" w:color="auto" w:fill="FFFFFF"/>
            <w:tcMar>
              <w:top w:w="30" w:type="dxa"/>
              <w:left w:w="0" w:type="dxa"/>
              <w:bottom w:w="30" w:type="dxa"/>
              <w:right w:w="20" w:type="dxa"/>
            </w:tcMar>
            <w:vAlign w:val="bottom"/>
            <w:hideMark/>
          </w:tcPr>
          <w:p w14:paraId="61614AC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7F1F7E"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E80521" w14:textId="77777777" w:rsidR="00000000" w:rsidRDefault="00EE5306">
            <w:pPr>
              <w:spacing w:after="100"/>
              <w:jc w:val="right"/>
              <w:rPr>
                <w:rFonts w:eastAsia="Times New Roman"/>
              </w:rPr>
            </w:pPr>
            <w:r>
              <w:rPr>
                <w:rFonts w:eastAsia="Times New Roman"/>
                <w:color w:val="000000"/>
                <w:sz w:val="16"/>
                <w:szCs w:val="16"/>
              </w:rPr>
              <w:t>120.8 </w:t>
            </w:r>
          </w:p>
        </w:tc>
        <w:tc>
          <w:tcPr>
            <w:tcW w:w="0" w:type="auto"/>
            <w:shd w:val="clear" w:color="auto" w:fill="FFFFFF"/>
            <w:tcMar>
              <w:top w:w="30" w:type="dxa"/>
              <w:left w:w="0" w:type="dxa"/>
              <w:bottom w:w="30" w:type="dxa"/>
              <w:right w:w="20" w:type="dxa"/>
            </w:tcMar>
            <w:vAlign w:val="bottom"/>
            <w:hideMark/>
          </w:tcPr>
          <w:p w14:paraId="5719B39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C1B6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82F217" w14:textId="77777777" w:rsidR="00000000" w:rsidRDefault="00EE5306">
            <w:pPr>
              <w:spacing w:after="100"/>
              <w:jc w:val="right"/>
              <w:rPr>
                <w:rFonts w:eastAsia="Times New Roman"/>
              </w:rPr>
            </w:pPr>
            <w:r>
              <w:rPr>
                <w:rFonts w:eastAsia="Times New Roman"/>
                <w:color w:val="000000"/>
                <w:sz w:val="16"/>
                <w:szCs w:val="16"/>
              </w:rPr>
              <w:t>239.9 </w:t>
            </w:r>
          </w:p>
        </w:tc>
        <w:tc>
          <w:tcPr>
            <w:tcW w:w="0" w:type="auto"/>
            <w:shd w:val="clear" w:color="auto" w:fill="FFFFFF"/>
            <w:tcMar>
              <w:top w:w="30" w:type="dxa"/>
              <w:left w:w="0" w:type="dxa"/>
              <w:bottom w:w="30" w:type="dxa"/>
              <w:right w:w="20" w:type="dxa"/>
            </w:tcMar>
            <w:vAlign w:val="bottom"/>
            <w:hideMark/>
          </w:tcPr>
          <w:p w14:paraId="298E296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663F3"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4C548D4" w14:textId="77777777" w:rsidR="00000000" w:rsidRDefault="00EE5306">
            <w:pPr>
              <w:spacing w:after="100"/>
              <w:jc w:val="right"/>
              <w:rPr>
                <w:rFonts w:eastAsia="Times New Roman"/>
              </w:rPr>
            </w:pPr>
            <w:r>
              <w:rPr>
                <w:rFonts w:eastAsia="Times New Roman"/>
                <w:color w:val="000000"/>
                <w:sz w:val="16"/>
                <w:szCs w:val="16"/>
              </w:rPr>
              <w:t>N/A</w:t>
            </w:r>
          </w:p>
        </w:tc>
        <w:tc>
          <w:tcPr>
            <w:tcW w:w="0" w:type="auto"/>
            <w:gridSpan w:val="3"/>
            <w:shd w:val="clear" w:color="auto" w:fill="FFFFFF"/>
            <w:tcMar>
              <w:top w:w="0" w:type="dxa"/>
              <w:left w:w="20" w:type="dxa"/>
              <w:bottom w:w="0" w:type="dxa"/>
              <w:right w:w="20" w:type="dxa"/>
            </w:tcMar>
            <w:vAlign w:val="center"/>
            <w:hideMark/>
          </w:tcPr>
          <w:p w14:paraId="0F87C7E8" w14:textId="77777777" w:rsidR="00000000" w:rsidRDefault="00EE530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0CCF6B" w14:textId="77777777" w:rsidR="00000000" w:rsidRDefault="00EE5306">
            <w:pPr>
              <w:spacing w:after="100"/>
              <w:jc w:val="right"/>
              <w:rPr>
                <w:rFonts w:eastAsia="Times New Roman"/>
              </w:rPr>
            </w:pPr>
            <w:r>
              <w:rPr>
                <w:rFonts w:eastAsia="Times New Roman"/>
                <w:color w:val="000000"/>
                <w:sz w:val="16"/>
                <w:szCs w:val="16"/>
              </w:rPr>
              <w:t>N/A</w:t>
            </w:r>
          </w:p>
        </w:tc>
      </w:tr>
      <w:tr w:rsidR="00000000" w14:paraId="526167EF" w14:textId="77777777">
        <w:trPr>
          <w:divId w:val="877858552"/>
          <w:jc w:val="center"/>
        </w:trPr>
        <w:tc>
          <w:tcPr>
            <w:tcW w:w="0" w:type="auto"/>
            <w:gridSpan w:val="3"/>
            <w:shd w:val="clear" w:color="auto" w:fill="CCEEFF"/>
            <w:tcMar>
              <w:top w:w="30" w:type="dxa"/>
              <w:left w:w="20" w:type="dxa"/>
              <w:bottom w:w="30" w:type="dxa"/>
              <w:right w:w="20" w:type="dxa"/>
            </w:tcMar>
            <w:vAlign w:val="bottom"/>
            <w:hideMark/>
          </w:tcPr>
          <w:p w14:paraId="0FDC98B8" w14:textId="77777777" w:rsidR="00000000" w:rsidRDefault="00EE5306">
            <w:pPr>
              <w:spacing w:after="100"/>
              <w:ind w:hanging="270"/>
              <w:divId w:val="1844205688"/>
              <w:rPr>
                <w:rFonts w:eastAsia="Times New Roman"/>
              </w:rPr>
            </w:pPr>
            <w:r>
              <w:rPr>
                <w:rFonts w:eastAsia="Times New Roman"/>
                <w:color w:val="000000"/>
                <w:sz w:val="16"/>
                <w:szCs w:val="16"/>
              </w:rPr>
              <w:t>Equity method investment</w:t>
            </w:r>
          </w:p>
        </w:tc>
        <w:tc>
          <w:tcPr>
            <w:tcW w:w="0" w:type="auto"/>
            <w:gridSpan w:val="3"/>
            <w:shd w:val="clear" w:color="auto" w:fill="CCEEFF"/>
            <w:tcMar>
              <w:top w:w="0" w:type="dxa"/>
              <w:left w:w="20" w:type="dxa"/>
              <w:bottom w:w="0" w:type="dxa"/>
              <w:right w:w="20" w:type="dxa"/>
            </w:tcMar>
            <w:vAlign w:val="center"/>
            <w:hideMark/>
          </w:tcPr>
          <w:p w14:paraId="1CDB8BCF" w14:textId="77777777" w:rsidR="00000000" w:rsidRDefault="00EE5306">
            <w:pPr>
              <w:spacing w:after="100"/>
              <w:ind w:hanging="27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D8F4A2F" w14:textId="77777777" w:rsidR="00000000" w:rsidRDefault="00EE5306">
            <w:pPr>
              <w:spacing w:after="100"/>
              <w:jc w:val="right"/>
              <w:rPr>
                <w:rFonts w:eastAsia="Times New Roman"/>
              </w:rPr>
            </w:pPr>
            <w:r>
              <w:rPr>
                <w:rFonts w:eastAsia="Times New Roman"/>
                <w:color w:val="000000"/>
                <w:sz w:val="16"/>
                <w:szCs w:val="16"/>
              </w:rPr>
              <w:t>N/A</w:t>
            </w:r>
          </w:p>
        </w:tc>
        <w:tc>
          <w:tcPr>
            <w:tcW w:w="0" w:type="auto"/>
            <w:gridSpan w:val="3"/>
            <w:shd w:val="clear" w:color="auto" w:fill="CCEEFF"/>
            <w:tcMar>
              <w:top w:w="0" w:type="dxa"/>
              <w:left w:w="20" w:type="dxa"/>
              <w:bottom w:w="0" w:type="dxa"/>
              <w:right w:w="20" w:type="dxa"/>
            </w:tcMar>
            <w:vAlign w:val="center"/>
            <w:hideMark/>
          </w:tcPr>
          <w:p w14:paraId="6D1DB993" w14:textId="77777777" w:rsidR="00000000" w:rsidRDefault="00EE530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6527B4"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BB0DC1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72A1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161A0E" w14:textId="77777777" w:rsidR="00000000" w:rsidRDefault="00EE5306">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14:paraId="05F26E4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DF99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DD784A" w14:textId="77777777" w:rsidR="00000000" w:rsidRDefault="00EE5306">
            <w:pPr>
              <w:spacing w:after="100"/>
              <w:jc w:val="right"/>
              <w:rPr>
                <w:rFonts w:eastAsia="Times New Roman"/>
              </w:rPr>
            </w:pPr>
            <w:r>
              <w:rPr>
                <w:rFonts w:eastAsia="Times New Roman"/>
                <w:color w:val="000000"/>
                <w:sz w:val="16"/>
                <w:szCs w:val="16"/>
              </w:rPr>
              <w:t>7.1 </w:t>
            </w:r>
          </w:p>
        </w:tc>
        <w:tc>
          <w:tcPr>
            <w:tcW w:w="0" w:type="auto"/>
            <w:shd w:val="clear" w:color="auto" w:fill="CCEEFF"/>
            <w:tcMar>
              <w:top w:w="30" w:type="dxa"/>
              <w:left w:w="0" w:type="dxa"/>
              <w:bottom w:w="30" w:type="dxa"/>
              <w:right w:w="20" w:type="dxa"/>
            </w:tcMar>
            <w:vAlign w:val="bottom"/>
            <w:hideMark/>
          </w:tcPr>
          <w:p w14:paraId="3A5C859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7D3850"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0E61BB9" w14:textId="77777777" w:rsidR="00000000" w:rsidRDefault="00EE5306">
            <w:pPr>
              <w:spacing w:after="100"/>
              <w:jc w:val="right"/>
              <w:rPr>
                <w:rFonts w:eastAsia="Times New Roman"/>
              </w:rPr>
            </w:pPr>
            <w:r>
              <w:rPr>
                <w:rFonts w:eastAsia="Times New Roman"/>
                <w:color w:val="000000"/>
                <w:sz w:val="16"/>
                <w:szCs w:val="16"/>
              </w:rPr>
              <w:t>N/A</w:t>
            </w:r>
          </w:p>
        </w:tc>
        <w:tc>
          <w:tcPr>
            <w:tcW w:w="0" w:type="auto"/>
            <w:gridSpan w:val="3"/>
            <w:shd w:val="clear" w:color="auto" w:fill="CCEEFF"/>
            <w:tcMar>
              <w:top w:w="0" w:type="dxa"/>
              <w:left w:w="20" w:type="dxa"/>
              <w:bottom w:w="0" w:type="dxa"/>
              <w:right w:w="20" w:type="dxa"/>
            </w:tcMar>
            <w:vAlign w:val="center"/>
            <w:hideMark/>
          </w:tcPr>
          <w:p w14:paraId="16C246B3" w14:textId="77777777" w:rsidR="00000000" w:rsidRDefault="00EE530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1F073D"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F6575B4" w14:textId="77777777" w:rsidR="00000000" w:rsidRDefault="00EE5306">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7F4B48A6" w14:textId="77777777">
        <w:trPr>
          <w:jc w:val="center"/>
        </w:trPr>
        <w:tc>
          <w:tcPr>
            <w:tcW w:w="50" w:type="pct"/>
            <w:vAlign w:val="center"/>
            <w:hideMark/>
          </w:tcPr>
          <w:p w14:paraId="7DDD2B17" w14:textId="77777777" w:rsidR="00000000" w:rsidRDefault="00EE5306">
            <w:pPr>
              <w:ind w:firstLine="540"/>
              <w:jc w:val="center"/>
              <w:rPr>
                <w:rFonts w:eastAsia="Times New Roman"/>
              </w:rPr>
            </w:pPr>
          </w:p>
        </w:tc>
        <w:tc>
          <w:tcPr>
            <w:tcW w:w="1699" w:type="pct"/>
            <w:vAlign w:val="center"/>
            <w:hideMark/>
          </w:tcPr>
          <w:p w14:paraId="28CB0772" w14:textId="77777777" w:rsidR="00000000" w:rsidRDefault="00EE5306">
            <w:pPr>
              <w:spacing w:after="100"/>
              <w:rPr>
                <w:rFonts w:eastAsia="Times New Roman"/>
                <w:sz w:val="20"/>
                <w:szCs w:val="20"/>
              </w:rPr>
            </w:pPr>
          </w:p>
        </w:tc>
        <w:tc>
          <w:tcPr>
            <w:tcW w:w="5" w:type="pct"/>
            <w:vAlign w:val="center"/>
            <w:hideMark/>
          </w:tcPr>
          <w:p w14:paraId="0FE95E15" w14:textId="77777777" w:rsidR="00000000" w:rsidRDefault="00EE5306">
            <w:pPr>
              <w:spacing w:after="100"/>
              <w:rPr>
                <w:rFonts w:eastAsia="Times New Roman"/>
                <w:sz w:val="20"/>
                <w:szCs w:val="20"/>
              </w:rPr>
            </w:pPr>
          </w:p>
        </w:tc>
        <w:tc>
          <w:tcPr>
            <w:tcW w:w="50" w:type="pct"/>
            <w:vAlign w:val="center"/>
            <w:hideMark/>
          </w:tcPr>
          <w:p w14:paraId="06CB11EA" w14:textId="77777777" w:rsidR="00000000" w:rsidRDefault="00EE5306">
            <w:pPr>
              <w:spacing w:after="100"/>
              <w:rPr>
                <w:rFonts w:eastAsia="Times New Roman"/>
                <w:sz w:val="20"/>
                <w:szCs w:val="20"/>
              </w:rPr>
            </w:pPr>
          </w:p>
        </w:tc>
        <w:tc>
          <w:tcPr>
            <w:tcW w:w="1436" w:type="pct"/>
            <w:vAlign w:val="center"/>
            <w:hideMark/>
          </w:tcPr>
          <w:p w14:paraId="377B0005" w14:textId="77777777" w:rsidR="00000000" w:rsidRDefault="00EE5306">
            <w:pPr>
              <w:spacing w:after="100"/>
              <w:rPr>
                <w:rFonts w:eastAsia="Times New Roman"/>
                <w:sz w:val="20"/>
                <w:szCs w:val="20"/>
              </w:rPr>
            </w:pPr>
          </w:p>
        </w:tc>
        <w:tc>
          <w:tcPr>
            <w:tcW w:w="5" w:type="pct"/>
            <w:vAlign w:val="center"/>
            <w:hideMark/>
          </w:tcPr>
          <w:p w14:paraId="04BC9AA2" w14:textId="77777777" w:rsidR="00000000" w:rsidRDefault="00EE5306">
            <w:pPr>
              <w:spacing w:after="100"/>
              <w:rPr>
                <w:rFonts w:eastAsia="Times New Roman"/>
                <w:sz w:val="20"/>
                <w:szCs w:val="20"/>
              </w:rPr>
            </w:pPr>
          </w:p>
        </w:tc>
        <w:tc>
          <w:tcPr>
            <w:tcW w:w="50" w:type="pct"/>
            <w:vAlign w:val="center"/>
            <w:hideMark/>
          </w:tcPr>
          <w:p w14:paraId="5284F205" w14:textId="77777777" w:rsidR="00000000" w:rsidRDefault="00EE5306">
            <w:pPr>
              <w:spacing w:after="100"/>
              <w:rPr>
                <w:rFonts w:eastAsia="Times New Roman"/>
                <w:sz w:val="20"/>
                <w:szCs w:val="20"/>
              </w:rPr>
            </w:pPr>
          </w:p>
        </w:tc>
        <w:tc>
          <w:tcPr>
            <w:tcW w:w="1699" w:type="pct"/>
            <w:vAlign w:val="center"/>
            <w:hideMark/>
          </w:tcPr>
          <w:p w14:paraId="51459A5C" w14:textId="77777777" w:rsidR="00000000" w:rsidRDefault="00EE5306">
            <w:pPr>
              <w:spacing w:after="100"/>
              <w:rPr>
                <w:rFonts w:eastAsia="Times New Roman"/>
                <w:sz w:val="20"/>
                <w:szCs w:val="20"/>
              </w:rPr>
            </w:pPr>
          </w:p>
        </w:tc>
        <w:tc>
          <w:tcPr>
            <w:tcW w:w="5" w:type="pct"/>
            <w:vAlign w:val="center"/>
            <w:hideMark/>
          </w:tcPr>
          <w:p w14:paraId="763F8E84" w14:textId="77777777" w:rsidR="00000000" w:rsidRDefault="00EE5306">
            <w:pPr>
              <w:spacing w:after="100"/>
              <w:rPr>
                <w:rFonts w:eastAsia="Times New Roman"/>
                <w:sz w:val="20"/>
                <w:szCs w:val="20"/>
              </w:rPr>
            </w:pPr>
          </w:p>
        </w:tc>
      </w:tr>
      <w:tr w:rsidR="00000000" w14:paraId="78B33C57" w14:textId="77777777">
        <w:trPr>
          <w:jc w:val="center"/>
        </w:trPr>
        <w:tc>
          <w:tcPr>
            <w:tcW w:w="0" w:type="auto"/>
            <w:gridSpan w:val="3"/>
            <w:tcMar>
              <w:top w:w="0" w:type="dxa"/>
              <w:left w:w="20" w:type="dxa"/>
              <w:bottom w:w="0" w:type="dxa"/>
              <w:right w:w="20" w:type="dxa"/>
            </w:tcMar>
            <w:vAlign w:val="center"/>
            <w:hideMark/>
          </w:tcPr>
          <w:p w14:paraId="062EFB5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36C4BBC" w14:textId="77777777" w:rsidR="00000000" w:rsidRDefault="00EE5306">
            <w:pPr>
              <w:spacing w:after="100"/>
              <w:jc w:val="center"/>
              <w:rPr>
                <w:rFonts w:eastAsia="Times New Roman"/>
              </w:rPr>
            </w:pPr>
            <w:r>
              <w:rPr>
                <w:rFonts w:eastAsia="Times New Roman"/>
                <w:color w:val="000000"/>
                <w:sz w:val="20"/>
                <w:szCs w:val="20"/>
              </w:rPr>
              <w:t>F-37</w:t>
            </w:r>
          </w:p>
        </w:tc>
        <w:tc>
          <w:tcPr>
            <w:tcW w:w="0" w:type="auto"/>
            <w:gridSpan w:val="3"/>
            <w:tcMar>
              <w:top w:w="0" w:type="dxa"/>
              <w:left w:w="20" w:type="dxa"/>
              <w:bottom w:w="0" w:type="dxa"/>
              <w:right w:w="20" w:type="dxa"/>
            </w:tcMar>
            <w:vAlign w:val="center"/>
            <w:hideMark/>
          </w:tcPr>
          <w:p w14:paraId="7CA2480E" w14:textId="77777777" w:rsidR="00000000" w:rsidRDefault="00EE5306">
            <w:pPr>
              <w:spacing w:after="100"/>
              <w:jc w:val="center"/>
              <w:rPr>
                <w:rFonts w:eastAsia="Times New Roman"/>
              </w:rPr>
            </w:pPr>
          </w:p>
        </w:tc>
      </w:tr>
    </w:tbl>
    <w:p w14:paraId="0F1ECE2B" w14:textId="77777777" w:rsidR="00000000" w:rsidRDefault="00EE5306">
      <w:pPr>
        <w:rPr>
          <w:rFonts w:eastAsia="Times New Roman"/>
        </w:rPr>
      </w:pPr>
      <w:r>
        <w:rPr>
          <w:rFonts w:eastAsia="Times New Roman"/>
        </w:rPr>
        <w:pict w14:anchorId="0968FC5D">
          <v:rect id="_x0000_i1147" style="width:0;height:1.5pt" o:hralign="center" o:hrstd="t" o:hr="t" fillcolor="#a0a0a0" stroked="f"/>
        </w:pict>
      </w:r>
    </w:p>
    <w:p w14:paraId="2BD80524" w14:textId="77777777" w:rsidR="00000000" w:rsidRDefault="00EE5306">
      <w:pPr>
        <w:jc w:val="center"/>
        <w:divId w:val="1538352363"/>
        <w:rPr>
          <w:rFonts w:eastAsia="Times New Roman"/>
        </w:rPr>
      </w:pPr>
    </w:p>
    <w:p w14:paraId="1949EE6D" w14:textId="77777777" w:rsidR="00000000" w:rsidRDefault="00EE5306">
      <w:pPr>
        <w:jc w:val="center"/>
        <w:divId w:val="1538352363"/>
        <w:rPr>
          <w:rFonts w:eastAsia="Times New Roman"/>
        </w:rPr>
      </w:pPr>
      <w:r>
        <w:rPr>
          <w:rFonts w:eastAsia="Times New Roman"/>
          <w:b/>
          <w:bCs/>
          <w:color w:val="000000"/>
          <w:sz w:val="20"/>
          <w:szCs w:val="20"/>
        </w:rPr>
        <w:t>RALPH LAUREN CORPORATION</w:t>
      </w:r>
    </w:p>
    <w:p w14:paraId="444C95DA" w14:textId="77777777" w:rsidR="00000000" w:rsidRDefault="00EE5306">
      <w:pPr>
        <w:jc w:val="center"/>
        <w:divId w:val="382103262"/>
        <w:rPr>
          <w:rFonts w:eastAsia="Times New Roman"/>
        </w:rPr>
      </w:pPr>
      <w:r>
        <w:rPr>
          <w:rFonts w:eastAsia="Times New Roman"/>
          <w:b/>
          <w:bCs/>
          <w:color w:val="000000"/>
          <w:sz w:val="20"/>
          <w:szCs w:val="20"/>
        </w:rPr>
        <w:t>NOTES TO CONSOLIDATED FINANCIAL STATEMENTS (Continued)</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14:paraId="3CC87262" w14:textId="77777777">
        <w:trPr>
          <w:divId w:val="1723945571"/>
        </w:trPr>
        <w:tc>
          <w:tcPr>
            <w:tcW w:w="50" w:type="pct"/>
            <w:vAlign w:val="center"/>
            <w:hideMark/>
          </w:tcPr>
          <w:p w14:paraId="491DA642" w14:textId="77777777" w:rsidR="00000000" w:rsidRDefault="00EE5306">
            <w:pPr>
              <w:jc w:val="center"/>
              <w:rPr>
                <w:rFonts w:eastAsia="Times New Roman"/>
              </w:rPr>
            </w:pPr>
          </w:p>
        </w:tc>
        <w:tc>
          <w:tcPr>
            <w:tcW w:w="4945" w:type="pct"/>
            <w:vAlign w:val="center"/>
            <w:hideMark/>
          </w:tcPr>
          <w:p w14:paraId="1180188E" w14:textId="77777777" w:rsidR="00000000" w:rsidRDefault="00EE5306">
            <w:pPr>
              <w:spacing w:after="100"/>
              <w:rPr>
                <w:rFonts w:eastAsia="Times New Roman"/>
                <w:sz w:val="20"/>
                <w:szCs w:val="20"/>
              </w:rPr>
            </w:pPr>
          </w:p>
        </w:tc>
        <w:tc>
          <w:tcPr>
            <w:tcW w:w="5" w:type="pct"/>
            <w:vAlign w:val="center"/>
            <w:hideMark/>
          </w:tcPr>
          <w:p w14:paraId="7A3ACC9C" w14:textId="77777777" w:rsidR="00000000" w:rsidRDefault="00EE5306">
            <w:pPr>
              <w:spacing w:after="100"/>
              <w:rPr>
                <w:rFonts w:eastAsia="Times New Roman"/>
                <w:sz w:val="20"/>
                <w:szCs w:val="20"/>
              </w:rPr>
            </w:pPr>
          </w:p>
        </w:tc>
      </w:tr>
      <w:tr w:rsidR="00000000" w14:paraId="5010EFED" w14:textId="77777777">
        <w:trPr>
          <w:divId w:val="1723945571"/>
          <w:trHeight w:val="60"/>
        </w:trPr>
        <w:tc>
          <w:tcPr>
            <w:tcW w:w="0" w:type="auto"/>
            <w:gridSpan w:val="3"/>
            <w:tcBorders>
              <w:bottom w:val="single" w:sz="8" w:space="0" w:color="000000"/>
            </w:tcBorders>
            <w:tcMar>
              <w:top w:w="0" w:type="dxa"/>
              <w:left w:w="20" w:type="dxa"/>
              <w:bottom w:w="0" w:type="dxa"/>
              <w:right w:w="20" w:type="dxa"/>
            </w:tcMar>
            <w:vAlign w:val="center"/>
            <w:hideMark/>
          </w:tcPr>
          <w:p w14:paraId="70D9013A" w14:textId="77777777" w:rsidR="00000000" w:rsidRDefault="00EE5306">
            <w:pPr>
              <w:spacing w:after="100"/>
              <w:rPr>
                <w:rFonts w:eastAsia="Times New Roman"/>
                <w:sz w:val="20"/>
                <w:szCs w:val="20"/>
              </w:rPr>
            </w:pPr>
          </w:p>
        </w:tc>
      </w:tr>
    </w:tbl>
    <w:p w14:paraId="34D139A1" w14:textId="77777777" w:rsidR="00000000" w:rsidRDefault="00EE5306">
      <w:pPr>
        <w:divId w:val="1723945571"/>
        <w:rPr>
          <w:rFonts w:eastAsia="Times New Roman"/>
        </w:rPr>
      </w:pPr>
      <w:r>
        <w:rPr>
          <w:rFonts w:eastAsia="Times New Roman"/>
          <w:color w:val="000000"/>
          <w:sz w:val="20"/>
          <w:szCs w:val="20"/>
        </w:rPr>
        <w:t> </w:t>
      </w:r>
    </w:p>
    <w:p w14:paraId="599CA9DB" w14:textId="77777777" w:rsidR="00000000" w:rsidRDefault="00EE5306">
      <w:pPr>
        <w:ind w:hanging="360"/>
        <w:jc w:val="both"/>
        <w:divId w:val="1358652428"/>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Impairment of equity method investment is recorded within other income (expense), net in the consolidated statements of operations. All other impairment charges are recorded within impairments of assets in the consolidated statements of operations, unless </w:t>
      </w:r>
      <w:r>
        <w:rPr>
          <w:rFonts w:eastAsia="Times New Roman"/>
          <w:color w:val="000000"/>
          <w:sz w:val="20"/>
          <w:szCs w:val="20"/>
        </w:rPr>
        <w:t>otherwise noted.</w:t>
      </w:r>
    </w:p>
    <w:p w14:paraId="6A2D24A0" w14:textId="77777777" w:rsidR="00000000" w:rsidRDefault="00EE5306">
      <w:pPr>
        <w:ind w:hanging="360"/>
        <w:jc w:val="both"/>
        <w:divId w:val="893663725"/>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Total impairment charges for Fiscal 2019 includes $4.6 million recorded to reduce the carrying value of the Company's corporate jet being held-for-sale to its estimated fair value, less costs to sell of $20.8 million as of March 30, 201</w:t>
      </w:r>
      <w:r>
        <w:rPr>
          <w:rFonts w:eastAsia="Times New Roman"/>
          <w:color w:val="000000"/>
          <w:sz w:val="20"/>
          <w:szCs w:val="20"/>
        </w:rPr>
        <w:t>9. This balance was reclassified from property and equipment, net to prepaid expenses and other current assets in the consolidated balance sheet upon being classified as an asset held-for-sale. The asset was subsequently sold during Fiscal 2020.</w:t>
      </w:r>
    </w:p>
    <w:p w14:paraId="60E307CF" w14:textId="77777777" w:rsidR="00000000" w:rsidRDefault="00EE5306">
      <w:pPr>
        <w:ind w:hanging="360"/>
        <w:jc w:val="both"/>
        <w:divId w:val="1457526953"/>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Total i</w:t>
      </w:r>
      <w:r>
        <w:rPr>
          <w:rFonts w:eastAsia="Times New Roman"/>
          <w:color w:val="000000"/>
          <w:sz w:val="20"/>
          <w:szCs w:val="20"/>
        </w:rPr>
        <w:t>mpairment charges for Fiscal 2020 includes $225.1 million recorded in connection with the Company's adoption of ASU 2016-02 as of the beginning of Fiscal 2020 which, net of related income tax benefits, reduced its opening retained earnings balance by $169.</w:t>
      </w:r>
      <w:r>
        <w:rPr>
          <w:rFonts w:eastAsia="Times New Roman"/>
          <w:color w:val="000000"/>
          <w:sz w:val="20"/>
          <w:szCs w:val="20"/>
        </w:rPr>
        <w:t>4 million.</w:t>
      </w:r>
    </w:p>
    <w:p w14:paraId="00AF6971" w14:textId="77777777" w:rsidR="00000000" w:rsidRDefault="00EE5306">
      <w:pPr>
        <w:ind w:firstLine="540"/>
        <w:jc w:val="both"/>
        <w:divId w:val="669481151"/>
        <w:rPr>
          <w:rFonts w:eastAsia="Times New Roman"/>
        </w:rPr>
      </w:pPr>
      <w:r>
        <w:rPr>
          <w:rFonts w:eastAsia="Times New Roman"/>
          <w:color w:val="000000"/>
          <w:sz w:val="20"/>
          <w:szCs w:val="20"/>
        </w:rPr>
        <w:t>See Note 8 for additional discussion regarding non-cash impairment charges recorded by the Company within the consolidated statements of operations during the fiscal years presented.</w:t>
      </w:r>
    </w:p>
    <w:p w14:paraId="646CD456" w14:textId="77777777" w:rsidR="00000000" w:rsidRDefault="00EE5306">
      <w:pPr>
        <w:ind w:firstLine="540"/>
        <w:jc w:val="both"/>
        <w:divId w:val="1950502664"/>
        <w:rPr>
          <w:rFonts w:eastAsia="Times New Roman"/>
        </w:rPr>
      </w:pPr>
      <w:r>
        <w:rPr>
          <w:rFonts w:eastAsia="Times New Roman"/>
          <w:color w:val="000000"/>
          <w:sz w:val="20"/>
          <w:szCs w:val="20"/>
        </w:rPr>
        <w:t>No impairment charges associated with goodwill or other intang</w:t>
      </w:r>
      <w:r>
        <w:rPr>
          <w:rFonts w:eastAsia="Times New Roman"/>
          <w:color w:val="000000"/>
          <w:sz w:val="20"/>
          <w:szCs w:val="20"/>
        </w:rPr>
        <w:t>ible assets were recorded during any of the fiscal years presented. In Fiscal 2021, the Company performed its annual goodwill impairment assessment using a qualitative approach as of the beginning of the second quarter of the fiscal year. In performing the</w:t>
      </w:r>
      <w:r>
        <w:rPr>
          <w:rFonts w:eastAsia="Times New Roman"/>
          <w:color w:val="000000"/>
          <w:sz w:val="20"/>
          <w:szCs w:val="20"/>
        </w:rPr>
        <w:t xml:space="preserve"> assessment, the Company identified and considered the significance of relevant key factors, events, and circumstances that affected the fair values and/or carrying amounts of its reporting units with allocated goodwill. These factors included external fac</w:t>
      </w:r>
      <w:r>
        <w:rPr>
          <w:rFonts w:eastAsia="Times New Roman"/>
          <w:color w:val="000000"/>
          <w:sz w:val="20"/>
          <w:szCs w:val="20"/>
        </w:rPr>
        <w:t>tors such as macroeconomic, industry, and market conditions, as well as entity-specific factors, such as the Company's actual and expected financial performance. Additionally, the Company also considered the results of its most recent quantitative goodwill</w:t>
      </w:r>
      <w:r>
        <w:rPr>
          <w:rFonts w:eastAsia="Times New Roman"/>
          <w:color w:val="000000"/>
          <w:sz w:val="20"/>
          <w:szCs w:val="20"/>
        </w:rPr>
        <w:t xml:space="preserve"> impairment test, which was performed as of the end of Fiscal 2020 and incorporated assumptions related to COVID-19 business disruptions, the results of which indicated that the fair values of these reporting units significantly exceeded their respective c</w:t>
      </w:r>
      <w:r>
        <w:rPr>
          <w:rFonts w:eastAsia="Times New Roman"/>
          <w:color w:val="000000"/>
          <w:sz w:val="20"/>
          <w:szCs w:val="20"/>
        </w:rPr>
        <w:t xml:space="preserve">arrying values. Based on the results of its qualitative goodwill impairment assessment, the Company concluded that it is not more likely than not that the fair values of its reporting units are less than their respective carrying values, and there were no </w:t>
      </w:r>
      <w:r>
        <w:rPr>
          <w:rFonts w:eastAsia="Times New Roman"/>
          <w:color w:val="000000"/>
          <w:sz w:val="20"/>
          <w:szCs w:val="20"/>
        </w:rPr>
        <w:t xml:space="preserve">reporting units at risk of impairment. </w:t>
      </w:r>
    </w:p>
    <w:p w14:paraId="3E1AE19A" w14:textId="77777777" w:rsidR="00000000" w:rsidRDefault="00EE5306">
      <w:pPr>
        <w:ind w:hanging="540"/>
        <w:divId w:val="1980718971"/>
        <w:rPr>
          <w:rFonts w:eastAsia="Times New Roman"/>
        </w:rPr>
      </w:pPr>
      <w:r>
        <w:rPr>
          <w:rFonts w:eastAsia="Times New Roman"/>
          <w:b/>
          <w:bCs/>
          <w:color w:val="000000"/>
          <w:sz w:val="20"/>
          <w:szCs w:val="20"/>
        </w:rPr>
        <w:t xml:space="preserve">13.    Financial Instruments </w:t>
      </w:r>
    </w:p>
    <w:p w14:paraId="284DA7A4" w14:textId="77777777" w:rsidR="00000000" w:rsidRDefault="00EE5306">
      <w:pPr>
        <w:ind w:firstLine="360"/>
        <w:jc w:val="both"/>
        <w:divId w:val="301161075"/>
        <w:rPr>
          <w:rFonts w:eastAsia="Times New Roman"/>
        </w:rPr>
      </w:pPr>
      <w:r>
        <w:rPr>
          <w:rFonts w:eastAsia="Times New Roman"/>
          <w:b/>
          <w:bCs/>
          <w:i/>
          <w:iCs/>
          <w:color w:val="000000"/>
          <w:sz w:val="20"/>
          <w:szCs w:val="20"/>
        </w:rPr>
        <w:t>Derivative Financial Instruments</w:t>
      </w:r>
    </w:p>
    <w:p w14:paraId="4624F81F" w14:textId="77777777" w:rsidR="00000000" w:rsidRDefault="00EE5306">
      <w:pPr>
        <w:ind w:firstLine="540"/>
        <w:jc w:val="both"/>
        <w:divId w:val="215050748"/>
        <w:rPr>
          <w:rFonts w:eastAsia="Times New Roman"/>
        </w:rPr>
      </w:pPr>
      <w:r>
        <w:rPr>
          <w:rFonts w:eastAsia="Times New Roman"/>
          <w:color w:val="000000"/>
          <w:sz w:val="20"/>
          <w:szCs w:val="20"/>
        </w:rPr>
        <w:t xml:space="preserve">The Company is exposed to changes in foreign currency exchange rates, primarily relating to certain anticipated cash flows and the value of the reported </w:t>
      </w:r>
      <w:r>
        <w:rPr>
          <w:rFonts w:eastAsia="Times New Roman"/>
          <w:color w:val="000000"/>
          <w:sz w:val="20"/>
          <w:szCs w:val="20"/>
        </w:rPr>
        <w:t>net assets of its international operations, as well as changes in the fair value of its fixed-rate debt obligations attributed to changes in benchmark interest rates. Accordingly, the Company uses derivative financial instruments to manage and mitigate suc</w:t>
      </w:r>
      <w:r>
        <w:rPr>
          <w:rFonts w:eastAsia="Times New Roman"/>
          <w:color w:val="000000"/>
          <w:sz w:val="20"/>
          <w:szCs w:val="20"/>
        </w:rPr>
        <w:t>h risks. The Company does not use derivatives for speculative or trading purposes.</w:t>
      </w:r>
    </w:p>
    <w:p w14:paraId="134FAA49" w14:textId="77777777" w:rsidR="00000000" w:rsidRDefault="00EE5306">
      <w:pPr>
        <w:ind w:firstLine="540"/>
        <w:jc w:val="both"/>
        <w:divId w:val="148253566"/>
        <w:rPr>
          <w:rFonts w:eastAsia="Times New Roman"/>
        </w:rPr>
      </w:pPr>
      <w:r>
        <w:rPr>
          <w:rFonts w:eastAsia="Times New Roman"/>
          <w:color w:val="000000"/>
          <w:sz w:val="20"/>
          <w:szCs w:val="20"/>
        </w:rPr>
        <w:t>The following table summarizes the Company's outstanding derivative instruments recorded on its consolidated balance sheets as of March 27, 2021 and March 28, 2020:</w:t>
      </w:r>
    </w:p>
    <w:tbl>
      <w:tblPr>
        <w:tblW w:w="4963" w:type="pct"/>
        <w:tblCellMar>
          <w:top w:w="15" w:type="dxa"/>
          <w:left w:w="15" w:type="dxa"/>
          <w:bottom w:w="15" w:type="dxa"/>
          <w:right w:w="15" w:type="dxa"/>
        </w:tblCellMar>
        <w:tblLook w:val="04A0" w:firstRow="1" w:lastRow="0" w:firstColumn="1" w:lastColumn="0" w:noHBand="0" w:noVBand="1"/>
      </w:tblPr>
      <w:tblGrid>
        <w:gridCol w:w="48"/>
        <w:gridCol w:w="96"/>
        <w:gridCol w:w="1508"/>
        <w:gridCol w:w="37"/>
        <w:gridCol w:w="36"/>
        <w:gridCol w:w="36"/>
        <w:gridCol w:w="36"/>
        <w:gridCol w:w="100"/>
        <w:gridCol w:w="520"/>
        <w:gridCol w:w="36"/>
        <w:gridCol w:w="36"/>
        <w:gridCol w:w="36"/>
        <w:gridCol w:w="36"/>
        <w:gridCol w:w="100"/>
        <w:gridCol w:w="305"/>
        <w:gridCol w:w="144"/>
        <w:gridCol w:w="71"/>
        <w:gridCol w:w="36"/>
        <w:gridCol w:w="36"/>
        <w:gridCol w:w="1"/>
        <w:gridCol w:w="35"/>
        <w:gridCol w:w="36"/>
        <w:gridCol w:w="83"/>
        <w:gridCol w:w="458"/>
        <w:gridCol w:w="36"/>
        <w:gridCol w:w="36"/>
        <w:gridCol w:w="36"/>
        <w:gridCol w:w="36"/>
        <w:gridCol w:w="100"/>
        <w:gridCol w:w="320"/>
        <w:gridCol w:w="36"/>
        <w:gridCol w:w="36"/>
        <w:gridCol w:w="36"/>
        <w:gridCol w:w="36"/>
        <w:gridCol w:w="83"/>
        <w:gridCol w:w="458"/>
        <w:gridCol w:w="36"/>
        <w:gridCol w:w="36"/>
        <w:gridCol w:w="36"/>
        <w:gridCol w:w="36"/>
        <w:gridCol w:w="100"/>
        <w:gridCol w:w="280"/>
        <w:gridCol w:w="40"/>
        <w:gridCol w:w="36"/>
        <w:gridCol w:w="36"/>
        <w:gridCol w:w="32"/>
        <w:gridCol w:w="4"/>
        <w:gridCol w:w="36"/>
        <w:gridCol w:w="83"/>
        <w:gridCol w:w="21"/>
        <w:gridCol w:w="437"/>
        <w:gridCol w:w="36"/>
        <w:gridCol w:w="36"/>
        <w:gridCol w:w="36"/>
        <w:gridCol w:w="36"/>
        <w:gridCol w:w="100"/>
        <w:gridCol w:w="320"/>
        <w:gridCol w:w="36"/>
        <w:gridCol w:w="36"/>
        <w:gridCol w:w="36"/>
        <w:gridCol w:w="36"/>
        <w:gridCol w:w="83"/>
        <w:gridCol w:w="458"/>
        <w:gridCol w:w="36"/>
        <w:gridCol w:w="36"/>
        <w:gridCol w:w="36"/>
        <w:gridCol w:w="36"/>
        <w:gridCol w:w="101"/>
        <w:gridCol w:w="351"/>
        <w:gridCol w:w="36"/>
        <w:gridCol w:w="504"/>
        <w:gridCol w:w="144"/>
      </w:tblGrid>
      <w:tr w:rsidR="00000000" w14:paraId="363E1AE3" w14:textId="77777777">
        <w:trPr>
          <w:gridAfter w:val="2"/>
          <w:divId w:val="272446297"/>
        </w:trPr>
        <w:tc>
          <w:tcPr>
            <w:tcW w:w="50" w:type="pct"/>
            <w:vAlign w:val="center"/>
            <w:hideMark/>
          </w:tcPr>
          <w:p w14:paraId="72447102" w14:textId="77777777" w:rsidR="00000000" w:rsidRDefault="00EE5306">
            <w:pPr>
              <w:ind w:firstLine="540"/>
              <w:jc w:val="both"/>
              <w:rPr>
                <w:rFonts w:eastAsia="Times New Roman"/>
              </w:rPr>
            </w:pPr>
          </w:p>
        </w:tc>
        <w:tc>
          <w:tcPr>
            <w:tcW w:w="1115" w:type="pct"/>
            <w:gridSpan w:val="2"/>
            <w:vAlign w:val="center"/>
            <w:hideMark/>
          </w:tcPr>
          <w:p w14:paraId="46B0464C" w14:textId="77777777" w:rsidR="00000000" w:rsidRDefault="00EE5306">
            <w:pPr>
              <w:spacing w:after="100"/>
              <w:rPr>
                <w:rFonts w:eastAsia="Times New Roman"/>
                <w:sz w:val="20"/>
                <w:szCs w:val="20"/>
              </w:rPr>
            </w:pPr>
          </w:p>
        </w:tc>
        <w:tc>
          <w:tcPr>
            <w:tcW w:w="5" w:type="pct"/>
            <w:vAlign w:val="center"/>
            <w:hideMark/>
          </w:tcPr>
          <w:p w14:paraId="7385B317" w14:textId="77777777" w:rsidR="00000000" w:rsidRDefault="00EE5306">
            <w:pPr>
              <w:spacing w:after="100"/>
              <w:rPr>
                <w:rFonts w:eastAsia="Times New Roman"/>
                <w:sz w:val="20"/>
                <w:szCs w:val="20"/>
              </w:rPr>
            </w:pPr>
          </w:p>
        </w:tc>
        <w:tc>
          <w:tcPr>
            <w:tcW w:w="5" w:type="pct"/>
            <w:vAlign w:val="center"/>
            <w:hideMark/>
          </w:tcPr>
          <w:p w14:paraId="6B345F41" w14:textId="77777777" w:rsidR="00000000" w:rsidRDefault="00EE5306">
            <w:pPr>
              <w:spacing w:after="100"/>
              <w:rPr>
                <w:rFonts w:eastAsia="Times New Roman"/>
                <w:sz w:val="20"/>
                <w:szCs w:val="20"/>
              </w:rPr>
            </w:pPr>
          </w:p>
        </w:tc>
        <w:tc>
          <w:tcPr>
            <w:tcW w:w="71" w:type="pct"/>
            <w:vAlign w:val="center"/>
            <w:hideMark/>
          </w:tcPr>
          <w:p w14:paraId="53374203" w14:textId="77777777" w:rsidR="00000000" w:rsidRDefault="00EE5306">
            <w:pPr>
              <w:spacing w:after="100"/>
              <w:rPr>
                <w:rFonts w:eastAsia="Times New Roman"/>
                <w:sz w:val="20"/>
                <w:szCs w:val="20"/>
              </w:rPr>
            </w:pPr>
          </w:p>
        </w:tc>
        <w:tc>
          <w:tcPr>
            <w:tcW w:w="5" w:type="pct"/>
            <w:vAlign w:val="center"/>
            <w:hideMark/>
          </w:tcPr>
          <w:p w14:paraId="09EC619B" w14:textId="77777777" w:rsidR="00000000" w:rsidRDefault="00EE5306">
            <w:pPr>
              <w:spacing w:after="100"/>
              <w:rPr>
                <w:rFonts w:eastAsia="Times New Roman"/>
                <w:sz w:val="20"/>
                <w:szCs w:val="20"/>
              </w:rPr>
            </w:pPr>
          </w:p>
        </w:tc>
        <w:tc>
          <w:tcPr>
            <w:tcW w:w="50" w:type="pct"/>
            <w:vAlign w:val="center"/>
            <w:hideMark/>
          </w:tcPr>
          <w:p w14:paraId="4C693C18" w14:textId="77777777" w:rsidR="00000000" w:rsidRDefault="00EE5306">
            <w:pPr>
              <w:spacing w:after="100"/>
              <w:rPr>
                <w:rFonts w:eastAsia="Times New Roman"/>
                <w:sz w:val="20"/>
                <w:szCs w:val="20"/>
              </w:rPr>
            </w:pPr>
          </w:p>
        </w:tc>
        <w:tc>
          <w:tcPr>
            <w:tcW w:w="327" w:type="pct"/>
            <w:vAlign w:val="center"/>
            <w:hideMark/>
          </w:tcPr>
          <w:p w14:paraId="7C3334D0" w14:textId="77777777" w:rsidR="00000000" w:rsidRDefault="00EE5306">
            <w:pPr>
              <w:spacing w:after="100"/>
              <w:rPr>
                <w:rFonts w:eastAsia="Times New Roman"/>
                <w:sz w:val="20"/>
                <w:szCs w:val="20"/>
              </w:rPr>
            </w:pPr>
          </w:p>
        </w:tc>
        <w:tc>
          <w:tcPr>
            <w:tcW w:w="5" w:type="pct"/>
            <w:vAlign w:val="center"/>
            <w:hideMark/>
          </w:tcPr>
          <w:p w14:paraId="537E166F" w14:textId="77777777" w:rsidR="00000000" w:rsidRDefault="00EE5306">
            <w:pPr>
              <w:spacing w:after="100"/>
              <w:rPr>
                <w:rFonts w:eastAsia="Times New Roman"/>
                <w:sz w:val="20"/>
                <w:szCs w:val="20"/>
              </w:rPr>
            </w:pPr>
          </w:p>
        </w:tc>
        <w:tc>
          <w:tcPr>
            <w:tcW w:w="5" w:type="pct"/>
            <w:vAlign w:val="center"/>
            <w:hideMark/>
          </w:tcPr>
          <w:p w14:paraId="272F785E" w14:textId="77777777" w:rsidR="00000000" w:rsidRDefault="00EE5306">
            <w:pPr>
              <w:spacing w:after="100"/>
              <w:rPr>
                <w:rFonts w:eastAsia="Times New Roman"/>
                <w:sz w:val="20"/>
                <w:szCs w:val="20"/>
              </w:rPr>
            </w:pPr>
          </w:p>
        </w:tc>
        <w:tc>
          <w:tcPr>
            <w:tcW w:w="26" w:type="pct"/>
            <w:vAlign w:val="center"/>
            <w:hideMark/>
          </w:tcPr>
          <w:p w14:paraId="63297208" w14:textId="77777777" w:rsidR="00000000" w:rsidRDefault="00EE5306">
            <w:pPr>
              <w:spacing w:after="100"/>
              <w:rPr>
                <w:rFonts w:eastAsia="Times New Roman"/>
                <w:sz w:val="20"/>
                <w:szCs w:val="20"/>
              </w:rPr>
            </w:pPr>
          </w:p>
        </w:tc>
        <w:tc>
          <w:tcPr>
            <w:tcW w:w="5" w:type="pct"/>
            <w:vAlign w:val="center"/>
            <w:hideMark/>
          </w:tcPr>
          <w:p w14:paraId="48088C79" w14:textId="77777777" w:rsidR="00000000" w:rsidRDefault="00EE5306">
            <w:pPr>
              <w:spacing w:after="100"/>
              <w:rPr>
                <w:rFonts w:eastAsia="Times New Roman"/>
                <w:sz w:val="20"/>
                <w:szCs w:val="20"/>
              </w:rPr>
            </w:pPr>
          </w:p>
        </w:tc>
        <w:tc>
          <w:tcPr>
            <w:tcW w:w="50" w:type="pct"/>
            <w:vAlign w:val="center"/>
            <w:hideMark/>
          </w:tcPr>
          <w:p w14:paraId="0B01E98F" w14:textId="77777777" w:rsidR="00000000" w:rsidRDefault="00EE5306">
            <w:pPr>
              <w:spacing w:after="100"/>
              <w:rPr>
                <w:rFonts w:eastAsia="Times New Roman"/>
                <w:sz w:val="20"/>
                <w:szCs w:val="20"/>
              </w:rPr>
            </w:pPr>
          </w:p>
        </w:tc>
        <w:tc>
          <w:tcPr>
            <w:tcW w:w="327" w:type="pct"/>
            <w:gridSpan w:val="3"/>
            <w:vAlign w:val="center"/>
            <w:hideMark/>
          </w:tcPr>
          <w:p w14:paraId="6369C021" w14:textId="77777777" w:rsidR="00000000" w:rsidRDefault="00EE5306">
            <w:pPr>
              <w:spacing w:after="100"/>
              <w:rPr>
                <w:rFonts w:eastAsia="Times New Roman"/>
                <w:sz w:val="20"/>
                <w:szCs w:val="20"/>
              </w:rPr>
            </w:pPr>
          </w:p>
        </w:tc>
        <w:tc>
          <w:tcPr>
            <w:tcW w:w="5" w:type="pct"/>
            <w:vAlign w:val="center"/>
            <w:hideMark/>
          </w:tcPr>
          <w:p w14:paraId="6AFCA021" w14:textId="77777777" w:rsidR="00000000" w:rsidRDefault="00EE5306">
            <w:pPr>
              <w:spacing w:after="100"/>
              <w:rPr>
                <w:rFonts w:eastAsia="Times New Roman"/>
                <w:sz w:val="20"/>
                <w:szCs w:val="20"/>
              </w:rPr>
            </w:pPr>
          </w:p>
        </w:tc>
        <w:tc>
          <w:tcPr>
            <w:tcW w:w="5" w:type="pct"/>
            <w:vAlign w:val="center"/>
            <w:hideMark/>
          </w:tcPr>
          <w:p w14:paraId="789812A3" w14:textId="77777777" w:rsidR="00000000" w:rsidRDefault="00EE5306">
            <w:pPr>
              <w:spacing w:after="100"/>
              <w:rPr>
                <w:rFonts w:eastAsia="Times New Roman"/>
                <w:sz w:val="20"/>
                <w:szCs w:val="20"/>
              </w:rPr>
            </w:pPr>
          </w:p>
        </w:tc>
        <w:tc>
          <w:tcPr>
            <w:tcW w:w="26" w:type="pct"/>
            <w:gridSpan w:val="2"/>
            <w:vAlign w:val="center"/>
            <w:hideMark/>
          </w:tcPr>
          <w:p w14:paraId="7D0FF2C5" w14:textId="77777777" w:rsidR="00000000" w:rsidRDefault="00EE5306">
            <w:pPr>
              <w:spacing w:after="100"/>
              <w:rPr>
                <w:rFonts w:eastAsia="Times New Roman"/>
                <w:sz w:val="20"/>
                <w:szCs w:val="20"/>
              </w:rPr>
            </w:pPr>
          </w:p>
        </w:tc>
        <w:tc>
          <w:tcPr>
            <w:tcW w:w="5" w:type="pct"/>
            <w:vAlign w:val="center"/>
            <w:hideMark/>
          </w:tcPr>
          <w:p w14:paraId="67E15DA2" w14:textId="77777777" w:rsidR="00000000" w:rsidRDefault="00EE5306">
            <w:pPr>
              <w:spacing w:after="100"/>
              <w:rPr>
                <w:rFonts w:eastAsia="Times New Roman"/>
                <w:sz w:val="20"/>
                <w:szCs w:val="20"/>
              </w:rPr>
            </w:pPr>
          </w:p>
        </w:tc>
        <w:tc>
          <w:tcPr>
            <w:tcW w:w="50" w:type="pct"/>
            <w:vAlign w:val="center"/>
            <w:hideMark/>
          </w:tcPr>
          <w:p w14:paraId="4BD2099C" w14:textId="77777777" w:rsidR="00000000" w:rsidRDefault="00EE5306">
            <w:pPr>
              <w:spacing w:after="100"/>
              <w:rPr>
                <w:rFonts w:eastAsia="Times New Roman"/>
                <w:sz w:val="20"/>
                <w:szCs w:val="20"/>
              </w:rPr>
            </w:pPr>
          </w:p>
        </w:tc>
        <w:tc>
          <w:tcPr>
            <w:tcW w:w="276" w:type="pct"/>
            <w:vAlign w:val="center"/>
            <w:hideMark/>
          </w:tcPr>
          <w:p w14:paraId="53C785E1" w14:textId="77777777" w:rsidR="00000000" w:rsidRDefault="00EE5306">
            <w:pPr>
              <w:spacing w:after="100"/>
              <w:rPr>
                <w:rFonts w:eastAsia="Times New Roman"/>
                <w:sz w:val="20"/>
                <w:szCs w:val="20"/>
              </w:rPr>
            </w:pPr>
          </w:p>
        </w:tc>
        <w:tc>
          <w:tcPr>
            <w:tcW w:w="5" w:type="pct"/>
            <w:vAlign w:val="center"/>
            <w:hideMark/>
          </w:tcPr>
          <w:p w14:paraId="2867EB45" w14:textId="77777777" w:rsidR="00000000" w:rsidRDefault="00EE5306">
            <w:pPr>
              <w:spacing w:after="100"/>
              <w:rPr>
                <w:rFonts w:eastAsia="Times New Roman"/>
                <w:sz w:val="20"/>
                <w:szCs w:val="20"/>
              </w:rPr>
            </w:pPr>
          </w:p>
        </w:tc>
        <w:tc>
          <w:tcPr>
            <w:tcW w:w="5" w:type="pct"/>
            <w:vAlign w:val="center"/>
            <w:hideMark/>
          </w:tcPr>
          <w:p w14:paraId="35B98A70" w14:textId="77777777" w:rsidR="00000000" w:rsidRDefault="00EE5306">
            <w:pPr>
              <w:spacing w:after="100"/>
              <w:rPr>
                <w:rFonts w:eastAsia="Times New Roman"/>
                <w:sz w:val="20"/>
                <w:szCs w:val="20"/>
              </w:rPr>
            </w:pPr>
          </w:p>
        </w:tc>
        <w:tc>
          <w:tcPr>
            <w:tcW w:w="26" w:type="pct"/>
            <w:vAlign w:val="center"/>
            <w:hideMark/>
          </w:tcPr>
          <w:p w14:paraId="2A00B265" w14:textId="77777777" w:rsidR="00000000" w:rsidRDefault="00EE5306">
            <w:pPr>
              <w:spacing w:after="100"/>
              <w:rPr>
                <w:rFonts w:eastAsia="Times New Roman"/>
                <w:sz w:val="20"/>
                <w:szCs w:val="20"/>
              </w:rPr>
            </w:pPr>
          </w:p>
        </w:tc>
        <w:tc>
          <w:tcPr>
            <w:tcW w:w="5" w:type="pct"/>
            <w:vAlign w:val="center"/>
            <w:hideMark/>
          </w:tcPr>
          <w:p w14:paraId="77C8A002" w14:textId="77777777" w:rsidR="00000000" w:rsidRDefault="00EE5306">
            <w:pPr>
              <w:spacing w:after="100"/>
              <w:rPr>
                <w:rFonts w:eastAsia="Times New Roman"/>
                <w:sz w:val="20"/>
                <w:szCs w:val="20"/>
              </w:rPr>
            </w:pPr>
          </w:p>
        </w:tc>
        <w:tc>
          <w:tcPr>
            <w:tcW w:w="50" w:type="pct"/>
            <w:vAlign w:val="center"/>
            <w:hideMark/>
          </w:tcPr>
          <w:p w14:paraId="66AF6C54" w14:textId="77777777" w:rsidR="00000000" w:rsidRDefault="00EE5306">
            <w:pPr>
              <w:spacing w:after="100"/>
              <w:rPr>
                <w:rFonts w:eastAsia="Times New Roman"/>
                <w:sz w:val="20"/>
                <w:szCs w:val="20"/>
              </w:rPr>
            </w:pPr>
          </w:p>
        </w:tc>
        <w:tc>
          <w:tcPr>
            <w:tcW w:w="276" w:type="pct"/>
            <w:vAlign w:val="center"/>
            <w:hideMark/>
          </w:tcPr>
          <w:p w14:paraId="72DBB93D" w14:textId="77777777" w:rsidR="00000000" w:rsidRDefault="00EE5306">
            <w:pPr>
              <w:spacing w:after="100"/>
              <w:rPr>
                <w:rFonts w:eastAsia="Times New Roman"/>
                <w:sz w:val="20"/>
                <w:szCs w:val="20"/>
              </w:rPr>
            </w:pPr>
          </w:p>
        </w:tc>
        <w:tc>
          <w:tcPr>
            <w:tcW w:w="5" w:type="pct"/>
            <w:vAlign w:val="center"/>
            <w:hideMark/>
          </w:tcPr>
          <w:p w14:paraId="725E5A7C" w14:textId="77777777" w:rsidR="00000000" w:rsidRDefault="00EE5306">
            <w:pPr>
              <w:spacing w:after="100"/>
              <w:rPr>
                <w:rFonts w:eastAsia="Times New Roman"/>
                <w:sz w:val="20"/>
                <w:szCs w:val="20"/>
              </w:rPr>
            </w:pPr>
          </w:p>
        </w:tc>
        <w:tc>
          <w:tcPr>
            <w:tcW w:w="5" w:type="pct"/>
            <w:vAlign w:val="center"/>
            <w:hideMark/>
          </w:tcPr>
          <w:p w14:paraId="28C234AB" w14:textId="77777777" w:rsidR="00000000" w:rsidRDefault="00EE5306">
            <w:pPr>
              <w:spacing w:after="100"/>
              <w:rPr>
                <w:rFonts w:eastAsia="Times New Roman"/>
                <w:sz w:val="20"/>
                <w:szCs w:val="20"/>
              </w:rPr>
            </w:pPr>
          </w:p>
        </w:tc>
        <w:tc>
          <w:tcPr>
            <w:tcW w:w="26" w:type="pct"/>
            <w:vAlign w:val="center"/>
            <w:hideMark/>
          </w:tcPr>
          <w:p w14:paraId="3D6B5412" w14:textId="77777777" w:rsidR="00000000" w:rsidRDefault="00EE5306">
            <w:pPr>
              <w:spacing w:after="100"/>
              <w:rPr>
                <w:rFonts w:eastAsia="Times New Roman"/>
                <w:sz w:val="20"/>
                <w:szCs w:val="20"/>
              </w:rPr>
            </w:pPr>
          </w:p>
        </w:tc>
        <w:tc>
          <w:tcPr>
            <w:tcW w:w="5" w:type="pct"/>
            <w:vAlign w:val="center"/>
            <w:hideMark/>
          </w:tcPr>
          <w:p w14:paraId="5985091C" w14:textId="77777777" w:rsidR="00000000" w:rsidRDefault="00EE5306">
            <w:pPr>
              <w:spacing w:after="100"/>
              <w:rPr>
                <w:rFonts w:eastAsia="Times New Roman"/>
                <w:sz w:val="20"/>
                <w:szCs w:val="20"/>
              </w:rPr>
            </w:pPr>
          </w:p>
        </w:tc>
        <w:tc>
          <w:tcPr>
            <w:tcW w:w="50" w:type="pct"/>
            <w:vAlign w:val="center"/>
            <w:hideMark/>
          </w:tcPr>
          <w:p w14:paraId="5FBB5774" w14:textId="77777777" w:rsidR="00000000" w:rsidRDefault="00EE5306">
            <w:pPr>
              <w:spacing w:after="100"/>
              <w:rPr>
                <w:rFonts w:eastAsia="Times New Roman"/>
                <w:sz w:val="20"/>
                <w:szCs w:val="20"/>
              </w:rPr>
            </w:pPr>
          </w:p>
        </w:tc>
        <w:tc>
          <w:tcPr>
            <w:tcW w:w="276" w:type="pct"/>
            <w:vAlign w:val="center"/>
            <w:hideMark/>
          </w:tcPr>
          <w:p w14:paraId="3116E6A4" w14:textId="77777777" w:rsidR="00000000" w:rsidRDefault="00EE5306">
            <w:pPr>
              <w:spacing w:after="100"/>
              <w:rPr>
                <w:rFonts w:eastAsia="Times New Roman"/>
                <w:sz w:val="20"/>
                <w:szCs w:val="20"/>
              </w:rPr>
            </w:pPr>
          </w:p>
        </w:tc>
        <w:tc>
          <w:tcPr>
            <w:tcW w:w="5" w:type="pct"/>
            <w:vAlign w:val="center"/>
            <w:hideMark/>
          </w:tcPr>
          <w:p w14:paraId="569AF1D3" w14:textId="77777777" w:rsidR="00000000" w:rsidRDefault="00EE5306">
            <w:pPr>
              <w:spacing w:after="100"/>
              <w:rPr>
                <w:rFonts w:eastAsia="Times New Roman"/>
                <w:sz w:val="20"/>
                <w:szCs w:val="20"/>
              </w:rPr>
            </w:pPr>
          </w:p>
        </w:tc>
        <w:tc>
          <w:tcPr>
            <w:tcW w:w="5" w:type="pct"/>
            <w:vAlign w:val="center"/>
            <w:hideMark/>
          </w:tcPr>
          <w:p w14:paraId="113C1A1A" w14:textId="77777777" w:rsidR="00000000" w:rsidRDefault="00EE5306">
            <w:pPr>
              <w:spacing w:after="100"/>
              <w:rPr>
                <w:rFonts w:eastAsia="Times New Roman"/>
                <w:sz w:val="20"/>
                <w:szCs w:val="20"/>
              </w:rPr>
            </w:pPr>
          </w:p>
        </w:tc>
        <w:tc>
          <w:tcPr>
            <w:tcW w:w="26" w:type="pct"/>
            <w:vAlign w:val="center"/>
            <w:hideMark/>
          </w:tcPr>
          <w:p w14:paraId="49C200E1" w14:textId="77777777" w:rsidR="00000000" w:rsidRDefault="00EE5306">
            <w:pPr>
              <w:spacing w:after="100"/>
              <w:rPr>
                <w:rFonts w:eastAsia="Times New Roman"/>
                <w:sz w:val="20"/>
                <w:szCs w:val="20"/>
              </w:rPr>
            </w:pPr>
          </w:p>
        </w:tc>
        <w:tc>
          <w:tcPr>
            <w:tcW w:w="5" w:type="pct"/>
            <w:vAlign w:val="center"/>
            <w:hideMark/>
          </w:tcPr>
          <w:p w14:paraId="32A8A2BD" w14:textId="77777777" w:rsidR="00000000" w:rsidRDefault="00EE5306">
            <w:pPr>
              <w:spacing w:after="100"/>
              <w:rPr>
                <w:rFonts w:eastAsia="Times New Roman"/>
                <w:sz w:val="20"/>
                <w:szCs w:val="20"/>
              </w:rPr>
            </w:pPr>
          </w:p>
        </w:tc>
        <w:tc>
          <w:tcPr>
            <w:tcW w:w="50" w:type="pct"/>
            <w:vAlign w:val="center"/>
            <w:hideMark/>
          </w:tcPr>
          <w:p w14:paraId="0A77EED3" w14:textId="77777777" w:rsidR="00000000" w:rsidRDefault="00EE5306">
            <w:pPr>
              <w:spacing w:after="100"/>
              <w:rPr>
                <w:rFonts w:eastAsia="Times New Roman"/>
                <w:sz w:val="20"/>
                <w:szCs w:val="20"/>
              </w:rPr>
            </w:pPr>
          </w:p>
        </w:tc>
        <w:tc>
          <w:tcPr>
            <w:tcW w:w="276" w:type="pct"/>
            <w:gridSpan w:val="2"/>
            <w:vAlign w:val="center"/>
            <w:hideMark/>
          </w:tcPr>
          <w:p w14:paraId="3611D70A" w14:textId="77777777" w:rsidR="00000000" w:rsidRDefault="00EE5306">
            <w:pPr>
              <w:spacing w:after="100"/>
              <w:rPr>
                <w:rFonts w:eastAsia="Times New Roman"/>
                <w:sz w:val="20"/>
                <w:szCs w:val="20"/>
              </w:rPr>
            </w:pPr>
          </w:p>
        </w:tc>
        <w:tc>
          <w:tcPr>
            <w:tcW w:w="5" w:type="pct"/>
            <w:vAlign w:val="center"/>
            <w:hideMark/>
          </w:tcPr>
          <w:p w14:paraId="657371EC" w14:textId="77777777" w:rsidR="00000000" w:rsidRDefault="00EE5306">
            <w:pPr>
              <w:spacing w:after="100"/>
              <w:rPr>
                <w:rFonts w:eastAsia="Times New Roman"/>
                <w:sz w:val="20"/>
                <w:szCs w:val="20"/>
              </w:rPr>
            </w:pPr>
          </w:p>
        </w:tc>
        <w:tc>
          <w:tcPr>
            <w:tcW w:w="5" w:type="pct"/>
            <w:vAlign w:val="center"/>
            <w:hideMark/>
          </w:tcPr>
          <w:p w14:paraId="18E65C07" w14:textId="77777777" w:rsidR="00000000" w:rsidRDefault="00EE5306">
            <w:pPr>
              <w:spacing w:after="100"/>
              <w:rPr>
                <w:rFonts w:eastAsia="Times New Roman"/>
                <w:sz w:val="20"/>
                <w:szCs w:val="20"/>
              </w:rPr>
            </w:pPr>
          </w:p>
        </w:tc>
        <w:tc>
          <w:tcPr>
            <w:tcW w:w="26" w:type="pct"/>
            <w:gridSpan w:val="2"/>
            <w:vAlign w:val="center"/>
            <w:hideMark/>
          </w:tcPr>
          <w:p w14:paraId="58654498" w14:textId="77777777" w:rsidR="00000000" w:rsidRDefault="00EE5306">
            <w:pPr>
              <w:spacing w:after="100"/>
              <w:rPr>
                <w:rFonts w:eastAsia="Times New Roman"/>
                <w:sz w:val="20"/>
                <w:szCs w:val="20"/>
              </w:rPr>
            </w:pPr>
          </w:p>
        </w:tc>
        <w:tc>
          <w:tcPr>
            <w:tcW w:w="5" w:type="pct"/>
            <w:vAlign w:val="center"/>
            <w:hideMark/>
          </w:tcPr>
          <w:p w14:paraId="40056312" w14:textId="77777777" w:rsidR="00000000" w:rsidRDefault="00EE5306">
            <w:pPr>
              <w:spacing w:after="100"/>
              <w:rPr>
                <w:rFonts w:eastAsia="Times New Roman"/>
                <w:sz w:val="20"/>
                <w:szCs w:val="20"/>
              </w:rPr>
            </w:pPr>
          </w:p>
        </w:tc>
        <w:tc>
          <w:tcPr>
            <w:tcW w:w="50" w:type="pct"/>
            <w:vAlign w:val="center"/>
            <w:hideMark/>
          </w:tcPr>
          <w:p w14:paraId="29B679F0" w14:textId="77777777" w:rsidR="00000000" w:rsidRDefault="00EE5306">
            <w:pPr>
              <w:spacing w:after="100"/>
              <w:rPr>
                <w:rFonts w:eastAsia="Times New Roman"/>
                <w:sz w:val="20"/>
                <w:szCs w:val="20"/>
              </w:rPr>
            </w:pPr>
          </w:p>
        </w:tc>
        <w:tc>
          <w:tcPr>
            <w:tcW w:w="276" w:type="pct"/>
            <w:gridSpan w:val="2"/>
            <w:vAlign w:val="center"/>
            <w:hideMark/>
          </w:tcPr>
          <w:p w14:paraId="5870C234" w14:textId="77777777" w:rsidR="00000000" w:rsidRDefault="00EE5306">
            <w:pPr>
              <w:spacing w:after="100"/>
              <w:rPr>
                <w:rFonts w:eastAsia="Times New Roman"/>
                <w:sz w:val="20"/>
                <w:szCs w:val="20"/>
              </w:rPr>
            </w:pPr>
          </w:p>
        </w:tc>
        <w:tc>
          <w:tcPr>
            <w:tcW w:w="5" w:type="pct"/>
            <w:vAlign w:val="center"/>
            <w:hideMark/>
          </w:tcPr>
          <w:p w14:paraId="78D732CF" w14:textId="77777777" w:rsidR="00000000" w:rsidRDefault="00EE5306">
            <w:pPr>
              <w:spacing w:after="100"/>
              <w:rPr>
                <w:rFonts w:eastAsia="Times New Roman"/>
                <w:sz w:val="20"/>
                <w:szCs w:val="20"/>
              </w:rPr>
            </w:pPr>
          </w:p>
        </w:tc>
        <w:tc>
          <w:tcPr>
            <w:tcW w:w="5" w:type="pct"/>
            <w:vAlign w:val="center"/>
            <w:hideMark/>
          </w:tcPr>
          <w:p w14:paraId="72C51AF1" w14:textId="77777777" w:rsidR="00000000" w:rsidRDefault="00EE5306">
            <w:pPr>
              <w:spacing w:after="100"/>
              <w:rPr>
                <w:rFonts w:eastAsia="Times New Roman"/>
                <w:sz w:val="20"/>
                <w:szCs w:val="20"/>
              </w:rPr>
            </w:pPr>
          </w:p>
        </w:tc>
        <w:tc>
          <w:tcPr>
            <w:tcW w:w="26" w:type="pct"/>
            <w:vAlign w:val="center"/>
            <w:hideMark/>
          </w:tcPr>
          <w:p w14:paraId="0EA7978D" w14:textId="77777777" w:rsidR="00000000" w:rsidRDefault="00EE5306">
            <w:pPr>
              <w:spacing w:after="100"/>
              <w:rPr>
                <w:rFonts w:eastAsia="Times New Roman"/>
                <w:sz w:val="20"/>
                <w:szCs w:val="20"/>
              </w:rPr>
            </w:pPr>
          </w:p>
        </w:tc>
        <w:tc>
          <w:tcPr>
            <w:tcW w:w="5" w:type="pct"/>
            <w:vAlign w:val="center"/>
            <w:hideMark/>
          </w:tcPr>
          <w:p w14:paraId="4E6DA369" w14:textId="77777777" w:rsidR="00000000" w:rsidRDefault="00EE5306">
            <w:pPr>
              <w:spacing w:after="100"/>
              <w:rPr>
                <w:rFonts w:eastAsia="Times New Roman"/>
                <w:sz w:val="20"/>
                <w:szCs w:val="20"/>
              </w:rPr>
            </w:pPr>
          </w:p>
        </w:tc>
        <w:tc>
          <w:tcPr>
            <w:tcW w:w="50" w:type="pct"/>
            <w:vAlign w:val="center"/>
            <w:hideMark/>
          </w:tcPr>
          <w:p w14:paraId="5F22CCE8" w14:textId="77777777" w:rsidR="00000000" w:rsidRDefault="00EE5306">
            <w:pPr>
              <w:spacing w:after="100"/>
              <w:rPr>
                <w:rFonts w:eastAsia="Times New Roman"/>
                <w:sz w:val="20"/>
                <w:szCs w:val="20"/>
              </w:rPr>
            </w:pPr>
          </w:p>
        </w:tc>
        <w:tc>
          <w:tcPr>
            <w:tcW w:w="276" w:type="pct"/>
            <w:vAlign w:val="center"/>
            <w:hideMark/>
          </w:tcPr>
          <w:p w14:paraId="551BD159" w14:textId="77777777" w:rsidR="00000000" w:rsidRDefault="00EE5306">
            <w:pPr>
              <w:spacing w:after="100"/>
              <w:rPr>
                <w:rFonts w:eastAsia="Times New Roman"/>
                <w:sz w:val="20"/>
                <w:szCs w:val="20"/>
              </w:rPr>
            </w:pPr>
          </w:p>
        </w:tc>
        <w:tc>
          <w:tcPr>
            <w:tcW w:w="5" w:type="pct"/>
            <w:vAlign w:val="center"/>
            <w:hideMark/>
          </w:tcPr>
          <w:p w14:paraId="273B20D8" w14:textId="77777777" w:rsidR="00000000" w:rsidRDefault="00EE5306">
            <w:pPr>
              <w:spacing w:after="100"/>
              <w:rPr>
                <w:rFonts w:eastAsia="Times New Roman"/>
                <w:sz w:val="20"/>
                <w:szCs w:val="20"/>
              </w:rPr>
            </w:pPr>
          </w:p>
        </w:tc>
        <w:tc>
          <w:tcPr>
            <w:tcW w:w="5" w:type="pct"/>
            <w:vAlign w:val="center"/>
            <w:hideMark/>
          </w:tcPr>
          <w:p w14:paraId="2267CC52" w14:textId="77777777" w:rsidR="00000000" w:rsidRDefault="00EE5306">
            <w:pPr>
              <w:spacing w:after="100"/>
              <w:rPr>
                <w:rFonts w:eastAsia="Times New Roman"/>
                <w:sz w:val="20"/>
                <w:szCs w:val="20"/>
              </w:rPr>
            </w:pPr>
          </w:p>
        </w:tc>
        <w:tc>
          <w:tcPr>
            <w:tcW w:w="26" w:type="pct"/>
            <w:vAlign w:val="center"/>
            <w:hideMark/>
          </w:tcPr>
          <w:p w14:paraId="03163511" w14:textId="77777777" w:rsidR="00000000" w:rsidRDefault="00EE5306">
            <w:pPr>
              <w:spacing w:after="100"/>
              <w:rPr>
                <w:rFonts w:eastAsia="Times New Roman"/>
                <w:sz w:val="20"/>
                <w:szCs w:val="20"/>
              </w:rPr>
            </w:pPr>
          </w:p>
        </w:tc>
        <w:tc>
          <w:tcPr>
            <w:tcW w:w="5" w:type="pct"/>
            <w:vAlign w:val="center"/>
            <w:hideMark/>
          </w:tcPr>
          <w:p w14:paraId="05FE8766" w14:textId="77777777" w:rsidR="00000000" w:rsidRDefault="00EE5306">
            <w:pPr>
              <w:spacing w:after="100"/>
              <w:rPr>
                <w:rFonts w:eastAsia="Times New Roman"/>
                <w:sz w:val="20"/>
                <w:szCs w:val="20"/>
              </w:rPr>
            </w:pPr>
          </w:p>
        </w:tc>
        <w:tc>
          <w:tcPr>
            <w:tcW w:w="50" w:type="pct"/>
            <w:vAlign w:val="center"/>
            <w:hideMark/>
          </w:tcPr>
          <w:p w14:paraId="109D0CB5" w14:textId="77777777" w:rsidR="00000000" w:rsidRDefault="00EE5306">
            <w:pPr>
              <w:spacing w:after="100"/>
              <w:rPr>
                <w:rFonts w:eastAsia="Times New Roman"/>
                <w:sz w:val="20"/>
                <w:szCs w:val="20"/>
              </w:rPr>
            </w:pPr>
          </w:p>
        </w:tc>
        <w:tc>
          <w:tcPr>
            <w:tcW w:w="276" w:type="pct"/>
            <w:vAlign w:val="center"/>
            <w:hideMark/>
          </w:tcPr>
          <w:p w14:paraId="73FD2C25" w14:textId="77777777" w:rsidR="00000000" w:rsidRDefault="00EE5306">
            <w:pPr>
              <w:spacing w:after="100"/>
              <w:rPr>
                <w:rFonts w:eastAsia="Times New Roman"/>
                <w:sz w:val="20"/>
                <w:szCs w:val="20"/>
              </w:rPr>
            </w:pPr>
          </w:p>
        </w:tc>
        <w:tc>
          <w:tcPr>
            <w:tcW w:w="5" w:type="pct"/>
            <w:vAlign w:val="center"/>
            <w:hideMark/>
          </w:tcPr>
          <w:p w14:paraId="5293856F" w14:textId="77777777" w:rsidR="00000000" w:rsidRDefault="00EE5306">
            <w:pPr>
              <w:spacing w:after="100"/>
              <w:rPr>
                <w:rFonts w:eastAsia="Times New Roman"/>
                <w:sz w:val="20"/>
                <w:szCs w:val="20"/>
              </w:rPr>
            </w:pPr>
          </w:p>
        </w:tc>
        <w:tc>
          <w:tcPr>
            <w:tcW w:w="5" w:type="pct"/>
            <w:vAlign w:val="center"/>
            <w:hideMark/>
          </w:tcPr>
          <w:p w14:paraId="0072CA78" w14:textId="77777777" w:rsidR="00000000" w:rsidRDefault="00EE5306">
            <w:pPr>
              <w:spacing w:after="100"/>
              <w:rPr>
                <w:rFonts w:eastAsia="Times New Roman"/>
                <w:sz w:val="20"/>
                <w:szCs w:val="20"/>
              </w:rPr>
            </w:pPr>
          </w:p>
        </w:tc>
        <w:tc>
          <w:tcPr>
            <w:tcW w:w="26" w:type="pct"/>
            <w:vAlign w:val="center"/>
            <w:hideMark/>
          </w:tcPr>
          <w:p w14:paraId="4ECE1A96" w14:textId="77777777" w:rsidR="00000000" w:rsidRDefault="00EE5306">
            <w:pPr>
              <w:spacing w:after="100"/>
              <w:rPr>
                <w:rFonts w:eastAsia="Times New Roman"/>
                <w:sz w:val="20"/>
                <w:szCs w:val="20"/>
              </w:rPr>
            </w:pPr>
          </w:p>
        </w:tc>
        <w:tc>
          <w:tcPr>
            <w:tcW w:w="5" w:type="pct"/>
            <w:vAlign w:val="center"/>
            <w:hideMark/>
          </w:tcPr>
          <w:p w14:paraId="53DEC0C9" w14:textId="77777777" w:rsidR="00000000" w:rsidRDefault="00EE5306">
            <w:pPr>
              <w:spacing w:after="100"/>
              <w:rPr>
                <w:rFonts w:eastAsia="Times New Roman"/>
                <w:sz w:val="20"/>
                <w:szCs w:val="20"/>
              </w:rPr>
            </w:pPr>
          </w:p>
        </w:tc>
        <w:tc>
          <w:tcPr>
            <w:tcW w:w="50" w:type="pct"/>
            <w:vAlign w:val="center"/>
            <w:hideMark/>
          </w:tcPr>
          <w:p w14:paraId="2396D196" w14:textId="77777777" w:rsidR="00000000" w:rsidRDefault="00EE5306">
            <w:pPr>
              <w:spacing w:after="100"/>
              <w:rPr>
                <w:rFonts w:eastAsia="Times New Roman"/>
                <w:sz w:val="20"/>
                <w:szCs w:val="20"/>
              </w:rPr>
            </w:pPr>
          </w:p>
        </w:tc>
        <w:tc>
          <w:tcPr>
            <w:tcW w:w="276" w:type="pct"/>
            <w:vAlign w:val="center"/>
            <w:hideMark/>
          </w:tcPr>
          <w:p w14:paraId="6BF336EA" w14:textId="77777777" w:rsidR="00000000" w:rsidRDefault="00EE5306">
            <w:pPr>
              <w:spacing w:after="100"/>
              <w:rPr>
                <w:rFonts w:eastAsia="Times New Roman"/>
                <w:sz w:val="20"/>
                <w:szCs w:val="20"/>
              </w:rPr>
            </w:pPr>
          </w:p>
        </w:tc>
        <w:tc>
          <w:tcPr>
            <w:tcW w:w="5" w:type="pct"/>
            <w:vAlign w:val="center"/>
            <w:hideMark/>
          </w:tcPr>
          <w:p w14:paraId="6C8E9D86" w14:textId="77777777" w:rsidR="00000000" w:rsidRDefault="00EE5306">
            <w:pPr>
              <w:spacing w:after="100"/>
              <w:rPr>
                <w:rFonts w:eastAsia="Times New Roman"/>
                <w:sz w:val="20"/>
                <w:szCs w:val="20"/>
              </w:rPr>
            </w:pPr>
          </w:p>
        </w:tc>
      </w:tr>
      <w:tr w:rsidR="00000000" w14:paraId="0E6C0ED0" w14:textId="77777777">
        <w:trPr>
          <w:gridAfter w:val="2"/>
          <w:divId w:val="272446297"/>
        </w:trPr>
        <w:tc>
          <w:tcPr>
            <w:tcW w:w="0" w:type="auto"/>
            <w:gridSpan w:val="4"/>
            <w:tcMar>
              <w:top w:w="30" w:type="dxa"/>
              <w:left w:w="20" w:type="dxa"/>
              <w:bottom w:w="30" w:type="dxa"/>
              <w:right w:w="20" w:type="dxa"/>
            </w:tcMar>
            <w:vAlign w:val="bottom"/>
            <w:hideMark/>
          </w:tcPr>
          <w:p w14:paraId="079A3E06" w14:textId="77777777" w:rsidR="00000000" w:rsidRDefault="00EE5306">
            <w:pPr>
              <w:spacing w:after="100"/>
              <w:rPr>
                <w:rFonts w:eastAsia="Times New Roman"/>
              </w:rPr>
            </w:pPr>
            <w:r>
              <w:rPr>
                <w:rFonts w:eastAsia="Times New Roman"/>
                <w:color w:val="000000"/>
                <w:sz w:val="15"/>
                <w:szCs w:val="15"/>
              </w:rPr>
              <w:t> </w:t>
            </w:r>
          </w:p>
        </w:tc>
        <w:tc>
          <w:tcPr>
            <w:tcW w:w="0" w:type="auto"/>
            <w:gridSpan w:val="3"/>
            <w:tcMar>
              <w:top w:w="0" w:type="dxa"/>
              <w:left w:w="20" w:type="dxa"/>
              <w:bottom w:w="0" w:type="dxa"/>
              <w:right w:w="20" w:type="dxa"/>
            </w:tcMar>
            <w:vAlign w:val="center"/>
            <w:hideMark/>
          </w:tcPr>
          <w:p w14:paraId="434A3190" w14:textId="77777777" w:rsidR="00000000" w:rsidRDefault="00EE5306">
            <w:pPr>
              <w:spacing w:after="100"/>
              <w:rPr>
                <w:rFonts w:eastAsia="Times New Roman"/>
              </w:rPr>
            </w:pPr>
          </w:p>
        </w:tc>
        <w:tc>
          <w:tcPr>
            <w:tcW w:w="0" w:type="auto"/>
            <w:gridSpan w:val="11"/>
            <w:tcMar>
              <w:top w:w="30" w:type="dxa"/>
              <w:left w:w="20" w:type="dxa"/>
              <w:bottom w:w="30" w:type="dxa"/>
              <w:right w:w="20" w:type="dxa"/>
            </w:tcMar>
            <w:vAlign w:val="bottom"/>
            <w:hideMark/>
          </w:tcPr>
          <w:p w14:paraId="105C42CC" w14:textId="77777777" w:rsidR="00000000" w:rsidRDefault="00EE5306">
            <w:pPr>
              <w:spacing w:after="100"/>
              <w:jc w:val="center"/>
              <w:rPr>
                <w:rFonts w:eastAsia="Times New Roman"/>
              </w:rPr>
            </w:pPr>
            <w:r>
              <w:rPr>
                <w:rFonts w:eastAsia="Times New Roman"/>
                <w:b/>
                <w:bCs/>
                <w:color w:val="000000"/>
                <w:sz w:val="15"/>
                <w:szCs w:val="15"/>
              </w:rPr>
              <w:t>Notional Amounts</w:t>
            </w:r>
          </w:p>
        </w:tc>
        <w:tc>
          <w:tcPr>
            <w:tcW w:w="0" w:type="auto"/>
            <w:gridSpan w:val="4"/>
            <w:tcMar>
              <w:top w:w="0" w:type="dxa"/>
              <w:left w:w="20" w:type="dxa"/>
              <w:bottom w:w="0" w:type="dxa"/>
              <w:right w:w="20" w:type="dxa"/>
            </w:tcMar>
            <w:vAlign w:val="center"/>
            <w:hideMark/>
          </w:tcPr>
          <w:p w14:paraId="3E7B4BA6" w14:textId="77777777" w:rsidR="00000000" w:rsidRDefault="00EE5306">
            <w:pPr>
              <w:spacing w:after="100"/>
              <w:jc w:val="center"/>
              <w:rPr>
                <w:rFonts w:eastAsia="Times New Roman"/>
              </w:rPr>
            </w:pPr>
          </w:p>
        </w:tc>
        <w:tc>
          <w:tcPr>
            <w:tcW w:w="0" w:type="auto"/>
            <w:gridSpan w:val="22"/>
            <w:tcBorders>
              <w:bottom w:val="single" w:sz="8" w:space="0" w:color="000000"/>
            </w:tcBorders>
            <w:tcMar>
              <w:top w:w="30" w:type="dxa"/>
              <w:left w:w="20" w:type="dxa"/>
              <w:bottom w:w="30" w:type="dxa"/>
              <w:right w:w="20" w:type="dxa"/>
            </w:tcMar>
            <w:vAlign w:val="bottom"/>
            <w:hideMark/>
          </w:tcPr>
          <w:p w14:paraId="1B11FA58" w14:textId="77777777" w:rsidR="00000000" w:rsidRDefault="00EE5306">
            <w:pPr>
              <w:spacing w:after="100"/>
              <w:jc w:val="center"/>
              <w:rPr>
                <w:rFonts w:eastAsia="Times New Roman"/>
              </w:rPr>
            </w:pPr>
            <w:r>
              <w:rPr>
                <w:rFonts w:eastAsia="Times New Roman"/>
                <w:b/>
                <w:bCs/>
                <w:color w:val="000000"/>
                <w:sz w:val="15"/>
                <w:szCs w:val="15"/>
              </w:rPr>
              <w:t>Derivative Assets</w:t>
            </w:r>
          </w:p>
        </w:tc>
        <w:tc>
          <w:tcPr>
            <w:tcW w:w="0" w:type="auto"/>
            <w:gridSpan w:val="4"/>
            <w:tcMar>
              <w:top w:w="0" w:type="dxa"/>
              <w:left w:w="20" w:type="dxa"/>
              <w:bottom w:w="0" w:type="dxa"/>
              <w:right w:w="20" w:type="dxa"/>
            </w:tcMar>
            <w:vAlign w:val="center"/>
            <w:hideMark/>
          </w:tcPr>
          <w:p w14:paraId="1BBDD00C" w14:textId="77777777" w:rsidR="00000000" w:rsidRDefault="00EE5306">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5BE31A2D" w14:textId="77777777" w:rsidR="00000000" w:rsidRDefault="00EE5306">
            <w:pPr>
              <w:spacing w:after="100"/>
              <w:jc w:val="center"/>
              <w:rPr>
                <w:rFonts w:eastAsia="Times New Roman"/>
              </w:rPr>
            </w:pPr>
            <w:r>
              <w:rPr>
                <w:rFonts w:eastAsia="Times New Roman"/>
                <w:b/>
                <w:bCs/>
                <w:color w:val="000000"/>
                <w:sz w:val="15"/>
                <w:szCs w:val="15"/>
              </w:rPr>
              <w:t>Derivative Liabilities</w:t>
            </w:r>
          </w:p>
        </w:tc>
        <w:tc>
          <w:tcPr>
            <w:tcW w:w="0" w:type="auto"/>
            <w:vAlign w:val="center"/>
            <w:hideMark/>
          </w:tcPr>
          <w:p w14:paraId="32700491" w14:textId="77777777" w:rsidR="00000000" w:rsidRDefault="00EE5306">
            <w:pPr>
              <w:spacing w:after="100"/>
              <w:rPr>
                <w:rFonts w:eastAsia="Times New Roman"/>
                <w:sz w:val="20"/>
                <w:szCs w:val="20"/>
              </w:rPr>
            </w:pPr>
          </w:p>
        </w:tc>
      </w:tr>
      <w:tr w:rsidR="00000000" w14:paraId="4EEA0A63" w14:textId="77777777">
        <w:trPr>
          <w:gridAfter w:val="2"/>
          <w:divId w:val="272446297"/>
        </w:trPr>
        <w:tc>
          <w:tcPr>
            <w:tcW w:w="0" w:type="auto"/>
            <w:gridSpan w:val="4"/>
            <w:tcMar>
              <w:top w:w="30" w:type="dxa"/>
              <w:left w:w="20" w:type="dxa"/>
              <w:bottom w:w="30" w:type="dxa"/>
              <w:right w:w="20" w:type="dxa"/>
            </w:tcMar>
            <w:vAlign w:val="bottom"/>
            <w:hideMark/>
          </w:tcPr>
          <w:p w14:paraId="6280F6C3" w14:textId="77777777" w:rsidR="00000000" w:rsidRDefault="00EE5306">
            <w:pPr>
              <w:spacing w:after="100"/>
              <w:divId w:val="487325870"/>
              <w:rPr>
                <w:rFonts w:eastAsia="Times New Roman"/>
              </w:rPr>
            </w:pPr>
            <w:r>
              <w:rPr>
                <w:rFonts w:eastAsia="Times New Roman"/>
                <w:b/>
                <w:bCs/>
                <w:color w:val="000000"/>
                <w:sz w:val="15"/>
                <w:szCs w:val="15"/>
                <w:u w:val="single"/>
              </w:rPr>
              <w:t>Derivative Instrumen</w:t>
            </w:r>
            <w:r>
              <w:rPr>
                <w:rFonts w:eastAsia="Times New Roman"/>
                <w:b/>
                <w:bCs/>
                <w:color w:val="000000"/>
                <w:sz w:val="15"/>
                <w:szCs w:val="15"/>
                <w:u w:val="single"/>
              </w:rPr>
              <w:t>t</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08876F55"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C6D736" w14:textId="77777777" w:rsidR="00000000" w:rsidRDefault="00EE5306">
            <w:pPr>
              <w:spacing w:after="100"/>
              <w:jc w:val="center"/>
              <w:rPr>
                <w:rFonts w:eastAsia="Times New Roman"/>
              </w:rPr>
            </w:pPr>
            <w:r>
              <w:rPr>
                <w:rFonts w:eastAsia="Times New Roman"/>
                <w:b/>
                <w:bCs/>
                <w:color w:val="000000"/>
                <w:sz w:val="15"/>
                <w:szCs w:val="15"/>
              </w:rPr>
              <w:t>March 27, 2021</w:t>
            </w:r>
          </w:p>
        </w:tc>
        <w:tc>
          <w:tcPr>
            <w:tcW w:w="0" w:type="auto"/>
            <w:gridSpan w:val="3"/>
            <w:tcBorders>
              <w:top w:val="single" w:sz="8" w:space="0" w:color="000000"/>
            </w:tcBorders>
            <w:tcMar>
              <w:top w:w="0" w:type="dxa"/>
              <w:left w:w="20" w:type="dxa"/>
              <w:bottom w:w="0" w:type="dxa"/>
              <w:right w:w="20" w:type="dxa"/>
            </w:tcMar>
            <w:vAlign w:val="center"/>
            <w:hideMark/>
          </w:tcPr>
          <w:p w14:paraId="3D3B0976" w14:textId="77777777" w:rsidR="00000000" w:rsidRDefault="00EE5306">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1CE6BB5A" w14:textId="77777777" w:rsidR="00000000" w:rsidRDefault="00EE5306">
            <w:pPr>
              <w:spacing w:after="100"/>
              <w:jc w:val="center"/>
              <w:rPr>
                <w:rFonts w:eastAsia="Times New Roman"/>
              </w:rPr>
            </w:pPr>
            <w:r>
              <w:rPr>
                <w:rFonts w:eastAsia="Times New Roman"/>
                <w:b/>
                <w:bCs/>
                <w:color w:val="000000"/>
                <w:sz w:val="15"/>
                <w:szCs w:val="15"/>
              </w:rPr>
              <w:t>March 28, 2020</w:t>
            </w:r>
          </w:p>
        </w:tc>
        <w:tc>
          <w:tcPr>
            <w:tcW w:w="0" w:type="auto"/>
            <w:gridSpan w:val="4"/>
            <w:tcMar>
              <w:top w:w="0" w:type="dxa"/>
              <w:left w:w="20" w:type="dxa"/>
              <w:bottom w:w="0" w:type="dxa"/>
              <w:right w:w="20" w:type="dxa"/>
            </w:tcMar>
            <w:vAlign w:val="center"/>
            <w:hideMark/>
          </w:tcPr>
          <w:p w14:paraId="5AAE2A1C" w14:textId="77777777" w:rsidR="00000000" w:rsidRDefault="00EE530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69259C6" w14:textId="77777777" w:rsidR="00000000" w:rsidRDefault="00EE5306">
            <w:pPr>
              <w:spacing w:after="100"/>
              <w:jc w:val="center"/>
              <w:rPr>
                <w:rFonts w:eastAsia="Times New Roman"/>
              </w:rPr>
            </w:pPr>
            <w:r>
              <w:rPr>
                <w:rFonts w:eastAsia="Times New Roman"/>
                <w:b/>
                <w:bCs/>
                <w:color w:val="000000"/>
                <w:sz w:val="15"/>
                <w:szCs w:val="15"/>
              </w:rPr>
              <w:t>March 27,</w:t>
            </w:r>
            <w:r>
              <w:rPr>
                <w:rFonts w:eastAsia="Times New Roman"/>
                <w:b/>
                <w:bCs/>
                <w:color w:val="000000"/>
                <w:sz w:val="15"/>
                <w:szCs w:val="15"/>
              </w:rPr>
              <w:br/>
              <w:t>2021</w:t>
            </w:r>
          </w:p>
        </w:tc>
        <w:tc>
          <w:tcPr>
            <w:tcW w:w="0" w:type="auto"/>
            <w:gridSpan w:val="3"/>
            <w:tcBorders>
              <w:top w:val="single" w:sz="8" w:space="0" w:color="000000"/>
            </w:tcBorders>
            <w:tcMar>
              <w:top w:w="0" w:type="dxa"/>
              <w:left w:w="20" w:type="dxa"/>
              <w:bottom w:w="0" w:type="dxa"/>
              <w:right w:w="20" w:type="dxa"/>
            </w:tcMar>
            <w:vAlign w:val="center"/>
            <w:hideMark/>
          </w:tcPr>
          <w:p w14:paraId="178AE676" w14:textId="77777777" w:rsidR="00000000" w:rsidRDefault="00EE5306">
            <w:pPr>
              <w:spacing w:after="100"/>
              <w:jc w:val="center"/>
              <w:rPr>
                <w:rFonts w:eastAsia="Times New Roman"/>
              </w:rPr>
            </w:pPr>
          </w:p>
        </w:tc>
        <w:tc>
          <w:tcPr>
            <w:tcW w:w="0" w:type="auto"/>
            <w:gridSpan w:val="10"/>
            <w:tcBorders>
              <w:top w:val="single" w:sz="8" w:space="0" w:color="000000"/>
            </w:tcBorders>
            <w:tcMar>
              <w:top w:w="30" w:type="dxa"/>
              <w:left w:w="20" w:type="dxa"/>
              <w:bottom w:w="30" w:type="dxa"/>
              <w:right w:w="20" w:type="dxa"/>
            </w:tcMar>
            <w:vAlign w:val="bottom"/>
            <w:hideMark/>
          </w:tcPr>
          <w:p w14:paraId="46B7F510" w14:textId="77777777" w:rsidR="00000000" w:rsidRDefault="00EE5306">
            <w:pPr>
              <w:spacing w:after="100"/>
              <w:jc w:val="center"/>
              <w:rPr>
                <w:rFonts w:eastAsia="Times New Roman"/>
              </w:rPr>
            </w:pPr>
            <w:r>
              <w:rPr>
                <w:rFonts w:eastAsia="Times New Roman"/>
                <w:b/>
                <w:bCs/>
                <w:color w:val="000000"/>
                <w:sz w:val="15"/>
                <w:szCs w:val="15"/>
              </w:rPr>
              <w:t>March 28,</w:t>
            </w:r>
            <w:r>
              <w:rPr>
                <w:rFonts w:eastAsia="Times New Roman"/>
                <w:b/>
                <w:bCs/>
                <w:color w:val="000000"/>
                <w:sz w:val="15"/>
                <w:szCs w:val="15"/>
              </w:rPr>
              <w:br/>
              <w:t>2020</w:t>
            </w:r>
          </w:p>
        </w:tc>
        <w:tc>
          <w:tcPr>
            <w:tcW w:w="0" w:type="auto"/>
            <w:gridSpan w:val="4"/>
            <w:tcMar>
              <w:top w:w="0" w:type="dxa"/>
              <w:left w:w="20" w:type="dxa"/>
              <w:bottom w:w="0" w:type="dxa"/>
              <w:right w:w="20" w:type="dxa"/>
            </w:tcMar>
            <w:vAlign w:val="center"/>
            <w:hideMark/>
          </w:tcPr>
          <w:p w14:paraId="1A41497F" w14:textId="77777777" w:rsidR="00000000" w:rsidRDefault="00EE5306">
            <w:pPr>
              <w:spacing w:after="100"/>
              <w:jc w:val="center"/>
              <w:rPr>
                <w:rFonts w:eastAsia="Times New Roman"/>
              </w:rPr>
            </w:pPr>
          </w:p>
        </w:tc>
        <w:tc>
          <w:tcPr>
            <w:tcW w:w="0" w:type="auto"/>
            <w:gridSpan w:val="10"/>
            <w:tcBorders>
              <w:top w:val="single" w:sz="8" w:space="0" w:color="000000"/>
            </w:tcBorders>
            <w:tcMar>
              <w:top w:w="30" w:type="dxa"/>
              <w:left w:w="20" w:type="dxa"/>
              <w:bottom w:w="30" w:type="dxa"/>
              <w:right w:w="20" w:type="dxa"/>
            </w:tcMar>
            <w:vAlign w:val="bottom"/>
            <w:hideMark/>
          </w:tcPr>
          <w:p w14:paraId="55AD4914" w14:textId="77777777" w:rsidR="00000000" w:rsidRDefault="00EE5306">
            <w:pPr>
              <w:spacing w:after="100"/>
              <w:jc w:val="center"/>
              <w:rPr>
                <w:rFonts w:eastAsia="Times New Roman"/>
              </w:rPr>
            </w:pPr>
            <w:r>
              <w:rPr>
                <w:rFonts w:eastAsia="Times New Roman"/>
                <w:b/>
                <w:bCs/>
                <w:color w:val="000000"/>
                <w:sz w:val="15"/>
                <w:szCs w:val="15"/>
              </w:rPr>
              <w:t>March 27,</w:t>
            </w:r>
            <w:r>
              <w:rPr>
                <w:rFonts w:eastAsia="Times New Roman"/>
                <w:b/>
                <w:bCs/>
                <w:color w:val="000000"/>
                <w:sz w:val="15"/>
                <w:szCs w:val="15"/>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3D96A17" w14:textId="77777777" w:rsidR="00000000" w:rsidRDefault="00EE5306">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14:paraId="76C7EEC9" w14:textId="77777777" w:rsidR="00000000" w:rsidRDefault="00EE5306">
            <w:pPr>
              <w:spacing w:after="100"/>
              <w:jc w:val="center"/>
              <w:rPr>
                <w:rFonts w:eastAsia="Times New Roman"/>
              </w:rPr>
            </w:pPr>
            <w:r>
              <w:rPr>
                <w:rFonts w:eastAsia="Times New Roman"/>
                <w:b/>
                <w:bCs/>
                <w:color w:val="000000"/>
                <w:sz w:val="15"/>
                <w:szCs w:val="15"/>
              </w:rPr>
              <w:t>March 28,</w:t>
            </w:r>
            <w:r>
              <w:rPr>
                <w:rFonts w:eastAsia="Times New Roman"/>
                <w:b/>
                <w:bCs/>
                <w:color w:val="000000"/>
                <w:sz w:val="15"/>
                <w:szCs w:val="15"/>
              </w:rPr>
              <w:br/>
              <w:t>2020</w:t>
            </w:r>
          </w:p>
        </w:tc>
        <w:tc>
          <w:tcPr>
            <w:tcW w:w="0" w:type="auto"/>
            <w:vAlign w:val="center"/>
            <w:hideMark/>
          </w:tcPr>
          <w:p w14:paraId="6F208DBA" w14:textId="77777777" w:rsidR="00000000" w:rsidRDefault="00EE5306">
            <w:pPr>
              <w:spacing w:after="100"/>
              <w:rPr>
                <w:rFonts w:eastAsia="Times New Roman"/>
                <w:sz w:val="20"/>
                <w:szCs w:val="20"/>
              </w:rPr>
            </w:pPr>
          </w:p>
        </w:tc>
      </w:tr>
      <w:tr w:rsidR="00000000" w14:paraId="6349BFFF" w14:textId="77777777">
        <w:trPr>
          <w:gridAfter w:val="2"/>
          <w:divId w:val="272446297"/>
        </w:trPr>
        <w:tc>
          <w:tcPr>
            <w:tcW w:w="0" w:type="auto"/>
            <w:gridSpan w:val="4"/>
            <w:tcMar>
              <w:top w:w="30" w:type="dxa"/>
              <w:left w:w="20" w:type="dxa"/>
              <w:bottom w:w="30" w:type="dxa"/>
              <w:right w:w="20" w:type="dxa"/>
            </w:tcMar>
            <w:vAlign w:val="bottom"/>
            <w:hideMark/>
          </w:tcPr>
          <w:p w14:paraId="039D4E83" w14:textId="77777777" w:rsidR="00000000" w:rsidRDefault="00EE5306">
            <w:pPr>
              <w:spacing w:after="100"/>
              <w:rPr>
                <w:rFonts w:eastAsia="Times New Roman"/>
              </w:rPr>
            </w:pPr>
            <w:r>
              <w:rPr>
                <w:rFonts w:eastAsia="Times New Roman"/>
                <w:color w:val="000000"/>
                <w:sz w:val="15"/>
                <w:szCs w:val="15"/>
              </w:rPr>
              <w:t> </w:t>
            </w:r>
          </w:p>
        </w:tc>
        <w:tc>
          <w:tcPr>
            <w:tcW w:w="0" w:type="auto"/>
            <w:gridSpan w:val="3"/>
            <w:tcMar>
              <w:top w:w="0" w:type="dxa"/>
              <w:left w:w="20" w:type="dxa"/>
              <w:bottom w:w="0" w:type="dxa"/>
              <w:right w:w="20" w:type="dxa"/>
            </w:tcMar>
            <w:vAlign w:val="center"/>
            <w:hideMark/>
          </w:tcPr>
          <w:p w14:paraId="44D9A333"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56AA6D" w14:textId="77777777" w:rsidR="00000000" w:rsidRDefault="00EE5306">
            <w:pPr>
              <w:spacing w:after="100"/>
              <w:rPr>
                <w:rFonts w:eastAsia="Times New Roman"/>
              </w:rPr>
            </w:pPr>
            <w:r>
              <w:rPr>
                <w:rFonts w:eastAsia="Times New Roman"/>
                <w:color w:val="000000"/>
                <w:sz w:val="15"/>
                <w:szCs w:val="15"/>
              </w:rPr>
              <w:t> </w:t>
            </w:r>
          </w:p>
        </w:tc>
        <w:tc>
          <w:tcPr>
            <w:tcW w:w="0" w:type="auto"/>
            <w:gridSpan w:val="3"/>
            <w:tcMar>
              <w:top w:w="0" w:type="dxa"/>
              <w:left w:w="20" w:type="dxa"/>
              <w:bottom w:w="0" w:type="dxa"/>
              <w:right w:w="20" w:type="dxa"/>
            </w:tcMar>
            <w:vAlign w:val="center"/>
            <w:hideMark/>
          </w:tcPr>
          <w:p w14:paraId="53D4FBB3" w14:textId="77777777" w:rsidR="00000000" w:rsidRDefault="00EE5306">
            <w:pPr>
              <w:spacing w:after="100"/>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2CC8F5A5" w14:textId="77777777" w:rsidR="00000000" w:rsidRDefault="00EE5306">
            <w:pPr>
              <w:spacing w:after="100"/>
              <w:rPr>
                <w:rFonts w:eastAsia="Times New Roman"/>
              </w:rPr>
            </w:pPr>
            <w:r>
              <w:rPr>
                <w:rFonts w:eastAsia="Times New Roman"/>
                <w:color w:val="000000"/>
                <w:sz w:val="15"/>
                <w:szCs w:val="15"/>
              </w:rPr>
              <w:t> </w:t>
            </w:r>
          </w:p>
        </w:tc>
        <w:tc>
          <w:tcPr>
            <w:tcW w:w="0" w:type="auto"/>
            <w:gridSpan w:val="4"/>
            <w:tcMar>
              <w:top w:w="0" w:type="dxa"/>
              <w:left w:w="20" w:type="dxa"/>
              <w:bottom w:w="0" w:type="dxa"/>
              <w:right w:w="20" w:type="dxa"/>
            </w:tcMar>
            <w:vAlign w:val="center"/>
            <w:hideMark/>
          </w:tcPr>
          <w:p w14:paraId="348478D5" w14:textId="77777777" w:rsidR="00000000" w:rsidRDefault="00EE530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91C5E91" w14:textId="77777777" w:rsidR="00000000" w:rsidRDefault="00EE5306">
            <w:pPr>
              <w:spacing w:after="100"/>
              <w:jc w:val="center"/>
              <w:rPr>
                <w:rFonts w:eastAsia="Times New Roman"/>
              </w:rPr>
            </w:pPr>
            <w:r>
              <w:rPr>
                <w:rFonts w:eastAsia="Times New Roman"/>
                <w:b/>
                <w:bCs/>
                <w:color w:val="000000"/>
                <w:sz w:val="15"/>
                <w:szCs w:val="15"/>
              </w:rPr>
              <w:t>Balance</w:t>
            </w:r>
          </w:p>
          <w:p w14:paraId="3064BCB0" w14:textId="77777777" w:rsidR="00000000" w:rsidRDefault="00EE5306">
            <w:pPr>
              <w:spacing w:after="100"/>
              <w:jc w:val="center"/>
              <w:rPr>
                <w:rFonts w:eastAsia="Times New Roman"/>
              </w:rPr>
            </w:pPr>
            <w:r>
              <w:rPr>
                <w:rFonts w:eastAsia="Times New Roman"/>
                <w:b/>
                <w:bCs/>
                <w:color w:val="000000"/>
                <w:sz w:val="15"/>
                <w:szCs w:val="15"/>
              </w:rPr>
              <w:t>Sheet</w:t>
            </w:r>
          </w:p>
          <w:p w14:paraId="23A787E0" w14:textId="77777777" w:rsidR="00000000" w:rsidRDefault="00EE5306">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D147157"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44D160F" w14:textId="77777777" w:rsidR="00000000" w:rsidRDefault="00EE5306">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gridSpan w:val="3"/>
            <w:tcMar>
              <w:top w:w="0" w:type="dxa"/>
              <w:left w:w="20" w:type="dxa"/>
              <w:bottom w:w="0" w:type="dxa"/>
              <w:right w:w="20" w:type="dxa"/>
            </w:tcMar>
            <w:vAlign w:val="center"/>
            <w:hideMark/>
          </w:tcPr>
          <w:p w14:paraId="5C54163D"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0E6055E" w14:textId="77777777" w:rsidR="00000000" w:rsidRDefault="00EE5306">
            <w:pPr>
              <w:spacing w:after="100"/>
              <w:jc w:val="center"/>
              <w:rPr>
                <w:rFonts w:eastAsia="Times New Roman"/>
              </w:rPr>
            </w:pPr>
            <w:r>
              <w:rPr>
                <w:rFonts w:eastAsia="Times New Roman"/>
                <w:b/>
                <w:bCs/>
                <w:color w:val="000000"/>
                <w:sz w:val="15"/>
                <w:szCs w:val="15"/>
              </w:rPr>
              <w:t>Balance</w:t>
            </w:r>
          </w:p>
          <w:p w14:paraId="3368AD82" w14:textId="77777777" w:rsidR="00000000" w:rsidRDefault="00EE5306">
            <w:pPr>
              <w:spacing w:after="100"/>
              <w:jc w:val="center"/>
              <w:rPr>
                <w:rFonts w:eastAsia="Times New Roman"/>
              </w:rPr>
            </w:pPr>
            <w:r>
              <w:rPr>
                <w:rFonts w:eastAsia="Times New Roman"/>
                <w:b/>
                <w:bCs/>
                <w:color w:val="000000"/>
                <w:sz w:val="15"/>
                <w:szCs w:val="15"/>
              </w:rPr>
              <w:t>Sheet</w:t>
            </w:r>
          </w:p>
          <w:p w14:paraId="51D51D35" w14:textId="77777777" w:rsidR="00000000" w:rsidRDefault="00EE5306">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7CE50F1" w14:textId="77777777" w:rsidR="00000000" w:rsidRDefault="00EE5306">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14:paraId="410433D3" w14:textId="77777777" w:rsidR="00000000" w:rsidRDefault="00EE5306">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gridSpan w:val="4"/>
            <w:tcMar>
              <w:top w:w="0" w:type="dxa"/>
              <w:left w:w="20" w:type="dxa"/>
              <w:bottom w:w="0" w:type="dxa"/>
              <w:right w:w="20" w:type="dxa"/>
            </w:tcMar>
            <w:vAlign w:val="center"/>
            <w:hideMark/>
          </w:tcPr>
          <w:p w14:paraId="5944EC4F" w14:textId="77777777" w:rsidR="00000000" w:rsidRDefault="00EE5306">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14:paraId="442A778E" w14:textId="77777777" w:rsidR="00000000" w:rsidRDefault="00EE5306">
            <w:pPr>
              <w:spacing w:after="100"/>
              <w:jc w:val="center"/>
              <w:rPr>
                <w:rFonts w:eastAsia="Times New Roman"/>
              </w:rPr>
            </w:pPr>
            <w:r>
              <w:rPr>
                <w:rFonts w:eastAsia="Times New Roman"/>
                <w:b/>
                <w:bCs/>
                <w:color w:val="000000"/>
                <w:sz w:val="15"/>
                <w:szCs w:val="15"/>
              </w:rPr>
              <w:t>Balance</w:t>
            </w:r>
          </w:p>
          <w:p w14:paraId="2C3948CC" w14:textId="77777777" w:rsidR="00000000" w:rsidRDefault="00EE5306">
            <w:pPr>
              <w:spacing w:after="100"/>
              <w:jc w:val="center"/>
              <w:rPr>
                <w:rFonts w:eastAsia="Times New Roman"/>
              </w:rPr>
            </w:pPr>
            <w:r>
              <w:rPr>
                <w:rFonts w:eastAsia="Times New Roman"/>
                <w:b/>
                <w:bCs/>
                <w:color w:val="000000"/>
                <w:sz w:val="15"/>
                <w:szCs w:val="15"/>
              </w:rPr>
              <w:t>Sheet</w:t>
            </w:r>
          </w:p>
          <w:p w14:paraId="2CAA7528" w14:textId="77777777" w:rsidR="00000000" w:rsidRDefault="00EE5306">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25D381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3E1C9A" w14:textId="77777777" w:rsidR="00000000" w:rsidRDefault="00EE5306">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gridSpan w:val="3"/>
            <w:tcMar>
              <w:top w:w="0" w:type="dxa"/>
              <w:left w:w="20" w:type="dxa"/>
              <w:bottom w:w="0" w:type="dxa"/>
              <w:right w:w="20" w:type="dxa"/>
            </w:tcMar>
            <w:vAlign w:val="center"/>
            <w:hideMark/>
          </w:tcPr>
          <w:p w14:paraId="02DC3403"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4C41880" w14:textId="77777777" w:rsidR="00000000" w:rsidRDefault="00EE5306">
            <w:pPr>
              <w:spacing w:after="100"/>
              <w:jc w:val="center"/>
              <w:rPr>
                <w:rFonts w:eastAsia="Times New Roman"/>
              </w:rPr>
            </w:pPr>
            <w:r>
              <w:rPr>
                <w:rFonts w:eastAsia="Times New Roman"/>
                <w:b/>
                <w:bCs/>
                <w:color w:val="000000"/>
                <w:sz w:val="15"/>
                <w:szCs w:val="15"/>
              </w:rPr>
              <w:t>Balance</w:t>
            </w:r>
          </w:p>
          <w:p w14:paraId="01ECD64D" w14:textId="77777777" w:rsidR="00000000" w:rsidRDefault="00EE5306">
            <w:pPr>
              <w:spacing w:after="100"/>
              <w:jc w:val="center"/>
              <w:rPr>
                <w:rFonts w:eastAsia="Times New Roman"/>
              </w:rPr>
            </w:pPr>
            <w:r>
              <w:rPr>
                <w:rFonts w:eastAsia="Times New Roman"/>
                <w:b/>
                <w:bCs/>
                <w:color w:val="000000"/>
                <w:sz w:val="15"/>
                <w:szCs w:val="15"/>
              </w:rPr>
              <w:t>Sheet</w:t>
            </w:r>
          </w:p>
          <w:p w14:paraId="75E5EC63" w14:textId="77777777" w:rsidR="00000000" w:rsidRDefault="00EE5306">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0AA7673" w14:textId="77777777" w:rsidR="00000000" w:rsidRDefault="00EE5306">
            <w:pPr>
              <w:spacing w:after="100"/>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14:paraId="768ED425" w14:textId="77777777" w:rsidR="00000000" w:rsidRDefault="00EE5306">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vAlign w:val="center"/>
            <w:hideMark/>
          </w:tcPr>
          <w:p w14:paraId="606D7C63" w14:textId="77777777" w:rsidR="00000000" w:rsidRDefault="00EE5306">
            <w:pPr>
              <w:spacing w:after="100"/>
              <w:rPr>
                <w:rFonts w:eastAsia="Times New Roman"/>
                <w:sz w:val="20"/>
                <w:szCs w:val="20"/>
              </w:rPr>
            </w:pPr>
          </w:p>
        </w:tc>
      </w:tr>
      <w:tr w:rsidR="00000000" w14:paraId="38ECBD7A" w14:textId="77777777">
        <w:trPr>
          <w:gridAfter w:val="2"/>
          <w:divId w:val="272446297"/>
        </w:trPr>
        <w:tc>
          <w:tcPr>
            <w:tcW w:w="0" w:type="auto"/>
            <w:gridSpan w:val="4"/>
            <w:tcMar>
              <w:top w:w="30" w:type="dxa"/>
              <w:left w:w="20" w:type="dxa"/>
              <w:bottom w:w="30" w:type="dxa"/>
              <w:right w:w="20" w:type="dxa"/>
            </w:tcMar>
            <w:vAlign w:val="bottom"/>
            <w:hideMark/>
          </w:tcPr>
          <w:p w14:paraId="1F57984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E79417D" w14:textId="77777777" w:rsidR="00000000" w:rsidRDefault="00EE5306">
            <w:pPr>
              <w:spacing w:after="100"/>
              <w:rPr>
                <w:rFonts w:eastAsia="Times New Roman"/>
              </w:rPr>
            </w:pPr>
          </w:p>
        </w:tc>
        <w:tc>
          <w:tcPr>
            <w:tcW w:w="0" w:type="auto"/>
            <w:gridSpan w:val="62"/>
            <w:tcMar>
              <w:top w:w="30" w:type="dxa"/>
              <w:left w:w="20" w:type="dxa"/>
              <w:bottom w:w="30" w:type="dxa"/>
              <w:right w:w="20" w:type="dxa"/>
            </w:tcMar>
            <w:vAlign w:val="bottom"/>
            <w:hideMark/>
          </w:tcPr>
          <w:p w14:paraId="0CD261FB" w14:textId="77777777" w:rsidR="00000000" w:rsidRDefault="00EE5306">
            <w:pPr>
              <w:spacing w:after="100"/>
              <w:jc w:val="center"/>
              <w:rPr>
                <w:rFonts w:eastAsia="Times New Roman"/>
              </w:rPr>
            </w:pPr>
            <w:r>
              <w:rPr>
                <w:rFonts w:eastAsia="Times New Roman"/>
                <w:b/>
                <w:bCs/>
                <w:color w:val="000000"/>
                <w:sz w:val="14"/>
                <w:szCs w:val="14"/>
              </w:rPr>
              <w:t>(millions)</w:t>
            </w:r>
          </w:p>
        </w:tc>
        <w:tc>
          <w:tcPr>
            <w:tcW w:w="0" w:type="auto"/>
            <w:vAlign w:val="center"/>
            <w:hideMark/>
          </w:tcPr>
          <w:p w14:paraId="7E05A08A" w14:textId="77777777" w:rsidR="00000000" w:rsidRDefault="00EE5306">
            <w:pPr>
              <w:spacing w:after="100"/>
              <w:rPr>
                <w:rFonts w:eastAsia="Times New Roman"/>
                <w:sz w:val="20"/>
                <w:szCs w:val="20"/>
              </w:rPr>
            </w:pPr>
          </w:p>
        </w:tc>
      </w:tr>
      <w:tr w:rsidR="00000000" w14:paraId="6B3478A0" w14:textId="77777777">
        <w:trPr>
          <w:gridAfter w:val="2"/>
          <w:divId w:val="272446297"/>
        </w:trPr>
        <w:tc>
          <w:tcPr>
            <w:tcW w:w="0" w:type="auto"/>
            <w:gridSpan w:val="4"/>
            <w:shd w:val="clear" w:color="auto" w:fill="CCEEFF"/>
            <w:tcMar>
              <w:top w:w="30" w:type="dxa"/>
              <w:left w:w="20" w:type="dxa"/>
              <w:bottom w:w="30" w:type="dxa"/>
              <w:right w:w="20" w:type="dxa"/>
            </w:tcMar>
            <w:vAlign w:val="bottom"/>
            <w:hideMark/>
          </w:tcPr>
          <w:p w14:paraId="6D2DC829" w14:textId="77777777" w:rsidR="00000000" w:rsidRDefault="00EE5306">
            <w:pPr>
              <w:spacing w:after="100"/>
              <w:rPr>
                <w:rFonts w:eastAsia="Times New Roman"/>
              </w:rPr>
            </w:pPr>
            <w:r>
              <w:rPr>
                <w:rFonts w:eastAsia="Times New Roman"/>
                <w:color w:val="000000"/>
                <w:sz w:val="16"/>
                <w:szCs w:val="16"/>
                <w:u w:val="single"/>
              </w:rPr>
              <w:t>Designated Hedges:</w:t>
            </w:r>
          </w:p>
        </w:tc>
        <w:tc>
          <w:tcPr>
            <w:tcW w:w="0" w:type="auto"/>
            <w:gridSpan w:val="3"/>
            <w:shd w:val="clear" w:color="auto" w:fill="CCEEFF"/>
            <w:tcMar>
              <w:top w:w="0" w:type="dxa"/>
              <w:left w:w="20" w:type="dxa"/>
              <w:bottom w:w="0" w:type="dxa"/>
              <w:right w:w="20" w:type="dxa"/>
            </w:tcMar>
            <w:vAlign w:val="center"/>
            <w:hideMark/>
          </w:tcPr>
          <w:p w14:paraId="1064BABE"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CC99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AE7309" w14:textId="77777777" w:rsidR="00000000" w:rsidRDefault="00EE530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547FD731" w14:textId="77777777" w:rsidR="00000000" w:rsidRDefault="00EE530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76F521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ADD7D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3CFFA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8B99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65469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524CF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5ED94D" w14:textId="77777777" w:rsidR="00000000" w:rsidRDefault="00EE530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DC31C56" w14:textId="77777777" w:rsidR="00000000" w:rsidRDefault="00EE530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1230661" w14:textId="77777777" w:rsidR="00000000" w:rsidRDefault="00EE530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7B889E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8E8A5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5E843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035D5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20BC4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E2E7CC" w14:textId="77777777" w:rsidR="00000000" w:rsidRDefault="00EE5306">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14:paraId="0AE36351" w14:textId="77777777" w:rsidR="00000000" w:rsidRDefault="00EE5306">
            <w:pPr>
              <w:spacing w:after="100"/>
              <w:rPr>
                <w:rFonts w:eastAsia="Times New Roman"/>
                <w:sz w:val="20"/>
                <w:szCs w:val="20"/>
              </w:rPr>
            </w:pPr>
          </w:p>
        </w:tc>
        <w:tc>
          <w:tcPr>
            <w:tcW w:w="0" w:type="auto"/>
            <w:vAlign w:val="center"/>
            <w:hideMark/>
          </w:tcPr>
          <w:p w14:paraId="5065C49C" w14:textId="77777777" w:rsidR="00000000" w:rsidRDefault="00EE5306">
            <w:pPr>
              <w:spacing w:after="100"/>
              <w:rPr>
                <w:rFonts w:eastAsia="Times New Roman"/>
                <w:sz w:val="20"/>
                <w:szCs w:val="20"/>
              </w:rPr>
            </w:pPr>
          </w:p>
        </w:tc>
      </w:tr>
      <w:tr w:rsidR="00EE5306" w14:paraId="6EF580A8" w14:textId="77777777">
        <w:trPr>
          <w:gridAfter w:val="2"/>
          <w:divId w:val="272446297"/>
        </w:trPr>
        <w:tc>
          <w:tcPr>
            <w:tcW w:w="0" w:type="auto"/>
            <w:gridSpan w:val="4"/>
            <w:shd w:val="clear" w:color="auto" w:fill="FFFFFF"/>
            <w:tcMar>
              <w:top w:w="30" w:type="dxa"/>
              <w:left w:w="155" w:type="dxa"/>
              <w:bottom w:w="30" w:type="dxa"/>
              <w:right w:w="20" w:type="dxa"/>
            </w:tcMar>
            <w:vAlign w:val="bottom"/>
            <w:hideMark/>
          </w:tcPr>
          <w:p w14:paraId="570477CD" w14:textId="77777777" w:rsidR="00000000" w:rsidRDefault="00EE5306">
            <w:pPr>
              <w:spacing w:after="100"/>
              <w:rPr>
                <w:rFonts w:eastAsia="Times New Roman"/>
              </w:rPr>
            </w:pPr>
            <w:r>
              <w:rPr>
                <w:rFonts w:eastAsia="Times New Roman"/>
                <w:color w:val="000000"/>
                <w:sz w:val="16"/>
                <w:szCs w:val="16"/>
              </w:rPr>
              <w:t>FC — Cash flow hedges</w:t>
            </w:r>
          </w:p>
        </w:tc>
        <w:tc>
          <w:tcPr>
            <w:tcW w:w="0" w:type="auto"/>
            <w:gridSpan w:val="3"/>
            <w:shd w:val="clear" w:color="auto" w:fill="FFFFFF"/>
            <w:tcMar>
              <w:top w:w="0" w:type="dxa"/>
              <w:left w:w="20" w:type="dxa"/>
              <w:bottom w:w="0" w:type="dxa"/>
              <w:right w:w="20" w:type="dxa"/>
            </w:tcMar>
            <w:vAlign w:val="center"/>
            <w:hideMark/>
          </w:tcPr>
          <w:p w14:paraId="6174E00B"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BC3E767"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591395B" w14:textId="77777777" w:rsidR="00000000" w:rsidRDefault="00EE5306">
            <w:pPr>
              <w:spacing w:after="100"/>
              <w:jc w:val="right"/>
              <w:rPr>
                <w:rFonts w:eastAsia="Times New Roman"/>
              </w:rPr>
            </w:pPr>
            <w:r>
              <w:rPr>
                <w:rFonts w:eastAsia="Times New Roman"/>
                <w:color w:val="000000"/>
                <w:sz w:val="16"/>
                <w:szCs w:val="16"/>
              </w:rPr>
              <w:t>168.9 </w:t>
            </w:r>
          </w:p>
        </w:tc>
        <w:tc>
          <w:tcPr>
            <w:tcW w:w="0" w:type="auto"/>
            <w:shd w:val="clear" w:color="auto" w:fill="FFFFFF"/>
            <w:tcMar>
              <w:top w:w="30" w:type="dxa"/>
              <w:left w:w="0" w:type="dxa"/>
              <w:bottom w:w="30" w:type="dxa"/>
              <w:right w:w="20" w:type="dxa"/>
            </w:tcMar>
            <w:vAlign w:val="bottom"/>
            <w:hideMark/>
          </w:tcPr>
          <w:p w14:paraId="2F5210D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D6F42"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821EAD" w14:textId="77777777" w:rsidR="00000000" w:rsidRDefault="00EE5306">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14:paraId="33DFBBAC" w14:textId="77777777" w:rsidR="00000000" w:rsidRDefault="00EE5306">
            <w:pPr>
              <w:spacing w:after="100"/>
              <w:jc w:val="right"/>
              <w:rPr>
                <w:rFonts w:eastAsia="Times New Roman"/>
              </w:rPr>
            </w:pPr>
            <w:r>
              <w:rPr>
                <w:rFonts w:eastAsia="Times New Roman"/>
                <w:color w:val="000000"/>
                <w:sz w:val="16"/>
                <w:szCs w:val="16"/>
              </w:rPr>
              <w:t>229.0 </w:t>
            </w:r>
          </w:p>
        </w:tc>
        <w:tc>
          <w:tcPr>
            <w:tcW w:w="0" w:type="auto"/>
            <w:shd w:val="clear" w:color="auto" w:fill="FFFFFF"/>
            <w:tcMar>
              <w:top w:w="30" w:type="dxa"/>
              <w:left w:w="0" w:type="dxa"/>
              <w:bottom w:w="30" w:type="dxa"/>
              <w:right w:w="20" w:type="dxa"/>
            </w:tcMar>
            <w:vAlign w:val="bottom"/>
            <w:hideMark/>
          </w:tcPr>
          <w:p w14:paraId="292F93D2" w14:textId="77777777" w:rsidR="00000000" w:rsidRDefault="00EE530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146AD11"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F6A2D7C" w14:textId="77777777" w:rsidR="00000000" w:rsidRDefault="00EE5306">
            <w:pPr>
              <w:spacing w:after="100"/>
              <w:jc w:val="center"/>
              <w:rPr>
                <w:rFonts w:eastAsia="Times New Roman"/>
              </w:rPr>
            </w:pPr>
            <w:r>
              <w:rPr>
                <w:rFonts w:eastAsia="Times New Roman"/>
                <w:color w:val="000000"/>
                <w:sz w:val="16"/>
                <w:szCs w:val="16"/>
              </w:rPr>
              <w:t>PP</w:t>
            </w:r>
          </w:p>
        </w:tc>
        <w:tc>
          <w:tcPr>
            <w:tcW w:w="0" w:type="auto"/>
            <w:gridSpan w:val="3"/>
            <w:shd w:val="clear" w:color="auto" w:fill="FFFFFF"/>
            <w:tcMar>
              <w:top w:w="0" w:type="dxa"/>
              <w:left w:w="20" w:type="dxa"/>
              <w:bottom w:w="0" w:type="dxa"/>
              <w:right w:w="20" w:type="dxa"/>
            </w:tcMar>
            <w:vAlign w:val="center"/>
            <w:hideMark/>
          </w:tcPr>
          <w:p w14:paraId="175FAC64" w14:textId="77777777" w:rsidR="00000000" w:rsidRDefault="00EE5306">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4C653099"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106473B" w14:textId="77777777" w:rsidR="00000000" w:rsidRDefault="00EE5306">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14:paraId="48E7809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E1399"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C82CB7F" w14:textId="77777777" w:rsidR="00000000" w:rsidRDefault="00EE5306">
            <w:pPr>
              <w:spacing w:after="100"/>
              <w:jc w:val="center"/>
              <w:rPr>
                <w:rFonts w:eastAsia="Times New Roman"/>
              </w:rPr>
            </w:pPr>
            <w:r>
              <w:rPr>
                <w:rFonts w:eastAsia="Times New Roman"/>
                <w:color w:val="000000"/>
                <w:sz w:val="16"/>
                <w:szCs w:val="16"/>
              </w:rPr>
              <w:t>PP</w:t>
            </w:r>
          </w:p>
        </w:tc>
        <w:tc>
          <w:tcPr>
            <w:tcW w:w="0" w:type="auto"/>
            <w:gridSpan w:val="3"/>
            <w:shd w:val="clear" w:color="auto" w:fill="FFFFFF"/>
            <w:tcMar>
              <w:top w:w="0" w:type="dxa"/>
              <w:left w:w="20" w:type="dxa"/>
              <w:bottom w:w="0" w:type="dxa"/>
              <w:right w:w="20" w:type="dxa"/>
            </w:tcMar>
            <w:vAlign w:val="center"/>
            <w:hideMark/>
          </w:tcPr>
          <w:p w14:paraId="10C584CE" w14:textId="77777777" w:rsidR="00000000" w:rsidRDefault="00EE5306">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0484991F" w14:textId="77777777" w:rsidR="00000000" w:rsidRDefault="00EE5306">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14:paraId="6DF2FC45" w14:textId="77777777" w:rsidR="00000000" w:rsidRDefault="00EE5306">
            <w:pPr>
              <w:spacing w:after="100"/>
              <w:jc w:val="right"/>
              <w:rPr>
                <w:rFonts w:eastAsia="Times New Roman"/>
              </w:rPr>
            </w:pPr>
            <w:r>
              <w:rPr>
                <w:rFonts w:eastAsia="Times New Roman"/>
                <w:color w:val="000000"/>
                <w:sz w:val="16"/>
                <w:szCs w:val="16"/>
              </w:rPr>
              <w:t>7.4 </w:t>
            </w:r>
          </w:p>
        </w:tc>
        <w:tc>
          <w:tcPr>
            <w:tcW w:w="0" w:type="auto"/>
            <w:shd w:val="clear" w:color="auto" w:fill="FFFFFF"/>
            <w:tcMar>
              <w:top w:w="30" w:type="dxa"/>
              <w:left w:w="0" w:type="dxa"/>
              <w:bottom w:w="30" w:type="dxa"/>
              <w:right w:w="20" w:type="dxa"/>
            </w:tcMar>
            <w:vAlign w:val="bottom"/>
            <w:hideMark/>
          </w:tcPr>
          <w:p w14:paraId="1DC4E43F" w14:textId="77777777" w:rsidR="00000000" w:rsidRDefault="00EE530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574FE0F" w14:textId="77777777" w:rsidR="00000000" w:rsidRDefault="00EE5306">
            <w:pPr>
              <w:spacing w:after="100"/>
              <w:jc w:val="right"/>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14434FA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52A695" w14:textId="77777777" w:rsidR="00000000" w:rsidRDefault="00EE5306">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CD8CD3"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EA06DAB"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B9C0C1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7C4F1"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F9B0015" w14:textId="77777777" w:rsidR="00000000" w:rsidRDefault="00EE5306">
            <w:pPr>
              <w:spacing w:after="100"/>
              <w:jc w:val="center"/>
              <w:rPr>
                <w:rFonts w:eastAsia="Times New Roman"/>
              </w:rPr>
            </w:pPr>
            <w:r>
              <w:rPr>
                <w:rFonts w:eastAsia="Times New Roman"/>
                <w:color w:val="000000"/>
                <w:sz w:val="16"/>
                <w:szCs w:val="16"/>
              </w:rPr>
              <w:t>AE</w:t>
            </w:r>
          </w:p>
        </w:tc>
        <w:tc>
          <w:tcPr>
            <w:tcW w:w="0" w:type="auto"/>
            <w:gridSpan w:val="3"/>
            <w:shd w:val="clear" w:color="auto" w:fill="FFFFFF"/>
            <w:tcMar>
              <w:top w:w="0" w:type="dxa"/>
              <w:left w:w="20" w:type="dxa"/>
              <w:bottom w:w="0" w:type="dxa"/>
              <w:right w:w="20" w:type="dxa"/>
            </w:tcMar>
            <w:vAlign w:val="center"/>
            <w:hideMark/>
          </w:tcPr>
          <w:p w14:paraId="085EF7C1" w14:textId="77777777" w:rsidR="00000000" w:rsidRDefault="00EE5306">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3E535D96"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F3A1F5B" w14:textId="77777777" w:rsidR="00000000" w:rsidRDefault="00EE5306">
            <w:pPr>
              <w:spacing w:after="100"/>
              <w:jc w:val="right"/>
              <w:rPr>
                <w:rFonts w:eastAsia="Times New Roman"/>
              </w:rPr>
            </w:pPr>
            <w:r>
              <w:rPr>
                <w:rFonts w:eastAsia="Times New Roman"/>
                <w:color w:val="000000"/>
                <w:sz w:val="16"/>
                <w:szCs w:val="16"/>
              </w:rPr>
              <w:t>0.4 </w:t>
            </w:r>
          </w:p>
        </w:tc>
        <w:tc>
          <w:tcPr>
            <w:tcW w:w="0" w:type="auto"/>
            <w:shd w:val="clear" w:color="auto" w:fill="FFFFFF"/>
            <w:tcMar>
              <w:top w:w="30" w:type="dxa"/>
              <w:left w:w="0" w:type="dxa"/>
              <w:bottom w:w="30" w:type="dxa"/>
              <w:right w:w="20" w:type="dxa"/>
            </w:tcMar>
            <w:vAlign w:val="bottom"/>
            <w:hideMark/>
          </w:tcPr>
          <w:p w14:paraId="13D1B410" w14:textId="77777777" w:rsidR="00000000" w:rsidRDefault="00EE5306">
            <w:pPr>
              <w:spacing w:after="100"/>
              <w:jc w:val="right"/>
              <w:rPr>
                <w:rFonts w:eastAsia="Times New Roman"/>
              </w:rPr>
            </w:pPr>
          </w:p>
        </w:tc>
      </w:tr>
      <w:tr w:rsidR="00EE5306" w14:paraId="50A92A54" w14:textId="77777777">
        <w:trPr>
          <w:gridAfter w:val="2"/>
          <w:divId w:val="272446297"/>
        </w:trPr>
        <w:tc>
          <w:tcPr>
            <w:tcW w:w="0" w:type="auto"/>
            <w:gridSpan w:val="4"/>
            <w:shd w:val="clear" w:color="auto" w:fill="CCEEFF"/>
            <w:tcMar>
              <w:top w:w="30" w:type="dxa"/>
              <w:left w:w="155" w:type="dxa"/>
              <w:bottom w:w="30" w:type="dxa"/>
              <w:right w:w="20" w:type="dxa"/>
            </w:tcMar>
            <w:vAlign w:val="bottom"/>
            <w:hideMark/>
          </w:tcPr>
          <w:p w14:paraId="5B55ABBC" w14:textId="77777777" w:rsidR="00000000" w:rsidRDefault="00EE5306">
            <w:pPr>
              <w:spacing w:after="100"/>
              <w:rPr>
                <w:rFonts w:eastAsia="Times New Roman"/>
              </w:rPr>
            </w:pPr>
            <w:r>
              <w:rPr>
                <w:rFonts w:eastAsia="Times New Roman"/>
                <w:color w:val="000000"/>
                <w:sz w:val="16"/>
                <w:szCs w:val="16"/>
              </w:rPr>
              <w:t>IRS — Fixed-rate debt</w:t>
            </w:r>
          </w:p>
        </w:tc>
        <w:tc>
          <w:tcPr>
            <w:tcW w:w="0" w:type="auto"/>
            <w:gridSpan w:val="3"/>
            <w:shd w:val="clear" w:color="auto" w:fill="CCEEFF"/>
            <w:tcMar>
              <w:top w:w="0" w:type="dxa"/>
              <w:left w:w="20" w:type="dxa"/>
              <w:bottom w:w="0" w:type="dxa"/>
              <w:right w:w="20" w:type="dxa"/>
            </w:tcMar>
            <w:vAlign w:val="center"/>
            <w:hideMark/>
          </w:tcPr>
          <w:p w14:paraId="00AA2B2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45770B"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2F4A39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56903" w14:textId="77777777" w:rsidR="00000000" w:rsidRDefault="00EE530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320A3EE7" w14:textId="77777777" w:rsidR="00000000" w:rsidRDefault="00EE5306">
            <w:pPr>
              <w:spacing w:after="100"/>
              <w:jc w:val="right"/>
              <w:rPr>
                <w:rFonts w:eastAsia="Times New Roman"/>
              </w:rPr>
            </w:pPr>
            <w:r>
              <w:rPr>
                <w:rFonts w:eastAsia="Times New Roman"/>
                <w:color w:val="000000"/>
                <w:sz w:val="16"/>
                <w:szCs w:val="16"/>
              </w:rPr>
              <w:t>300.0 </w:t>
            </w:r>
          </w:p>
        </w:tc>
        <w:tc>
          <w:tcPr>
            <w:tcW w:w="0" w:type="auto"/>
            <w:shd w:val="clear" w:color="auto" w:fill="CCEEFF"/>
            <w:tcMar>
              <w:top w:w="30" w:type="dxa"/>
              <w:left w:w="0" w:type="dxa"/>
              <w:bottom w:w="30" w:type="dxa"/>
              <w:right w:w="20" w:type="dxa"/>
            </w:tcMar>
            <w:vAlign w:val="bottom"/>
            <w:hideMark/>
          </w:tcPr>
          <w:p w14:paraId="4E1C0134" w14:textId="77777777" w:rsidR="00000000" w:rsidRDefault="00EE530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3670734"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8C0B2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9529B8"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6E3B0E"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9DC5F4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0F74C"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5BEED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E73601" w14:textId="77777777" w:rsidR="00000000" w:rsidRDefault="00EE5306">
            <w:pPr>
              <w:spacing w:after="100"/>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3B0F942A"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FB3D3E4" w14:textId="77777777" w:rsidR="00000000" w:rsidRDefault="00EE530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0D4BA5B" w14:textId="77777777" w:rsidR="00000000" w:rsidRDefault="00EE5306">
            <w:pPr>
              <w:spacing w:after="100"/>
              <w:jc w:val="right"/>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BFDF77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0AA7B4" w14:textId="77777777" w:rsidR="00000000" w:rsidRDefault="00EE530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D095AE" w14:textId="77777777" w:rsidR="00000000" w:rsidRDefault="00EE530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50B26A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5AFFA"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BCCDA38" w14:textId="77777777" w:rsidR="00000000" w:rsidRDefault="00EE5306">
            <w:pPr>
              <w:spacing w:after="100"/>
              <w:jc w:val="center"/>
              <w:rPr>
                <w:rFonts w:eastAsia="Times New Roman"/>
              </w:rPr>
            </w:pPr>
            <w:r>
              <w:rPr>
                <w:rFonts w:eastAsia="Times New Roman"/>
                <w:color w:val="000000"/>
                <w:sz w:val="16"/>
                <w:szCs w:val="16"/>
              </w:rPr>
              <w:t>AE</w:t>
            </w:r>
          </w:p>
        </w:tc>
        <w:tc>
          <w:tcPr>
            <w:tcW w:w="0" w:type="auto"/>
            <w:gridSpan w:val="3"/>
            <w:shd w:val="clear" w:color="auto" w:fill="CCEEFF"/>
            <w:tcMar>
              <w:top w:w="0" w:type="dxa"/>
              <w:left w:w="20" w:type="dxa"/>
              <w:bottom w:w="0" w:type="dxa"/>
              <w:right w:w="20" w:type="dxa"/>
            </w:tcMar>
            <w:vAlign w:val="center"/>
            <w:hideMark/>
          </w:tcPr>
          <w:p w14:paraId="0CDC6C5D"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35F357" w14:textId="77777777" w:rsidR="00000000" w:rsidRDefault="00EE5306">
            <w:pPr>
              <w:spacing w:after="100"/>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vAlign w:val="bottom"/>
            <w:hideMark/>
          </w:tcPr>
          <w:p w14:paraId="53C53C5A" w14:textId="77777777" w:rsidR="00000000" w:rsidRDefault="00EE5306">
            <w:pPr>
              <w:spacing w:after="100"/>
              <w:jc w:val="right"/>
              <w:rPr>
                <w:rFonts w:eastAsia="Times New Roman"/>
              </w:rPr>
            </w:pPr>
          </w:p>
        </w:tc>
      </w:tr>
      <w:tr w:rsidR="00EE5306" w14:paraId="50AEC799" w14:textId="77777777">
        <w:trPr>
          <w:gridAfter w:val="2"/>
          <w:divId w:val="272446297"/>
        </w:trPr>
        <w:tc>
          <w:tcPr>
            <w:tcW w:w="0" w:type="auto"/>
            <w:gridSpan w:val="4"/>
            <w:shd w:val="clear" w:color="auto" w:fill="FFFFFF"/>
            <w:tcMar>
              <w:top w:w="30" w:type="dxa"/>
              <w:left w:w="20" w:type="dxa"/>
              <w:bottom w:w="30" w:type="dxa"/>
              <w:right w:w="20" w:type="dxa"/>
            </w:tcMar>
            <w:vAlign w:val="bottom"/>
            <w:hideMark/>
          </w:tcPr>
          <w:p w14:paraId="04C9A5FF" w14:textId="77777777" w:rsidR="00000000" w:rsidRDefault="00EE5306">
            <w:pPr>
              <w:spacing w:after="100"/>
              <w:divId w:val="386413319"/>
              <w:rPr>
                <w:rFonts w:eastAsia="Times New Roman"/>
              </w:rPr>
            </w:pPr>
            <w:r>
              <w:rPr>
                <w:rFonts w:eastAsia="Times New Roman"/>
                <w:color w:val="000000"/>
                <w:sz w:val="16"/>
                <w:szCs w:val="16"/>
              </w:rPr>
              <w:t>Net investment hedge</w:t>
            </w:r>
            <w:r>
              <w:rPr>
                <w:rFonts w:eastAsia="Times New Roman"/>
                <w:color w:val="000000"/>
                <w:sz w:val="16"/>
                <w:szCs w:val="16"/>
              </w:rPr>
              <w:t>s</w:t>
            </w:r>
            <w:r>
              <w:rPr>
                <w:rFonts w:eastAsia="Times New Roman"/>
                <w:b/>
                <w:bCs/>
                <w:color w:val="000000"/>
                <w:sz w:val="10"/>
                <w:szCs w:val="10"/>
              </w:rPr>
              <w:t>(c</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46F1D41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61855D" w14:textId="77777777" w:rsidR="00000000" w:rsidRDefault="00EE5306">
            <w:pPr>
              <w:spacing w:after="100"/>
              <w:jc w:val="right"/>
              <w:rPr>
                <w:rFonts w:eastAsia="Times New Roman"/>
              </w:rPr>
            </w:pPr>
            <w:r>
              <w:rPr>
                <w:rFonts w:eastAsia="Times New Roman"/>
                <w:color w:val="000000"/>
                <w:sz w:val="16"/>
                <w:szCs w:val="16"/>
              </w:rPr>
              <w:t>723.2 </w:t>
            </w:r>
          </w:p>
        </w:tc>
        <w:tc>
          <w:tcPr>
            <w:tcW w:w="0" w:type="auto"/>
            <w:shd w:val="clear" w:color="auto" w:fill="FFFFFF"/>
            <w:tcMar>
              <w:top w:w="30" w:type="dxa"/>
              <w:left w:w="0" w:type="dxa"/>
              <w:bottom w:w="30" w:type="dxa"/>
              <w:right w:w="20" w:type="dxa"/>
            </w:tcMar>
            <w:vAlign w:val="bottom"/>
            <w:hideMark/>
          </w:tcPr>
          <w:p w14:paraId="26461DE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6B81B" w14:textId="77777777" w:rsidR="00000000" w:rsidRDefault="00EE530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1601C7B1" w14:textId="77777777" w:rsidR="00000000" w:rsidRDefault="00EE5306">
            <w:pPr>
              <w:spacing w:after="100"/>
              <w:jc w:val="right"/>
              <w:rPr>
                <w:rFonts w:eastAsia="Times New Roman"/>
              </w:rPr>
            </w:pPr>
            <w:r>
              <w:rPr>
                <w:rFonts w:eastAsia="Times New Roman"/>
                <w:color w:val="000000"/>
                <w:sz w:val="16"/>
                <w:szCs w:val="16"/>
              </w:rPr>
              <w:t>683.6 </w:t>
            </w:r>
          </w:p>
        </w:tc>
        <w:tc>
          <w:tcPr>
            <w:tcW w:w="0" w:type="auto"/>
            <w:shd w:val="clear" w:color="auto" w:fill="FFFFFF"/>
            <w:tcMar>
              <w:top w:w="30" w:type="dxa"/>
              <w:left w:w="0" w:type="dxa"/>
              <w:bottom w:w="30" w:type="dxa"/>
              <w:right w:w="20" w:type="dxa"/>
            </w:tcMar>
            <w:vAlign w:val="bottom"/>
            <w:hideMark/>
          </w:tcPr>
          <w:p w14:paraId="5D5689B8" w14:textId="77777777" w:rsidR="00000000" w:rsidRDefault="00EE530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BEE4F6E"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06A04E7" w14:textId="77777777" w:rsidR="00000000" w:rsidRDefault="00EE5306">
            <w:pPr>
              <w:spacing w:after="100"/>
              <w:jc w:val="center"/>
              <w:rPr>
                <w:rFonts w:eastAsia="Times New Roman"/>
              </w:rPr>
            </w:pPr>
            <w:r>
              <w:rPr>
                <w:rFonts w:eastAsia="Times New Roman"/>
                <w:color w:val="000000"/>
                <w:sz w:val="16"/>
                <w:szCs w:val="16"/>
              </w:rPr>
              <w:t>ONCA</w:t>
            </w:r>
          </w:p>
        </w:tc>
        <w:tc>
          <w:tcPr>
            <w:tcW w:w="0" w:type="auto"/>
            <w:gridSpan w:val="3"/>
            <w:shd w:val="clear" w:color="auto" w:fill="FFFFFF"/>
            <w:tcMar>
              <w:top w:w="0" w:type="dxa"/>
              <w:left w:w="20" w:type="dxa"/>
              <w:bottom w:w="0" w:type="dxa"/>
              <w:right w:w="20" w:type="dxa"/>
            </w:tcMar>
            <w:vAlign w:val="center"/>
            <w:hideMark/>
          </w:tcPr>
          <w:p w14:paraId="5E4AF8DE" w14:textId="77777777" w:rsidR="00000000" w:rsidRDefault="00EE530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3A4C83" w14:textId="77777777" w:rsidR="00000000" w:rsidRDefault="00EE5306">
            <w:pPr>
              <w:spacing w:after="100"/>
              <w:jc w:val="right"/>
              <w:rPr>
                <w:rFonts w:eastAsia="Times New Roman"/>
              </w:rPr>
            </w:pPr>
            <w:r>
              <w:rPr>
                <w:rFonts w:eastAsia="Times New Roman"/>
                <w:color w:val="000000"/>
                <w:sz w:val="16"/>
                <w:szCs w:val="16"/>
              </w:rPr>
              <w:t>10.2 </w:t>
            </w:r>
          </w:p>
        </w:tc>
        <w:tc>
          <w:tcPr>
            <w:tcW w:w="0" w:type="auto"/>
            <w:shd w:val="clear" w:color="auto" w:fill="FFFFFF"/>
            <w:tcMar>
              <w:top w:w="30" w:type="dxa"/>
              <w:left w:w="0" w:type="dxa"/>
              <w:bottom w:w="30" w:type="dxa"/>
              <w:right w:w="20" w:type="dxa"/>
            </w:tcMar>
            <w:vAlign w:val="bottom"/>
            <w:hideMark/>
          </w:tcPr>
          <w:p w14:paraId="4096450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439DF"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18D0FA7" w14:textId="77777777" w:rsidR="00000000" w:rsidRDefault="00EE5306">
            <w:pPr>
              <w:spacing w:after="100"/>
              <w:jc w:val="center"/>
              <w:rPr>
                <w:rFonts w:eastAsia="Times New Roman"/>
              </w:rPr>
            </w:pPr>
            <w:r>
              <w:rPr>
                <w:rFonts w:eastAsia="Times New Roman"/>
                <w:color w:val="000000"/>
                <w:sz w:val="16"/>
                <w:szCs w:val="16"/>
              </w:rPr>
              <w:t>ONCA</w:t>
            </w:r>
          </w:p>
        </w:tc>
        <w:tc>
          <w:tcPr>
            <w:tcW w:w="0" w:type="auto"/>
            <w:gridSpan w:val="3"/>
            <w:shd w:val="clear" w:color="auto" w:fill="FFFFFF"/>
            <w:tcMar>
              <w:top w:w="0" w:type="dxa"/>
              <w:left w:w="20" w:type="dxa"/>
              <w:bottom w:w="0" w:type="dxa"/>
              <w:right w:w="20" w:type="dxa"/>
            </w:tcMar>
            <w:vAlign w:val="center"/>
            <w:hideMark/>
          </w:tcPr>
          <w:p w14:paraId="2B9E6C3C" w14:textId="77777777" w:rsidR="00000000" w:rsidRDefault="00EE5306">
            <w:pPr>
              <w:spacing w:after="100"/>
              <w:jc w:val="center"/>
              <w:rPr>
                <w:rFonts w:eastAsia="Times New Roman"/>
              </w:rPr>
            </w:pPr>
          </w:p>
        </w:tc>
        <w:tc>
          <w:tcPr>
            <w:tcW w:w="0" w:type="auto"/>
            <w:gridSpan w:val="3"/>
            <w:shd w:val="clear" w:color="auto" w:fill="FFFFFF"/>
            <w:tcMar>
              <w:top w:w="30" w:type="dxa"/>
              <w:left w:w="20" w:type="dxa"/>
              <w:bottom w:w="30" w:type="dxa"/>
              <w:right w:w="0" w:type="dxa"/>
            </w:tcMar>
            <w:vAlign w:val="bottom"/>
            <w:hideMark/>
          </w:tcPr>
          <w:p w14:paraId="77AB0938" w14:textId="77777777" w:rsidR="00000000" w:rsidRDefault="00EE5306">
            <w:pPr>
              <w:spacing w:after="100"/>
              <w:jc w:val="right"/>
              <w:rPr>
                <w:rFonts w:eastAsia="Times New Roman"/>
              </w:rPr>
            </w:pPr>
            <w:r>
              <w:rPr>
                <w:rFonts w:eastAsia="Times New Roman"/>
                <w:color w:val="000000"/>
                <w:sz w:val="16"/>
                <w:szCs w:val="16"/>
              </w:rPr>
              <w:t>48.6 </w:t>
            </w:r>
          </w:p>
        </w:tc>
        <w:tc>
          <w:tcPr>
            <w:tcW w:w="0" w:type="auto"/>
            <w:shd w:val="clear" w:color="auto" w:fill="FFFFFF"/>
            <w:tcMar>
              <w:top w:w="30" w:type="dxa"/>
              <w:left w:w="0" w:type="dxa"/>
              <w:bottom w:w="30" w:type="dxa"/>
              <w:right w:w="20" w:type="dxa"/>
            </w:tcMar>
            <w:vAlign w:val="bottom"/>
            <w:hideMark/>
          </w:tcPr>
          <w:p w14:paraId="778D97DC" w14:textId="77777777" w:rsidR="00000000" w:rsidRDefault="00EE530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E07D021" w14:textId="77777777" w:rsidR="00000000" w:rsidRDefault="00EE5306">
            <w:pPr>
              <w:spacing w:after="100"/>
              <w:jc w:val="right"/>
              <w:rPr>
                <w:rFonts w:eastAsia="Times New Roman"/>
                <w:sz w:val="20"/>
                <w:szCs w:val="20"/>
              </w:rPr>
            </w:pPr>
          </w:p>
        </w:tc>
        <w:tc>
          <w:tcPr>
            <w:tcW w:w="0" w:type="auto"/>
            <w:gridSpan w:val="4"/>
            <w:shd w:val="clear" w:color="auto" w:fill="FFFFFF"/>
            <w:tcMar>
              <w:top w:w="30" w:type="dxa"/>
              <w:left w:w="20" w:type="dxa"/>
              <w:bottom w:w="30" w:type="dxa"/>
              <w:right w:w="20" w:type="dxa"/>
            </w:tcMar>
            <w:vAlign w:val="bottom"/>
            <w:hideMark/>
          </w:tcPr>
          <w:p w14:paraId="5CC8498B" w14:textId="77777777" w:rsidR="00000000" w:rsidRDefault="00EE5306">
            <w:pPr>
              <w:spacing w:after="100"/>
              <w:jc w:val="center"/>
              <w:rPr>
                <w:rFonts w:eastAsia="Times New Roman"/>
              </w:rPr>
            </w:pPr>
            <w:r>
              <w:rPr>
                <w:rFonts w:eastAsia="Times New Roman"/>
                <w:color w:val="000000"/>
                <w:sz w:val="16"/>
                <w:szCs w:val="16"/>
              </w:rPr>
              <w:t>ONCL</w:t>
            </w:r>
          </w:p>
        </w:tc>
        <w:tc>
          <w:tcPr>
            <w:tcW w:w="0" w:type="auto"/>
            <w:gridSpan w:val="3"/>
            <w:shd w:val="clear" w:color="auto" w:fill="FFFFFF"/>
            <w:tcMar>
              <w:top w:w="0" w:type="dxa"/>
              <w:left w:w="20" w:type="dxa"/>
              <w:bottom w:w="0" w:type="dxa"/>
              <w:right w:w="20" w:type="dxa"/>
            </w:tcMar>
            <w:vAlign w:val="center"/>
            <w:hideMark/>
          </w:tcPr>
          <w:p w14:paraId="0ABA453F" w14:textId="77777777" w:rsidR="00000000" w:rsidRDefault="00EE530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FF3D02" w14:textId="77777777" w:rsidR="00000000" w:rsidRDefault="00EE5306">
            <w:pPr>
              <w:spacing w:after="100"/>
              <w:jc w:val="right"/>
              <w:rPr>
                <w:rFonts w:eastAsia="Times New Roman"/>
              </w:rPr>
            </w:pPr>
            <w:r>
              <w:rPr>
                <w:rFonts w:eastAsia="Times New Roman"/>
                <w:color w:val="000000"/>
                <w:sz w:val="16"/>
                <w:szCs w:val="16"/>
              </w:rPr>
              <w:t>55.1 </w:t>
            </w:r>
          </w:p>
        </w:tc>
        <w:tc>
          <w:tcPr>
            <w:tcW w:w="0" w:type="auto"/>
            <w:shd w:val="clear" w:color="auto" w:fill="FFFFFF"/>
            <w:tcMar>
              <w:top w:w="30" w:type="dxa"/>
              <w:left w:w="0" w:type="dxa"/>
              <w:bottom w:w="30" w:type="dxa"/>
              <w:right w:w="20" w:type="dxa"/>
            </w:tcMar>
            <w:vAlign w:val="bottom"/>
            <w:hideMark/>
          </w:tcPr>
          <w:p w14:paraId="28D4354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0C4CBD"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2E8E31A" w14:textId="77777777" w:rsidR="00000000" w:rsidRDefault="00EE5306">
            <w:pPr>
              <w:spacing w:after="100"/>
              <w:jc w:val="center"/>
              <w:rPr>
                <w:rFonts w:eastAsia="Times New Roman"/>
              </w:rPr>
            </w:pPr>
            <w:r>
              <w:rPr>
                <w:rFonts w:eastAsia="Times New Roman"/>
                <w:color w:val="000000"/>
                <w:sz w:val="16"/>
                <w:szCs w:val="16"/>
              </w:rPr>
              <w:t>AE</w:t>
            </w:r>
          </w:p>
        </w:tc>
        <w:tc>
          <w:tcPr>
            <w:tcW w:w="0" w:type="auto"/>
            <w:gridSpan w:val="3"/>
            <w:shd w:val="clear" w:color="auto" w:fill="FFFFFF"/>
            <w:tcMar>
              <w:top w:w="0" w:type="dxa"/>
              <w:left w:w="20" w:type="dxa"/>
              <w:bottom w:w="0" w:type="dxa"/>
              <w:right w:w="20" w:type="dxa"/>
            </w:tcMar>
            <w:vAlign w:val="center"/>
            <w:hideMark/>
          </w:tcPr>
          <w:p w14:paraId="5B5D1A69" w14:textId="77777777" w:rsidR="00000000" w:rsidRDefault="00EE530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CB104E" w14:textId="77777777" w:rsidR="00000000" w:rsidRDefault="00EE5306">
            <w:pPr>
              <w:spacing w:after="100"/>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14:paraId="123D31DE" w14:textId="77777777" w:rsidR="00000000" w:rsidRDefault="00EE5306">
            <w:pPr>
              <w:spacing w:after="100"/>
              <w:jc w:val="right"/>
              <w:rPr>
                <w:rFonts w:eastAsia="Times New Roman"/>
              </w:rPr>
            </w:pPr>
          </w:p>
        </w:tc>
      </w:tr>
      <w:tr w:rsidR="00EE5306" w14:paraId="62501817" w14:textId="77777777">
        <w:trPr>
          <w:gridAfter w:val="2"/>
          <w:divId w:val="272446297"/>
        </w:trPr>
        <w:tc>
          <w:tcPr>
            <w:tcW w:w="0" w:type="auto"/>
            <w:gridSpan w:val="4"/>
            <w:shd w:val="clear" w:color="auto" w:fill="CCEEFF"/>
            <w:tcMar>
              <w:top w:w="30" w:type="dxa"/>
              <w:left w:w="380" w:type="dxa"/>
              <w:bottom w:w="30" w:type="dxa"/>
              <w:right w:w="20" w:type="dxa"/>
            </w:tcMar>
            <w:vAlign w:val="bottom"/>
            <w:hideMark/>
          </w:tcPr>
          <w:p w14:paraId="5C2C0A07" w14:textId="77777777" w:rsidR="00000000" w:rsidRDefault="00EE5306">
            <w:pPr>
              <w:spacing w:after="100"/>
              <w:rPr>
                <w:rFonts w:eastAsia="Times New Roman"/>
              </w:rPr>
            </w:pPr>
            <w:r>
              <w:rPr>
                <w:rFonts w:eastAsia="Times New Roman"/>
                <w:color w:val="000000"/>
                <w:sz w:val="16"/>
                <w:szCs w:val="16"/>
              </w:rPr>
              <w:t>Total Designated Hedges</w:t>
            </w:r>
          </w:p>
        </w:tc>
        <w:tc>
          <w:tcPr>
            <w:tcW w:w="0" w:type="auto"/>
            <w:gridSpan w:val="3"/>
            <w:shd w:val="clear" w:color="auto" w:fill="CCEEFF"/>
            <w:tcMar>
              <w:top w:w="0" w:type="dxa"/>
              <w:left w:w="20" w:type="dxa"/>
              <w:bottom w:w="0" w:type="dxa"/>
              <w:right w:w="20" w:type="dxa"/>
            </w:tcMar>
            <w:vAlign w:val="center"/>
            <w:hideMark/>
          </w:tcPr>
          <w:p w14:paraId="20899965"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CE6BEA" w14:textId="77777777" w:rsidR="00000000" w:rsidRDefault="00EE5306">
            <w:pPr>
              <w:spacing w:after="100"/>
              <w:jc w:val="right"/>
              <w:rPr>
                <w:rFonts w:eastAsia="Times New Roman"/>
              </w:rPr>
            </w:pPr>
            <w:r>
              <w:rPr>
                <w:rFonts w:eastAsia="Times New Roman"/>
                <w:color w:val="000000"/>
                <w:sz w:val="16"/>
                <w:szCs w:val="16"/>
              </w:rPr>
              <w:t>892.1 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0EE10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DA938A" w14:textId="77777777" w:rsidR="00000000" w:rsidRDefault="00EE5306">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545B0D77" w14:textId="77777777" w:rsidR="00000000" w:rsidRDefault="00EE5306">
            <w:pPr>
              <w:spacing w:after="100"/>
              <w:jc w:val="right"/>
              <w:rPr>
                <w:rFonts w:eastAsia="Times New Roman"/>
              </w:rPr>
            </w:pPr>
            <w:r>
              <w:rPr>
                <w:rFonts w:eastAsia="Times New Roman"/>
                <w:color w:val="000000"/>
                <w:sz w:val="16"/>
                <w:szCs w:val="16"/>
              </w:rPr>
              <w:t>1,212.6 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20837E" w14:textId="77777777" w:rsidR="00000000" w:rsidRDefault="00EE530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E615CE1"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34F0F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0DFE2A"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DC6C71" w14:textId="77777777" w:rsidR="00000000" w:rsidRDefault="00EE5306">
            <w:pPr>
              <w:spacing w:after="100"/>
              <w:jc w:val="right"/>
              <w:rPr>
                <w:rFonts w:eastAsia="Times New Roman"/>
              </w:rPr>
            </w:pPr>
            <w:r>
              <w:rPr>
                <w:rFonts w:eastAsia="Times New Roman"/>
                <w:color w:val="000000"/>
                <w:sz w:val="16"/>
                <w:szCs w:val="16"/>
              </w:rPr>
              <w:t>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392D6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08A8A"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1F7EB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4DF1C0"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7C402B76" w14:textId="77777777" w:rsidR="00000000" w:rsidRDefault="00EE5306">
            <w:pPr>
              <w:spacing w:after="100"/>
              <w:jc w:val="right"/>
              <w:rPr>
                <w:rFonts w:eastAsia="Times New Roman"/>
              </w:rPr>
            </w:pPr>
            <w:r>
              <w:rPr>
                <w:rFonts w:eastAsia="Times New Roman"/>
                <w:color w:val="000000"/>
                <w:sz w:val="16"/>
                <w:szCs w:val="16"/>
              </w:rPr>
              <w:t>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D05078" w14:textId="77777777" w:rsidR="00000000" w:rsidRDefault="00EE530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6ABD627" w14:textId="77777777" w:rsidR="00000000" w:rsidRDefault="00EE5306">
            <w:pPr>
              <w:spacing w:after="100"/>
              <w:jc w:val="right"/>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9433F6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E34254"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748567" w14:textId="77777777" w:rsidR="00000000" w:rsidRDefault="00EE5306">
            <w:pPr>
              <w:spacing w:after="100"/>
              <w:jc w:val="right"/>
              <w:rPr>
                <w:rFonts w:eastAsia="Times New Roman"/>
              </w:rPr>
            </w:pPr>
            <w:r>
              <w:rPr>
                <w:rFonts w:eastAsia="Times New Roman"/>
                <w:color w:val="000000"/>
                <w:sz w:val="16"/>
                <w:szCs w:val="16"/>
              </w:rPr>
              <w:t>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2EA80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18FEE"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2B607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FDE18"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97E8AD" w14:textId="77777777" w:rsidR="00000000" w:rsidRDefault="00EE5306">
            <w:pPr>
              <w:spacing w:after="100"/>
              <w:jc w:val="right"/>
              <w:rPr>
                <w:rFonts w:eastAsia="Times New Roman"/>
              </w:rPr>
            </w:pPr>
            <w:r>
              <w:rPr>
                <w:rFonts w:eastAsia="Times New Roman"/>
                <w:color w:val="000000"/>
                <w:sz w:val="16"/>
                <w:szCs w:val="16"/>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C62A43" w14:textId="77777777" w:rsidR="00000000" w:rsidRDefault="00EE5306">
            <w:pPr>
              <w:spacing w:after="100"/>
              <w:jc w:val="right"/>
              <w:rPr>
                <w:rFonts w:eastAsia="Times New Roman"/>
              </w:rPr>
            </w:pPr>
          </w:p>
        </w:tc>
      </w:tr>
      <w:tr w:rsidR="00000000" w14:paraId="6F55A506" w14:textId="77777777">
        <w:trPr>
          <w:gridAfter w:val="2"/>
          <w:divId w:val="272446297"/>
        </w:trPr>
        <w:tc>
          <w:tcPr>
            <w:tcW w:w="0" w:type="auto"/>
            <w:gridSpan w:val="4"/>
            <w:shd w:val="clear" w:color="auto" w:fill="FFFFFF"/>
            <w:tcMar>
              <w:top w:w="30" w:type="dxa"/>
              <w:left w:w="20" w:type="dxa"/>
              <w:bottom w:w="30" w:type="dxa"/>
              <w:right w:w="20" w:type="dxa"/>
            </w:tcMar>
            <w:vAlign w:val="bottom"/>
            <w:hideMark/>
          </w:tcPr>
          <w:p w14:paraId="35B91CB2" w14:textId="77777777" w:rsidR="00000000" w:rsidRDefault="00EE5306">
            <w:pPr>
              <w:spacing w:after="100"/>
              <w:rPr>
                <w:rFonts w:eastAsia="Times New Roman"/>
              </w:rPr>
            </w:pPr>
            <w:r>
              <w:rPr>
                <w:rFonts w:eastAsia="Times New Roman"/>
                <w:color w:val="000000"/>
                <w:sz w:val="16"/>
                <w:szCs w:val="16"/>
                <w:u w:val="single"/>
              </w:rPr>
              <w:t>Undesignated Hedges:</w:t>
            </w:r>
          </w:p>
        </w:tc>
        <w:tc>
          <w:tcPr>
            <w:tcW w:w="0" w:type="auto"/>
            <w:gridSpan w:val="3"/>
            <w:shd w:val="clear" w:color="auto" w:fill="FFFFFF"/>
            <w:tcMar>
              <w:top w:w="0" w:type="dxa"/>
              <w:left w:w="20" w:type="dxa"/>
              <w:bottom w:w="0" w:type="dxa"/>
              <w:right w:w="20" w:type="dxa"/>
            </w:tcMar>
            <w:vAlign w:val="center"/>
            <w:hideMark/>
          </w:tcPr>
          <w:p w14:paraId="198EB98D" w14:textId="77777777" w:rsidR="00000000" w:rsidRDefault="00EE530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71046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C1D2E1" w14:textId="77777777" w:rsidR="00000000" w:rsidRDefault="00EE5306">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14:paraId="33C3F32E" w14:textId="77777777" w:rsidR="00000000" w:rsidRDefault="00EE530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F5505D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CE436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FBA94B"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9A7FF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2CA2F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73BA9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CAE263" w14:textId="77777777" w:rsidR="00000000" w:rsidRDefault="00EE5306">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14:paraId="045BE981" w14:textId="77777777" w:rsidR="00000000" w:rsidRDefault="00EE530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55199EF4" w14:textId="77777777" w:rsidR="00000000" w:rsidRDefault="00EE530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52F3CD1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10762C"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926F5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C74CE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DD248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CE883C"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14:paraId="104D4D0D" w14:textId="77777777" w:rsidR="00000000" w:rsidRDefault="00EE5306">
            <w:pPr>
              <w:spacing w:after="100"/>
              <w:rPr>
                <w:rFonts w:eastAsia="Times New Roman"/>
                <w:sz w:val="20"/>
                <w:szCs w:val="20"/>
              </w:rPr>
            </w:pPr>
          </w:p>
        </w:tc>
        <w:tc>
          <w:tcPr>
            <w:tcW w:w="0" w:type="auto"/>
            <w:vAlign w:val="center"/>
            <w:hideMark/>
          </w:tcPr>
          <w:p w14:paraId="0091AAE4" w14:textId="77777777" w:rsidR="00000000" w:rsidRDefault="00EE5306">
            <w:pPr>
              <w:spacing w:after="100"/>
              <w:rPr>
                <w:rFonts w:eastAsia="Times New Roman"/>
                <w:sz w:val="20"/>
                <w:szCs w:val="20"/>
              </w:rPr>
            </w:pPr>
          </w:p>
        </w:tc>
      </w:tr>
      <w:tr w:rsidR="00EE5306" w14:paraId="209EDA02" w14:textId="77777777">
        <w:trPr>
          <w:gridAfter w:val="2"/>
          <w:divId w:val="272446297"/>
        </w:trPr>
        <w:tc>
          <w:tcPr>
            <w:tcW w:w="0" w:type="auto"/>
            <w:gridSpan w:val="4"/>
            <w:shd w:val="clear" w:color="auto" w:fill="CCEEFF"/>
            <w:tcMar>
              <w:top w:w="30" w:type="dxa"/>
              <w:left w:w="20" w:type="dxa"/>
              <w:bottom w:w="30" w:type="dxa"/>
              <w:right w:w="20" w:type="dxa"/>
            </w:tcMar>
            <w:vAlign w:val="bottom"/>
            <w:hideMark/>
          </w:tcPr>
          <w:p w14:paraId="43A8B9DD" w14:textId="77777777" w:rsidR="00000000" w:rsidRDefault="00EE5306">
            <w:pPr>
              <w:spacing w:after="100"/>
              <w:divId w:val="880748995"/>
              <w:rPr>
                <w:rFonts w:eastAsia="Times New Roman"/>
              </w:rPr>
            </w:pPr>
            <w:r>
              <w:rPr>
                <w:rFonts w:eastAsia="Times New Roman"/>
                <w:color w:val="000000"/>
                <w:sz w:val="16"/>
                <w:szCs w:val="16"/>
              </w:rPr>
              <w:t>FC — Undesignated hedge</w:t>
            </w:r>
            <w:r>
              <w:rPr>
                <w:rFonts w:eastAsia="Times New Roman"/>
                <w:color w:val="000000"/>
                <w:sz w:val="16"/>
                <w:szCs w:val="16"/>
              </w:rPr>
              <w:t>s</w:t>
            </w:r>
            <w:r>
              <w:rPr>
                <w:rFonts w:eastAsia="Times New Roman"/>
                <w:b/>
                <w:bCs/>
                <w:color w:val="000000"/>
                <w:sz w:val="10"/>
                <w:szCs w:val="10"/>
              </w:rPr>
              <w:t>(d</w:t>
            </w:r>
            <w:r>
              <w:rPr>
                <w:rFonts w:eastAsia="Times New Roman"/>
                <w:b/>
                <w:bCs/>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3AEF1AD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E595DB" w14:textId="77777777" w:rsidR="00000000" w:rsidRDefault="00EE5306">
            <w:pPr>
              <w:spacing w:after="100"/>
              <w:jc w:val="right"/>
              <w:rPr>
                <w:rFonts w:eastAsia="Times New Roman"/>
              </w:rPr>
            </w:pPr>
            <w:r>
              <w:rPr>
                <w:rFonts w:eastAsia="Times New Roman"/>
                <w:color w:val="000000"/>
                <w:sz w:val="16"/>
                <w:szCs w:val="16"/>
              </w:rPr>
              <w:t>242.4 </w:t>
            </w:r>
          </w:p>
        </w:tc>
        <w:tc>
          <w:tcPr>
            <w:tcW w:w="0" w:type="auto"/>
            <w:shd w:val="clear" w:color="auto" w:fill="CCEEFF"/>
            <w:tcMar>
              <w:top w:w="30" w:type="dxa"/>
              <w:left w:w="0" w:type="dxa"/>
              <w:bottom w:w="30" w:type="dxa"/>
              <w:right w:w="20" w:type="dxa"/>
            </w:tcMar>
            <w:vAlign w:val="bottom"/>
            <w:hideMark/>
          </w:tcPr>
          <w:p w14:paraId="5FB2ADA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DABC0" w14:textId="77777777" w:rsidR="00000000" w:rsidRDefault="00EE530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5B72D6CA" w14:textId="77777777" w:rsidR="00000000" w:rsidRDefault="00EE5306">
            <w:pPr>
              <w:spacing w:after="100"/>
              <w:jc w:val="right"/>
              <w:rPr>
                <w:rFonts w:eastAsia="Times New Roman"/>
              </w:rPr>
            </w:pPr>
            <w:r>
              <w:rPr>
                <w:rFonts w:eastAsia="Times New Roman"/>
                <w:color w:val="000000"/>
                <w:sz w:val="16"/>
                <w:szCs w:val="16"/>
              </w:rPr>
              <w:t>473.5 </w:t>
            </w:r>
          </w:p>
        </w:tc>
        <w:tc>
          <w:tcPr>
            <w:tcW w:w="0" w:type="auto"/>
            <w:shd w:val="clear" w:color="auto" w:fill="CCEEFF"/>
            <w:tcMar>
              <w:top w:w="30" w:type="dxa"/>
              <w:left w:w="0" w:type="dxa"/>
              <w:bottom w:w="30" w:type="dxa"/>
              <w:right w:w="20" w:type="dxa"/>
            </w:tcMar>
            <w:vAlign w:val="bottom"/>
            <w:hideMark/>
          </w:tcPr>
          <w:p w14:paraId="5FA6EEC1" w14:textId="77777777" w:rsidR="00000000" w:rsidRDefault="00EE530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222471E"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80F1E0C" w14:textId="77777777" w:rsidR="00000000" w:rsidRDefault="00EE5306">
            <w:pPr>
              <w:spacing w:after="100"/>
              <w:jc w:val="center"/>
              <w:rPr>
                <w:rFonts w:eastAsia="Times New Roman"/>
              </w:rPr>
            </w:pPr>
            <w:r>
              <w:rPr>
                <w:rFonts w:eastAsia="Times New Roman"/>
                <w:color w:val="000000"/>
                <w:sz w:val="16"/>
                <w:szCs w:val="16"/>
              </w:rPr>
              <w:t>PP</w:t>
            </w:r>
          </w:p>
        </w:tc>
        <w:tc>
          <w:tcPr>
            <w:tcW w:w="0" w:type="auto"/>
            <w:gridSpan w:val="3"/>
            <w:shd w:val="clear" w:color="auto" w:fill="CCEEFF"/>
            <w:tcMar>
              <w:top w:w="0" w:type="dxa"/>
              <w:left w:w="20" w:type="dxa"/>
              <w:bottom w:w="0" w:type="dxa"/>
              <w:right w:w="20" w:type="dxa"/>
            </w:tcMar>
            <w:vAlign w:val="center"/>
            <w:hideMark/>
          </w:tcPr>
          <w:p w14:paraId="1700652A"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35B595" w14:textId="77777777" w:rsidR="00000000" w:rsidRDefault="00EE5306">
            <w:pPr>
              <w:spacing w:after="100"/>
              <w:jc w:val="right"/>
              <w:rPr>
                <w:rFonts w:eastAsia="Times New Roman"/>
              </w:rPr>
            </w:pPr>
            <w:r>
              <w:rPr>
                <w:rFonts w:eastAsia="Times New Roman"/>
                <w:color w:val="000000"/>
                <w:sz w:val="16"/>
                <w:szCs w:val="16"/>
              </w:rPr>
              <w:t>0.6 </w:t>
            </w:r>
          </w:p>
        </w:tc>
        <w:tc>
          <w:tcPr>
            <w:tcW w:w="0" w:type="auto"/>
            <w:shd w:val="clear" w:color="auto" w:fill="CCEEFF"/>
            <w:tcMar>
              <w:top w:w="30" w:type="dxa"/>
              <w:left w:w="0" w:type="dxa"/>
              <w:bottom w:w="30" w:type="dxa"/>
              <w:right w:w="20" w:type="dxa"/>
            </w:tcMar>
            <w:vAlign w:val="bottom"/>
            <w:hideMark/>
          </w:tcPr>
          <w:p w14:paraId="7883C6E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196F4"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AB8FA2B" w14:textId="77777777" w:rsidR="00000000" w:rsidRDefault="00EE5306">
            <w:pPr>
              <w:spacing w:after="100"/>
              <w:jc w:val="center"/>
              <w:rPr>
                <w:rFonts w:eastAsia="Times New Roman"/>
              </w:rPr>
            </w:pPr>
            <w:r>
              <w:rPr>
                <w:rFonts w:eastAsia="Times New Roman"/>
                <w:color w:val="000000"/>
                <w:sz w:val="16"/>
                <w:szCs w:val="16"/>
              </w:rPr>
              <w:t>PP</w:t>
            </w:r>
          </w:p>
        </w:tc>
        <w:tc>
          <w:tcPr>
            <w:tcW w:w="0" w:type="auto"/>
            <w:gridSpan w:val="3"/>
            <w:shd w:val="clear" w:color="auto" w:fill="CCEEFF"/>
            <w:tcMar>
              <w:top w:w="0" w:type="dxa"/>
              <w:left w:w="20" w:type="dxa"/>
              <w:bottom w:w="0" w:type="dxa"/>
              <w:right w:w="20" w:type="dxa"/>
            </w:tcMar>
            <w:vAlign w:val="center"/>
            <w:hideMark/>
          </w:tcPr>
          <w:p w14:paraId="7561E9E8" w14:textId="77777777" w:rsidR="00000000" w:rsidRDefault="00EE5306">
            <w:pPr>
              <w:spacing w:after="100"/>
              <w:jc w:val="center"/>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48576284" w14:textId="77777777" w:rsidR="00000000" w:rsidRDefault="00EE5306">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14:paraId="5B6B37E5" w14:textId="77777777" w:rsidR="00000000" w:rsidRDefault="00EE530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B4C3325" w14:textId="77777777" w:rsidR="00000000" w:rsidRDefault="00EE5306">
            <w:pPr>
              <w:spacing w:after="100"/>
              <w:jc w:val="right"/>
              <w:rPr>
                <w:rFonts w:eastAsia="Times New Roman"/>
                <w:sz w:val="20"/>
                <w:szCs w:val="20"/>
              </w:rPr>
            </w:pPr>
          </w:p>
        </w:tc>
        <w:tc>
          <w:tcPr>
            <w:tcW w:w="0" w:type="auto"/>
            <w:gridSpan w:val="4"/>
            <w:shd w:val="clear" w:color="auto" w:fill="CCEEFF"/>
            <w:tcMar>
              <w:top w:w="30" w:type="dxa"/>
              <w:left w:w="20" w:type="dxa"/>
              <w:bottom w:w="30" w:type="dxa"/>
              <w:right w:w="20" w:type="dxa"/>
            </w:tcMar>
            <w:vAlign w:val="bottom"/>
            <w:hideMark/>
          </w:tcPr>
          <w:p w14:paraId="7552DBF1" w14:textId="77777777" w:rsidR="00000000" w:rsidRDefault="00EE5306">
            <w:pPr>
              <w:spacing w:after="100"/>
              <w:jc w:val="center"/>
              <w:rPr>
                <w:rFonts w:eastAsia="Times New Roman"/>
              </w:rPr>
            </w:pPr>
            <w:r>
              <w:rPr>
                <w:rFonts w:eastAsia="Times New Roman"/>
                <w:color w:val="000000"/>
                <w:sz w:val="16"/>
                <w:szCs w:val="16"/>
              </w:rPr>
              <w:t>AE</w:t>
            </w:r>
          </w:p>
        </w:tc>
        <w:tc>
          <w:tcPr>
            <w:tcW w:w="0" w:type="auto"/>
            <w:gridSpan w:val="3"/>
            <w:shd w:val="clear" w:color="auto" w:fill="CCEEFF"/>
            <w:tcMar>
              <w:top w:w="0" w:type="dxa"/>
              <w:left w:w="20" w:type="dxa"/>
              <w:bottom w:w="0" w:type="dxa"/>
              <w:right w:w="20" w:type="dxa"/>
            </w:tcMar>
            <w:vAlign w:val="center"/>
            <w:hideMark/>
          </w:tcPr>
          <w:p w14:paraId="06CCB406"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230D3D" w14:textId="77777777" w:rsidR="00000000" w:rsidRDefault="00EE5306">
            <w:pPr>
              <w:spacing w:after="100"/>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vAlign w:val="bottom"/>
            <w:hideMark/>
          </w:tcPr>
          <w:p w14:paraId="39BFCCC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20C731"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A8659CD" w14:textId="77777777" w:rsidR="00000000" w:rsidRDefault="00EE5306">
            <w:pPr>
              <w:spacing w:after="100"/>
              <w:jc w:val="center"/>
              <w:rPr>
                <w:rFonts w:eastAsia="Times New Roman"/>
              </w:rPr>
            </w:pPr>
            <w:r>
              <w:rPr>
                <w:rFonts w:eastAsia="Times New Roman"/>
                <w:color w:val="000000"/>
                <w:sz w:val="16"/>
                <w:szCs w:val="16"/>
              </w:rPr>
              <w:t>AE</w:t>
            </w:r>
          </w:p>
        </w:tc>
        <w:tc>
          <w:tcPr>
            <w:tcW w:w="0" w:type="auto"/>
            <w:gridSpan w:val="3"/>
            <w:shd w:val="clear" w:color="auto" w:fill="CCEEFF"/>
            <w:tcMar>
              <w:top w:w="0" w:type="dxa"/>
              <w:left w:w="20" w:type="dxa"/>
              <w:bottom w:w="0" w:type="dxa"/>
              <w:right w:w="20" w:type="dxa"/>
            </w:tcMar>
            <w:vAlign w:val="center"/>
            <w:hideMark/>
          </w:tcPr>
          <w:p w14:paraId="2F2FCD63" w14:textId="77777777" w:rsidR="00000000" w:rsidRDefault="00EE530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E7267B" w14:textId="77777777" w:rsidR="00000000" w:rsidRDefault="00EE5306">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14:paraId="59BC1C84" w14:textId="77777777" w:rsidR="00000000" w:rsidRDefault="00EE5306">
            <w:pPr>
              <w:spacing w:after="100"/>
              <w:jc w:val="right"/>
              <w:rPr>
                <w:rFonts w:eastAsia="Times New Roman"/>
              </w:rPr>
            </w:pPr>
          </w:p>
        </w:tc>
      </w:tr>
      <w:tr w:rsidR="00EE5306" w14:paraId="14AEBFC1" w14:textId="77777777">
        <w:trPr>
          <w:gridAfter w:val="2"/>
          <w:divId w:val="272446297"/>
        </w:trPr>
        <w:tc>
          <w:tcPr>
            <w:tcW w:w="0" w:type="auto"/>
            <w:gridSpan w:val="4"/>
            <w:shd w:val="clear" w:color="auto" w:fill="FFFFFF"/>
            <w:tcMar>
              <w:top w:w="30" w:type="dxa"/>
              <w:left w:w="380" w:type="dxa"/>
              <w:bottom w:w="30" w:type="dxa"/>
              <w:right w:w="20" w:type="dxa"/>
            </w:tcMar>
            <w:vAlign w:val="bottom"/>
            <w:hideMark/>
          </w:tcPr>
          <w:p w14:paraId="091E4157" w14:textId="77777777" w:rsidR="00000000" w:rsidRDefault="00EE5306">
            <w:pPr>
              <w:spacing w:after="100"/>
              <w:rPr>
                <w:rFonts w:eastAsia="Times New Roman"/>
              </w:rPr>
            </w:pPr>
            <w:r>
              <w:rPr>
                <w:rFonts w:eastAsia="Times New Roman"/>
                <w:color w:val="000000"/>
                <w:sz w:val="16"/>
                <w:szCs w:val="16"/>
              </w:rPr>
              <w:t>Total Hedges</w:t>
            </w:r>
          </w:p>
        </w:tc>
        <w:tc>
          <w:tcPr>
            <w:tcW w:w="0" w:type="auto"/>
            <w:gridSpan w:val="3"/>
            <w:shd w:val="clear" w:color="auto" w:fill="FFFFFF"/>
            <w:tcMar>
              <w:top w:w="0" w:type="dxa"/>
              <w:left w:w="20" w:type="dxa"/>
              <w:bottom w:w="0" w:type="dxa"/>
              <w:right w:w="20" w:type="dxa"/>
            </w:tcMar>
            <w:vAlign w:val="center"/>
            <w:hideMark/>
          </w:tcPr>
          <w:p w14:paraId="68BD6C70"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F5E99E"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101F94" w14:textId="77777777" w:rsidR="00000000" w:rsidRDefault="00EE5306">
            <w:pPr>
              <w:spacing w:after="100"/>
              <w:jc w:val="right"/>
              <w:rPr>
                <w:rFonts w:eastAsia="Times New Roman"/>
              </w:rPr>
            </w:pPr>
            <w:r>
              <w:rPr>
                <w:rFonts w:eastAsia="Times New Roman"/>
                <w:color w:val="000000"/>
                <w:sz w:val="16"/>
                <w:szCs w:val="16"/>
              </w:rPr>
              <w:t>1,134.5 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9827B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76A3E"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F3CE86" w14:textId="77777777" w:rsidR="00000000" w:rsidRDefault="00EE5306">
            <w:pPr>
              <w:spacing w:after="100"/>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346CA37" w14:textId="77777777" w:rsidR="00000000" w:rsidRDefault="00EE5306">
            <w:pPr>
              <w:spacing w:after="100"/>
              <w:jc w:val="right"/>
              <w:rPr>
                <w:rFonts w:eastAsia="Times New Roman"/>
              </w:rPr>
            </w:pPr>
            <w:r>
              <w:rPr>
                <w:rFonts w:eastAsia="Times New Roman"/>
                <w:color w:val="000000"/>
                <w:sz w:val="16"/>
                <w:szCs w:val="16"/>
              </w:rPr>
              <w:t>1,686.1 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C86A29" w14:textId="77777777" w:rsidR="00000000" w:rsidRDefault="00EE530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C9D79FE"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5DC99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0C3254" w14:textId="77777777" w:rsidR="00000000" w:rsidRDefault="00EE5306">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F36D07"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AA54F9" w14:textId="77777777" w:rsidR="00000000" w:rsidRDefault="00EE5306">
            <w:pPr>
              <w:spacing w:after="100"/>
              <w:jc w:val="right"/>
              <w:rPr>
                <w:rFonts w:eastAsia="Times New Roman"/>
              </w:rPr>
            </w:pPr>
            <w:r>
              <w:rPr>
                <w:rFonts w:eastAsia="Times New Roman"/>
                <w:color w:val="000000"/>
                <w:sz w:val="16"/>
                <w:szCs w:val="16"/>
              </w:rPr>
              <w:t>15.8 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8AAD7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DCCB4"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12F5C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6A9101" w14:textId="77777777" w:rsidR="00000000" w:rsidRDefault="00EE5306">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49AD6D" w14:textId="77777777" w:rsidR="00000000" w:rsidRDefault="00EE5306">
            <w:pPr>
              <w:spacing w:after="100"/>
              <w:rPr>
                <w:rFonts w:eastAsia="Times New Roman"/>
              </w:rPr>
            </w:pPr>
            <w:r>
              <w:rPr>
                <w:rFonts w:eastAsia="Times New Roman"/>
                <w:color w:val="000000"/>
                <w:sz w:val="16"/>
                <w:szCs w:val="16"/>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8F152D" w14:textId="77777777" w:rsidR="00000000" w:rsidRDefault="00EE5306">
            <w:pPr>
              <w:spacing w:after="100"/>
              <w:jc w:val="right"/>
              <w:rPr>
                <w:rFonts w:eastAsia="Times New Roman"/>
              </w:rPr>
            </w:pPr>
            <w:r>
              <w:rPr>
                <w:rFonts w:eastAsia="Times New Roman"/>
                <w:color w:val="000000"/>
                <w:sz w:val="16"/>
                <w:szCs w:val="16"/>
              </w:rPr>
              <w:t>62.3 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2C2C60" w14:textId="77777777" w:rsidR="00000000" w:rsidRDefault="00EE530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7AF2E3A" w14:textId="77777777" w:rsidR="00000000" w:rsidRDefault="00EE5306">
            <w:pPr>
              <w:spacing w:after="100"/>
              <w:jc w:val="right"/>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568D284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4E46DE" w14:textId="77777777" w:rsidR="00000000" w:rsidRDefault="00EE5306">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0172C9"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9D7572" w14:textId="77777777" w:rsidR="00000000" w:rsidRDefault="00EE5306">
            <w:pPr>
              <w:spacing w:after="100"/>
              <w:jc w:val="right"/>
              <w:rPr>
                <w:rFonts w:eastAsia="Times New Roman"/>
              </w:rPr>
            </w:pPr>
            <w:r>
              <w:rPr>
                <w:rFonts w:eastAsia="Times New Roman"/>
                <w:color w:val="000000"/>
                <w:sz w:val="16"/>
                <w:szCs w:val="16"/>
              </w:rPr>
              <w:t>55.4 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AF51E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E613A9"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8D273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2552C0" w14:textId="77777777" w:rsidR="00000000" w:rsidRDefault="00EE5306">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E46251"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9CC412" w14:textId="77777777" w:rsidR="00000000" w:rsidRDefault="00EE5306">
            <w:pPr>
              <w:spacing w:after="100"/>
              <w:jc w:val="right"/>
              <w:rPr>
                <w:rFonts w:eastAsia="Times New Roman"/>
              </w:rPr>
            </w:pPr>
            <w:r>
              <w:rPr>
                <w:rFonts w:eastAsia="Times New Roman"/>
                <w:color w:val="000000"/>
                <w:sz w:val="16"/>
                <w:szCs w:val="16"/>
              </w:rPr>
              <w:t>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1AD01C" w14:textId="77777777" w:rsidR="00000000" w:rsidRDefault="00EE5306">
            <w:pPr>
              <w:spacing w:after="100"/>
              <w:jc w:val="right"/>
              <w:rPr>
                <w:rFonts w:eastAsia="Times New Roman"/>
              </w:rPr>
            </w:pPr>
          </w:p>
        </w:tc>
      </w:tr>
      <w:tr w:rsidR="00000000" w14:paraId="6E659966" w14:textId="77777777">
        <w:tblPrEx>
          <w:tblW w:w="5000" w:type="pct"/>
          <w:jc w:val="center"/>
        </w:tblPrEx>
        <w:trPr>
          <w:jc w:val="center"/>
        </w:trPr>
        <w:tc>
          <w:tcPr>
            <w:tcW w:w="50" w:type="pct"/>
            <w:gridSpan w:val="2"/>
            <w:vAlign w:val="center"/>
            <w:hideMark/>
          </w:tcPr>
          <w:p w14:paraId="0EFF1314" w14:textId="77777777" w:rsidR="00000000" w:rsidRDefault="00EE5306">
            <w:pPr>
              <w:rPr>
                <w:rFonts w:eastAsia="Times New Roman"/>
              </w:rPr>
            </w:pPr>
          </w:p>
        </w:tc>
        <w:tc>
          <w:tcPr>
            <w:tcW w:w="1699" w:type="pct"/>
            <w:gridSpan w:val="13"/>
            <w:vAlign w:val="center"/>
            <w:hideMark/>
          </w:tcPr>
          <w:p w14:paraId="6A8B9013" w14:textId="77777777" w:rsidR="00000000" w:rsidRDefault="00EE5306">
            <w:pPr>
              <w:spacing w:after="100"/>
              <w:rPr>
                <w:rFonts w:eastAsia="Times New Roman"/>
                <w:sz w:val="20"/>
                <w:szCs w:val="20"/>
              </w:rPr>
            </w:pPr>
          </w:p>
        </w:tc>
        <w:tc>
          <w:tcPr>
            <w:tcW w:w="5" w:type="pct"/>
            <w:vAlign w:val="center"/>
            <w:hideMark/>
          </w:tcPr>
          <w:p w14:paraId="07231062" w14:textId="77777777" w:rsidR="00000000" w:rsidRDefault="00EE5306">
            <w:pPr>
              <w:spacing w:after="100"/>
              <w:rPr>
                <w:rFonts w:eastAsia="Times New Roman"/>
                <w:sz w:val="20"/>
                <w:szCs w:val="20"/>
              </w:rPr>
            </w:pPr>
          </w:p>
        </w:tc>
        <w:tc>
          <w:tcPr>
            <w:tcW w:w="50" w:type="pct"/>
            <w:gridSpan w:val="4"/>
            <w:vAlign w:val="center"/>
            <w:hideMark/>
          </w:tcPr>
          <w:p w14:paraId="67382D28" w14:textId="77777777" w:rsidR="00000000" w:rsidRDefault="00EE5306">
            <w:pPr>
              <w:spacing w:after="100"/>
              <w:rPr>
                <w:rFonts w:eastAsia="Times New Roman"/>
                <w:sz w:val="20"/>
                <w:szCs w:val="20"/>
              </w:rPr>
            </w:pPr>
          </w:p>
        </w:tc>
        <w:tc>
          <w:tcPr>
            <w:tcW w:w="1436" w:type="pct"/>
            <w:gridSpan w:val="22"/>
            <w:vAlign w:val="center"/>
            <w:hideMark/>
          </w:tcPr>
          <w:p w14:paraId="71294227" w14:textId="77777777" w:rsidR="00000000" w:rsidRDefault="00EE5306">
            <w:pPr>
              <w:spacing w:after="100"/>
              <w:rPr>
                <w:rFonts w:eastAsia="Times New Roman"/>
                <w:sz w:val="20"/>
                <w:szCs w:val="20"/>
              </w:rPr>
            </w:pPr>
          </w:p>
        </w:tc>
        <w:tc>
          <w:tcPr>
            <w:tcW w:w="5" w:type="pct"/>
            <w:gridSpan w:val="4"/>
            <w:vAlign w:val="center"/>
            <w:hideMark/>
          </w:tcPr>
          <w:p w14:paraId="56DBBE37" w14:textId="77777777" w:rsidR="00000000" w:rsidRDefault="00EE5306">
            <w:pPr>
              <w:spacing w:after="100"/>
              <w:rPr>
                <w:rFonts w:eastAsia="Times New Roman"/>
                <w:sz w:val="20"/>
                <w:szCs w:val="20"/>
              </w:rPr>
            </w:pPr>
          </w:p>
        </w:tc>
        <w:tc>
          <w:tcPr>
            <w:tcW w:w="50" w:type="pct"/>
            <w:gridSpan w:val="4"/>
            <w:vAlign w:val="center"/>
            <w:hideMark/>
          </w:tcPr>
          <w:p w14:paraId="471D1B1F" w14:textId="77777777" w:rsidR="00000000" w:rsidRDefault="00EE5306">
            <w:pPr>
              <w:spacing w:after="100"/>
              <w:rPr>
                <w:rFonts w:eastAsia="Times New Roman"/>
                <w:sz w:val="20"/>
                <w:szCs w:val="20"/>
              </w:rPr>
            </w:pPr>
          </w:p>
        </w:tc>
        <w:tc>
          <w:tcPr>
            <w:tcW w:w="1699" w:type="pct"/>
            <w:gridSpan w:val="21"/>
            <w:vAlign w:val="center"/>
            <w:hideMark/>
          </w:tcPr>
          <w:p w14:paraId="42A6579E" w14:textId="77777777" w:rsidR="00000000" w:rsidRDefault="00EE5306">
            <w:pPr>
              <w:spacing w:after="100"/>
              <w:rPr>
                <w:rFonts w:eastAsia="Times New Roman"/>
                <w:sz w:val="20"/>
                <w:szCs w:val="20"/>
              </w:rPr>
            </w:pPr>
          </w:p>
        </w:tc>
        <w:tc>
          <w:tcPr>
            <w:tcW w:w="5" w:type="pct"/>
            <w:vAlign w:val="center"/>
            <w:hideMark/>
          </w:tcPr>
          <w:p w14:paraId="027C1CB2" w14:textId="77777777" w:rsidR="00000000" w:rsidRDefault="00EE5306">
            <w:pPr>
              <w:spacing w:after="100"/>
              <w:rPr>
                <w:rFonts w:eastAsia="Times New Roman"/>
                <w:sz w:val="20"/>
                <w:szCs w:val="20"/>
              </w:rPr>
            </w:pPr>
          </w:p>
        </w:tc>
      </w:tr>
      <w:tr w:rsidR="00000000" w14:paraId="66C418D5" w14:textId="77777777">
        <w:tblPrEx>
          <w:tblW w:w="5000" w:type="pct"/>
          <w:jc w:val="center"/>
        </w:tblPrEx>
        <w:trPr>
          <w:jc w:val="center"/>
        </w:trPr>
        <w:tc>
          <w:tcPr>
            <w:tcW w:w="0" w:type="auto"/>
            <w:gridSpan w:val="16"/>
            <w:tcMar>
              <w:top w:w="0" w:type="dxa"/>
              <w:left w:w="20" w:type="dxa"/>
              <w:bottom w:w="0" w:type="dxa"/>
              <w:right w:w="20" w:type="dxa"/>
            </w:tcMar>
            <w:vAlign w:val="center"/>
            <w:hideMark/>
          </w:tcPr>
          <w:p w14:paraId="4ABADBDC" w14:textId="77777777" w:rsidR="00000000" w:rsidRDefault="00EE5306">
            <w:pPr>
              <w:spacing w:after="100"/>
              <w:rPr>
                <w:rFonts w:eastAsia="Times New Roman"/>
                <w:sz w:val="20"/>
                <w:szCs w:val="20"/>
              </w:rPr>
            </w:pPr>
          </w:p>
        </w:tc>
        <w:tc>
          <w:tcPr>
            <w:tcW w:w="0" w:type="auto"/>
            <w:gridSpan w:val="30"/>
            <w:tcMar>
              <w:top w:w="30" w:type="dxa"/>
              <w:left w:w="20" w:type="dxa"/>
              <w:bottom w:w="30" w:type="dxa"/>
              <w:right w:w="20" w:type="dxa"/>
            </w:tcMar>
            <w:vAlign w:val="bottom"/>
            <w:hideMark/>
          </w:tcPr>
          <w:p w14:paraId="7D9176C9" w14:textId="77777777" w:rsidR="00000000" w:rsidRDefault="00EE5306">
            <w:pPr>
              <w:spacing w:after="100"/>
              <w:jc w:val="center"/>
              <w:rPr>
                <w:rFonts w:eastAsia="Times New Roman"/>
              </w:rPr>
            </w:pPr>
            <w:r>
              <w:rPr>
                <w:rFonts w:eastAsia="Times New Roman"/>
                <w:color w:val="000000"/>
                <w:sz w:val="20"/>
                <w:szCs w:val="20"/>
              </w:rPr>
              <w:t>F-38</w:t>
            </w:r>
          </w:p>
        </w:tc>
        <w:tc>
          <w:tcPr>
            <w:tcW w:w="0" w:type="auto"/>
            <w:gridSpan w:val="26"/>
            <w:tcMar>
              <w:top w:w="0" w:type="dxa"/>
              <w:left w:w="20" w:type="dxa"/>
              <w:bottom w:w="0" w:type="dxa"/>
              <w:right w:w="20" w:type="dxa"/>
            </w:tcMar>
            <w:vAlign w:val="center"/>
            <w:hideMark/>
          </w:tcPr>
          <w:p w14:paraId="5087047D" w14:textId="77777777" w:rsidR="00000000" w:rsidRDefault="00EE5306">
            <w:pPr>
              <w:spacing w:after="100"/>
              <w:jc w:val="center"/>
              <w:rPr>
                <w:rFonts w:eastAsia="Times New Roman"/>
              </w:rPr>
            </w:pPr>
          </w:p>
        </w:tc>
      </w:tr>
    </w:tbl>
    <w:p w14:paraId="0BF99307" w14:textId="77777777" w:rsidR="00000000" w:rsidRDefault="00EE5306">
      <w:pPr>
        <w:rPr>
          <w:rFonts w:eastAsia="Times New Roman"/>
        </w:rPr>
      </w:pPr>
      <w:r>
        <w:rPr>
          <w:rFonts w:eastAsia="Times New Roman"/>
        </w:rPr>
        <w:pict w14:anchorId="1BA626DF">
          <v:rect id="_x0000_i1148" style="width:0;height:1.5pt" o:hralign="center" o:hrstd="t" o:hr="t" fillcolor="#a0a0a0" stroked="f"/>
        </w:pict>
      </w:r>
    </w:p>
    <w:p w14:paraId="008A1963" w14:textId="77777777" w:rsidR="00000000" w:rsidRDefault="00EE5306">
      <w:pPr>
        <w:jc w:val="center"/>
        <w:divId w:val="435751261"/>
        <w:rPr>
          <w:rFonts w:eastAsia="Times New Roman"/>
        </w:rPr>
      </w:pPr>
    </w:p>
    <w:p w14:paraId="4CFC9406" w14:textId="77777777" w:rsidR="00000000" w:rsidRDefault="00EE5306">
      <w:pPr>
        <w:jc w:val="center"/>
        <w:divId w:val="435751261"/>
        <w:rPr>
          <w:rFonts w:eastAsia="Times New Roman"/>
        </w:rPr>
      </w:pPr>
      <w:r>
        <w:rPr>
          <w:rFonts w:eastAsia="Times New Roman"/>
          <w:b/>
          <w:bCs/>
          <w:color w:val="000000"/>
          <w:sz w:val="20"/>
          <w:szCs w:val="20"/>
        </w:rPr>
        <w:t>RALPH LAUREN CORPORATION</w:t>
      </w:r>
    </w:p>
    <w:p w14:paraId="10C798B4" w14:textId="77777777" w:rsidR="00000000" w:rsidRDefault="00EE5306">
      <w:pPr>
        <w:jc w:val="center"/>
        <w:divId w:val="1340473638"/>
        <w:rPr>
          <w:rFonts w:eastAsia="Times New Roman"/>
        </w:rPr>
      </w:pPr>
      <w:r>
        <w:rPr>
          <w:rFonts w:eastAsia="Times New Roman"/>
          <w:b/>
          <w:bCs/>
          <w:color w:val="000000"/>
          <w:sz w:val="20"/>
          <w:szCs w:val="20"/>
        </w:rPr>
        <w:t>NOTES TO CONSOLIDATED FINANCIAL STATEMENTS (Continued)</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14:paraId="32793AA6" w14:textId="77777777">
        <w:trPr>
          <w:divId w:val="297491608"/>
        </w:trPr>
        <w:tc>
          <w:tcPr>
            <w:tcW w:w="50" w:type="pct"/>
            <w:vAlign w:val="center"/>
            <w:hideMark/>
          </w:tcPr>
          <w:p w14:paraId="5439ED42" w14:textId="77777777" w:rsidR="00000000" w:rsidRDefault="00EE5306">
            <w:pPr>
              <w:jc w:val="center"/>
              <w:rPr>
                <w:rFonts w:eastAsia="Times New Roman"/>
              </w:rPr>
            </w:pPr>
          </w:p>
        </w:tc>
        <w:tc>
          <w:tcPr>
            <w:tcW w:w="4945" w:type="pct"/>
            <w:vAlign w:val="center"/>
            <w:hideMark/>
          </w:tcPr>
          <w:p w14:paraId="4D4FDBD6" w14:textId="77777777" w:rsidR="00000000" w:rsidRDefault="00EE5306">
            <w:pPr>
              <w:spacing w:after="100"/>
              <w:rPr>
                <w:rFonts w:eastAsia="Times New Roman"/>
                <w:sz w:val="20"/>
                <w:szCs w:val="20"/>
              </w:rPr>
            </w:pPr>
          </w:p>
        </w:tc>
        <w:tc>
          <w:tcPr>
            <w:tcW w:w="5" w:type="pct"/>
            <w:vAlign w:val="center"/>
            <w:hideMark/>
          </w:tcPr>
          <w:p w14:paraId="0BB178F0" w14:textId="77777777" w:rsidR="00000000" w:rsidRDefault="00EE5306">
            <w:pPr>
              <w:spacing w:after="100"/>
              <w:rPr>
                <w:rFonts w:eastAsia="Times New Roman"/>
                <w:sz w:val="20"/>
                <w:szCs w:val="20"/>
              </w:rPr>
            </w:pPr>
          </w:p>
        </w:tc>
      </w:tr>
      <w:tr w:rsidR="00000000" w14:paraId="74A9240C" w14:textId="77777777">
        <w:trPr>
          <w:divId w:val="297491608"/>
          <w:trHeight w:val="60"/>
        </w:trPr>
        <w:tc>
          <w:tcPr>
            <w:tcW w:w="0" w:type="auto"/>
            <w:gridSpan w:val="3"/>
            <w:tcBorders>
              <w:bottom w:val="single" w:sz="8" w:space="0" w:color="000000"/>
            </w:tcBorders>
            <w:tcMar>
              <w:top w:w="0" w:type="dxa"/>
              <w:left w:w="20" w:type="dxa"/>
              <w:bottom w:w="0" w:type="dxa"/>
              <w:right w:w="20" w:type="dxa"/>
            </w:tcMar>
            <w:vAlign w:val="center"/>
            <w:hideMark/>
          </w:tcPr>
          <w:p w14:paraId="6FCBB344" w14:textId="77777777" w:rsidR="00000000" w:rsidRDefault="00EE5306">
            <w:pPr>
              <w:spacing w:after="100"/>
              <w:rPr>
                <w:rFonts w:eastAsia="Times New Roman"/>
                <w:sz w:val="20"/>
                <w:szCs w:val="20"/>
              </w:rPr>
            </w:pPr>
          </w:p>
        </w:tc>
      </w:tr>
    </w:tbl>
    <w:p w14:paraId="17D8D361" w14:textId="77777777" w:rsidR="00000000" w:rsidRDefault="00EE5306">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FC = Forward foreign currency exchange contracts; IRS = Interest rate swap contracts.</w:t>
      </w:r>
    </w:p>
    <w:p w14:paraId="7431DCD1" w14:textId="77777777" w:rsidR="00000000" w:rsidRDefault="00EE5306">
      <w:pPr>
        <w:ind w:hanging="360"/>
        <w:jc w:val="both"/>
        <w:divId w:val="1294485974"/>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PP = Prepaid expenses and other current assets; AE = Accrued expenses and other current liabilities; ONCA = Other non-current assets; ONCL = Other non-current liabilit</w:t>
      </w:r>
      <w:r>
        <w:rPr>
          <w:rFonts w:eastAsia="Times New Roman"/>
          <w:color w:val="000000"/>
          <w:sz w:val="20"/>
          <w:szCs w:val="20"/>
        </w:rPr>
        <w:t>ies.</w:t>
      </w:r>
    </w:p>
    <w:p w14:paraId="37F1410D" w14:textId="77777777" w:rsidR="00000000" w:rsidRDefault="00EE5306">
      <w:pPr>
        <w:ind w:hanging="360"/>
        <w:jc w:val="both"/>
        <w:divId w:val="616986509"/>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Includes cross-currency swaps designated as hedges of the Company's net investment in certain foreign operations.</w:t>
      </w:r>
    </w:p>
    <w:p w14:paraId="3D5964C4" w14:textId="77777777" w:rsidR="00000000" w:rsidRDefault="00EE5306">
      <w:pPr>
        <w:ind w:hanging="360"/>
        <w:jc w:val="both"/>
        <w:divId w:val="139884090"/>
        <w:rPr>
          <w:rFonts w:eastAsia="Times New Roman"/>
        </w:rPr>
      </w:pPr>
      <w:r>
        <w:rPr>
          <w:rFonts w:eastAsia="Times New Roman"/>
          <w:b/>
          <w:bCs/>
          <w:color w:val="000000"/>
          <w:sz w:val="13"/>
          <w:szCs w:val="13"/>
        </w:rPr>
        <w:t>(d</w:t>
      </w:r>
      <w:r>
        <w:rPr>
          <w:rFonts w:eastAsia="Times New Roman"/>
          <w:b/>
          <w:bCs/>
          <w:color w:val="000000"/>
          <w:sz w:val="13"/>
          <w:szCs w:val="13"/>
        </w:rPr>
        <w:t>)</w:t>
      </w:r>
      <w:r>
        <w:rPr>
          <w:rFonts w:eastAsia="Times New Roman"/>
          <w:color w:val="000000"/>
          <w:sz w:val="20"/>
          <w:szCs w:val="20"/>
        </w:rPr>
        <w:t>Relates to third-party and intercompany foreign currency-denominated exposures and balances.</w:t>
      </w:r>
    </w:p>
    <w:p w14:paraId="297B9343" w14:textId="77777777" w:rsidR="00000000" w:rsidRDefault="00EE5306">
      <w:pPr>
        <w:ind w:firstLine="540"/>
        <w:jc w:val="both"/>
        <w:divId w:val="1269117317"/>
        <w:rPr>
          <w:rFonts w:eastAsia="Times New Roman"/>
        </w:rPr>
      </w:pPr>
      <w:r>
        <w:rPr>
          <w:rFonts w:eastAsia="Times New Roman"/>
          <w:color w:val="000000"/>
          <w:sz w:val="20"/>
          <w:szCs w:val="20"/>
        </w:rPr>
        <w:t>The Company presents the fair values of its derivative assets and liabilities recorded on its consolidated balance sheets on a gross basis, even when they are subject to master netting arrangements. However, if the Company were to offset and record the ass</w:t>
      </w:r>
      <w:r>
        <w:rPr>
          <w:rFonts w:eastAsia="Times New Roman"/>
          <w:color w:val="000000"/>
          <w:sz w:val="20"/>
          <w:szCs w:val="20"/>
        </w:rPr>
        <w:t>et and liability balances of all of its derivative instruments on a net basis in accordance with the terms of each of its master netting arrangements, spread across ten separate counterparties, the amounts presented in the consolidated balance sheets as of</w:t>
      </w:r>
      <w:r>
        <w:rPr>
          <w:rFonts w:eastAsia="Times New Roman"/>
          <w:color w:val="000000"/>
          <w:sz w:val="20"/>
          <w:szCs w:val="20"/>
        </w:rPr>
        <w:t xml:space="preserve"> March 27, 2021 and March 28, 2020 would be adjusted from the current gross presentation as detailed in the following table:</w:t>
      </w:r>
    </w:p>
    <w:tbl>
      <w:tblPr>
        <w:tblW w:w="4985" w:type="pct"/>
        <w:tblCellMar>
          <w:top w:w="15" w:type="dxa"/>
          <w:left w:w="15" w:type="dxa"/>
          <w:bottom w:w="15" w:type="dxa"/>
          <w:right w:w="15" w:type="dxa"/>
        </w:tblCellMar>
        <w:tblLook w:val="04A0" w:firstRow="1" w:lastRow="0" w:firstColumn="1" w:lastColumn="0" w:noHBand="0" w:noVBand="1"/>
      </w:tblPr>
      <w:tblGrid>
        <w:gridCol w:w="37"/>
        <w:gridCol w:w="1953"/>
        <w:gridCol w:w="36"/>
        <w:gridCol w:w="36"/>
        <w:gridCol w:w="45"/>
        <w:gridCol w:w="36"/>
        <w:gridCol w:w="101"/>
        <w:gridCol w:w="799"/>
        <w:gridCol w:w="36"/>
        <w:gridCol w:w="36"/>
        <w:gridCol w:w="36"/>
        <w:gridCol w:w="36"/>
        <w:gridCol w:w="101"/>
        <w:gridCol w:w="833"/>
        <w:gridCol w:w="36"/>
        <w:gridCol w:w="36"/>
        <w:gridCol w:w="36"/>
        <w:gridCol w:w="36"/>
        <w:gridCol w:w="101"/>
        <w:gridCol w:w="760"/>
        <w:gridCol w:w="36"/>
        <w:gridCol w:w="36"/>
        <w:gridCol w:w="36"/>
        <w:gridCol w:w="36"/>
        <w:gridCol w:w="101"/>
        <w:gridCol w:w="787"/>
        <w:gridCol w:w="36"/>
        <w:gridCol w:w="36"/>
        <w:gridCol w:w="36"/>
        <w:gridCol w:w="36"/>
        <w:gridCol w:w="101"/>
        <w:gridCol w:w="835"/>
        <w:gridCol w:w="36"/>
        <w:gridCol w:w="36"/>
        <w:gridCol w:w="36"/>
        <w:gridCol w:w="36"/>
        <w:gridCol w:w="101"/>
        <w:gridCol w:w="762"/>
        <w:gridCol w:w="36"/>
      </w:tblGrid>
      <w:tr w:rsidR="00000000" w14:paraId="136D9B5C" w14:textId="77777777">
        <w:trPr>
          <w:divId w:val="1005323127"/>
        </w:trPr>
        <w:tc>
          <w:tcPr>
            <w:tcW w:w="50" w:type="pct"/>
            <w:vAlign w:val="center"/>
            <w:hideMark/>
          </w:tcPr>
          <w:p w14:paraId="04CD45F0" w14:textId="77777777" w:rsidR="00000000" w:rsidRDefault="00EE5306">
            <w:pPr>
              <w:ind w:firstLine="540"/>
              <w:jc w:val="both"/>
              <w:rPr>
                <w:rFonts w:eastAsia="Times New Roman"/>
              </w:rPr>
            </w:pPr>
          </w:p>
        </w:tc>
        <w:tc>
          <w:tcPr>
            <w:tcW w:w="1205" w:type="pct"/>
            <w:vAlign w:val="center"/>
            <w:hideMark/>
          </w:tcPr>
          <w:p w14:paraId="5200BE6F" w14:textId="77777777" w:rsidR="00000000" w:rsidRDefault="00EE5306">
            <w:pPr>
              <w:spacing w:after="100"/>
              <w:rPr>
                <w:rFonts w:eastAsia="Times New Roman"/>
                <w:sz w:val="20"/>
                <w:szCs w:val="20"/>
              </w:rPr>
            </w:pPr>
          </w:p>
        </w:tc>
        <w:tc>
          <w:tcPr>
            <w:tcW w:w="5" w:type="pct"/>
            <w:vAlign w:val="center"/>
            <w:hideMark/>
          </w:tcPr>
          <w:p w14:paraId="019695A6" w14:textId="77777777" w:rsidR="00000000" w:rsidRDefault="00EE5306">
            <w:pPr>
              <w:spacing w:after="100"/>
              <w:rPr>
                <w:rFonts w:eastAsia="Times New Roman"/>
                <w:sz w:val="20"/>
                <w:szCs w:val="20"/>
              </w:rPr>
            </w:pPr>
          </w:p>
        </w:tc>
        <w:tc>
          <w:tcPr>
            <w:tcW w:w="5" w:type="pct"/>
            <w:vAlign w:val="center"/>
            <w:hideMark/>
          </w:tcPr>
          <w:p w14:paraId="08F7B54F" w14:textId="77777777" w:rsidR="00000000" w:rsidRDefault="00EE5306">
            <w:pPr>
              <w:spacing w:after="100"/>
              <w:rPr>
                <w:rFonts w:eastAsia="Times New Roman"/>
                <w:sz w:val="20"/>
                <w:szCs w:val="20"/>
              </w:rPr>
            </w:pPr>
          </w:p>
        </w:tc>
        <w:tc>
          <w:tcPr>
            <w:tcW w:w="55" w:type="pct"/>
            <w:vAlign w:val="center"/>
            <w:hideMark/>
          </w:tcPr>
          <w:p w14:paraId="21F34D6D" w14:textId="77777777" w:rsidR="00000000" w:rsidRDefault="00EE5306">
            <w:pPr>
              <w:spacing w:after="100"/>
              <w:rPr>
                <w:rFonts w:eastAsia="Times New Roman"/>
                <w:sz w:val="20"/>
                <w:szCs w:val="20"/>
              </w:rPr>
            </w:pPr>
          </w:p>
        </w:tc>
        <w:tc>
          <w:tcPr>
            <w:tcW w:w="5" w:type="pct"/>
            <w:vAlign w:val="center"/>
            <w:hideMark/>
          </w:tcPr>
          <w:p w14:paraId="0DEE16A5" w14:textId="77777777" w:rsidR="00000000" w:rsidRDefault="00EE5306">
            <w:pPr>
              <w:spacing w:after="100"/>
              <w:rPr>
                <w:rFonts w:eastAsia="Times New Roman"/>
                <w:sz w:val="20"/>
                <w:szCs w:val="20"/>
              </w:rPr>
            </w:pPr>
          </w:p>
        </w:tc>
        <w:tc>
          <w:tcPr>
            <w:tcW w:w="50" w:type="pct"/>
            <w:vAlign w:val="center"/>
            <w:hideMark/>
          </w:tcPr>
          <w:p w14:paraId="01E77114" w14:textId="77777777" w:rsidR="00000000" w:rsidRDefault="00EE5306">
            <w:pPr>
              <w:spacing w:after="100"/>
              <w:rPr>
                <w:rFonts w:eastAsia="Times New Roman"/>
                <w:sz w:val="20"/>
                <w:szCs w:val="20"/>
              </w:rPr>
            </w:pPr>
          </w:p>
        </w:tc>
        <w:tc>
          <w:tcPr>
            <w:tcW w:w="509" w:type="pct"/>
            <w:vAlign w:val="center"/>
            <w:hideMark/>
          </w:tcPr>
          <w:p w14:paraId="26E9BFC8" w14:textId="77777777" w:rsidR="00000000" w:rsidRDefault="00EE5306">
            <w:pPr>
              <w:spacing w:after="100"/>
              <w:rPr>
                <w:rFonts w:eastAsia="Times New Roman"/>
                <w:sz w:val="20"/>
                <w:szCs w:val="20"/>
              </w:rPr>
            </w:pPr>
          </w:p>
        </w:tc>
        <w:tc>
          <w:tcPr>
            <w:tcW w:w="5" w:type="pct"/>
            <w:vAlign w:val="center"/>
            <w:hideMark/>
          </w:tcPr>
          <w:p w14:paraId="706F1DA1" w14:textId="77777777" w:rsidR="00000000" w:rsidRDefault="00EE5306">
            <w:pPr>
              <w:spacing w:after="100"/>
              <w:rPr>
                <w:rFonts w:eastAsia="Times New Roman"/>
                <w:sz w:val="20"/>
                <w:szCs w:val="20"/>
              </w:rPr>
            </w:pPr>
          </w:p>
        </w:tc>
        <w:tc>
          <w:tcPr>
            <w:tcW w:w="5" w:type="pct"/>
            <w:vAlign w:val="center"/>
            <w:hideMark/>
          </w:tcPr>
          <w:p w14:paraId="71D0AB00" w14:textId="77777777" w:rsidR="00000000" w:rsidRDefault="00EE5306">
            <w:pPr>
              <w:spacing w:after="100"/>
              <w:rPr>
                <w:rFonts w:eastAsia="Times New Roman"/>
                <w:sz w:val="20"/>
                <w:szCs w:val="20"/>
              </w:rPr>
            </w:pPr>
          </w:p>
        </w:tc>
        <w:tc>
          <w:tcPr>
            <w:tcW w:w="26" w:type="pct"/>
            <w:vAlign w:val="center"/>
            <w:hideMark/>
          </w:tcPr>
          <w:p w14:paraId="6D3D0AD2" w14:textId="77777777" w:rsidR="00000000" w:rsidRDefault="00EE5306">
            <w:pPr>
              <w:spacing w:after="100"/>
              <w:rPr>
                <w:rFonts w:eastAsia="Times New Roman"/>
                <w:sz w:val="20"/>
                <w:szCs w:val="20"/>
              </w:rPr>
            </w:pPr>
          </w:p>
        </w:tc>
        <w:tc>
          <w:tcPr>
            <w:tcW w:w="5" w:type="pct"/>
            <w:vAlign w:val="center"/>
            <w:hideMark/>
          </w:tcPr>
          <w:p w14:paraId="59D502D0" w14:textId="77777777" w:rsidR="00000000" w:rsidRDefault="00EE5306">
            <w:pPr>
              <w:spacing w:after="100"/>
              <w:rPr>
                <w:rFonts w:eastAsia="Times New Roman"/>
                <w:sz w:val="20"/>
                <w:szCs w:val="20"/>
              </w:rPr>
            </w:pPr>
          </w:p>
        </w:tc>
        <w:tc>
          <w:tcPr>
            <w:tcW w:w="50" w:type="pct"/>
            <w:vAlign w:val="center"/>
            <w:hideMark/>
          </w:tcPr>
          <w:p w14:paraId="5BD9CE63" w14:textId="77777777" w:rsidR="00000000" w:rsidRDefault="00EE5306">
            <w:pPr>
              <w:spacing w:after="100"/>
              <w:rPr>
                <w:rFonts w:eastAsia="Times New Roman"/>
                <w:sz w:val="20"/>
                <w:szCs w:val="20"/>
              </w:rPr>
            </w:pPr>
          </w:p>
        </w:tc>
        <w:tc>
          <w:tcPr>
            <w:tcW w:w="553" w:type="pct"/>
            <w:vAlign w:val="center"/>
            <w:hideMark/>
          </w:tcPr>
          <w:p w14:paraId="4DCF8A39" w14:textId="77777777" w:rsidR="00000000" w:rsidRDefault="00EE5306">
            <w:pPr>
              <w:spacing w:after="100"/>
              <w:rPr>
                <w:rFonts w:eastAsia="Times New Roman"/>
                <w:sz w:val="20"/>
                <w:szCs w:val="20"/>
              </w:rPr>
            </w:pPr>
          </w:p>
        </w:tc>
        <w:tc>
          <w:tcPr>
            <w:tcW w:w="5" w:type="pct"/>
            <w:vAlign w:val="center"/>
            <w:hideMark/>
          </w:tcPr>
          <w:p w14:paraId="2DF699E1" w14:textId="77777777" w:rsidR="00000000" w:rsidRDefault="00EE5306">
            <w:pPr>
              <w:spacing w:after="100"/>
              <w:rPr>
                <w:rFonts w:eastAsia="Times New Roman"/>
                <w:sz w:val="20"/>
                <w:szCs w:val="20"/>
              </w:rPr>
            </w:pPr>
          </w:p>
        </w:tc>
        <w:tc>
          <w:tcPr>
            <w:tcW w:w="5" w:type="pct"/>
            <w:vAlign w:val="center"/>
            <w:hideMark/>
          </w:tcPr>
          <w:p w14:paraId="687A192A" w14:textId="77777777" w:rsidR="00000000" w:rsidRDefault="00EE5306">
            <w:pPr>
              <w:spacing w:after="100"/>
              <w:rPr>
                <w:rFonts w:eastAsia="Times New Roman"/>
                <w:sz w:val="20"/>
                <w:szCs w:val="20"/>
              </w:rPr>
            </w:pPr>
          </w:p>
        </w:tc>
        <w:tc>
          <w:tcPr>
            <w:tcW w:w="26" w:type="pct"/>
            <w:vAlign w:val="center"/>
            <w:hideMark/>
          </w:tcPr>
          <w:p w14:paraId="2F244497" w14:textId="77777777" w:rsidR="00000000" w:rsidRDefault="00EE5306">
            <w:pPr>
              <w:spacing w:after="100"/>
              <w:rPr>
                <w:rFonts w:eastAsia="Times New Roman"/>
                <w:sz w:val="20"/>
                <w:szCs w:val="20"/>
              </w:rPr>
            </w:pPr>
          </w:p>
        </w:tc>
        <w:tc>
          <w:tcPr>
            <w:tcW w:w="5" w:type="pct"/>
            <w:vAlign w:val="center"/>
            <w:hideMark/>
          </w:tcPr>
          <w:p w14:paraId="1D6810A7" w14:textId="77777777" w:rsidR="00000000" w:rsidRDefault="00EE5306">
            <w:pPr>
              <w:spacing w:after="100"/>
              <w:rPr>
                <w:rFonts w:eastAsia="Times New Roman"/>
                <w:sz w:val="20"/>
                <w:szCs w:val="20"/>
              </w:rPr>
            </w:pPr>
          </w:p>
        </w:tc>
        <w:tc>
          <w:tcPr>
            <w:tcW w:w="50" w:type="pct"/>
            <w:vAlign w:val="center"/>
            <w:hideMark/>
          </w:tcPr>
          <w:p w14:paraId="3C538832" w14:textId="77777777" w:rsidR="00000000" w:rsidRDefault="00EE5306">
            <w:pPr>
              <w:spacing w:after="100"/>
              <w:rPr>
                <w:rFonts w:eastAsia="Times New Roman"/>
                <w:sz w:val="20"/>
                <w:szCs w:val="20"/>
              </w:rPr>
            </w:pPr>
          </w:p>
        </w:tc>
        <w:tc>
          <w:tcPr>
            <w:tcW w:w="509" w:type="pct"/>
            <w:vAlign w:val="center"/>
            <w:hideMark/>
          </w:tcPr>
          <w:p w14:paraId="6B9CC279" w14:textId="77777777" w:rsidR="00000000" w:rsidRDefault="00EE5306">
            <w:pPr>
              <w:spacing w:after="100"/>
              <w:rPr>
                <w:rFonts w:eastAsia="Times New Roman"/>
                <w:sz w:val="20"/>
                <w:szCs w:val="20"/>
              </w:rPr>
            </w:pPr>
          </w:p>
        </w:tc>
        <w:tc>
          <w:tcPr>
            <w:tcW w:w="5" w:type="pct"/>
            <w:vAlign w:val="center"/>
            <w:hideMark/>
          </w:tcPr>
          <w:p w14:paraId="77DD93C4" w14:textId="77777777" w:rsidR="00000000" w:rsidRDefault="00EE5306">
            <w:pPr>
              <w:spacing w:after="100"/>
              <w:rPr>
                <w:rFonts w:eastAsia="Times New Roman"/>
                <w:sz w:val="20"/>
                <w:szCs w:val="20"/>
              </w:rPr>
            </w:pPr>
          </w:p>
        </w:tc>
        <w:tc>
          <w:tcPr>
            <w:tcW w:w="5" w:type="pct"/>
            <w:vAlign w:val="center"/>
            <w:hideMark/>
          </w:tcPr>
          <w:p w14:paraId="0A7AB121" w14:textId="77777777" w:rsidR="00000000" w:rsidRDefault="00EE5306">
            <w:pPr>
              <w:spacing w:after="100"/>
              <w:rPr>
                <w:rFonts w:eastAsia="Times New Roman"/>
                <w:sz w:val="20"/>
                <w:szCs w:val="20"/>
              </w:rPr>
            </w:pPr>
          </w:p>
        </w:tc>
        <w:tc>
          <w:tcPr>
            <w:tcW w:w="41" w:type="pct"/>
            <w:vAlign w:val="center"/>
            <w:hideMark/>
          </w:tcPr>
          <w:p w14:paraId="1FE9FA42" w14:textId="77777777" w:rsidR="00000000" w:rsidRDefault="00EE5306">
            <w:pPr>
              <w:spacing w:after="100"/>
              <w:rPr>
                <w:rFonts w:eastAsia="Times New Roman"/>
                <w:sz w:val="20"/>
                <w:szCs w:val="20"/>
              </w:rPr>
            </w:pPr>
          </w:p>
        </w:tc>
        <w:tc>
          <w:tcPr>
            <w:tcW w:w="5" w:type="pct"/>
            <w:vAlign w:val="center"/>
            <w:hideMark/>
          </w:tcPr>
          <w:p w14:paraId="6E328373" w14:textId="77777777" w:rsidR="00000000" w:rsidRDefault="00EE5306">
            <w:pPr>
              <w:spacing w:after="100"/>
              <w:rPr>
                <w:rFonts w:eastAsia="Times New Roman"/>
                <w:sz w:val="20"/>
                <w:szCs w:val="20"/>
              </w:rPr>
            </w:pPr>
          </w:p>
        </w:tc>
        <w:tc>
          <w:tcPr>
            <w:tcW w:w="50" w:type="pct"/>
            <w:vAlign w:val="center"/>
            <w:hideMark/>
          </w:tcPr>
          <w:p w14:paraId="22E9CBF0" w14:textId="77777777" w:rsidR="00000000" w:rsidRDefault="00EE5306">
            <w:pPr>
              <w:spacing w:after="100"/>
              <w:rPr>
                <w:rFonts w:eastAsia="Times New Roman"/>
                <w:sz w:val="20"/>
                <w:szCs w:val="20"/>
              </w:rPr>
            </w:pPr>
          </w:p>
        </w:tc>
        <w:tc>
          <w:tcPr>
            <w:tcW w:w="509" w:type="pct"/>
            <w:vAlign w:val="center"/>
            <w:hideMark/>
          </w:tcPr>
          <w:p w14:paraId="7E418515" w14:textId="77777777" w:rsidR="00000000" w:rsidRDefault="00EE5306">
            <w:pPr>
              <w:spacing w:after="100"/>
              <w:rPr>
                <w:rFonts w:eastAsia="Times New Roman"/>
                <w:sz w:val="20"/>
                <w:szCs w:val="20"/>
              </w:rPr>
            </w:pPr>
          </w:p>
        </w:tc>
        <w:tc>
          <w:tcPr>
            <w:tcW w:w="5" w:type="pct"/>
            <w:vAlign w:val="center"/>
            <w:hideMark/>
          </w:tcPr>
          <w:p w14:paraId="329B8119" w14:textId="77777777" w:rsidR="00000000" w:rsidRDefault="00EE5306">
            <w:pPr>
              <w:spacing w:after="100"/>
              <w:rPr>
                <w:rFonts w:eastAsia="Times New Roman"/>
                <w:sz w:val="20"/>
                <w:szCs w:val="20"/>
              </w:rPr>
            </w:pPr>
          </w:p>
        </w:tc>
        <w:tc>
          <w:tcPr>
            <w:tcW w:w="5" w:type="pct"/>
            <w:vAlign w:val="center"/>
            <w:hideMark/>
          </w:tcPr>
          <w:p w14:paraId="12B46956" w14:textId="77777777" w:rsidR="00000000" w:rsidRDefault="00EE5306">
            <w:pPr>
              <w:spacing w:after="100"/>
              <w:rPr>
                <w:rFonts w:eastAsia="Times New Roman"/>
                <w:sz w:val="20"/>
                <w:szCs w:val="20"/>
              </w:rPr>
            </w:pPr>
          </w:p>
        </w:tc>
        <w:tc>
          <w:tcPr>
            <w:tcW w:w="26" w:type="pct"/>
            <w:vAlign w:val="center"/>
            <w:hideMark/>
          </w:tcPr>
          <w:p w14:paraId="2E39C622" w14:textId="77777777" w:rsidR="00000000" w:rsidRDefault="00EE5306">
            <w:pPr>
              <w:spacing w:after="100"/>
              <w:rPr>
                <w:rFonts w:eastAsia="Times New Roman"/>
                <w:sz w:val="20"/>
                <w:szCs w:val="20"/>
              </w:rPr>
            </w:pPr>
          </w:p>
        </w:tc>
        <w:tc>
          <w:tcPr>
            <w:tcW w:w="5" w:type="pct"/>
            <w:vAlign w:val="center"/>
            <w:hideMark/>
          </w:tcPr>
          <w:p w14:paraId="7972E189" w14:textId="77777777" w:rsidR="00000000" w:rsidRDefault="00EE5306">
            <w:pPr>
              <w:spacing w:after="100"/>
              <w:rPr>
                <w:rFonts w:eastAsia="Times New Roman"/>
                <w:sz w:val="20"/>
                <w:szCs w:val="20"/>
              </w:rPr>
            </w:pPr>
          </w:p>
        </w:tc>
        <w:tc>
          <w:tcPr>
            <w:tcW w:w="50" w:type="pct"/>
            <w:vAlign w:val="center"/>
            <w:hideMark/>
          </w:tcPr>
          <w:p w14:paraId="47434725" w14:textId="77777777" w:rsidR="00000000" w:rsidRDefault="00EE5306">
            <w:pPr>
              <w:spacing w:after="100"/>
              <w:rPr>
                <w:rFonts w:eastAsia="Times New Roman"/>
                <w:sz w:val="20"/>
                <w:szCs w:val="20"/>
              </w:rPr>
            </w:pPr>
          </w:p>
        </w:tc>
        <w:tc>
          <w:tcPr>
            <w:tcW w:w="553" w:type="pct"/>
            <w:vAlign w:val="center"/>
            <w:hideMark/>
          </w:tcPr>
          <w:p w14:paraId="7B0D3260" w14:textId="77777777" w:rsidR="00000000" w:rsidRDefault="00EE5306">
            <w:pPr>
              <w:spacing w:after="100"/>
              <w:rPr>
                <w:rFonts w:eastAsia="Times New Roman"/>
                <w:sz w:val="20"/>
                <w:szCs w:val="20"/>
              </w:rPr>
            </w:pPr>
          </w:p>
        </w:tc>
        <w:tc>
          <w:tcPr>
            <w:tcW w:w="5" w:type="pct"/>
            <w:vAlign w:val="center"/>
            <w:hideMark/>
          </w:tcPr>
          <w:p w14:paraId="44528835" w14:textId="77777777" w:rsidR="00000000" w:rsidRDefault="00EE5306">
            <w:pPr>
              <w:spacing w:after="100"/>
              <w:rPr>
                <w:rFonts w:eastAsia="Times New Roman"/>
                <w:sz w:val="20"/>
                <w:szCs w:val="20"/>
              </w:rPr>
            </w:pPr>
          </w:p>
        </w:tc>
        <w:tc>
          <w:tcPr>
            <w:tcW w:w="5" w:type="pct"/>
            <w:vAlign w:val="center"/>
            <w:hideMark/>
          </w:tcPr>
          <w:p w14:paraId="2D40327F" w14:textId="77777777" w:rsidR="00000000" w:rsidRDefault="00EE5306">
            <w:pPr>
              <w:spacing w:after="100"/>
              <w:rPr>
                <w:rFonts w:eastAsia="Times New Roman"/>
                <w:sz w:val="20"/>
                <w:szCs w:val="20"/>
              </w:rPr>
            </w:pPr>
          </w:p>
        </w:tc>
        <w:tc>
          <w:tcPr>
            <w:tcW w:w="26" w:type="pct"/>
            <w:vAlign w:val="center"/>
            <w:hideMark/>
          </w:tcPr>
          <w:p w14:paraId="12DDF26E" w14:textId="77777777" w:rsidR="00000000" w:rsidRDefault="00EE5306">
            <w:pPr>
              <w:spacing w:after="100"/>
              <w:rPr>
                <w:rFonts w:eastAsia="Times New Roman"/>
                <w:sz w:val="20"/>
                <w:szCs w:val="20"/>
              </w:rPr>
            </w:pPr>
          </w:p>
        </w:tc>
        <w:tc>
          <w:tcPr>
            <w:tcW w:w="5" w:type="pct"/>
            <w:vAlign w:val="center"/>
            <w:hideMark/>
          </w:tcPr>
          <w:p w14:paraId="67AA1397" w14:textId="77777777" w:rsidR="00000000" w:rsidRDefault="00EE5306">
            <w:pPr>
              <w:spacing w:after="100"/>
              <w:rPr>
                <w:rFonts w:eastAsia="Times New Roman"/>
                <w:sz w:val="20"/>
                <w:szCs w:val="20"/>
              </w:rPr>
            </w:pPr>
          </w:p>
        </w:tc>
        <w:tc>
          <w:tcPr>
            <w:tcW w:w="50" w:type="pct"/>
            <w:vAlign w:val="center"/>
            <w:hideMark/>
          </w:tcPr>
          <w:p w14:paraId="02BE7973" w14:textId="77777777" w:rsidR="00000000" w:rsidRDefault="00EE5306">
            <w:pPr>
              <w:spacing w:after="100"/>
              <w:rPr>
                <w:rFonts w:eastAsia="Times New Roman"/>
                <w:sz w:val="20"/>
                <w:szCs w:val="20"/>
              </w:rPr>
            </w:pPr>
          </w:p>
        </w:tc>
        <w:tc>
          <w:tcPr>
            <w:tcW w:w="509" w:type="pct"/>
            <w:vAlign w:val="center"/>
            <w:hideMark/>
          </w:tcPr>
          <w:p w14:paraId="6045F257" w14:textId="77777777" w:rsidR="00000000" w:rsidRDefault="00EE5306">
            <w:pPr>
              <w:spacing w:after="100"/>
              <w:rPr>
                <w:rFonts w:eastAsia="Times New Roman"/>
                <w:sz w:val="20"/>
                <w:szCs w:val="20"/>
              </w:rPr>
            </w:pPr>
          </w:p>
        </w:tc>
        <w:tc>
          <w:tcPr>
            <w:tcW w:w="5" w:type="pct"/>
            <w:vAlign w:val="center"/>
            <w:hideMark/>
          </w:tcPr>
          <w:p w14:paraId="766ECAF9" w14:textId="77777777" w:rsidR="00000000" w:rsidRDefault="00EE5306">
            <w:pPr>
              <w:spacing w:after="100"/>
              <w:rPr>
                <w:rFonts w:eastAsia="Times New Roman"/>
                <w:sz w:val="20"/>
                <w:szCs w:val="20"/>
              </w:rPr>
            </w:pPr>
          </w:p>
        </w:tc>
      </w:tr>
      <w:tr w:rsidR="00000000" w14:paraId="30E2FB1F" w14:textId="77777777">
        <w:trPr>
          <w:divId w:val="1005323127"/>
        </w:trPr>
        <w:tc>
          <w:tcPr>
            <w:tcW w:w="0" w:type="auto"/>
            <w:gridSpan w:val="3"/>
            <w:tcMar>
              <w:top w:w="0" w:type="dxa"/>
              <w:left w:w="20" w:type="dxa"/>
              <w:bottom w:w="0" w:type="dxa"/>
              <w:right w:w="20" w:type="dxa"/>
            </w:tcMar>
            <w:vAlign w:val="center"/>
            <w:hideMark/>
          </w:tcPr>
          <w:p w14:paraId="6EEDD74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68F492" w14:textId="77777777" w:rsidR="00000000" w:rsidRDefault="00EE530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67B51FE" w14:textId="77777777" w:rsidR="00000000" w:rsidRDefault="00EE5306">
            <w:pPr>
              <w:spacing w:after="100"/>
              <w:jc w:val="center"/>
              <w:rPr>
                <w:rFonts w:eastAsia="Times New Roman"/>
              </w:rPr>
            </w:pPr>
            <w:r>
              <w:rPr>
                <w:rFonts w:eastAsia="Times New Roman"/>
                <w:b/>
                <w:bCs/>
                <w:color w:val="000000"/>
                <w:sz w:val="14"/>
                <w:szCs w:val="14"/>
              </w:rPr>
              <w:t>March 27, 2021</w:t>
            </w:r>
          </w:p>
        </w:tc>
        <w:tc>
          <w:tcPr>
            <w:tcW w:w="0" w:type="auto"/>
            <w:gridSpan w:val="3"/>
            <w:tcMar>
              <w:top w:w="0" w:type="dxa"/>
              <w:left w:w="20" w:type="dxa"/>
              <w:bottom w:w="0" w:type="dxa"/>
              <w:right w:w="20" w:type="dxa"/>
            </w:tcMar>
            <w:vAlign w:val="center"/>
            <w:hideMark/>
          </w:tcPr>
          <w:p w14:paraId="140545A8" w14:textId="77777777" w:rsidR="00000000" w:rsidRDefault="00EE5306">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294E0357" w14:textId="77777777" w:rsidR="00000000" w:rsidRDefault="00EE5306">
            <w:pPr>
              <w:spacing w:after="100"/>
              <w:jc w:val="center"/>
              <w:rPr>
                <w:rFonts w:eastAsia="Times New Roman"/>
              </w:rPr>
            </w:pPr>
            <w:r>
              <w:rPr>
                <w:rFonts w:eastAsia="Times New Roman"/>
                <w:b/>
                <w:bCs/>
                <w:color w:val="000000"/>
                <w:sz w:val="14"/>
                <w:szCs w:val="14"/>
              </w:rPr>
              <w:t>March 28, 2020</w:t>
            </w:r>
          </w:p>
        </w:tc>
      </w:tr>
      <w:tr w:rsidR="00000000" w14:paraId="559F2AD9" w14:textId="77777777">
        <w:trPr>
          <w:divId w:val="1005323127"/>
        </w:trPr>
        <w:tc>
          <w:tcPr>
            <w:tcW w:w="0" w:type="auto"/>
            <w:gridSpan w:val="3"/>
            <w:tcMar>
              <w:top w:w="0" w:type="dxa"/>
              <w:left w:w="20" w:type="dxa"/>
              <w:bottom w:w="0" w:type="dxa"/>
              <w:right w:w="20" w:type="dxa"/>
            </w:tcMar>
            <w:vAlign w:val="center"/>
            <w:hideMark/>
          </w:tcPr>
          <w:p w14:paraId="0EC897ED"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791366"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FEA01A6" w14:textId="77777777" w:rsidR="00000000" w:rsidRDefault="00EE5306">
            <w:pPr>
              <w:spacing w:after="100"/>
              <w:jc w:val="center"/>
              <w:rPr>
                <w:rFonts w:eastAsia="Times New Roman"/>
              </w:rPr>
            </w:pPr>
            <w:r>
              <w:rPr>
                <w:rFonts w:eastAsia="Times New Roman"/>
                <w:b/>
                <w:bCs/>
                <w:color w:val="000000"/>
                <w:sz w:val="14"/>
                <w:szCs w:val="14"/>
              </w:rPr>
              <w:t>Gross Amounts Presented in the Balance Sheet</w:t>
            </w:r>
          </w:p>
        </w:tc>
        <w:tc>
          <w:tcPr>
            <w:tcW w:w="0" w:type="auto"/>
            <w:gridSpan w:val="3"/>
            <w:tcBorders>
              <w:top w:val="single" w:sz="8" w:space="0" w:color="000000"/>
            </w:tcBorders>
            <w:tcMar>
              <w:top w:w="0" w:type="dxa"/>
              <w:left w:w="20" w:type="dxa"/>
              <w:bottom w:w="0" w:type="dxa"/>
              <w:right w:w="20" w:type="dxa"/>
            </w:tcMar>
            <w:vAlign w:val="center"/>
            <w:hideMark/>
          </w:tcPr>
          <w:p w14:paraId="4F4E3617"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7DE2B5" w14:textId="77777777" w:rsidR="00000000" w:rsidRDefault="00EE5306">
            <w:pPr>
              <w:spacing w:after="100"/>
              <w:jc w:val="center"/>
              <w:rPr>
                <w:rFonts w:eastAsia="Times New Roman"/>
              </w:rPr>
            </w:pPr>
            <w:r>
              <w:rPr>
                <w:rFonts w:eastAsia="Times New Roman"/>
                <w:b/>
                <w:bCs/>
                <w:color w:val="000000"/>
                <w:sz w:val="14"/>
                <w:szCs w:val="14"/>
              </w:rPr>
              <w:t>Gross Amounts Not Offset in the Balance Sheet that are Subject to Master Netting Agreements</w:t>
            </w:r>
          </w:p>
        </w:tc>
        <w:tc>
          <w:tcPr>
            <w:tcW w:w="0" w:type="auto"/>
            <w:gridSpan w:val="3"/>
            <w:tcBorders>
              <w:top w:val="single" w:sz="8" w:space="0" w:color="000000"/>
            </w:tcBorders>
            <w:tcMar>
              <w:top w:w="0" w:type="dxa"/>
              <w:left w:w="20" w:type="dxa"/>
              <w:bottom w:w="0" w:type="dxa"/>
              <w:right w:w="20" w:type="dxa"/>
            </w:tcMar>
            <w:vAlign w:val="center"/>
            <w:hideMark/>
          </w:tcPr>
          <w:p w14:paraId="266EDEC5"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64FB12" w14:textId="77777777" w:rsidR="00000000" w:rsidRDefault="00EE5306">
            <w:pPr>
              <w:spacing w:after="100"/>
              <w:jc w:val="center"/>
              <w:rPr>
                <w:rFonts w:eastAsia="Times New Roman"/>
              </w:rPr>
            </w:pPr>
            <w:r>
              <w:rPr>
                <w:rFonts w:eastAsia="Times New Roman"/>
                <w:b/>
                <w:bCs/>
                <w:color w:val="000000"/>
                <w:sz w:val="14"/>
                <w:szCs w:val="14"/>
              </w:rPr>
              <w:t>Net</w:t>
            </w:r>
            <w:r>
              <w:rPr>
                <w:rFonts w:eastAsia="Times New Roman"/>
                <w:b/>
                <w:bCs/>
                <w:color w:val="000000"/>
                <w:sz w:val="14"/>
                <w:szCs w:val="14"/>
              </w:rPr>
              <w:br/>
              <w:t>Amount</w:t>
            </w:r>
          </w:p>
        </w:tc>
        <w:tc>
          <w:tcPr>
            <w:tcW w:w="0" w:type="auto"/>
            <w:gridSpan w:val="3"/>
            <w:tcMar>
              <w:top w:w="0" w:type="dxa"/>
              <w:left w:w="20" w:type="dxa"/>
              <w:bottom w:w="0" w:type="dxa"/>
              <w:right w:w="20" w:type="dxa"/>
            </w:tcMar>
            <w:vAlign w:val="center"/>
            <w:hideMark/>
          </w:tcPr>
          <w:p w14:paraId="6B008A4C"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C67E9F" w14:textId="77777777" w:rsidR="00000000" w:rsidRDefault="00EE5306">
            <w:pPr>
              <w:spacing w:after="100"/>
              <w:jc w:val="center"/>
              <w:rPr>
                <w:rFonts w:eastAsia="Times New Roman"/>
              </w:rPr>
            </w:pPr>
            <w:r>
              <w:rPr>
                <w:rFonts w:eastAsia="Times New Roman"/>
                <w:b/>
                <w:bCs/>
                <w:color w:val="000000"/>
                <w:sz w:val="14"/>
                <w:szCs w:val="14"/>
              </w:rPr>
              <w:t>Gross Amounts Presented in the Balance Sheet</w:t>
            </w:r>
          </w:p>
        </w:tc>
        <w:tc>
          <w:tcPr>
            <w:tcW w:w="0" w:type="auto"/>
            <w:gridSpan w:val="3"/>
            <w:tcBorders>
              <w:top w:val="single" w:sz="8" w:space="0" w:color="000000"/>
            </w:tcBorders>
            <w:tcMar>
              <w:top w:w="0" w:type="dxa"/>
              <w:left w:w="20" w:type="dxa"/>
              <w:bottom w:w="0" w:type="dxa"/>
              <w:right w:w="20" w:type="dxa"/>
            </w:tcMar>
            <w:vAlign w:val="center"/>
            <w:hideMark/>
          </w:tcPr>
          <w:p w14:paraId="6FF45AB9"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C49578F" w14:textId="77777777" w:rsidR="00000000" w:rsidRDefault="00EE5306">
            <w:pPr>
              <w:spacing w:after="100"/>
              <w:jc w:val="center"/>
              <w:rPr>
                <w:rFonts w:eastAsia="Times New Roman"/>
              </w:rPr>
            </w:pPr>
            <w:r>
              <w:rPr>
                <w:rFonts w:eastAsia="Times New Roman"/>
                <w:b/>
                <w:bCs/>
                <w:color w:val="000000"/>
                <w:sz w:val="14"/>
                <w:szCs w:val="14"/>
              </w:rPr>
              <w:t>Gross Amounts Not Offset in the Balance Sheet that are Subject to Master Netting Agreements</w:t>
            </w:r>
          </w:p>
        </w:tc>
        <w:tc>
          <w:tcPr>
            <w:tcW w:w="0" w:type="auto"/>
            <w:gridSpan w:val="3"/>
            <w:tcBorders>
              <w:top w:val="single" w:sz="8" w:space="0" w:color="000000"/>
            </w:tcBorders>
            <w:tcMar>
              <w:top w:w="0" w:type="dxa"/>
              <w:left w:w="20" w:type="dxa"/>
              <w:bottom w:w="0" w:type="dxa"/>
              <w:right w:w="20" w:type="dxa"/>
            </w:tcMar>
            <w:vAlign w:val="center"/>
            <w:hideMark/>
          </w:tcPr>
          <w:p w14:paraId="74B0AF3C"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93F8A08" w14:textId="77777777" w:rsidR="00000000" w:rsidRDefault="00EE5306">
            <w:pPr>
              <w:spacing w:after="100"/>
              <w:jc w:val="center"/>
              <w:rPr>
                <w:rFonts w:eastAsia="Times New Roman"/>
              </w:rPr>
            </w:pPr>
            <w:r>
              <w:rPr>
                <w:rFonts w:eastAsia="Times New Roman"/>
                <w:b/>
                <w:bCs/>
                <w:color w:val="000000"/>
                <w:sz w:val="14"/>
                <w:szCs w:val="14"/>
              </w:rPr>
              <w:t>Net</w:t>
            </w:r>
            <w:r>
              <w:rPr>
                <w:rFonts w:eastAsia="Times New Roman"/>
                <w:b/>
                <w:bCs/>
                <w:color w:val="000000"/>
                <w:sz w:val="14"/>
                <w:szCs w:val="14"/>
              </w:rPr>
              <w:br/>
              <w:t>Amount</w:t>
            </w:r>
          </w:p>
        </w:tc>
      </w:tr>
      <w:tr w:rsidR="00000000" w14:paraId="59CC9271" w14:textId="77777777">
        <w:trPr>
          <w:divId w:val="1005323127"/>
        </w:trPr>
        <w:tc>
          <w:tcPr>
            <w:tcW w:w="0" w:type="auto"/>
            <w:gridSpan w:val="3"/>
            <w:tcMar>
              <w:top w:w="0" w:type="dxa"/>
              <w:left w:w="20" w:type="dxa"/>
              <w:bottom w:w="0" w:type="dxa"/>
              <w:right w:w="20" w:type="dxa"/>
            </w:tcMar>
            <w:vAlign w:val="center"/>
            <w:hideMark/>
          </w:tcPr>
          <w:p w14:paraId="563BADC8"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A86C186" w14:textId="77777777" w:rsidR="00000000" w:rsidRDefault="00EE5306">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2EBB12CA" w14:textId="77777777" w:rsidR="00000000" w:rsidRDefault="00EE5306">
            <w:pPr>
              <w:spacing w:after="100"/>
              <w:jc w:val="center"/>
              <w:rPr>
                <w:rFonts w:eastAsia="Times New Roman"/>
              </w:rPr>
            </w:pPr>
            <w:r>
              <w:rPr>
                <w:rFonts w:eastAsia="Times New Roman"/>
                <w:b/>
                <w:bCs/>
                <w:color w:val="000000"/>
                <w:sz w:val="14"/>
                <w:szCs w:val="14"/>
              </w:rPr>
              <w:t>(millions)</w:t>
            </w:r>
          </w:p>
        </w:tc>
      </w:tr>
      <w:tr w:rsidR="00000000" w14:paraId="3354E4B2" w14:textId="77777777">
        <w:trPr>
          <w:divId w:val="1005323127"/>
        </w:trPr>
        <w:tc>
          <w:tcPr>
            <w:tcW w:w="0" w:type="auto"/>
            <w:gridSpan w:val="3"/>
            <w:shd w:val="clear" w:color="auto" w:fill="CCEEFF"/>
            <w:tcMar>
              <w:top w:w="30" w:type="dxa"/>
              <w:left w:w="20" w:type="dxa"/>
              <w:bottom w:w="30" w:type="dxa"/>
              <w:right w:w="20" w:type="dxa"/>
            </w:tcMar>
            <w:vAlign w:val="bottom"/>
            <w:hideMark/>
          </w:tcPr>
          <w:p w14:paraId="181AE8B2" w14:textId="77777777" w:rsidR="00000000" w:rsidRDefault="00EE5306">
            <w:pPr>
              <w:spacing w:after="100"/>
              <w:rPr>
                <w:rFonts w:eastAsia="Times New Roman"/>
              </w:rPr>
            </w:pPr>
            <w:r>
              <w:rPr>
                <w:rFonts w:eastAsia="Times New Roman"/>
                <w:color w:val="000000"/>
                <w:sz w:val="16"/>
                <w:szCs w:val="16"/>
              </w:rPr>
              <w:t>Derivative assets</w:t>
            </w:r>
          </w:p>
        </w:tc>
        <w:tc>
          <w:tcPr>
            <w:tcW w:w="0" w:type="auto"/>
            <w:gridSpan w:val="3"/>
            <w:shd w:val="clear" w:color="auto" w:fill="CCEEFF"/>
            <w:tcMar>
              <w:top w:w="0" w:type="dxa"/>
              <w:left w:w="20" w:type="dxa"/>
              <w:bottom w:w="0" w:type="dxa"/>
              <w:right w:w="20" w:type="dxa"/>
            </w:tcMar>
            <w:vAlign w:val="center"/>
            <w:hideMark/>
          </w:tcPr>
          <w:p w14:paraId="5B5DC0DD"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6BCD413"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520A510" w14:textId="77777777" w:rsidR="00000000" w:rsidRDefault="00EE5306">
            <w:pPr>
              <w:spacing w:after="100"/>
              <w:jc w:val="right"/>
              <w:rPr>
                <w:rFonts w:eastAsia="Times New Roman"/>
              </w:rPr>
            </w:pPr>
            <w:r>
              <w:rPr>
                <w:rFonts w:eastAsia="Times New Roman"/>
                <w:color w:val="000000"/>
                <w:sz w:val="16"/>
                <w:szCs w:val="16"/>
              </w:rPr>
              <w:t>15.8 </w:t>
            </w:r>
          </w:p>
        </w:tc>
        <w:tc>
          <w:tcPr>
            <w:tcW w:w="0" w:type="auto"/>
            <w:shd w:val="clear" w:color="auto" w:fill="CCEEFF"/>
            <w:tcMar>
              <w:top w:w="30" w:type="dxa"/>
              <w:left w:w="0" w:type="dxa"/>
              <w:bottom w:w="30" w:type="dxa"/>
              <w:right w:w="20" w:type="dxa"/>
            </w:tcMar>
            <w:vAlign w:val="bottom"/>
            <w:hideMark/>
          </w:tcPr>
          <w:p w14:paraId="5069073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46AFDB"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D54D74"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40966BB" w14:textId="77777777" w:rsidR="00000000" w:rsidRDefault="00EE5306">
            <w:pPr>
              <w:spacing w:after="100"/>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14:paraId="57B6FD0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6FC39"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D6CD07"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98479D5" w14:textId="77777777" w:rsidR="00000000" w:rsidRDefault="00EE5306">
            <w:pPr>
              <w:spacing w:after="100"/>
              <w:jc w:val="right"/>
              <w:rPr>
                <w:rFonts w:eastAsia="Times New Roman"/>
              </w:rPr>
            </w:pPr>
            <w:r>
              <w:rPr>
                <w:rFonts w:eastAsia="Times New Roman"/>
                <w:color w:val="000000"/>
                <w:sz w:val="16"/>
                <w:szCs w:val="16"/>
              </w:rPr>
              <w:t>15.5 </w:t>
            </w:r>
          </w:p>
        </w:tc>
        <w:tc>
          <w:tcPr>
            <w:tcW w:w="0" w:type="auto"/>
            <w:shd w:val="clear" w:color="auto" w:fill="CCEEFF"/>
            <w:tcMar>
              <w:top w:w="30" w:type="dxa"/>
              <w:left w:w="0" w:type="dxa"/>
              <w:bottom w:w="30" w:type="dxa"/>
              <w:right w:w="20" w:type="dxa"/>
            </w:tcMar>
            <w:vAlign w:val="bottom"/>
            <w:hideMark/>
          </w:tcPr>
          <w:p w14:paraId="4A42B69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4CE38"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484017"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8CF9509" w14:textId="77777777" w:rsidR="00000000" w:rsidRDefault="00EE5306">
            <w:pPr>
              <w:spacing w:after="100"/>
              <w:jc w:val="right"/>
              <w:rPr>
                <w:rFonts w:eastAsia="Times New Roman"/>
              </w:rPr>
            </w:pPr>
            <w:r>
              <w:rPr>
                <w:rFonts w:eastAsia="Times New Roman"/>
                <w:color w:val="000000"/>
                <w:sz w:val="16"/>
                <w:szCs w:val="16"/>
              </w:rPr>
              <w:t>62.3 </w:t>
            </w:r>
          </w:p>
        </w:tc>
        <w:tc>
          <w:tcPr>
            <w:tcW w:w="0" w:type="auto"/>
            <w:shd w:val="clear" w:color="auto" w:fill="CCEEFF"/>
            <w:tcMar>
              <w:top w:w="30" w:type="dxa"/>
              <w:left w:w="0" w:type="dxa"/>
              <w:bottom w:w="30" w:type="dxa"/>
              <w:right w:w="20" w:type="dxa"/>
            </w:tcMar>
            <w:vAlign w:val="bottom"/>
            <w:hideMark/>
          </w:tcPr>
          <w:p w14:paraId="7E955C9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D593B"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250093"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09406EF" w14:textId="77777777" w:rsidR="00000000" w:rsidRDefault="00EE5306">
            <w:pPr>
              <w:spacing w:after="100"/>
              <w:jc w:val="right"/>
              <w:rPr>
                <w:rFonts w:eastAsia="Times New Roman"/>
              </w:rPr>
            </w:pPr>
            <w:r>
              <w:rPr>
                <w:rFonts w:eastAsia="Times New Roman"/>
                <w:color w:val="000000"/>
                <w:sz w:val="16"/>
                <w:szCs w:val="16"/>
              </w:rPr>
              <w:t>(6.1)</w:t>
            </w:r>
          </w:p>
        </w:tc>
        <w:tc>
          <w:tcPr>
            <w:tcW w:w="0" w:type="auto"/>
            <w:shd w:val="clear" w:color="auto" w:fill="CCEEFF"/>
            <w:tcMar>
              <w:top w:w="30" w:type="dxa"/>
              <w:left w:w="0" w:type="dxa"/>
              <w:bottom w:w="30" w:type="dxa"/>
              <w:right w:w="20" w:type="dxa"/>
            </w:tcMar>
            <w:vAlign w:val="bottom"/>
            <w:hideMark/>
          </w:tcPr>
          <w:p w14:paraId="19DAB84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CFB4C"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A17B96"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C0EEF66" w14:textId="77777777" w:rsidR="00000000" w:rsidRDefault="00EE5306">
            <w:pPr>
              <w:spacing w:after="100"/>
              <w:jc w:val="right"/>
              <w:rPr>
                <w:rFonts w:eastAsia="Times New Roman"/>
              </w:rPr>
            </w:pPr>
            <w:r>
              <w:rPr>
                <w:rFonts w:eastAsia="Times New Roman"/>
                <w:color w:val="000000"/>
                <w:sz w:val="16"/>
                <w:szCs w:val="16"/>
              </w:rPr>
              <w:t>56.2 </w:t>
            </w:r>
          </w:p>
        </w:tc>
        <w:tc>
          <w:tcPr>
            <w:tcW w:w="0" w:type="auto"/>
            <w:shd w:val="clear" w:color="auto" w:fill="CCEEFF"/>
            <w:tcMar>
              <w:top w:w="30" w:type="dxa"/>
              <w:left w:w="0" w:type="dxa"/>
              <w:bottom w:w="30" w:type="dxa"/>
              <w:right w:w="20" w:type="dxa"/>
            </w:tcMar>
            <w:vAlign w:val="bottom"/>
            <w:hideMark/>
          </w:tcPr>
          <w:p w14:paraId="740307F3" w14:textId="77777777" w:rsidR="00000000" w:rsidRDefault="00EE5306">
            <w:pPr>
              <w:spacing w:after="100"/>
              <w:jc w:val="right"/>
              <w:rPr>
                <w:rFonts w:eastAsia="Times New Roman"/>
              </w:rPr>
            </w:pPr>
          </w:p>
        </w:tc>
      </w:tr>
      <w:tr w:rsidR="00000000" w14:paraId="6520DE20" w14:textId="77777777">
        <w:trPr>
          <w:divId w:val="1005323127"/>
        </w:trPr>
        <w:tc>
          <w:tcPr>
            <w:tcW w:w="0" w:type="auto"/>
            <w:gridSpan w:val="3"/>
            <w:shd w:val="clear" w:color="auto" w:fill="FFFFFF"/>
            <w:tcMar>
              <w:top w:w="30" w:type="dxa"/>
              <w:left w:w="20" w:type="dxa"/>
              <w:bottom w:w="30" w:type="dxa"/>
              <w:right w:w="20" w:type="dxa"/>
            </w:tcMar>
            <w:vAlign w:val="bottom"/>
            <w:hideMark/>
          </w:tcPr>
          <w:p w14:paraId="5AD65E66" w14:textId="77777777" w:rsidR="00000000" w:rsidRDefault="00EE5306">
            <w:pPr>
              <w:spacing w:after="100"/>
              <w:rPr>
                <w:rFonts w:eastAsia="Times New Roman"/>
              </w:rPr>
            </w:pPr>
            <w:r>
              <w:rPr>
                <w:rFonts w:eastAsia="Times New Roman"/>
                <w:color w:val="000000"/>
                <w:sz w:val="16"/>
                <w:szCs w:val="16"/>
              </w:rPr>
              <w:t>Derivative liabilities</w:t>
            </w:r>
          </w:p>
        </w:tc>
        <w:tc>
          <w:tcPr>
            <w:tcW w:w="0" w:type="auto"/>
            <w:gridSpan w:val="3"/>
            <w:shd w:val="clear" w:color="auto" w:fill="FFFFFF"/>
            <w:tcMar>
              <w:top w:w="0" w:type="dxa"/>
              <w:left w:w="20" w:type="dxa"/>
              <w:bottom w:w="0" w:type="dxa"/>
              <w:right w:w="20" w:type="dxa"/>
            </w:tcMar>
            <w:vAlign w:val="center"/>
            <w:hideMark/>
          </w:tcPr>
          <w:p w14:paraId="6CF051C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7F5B79" w14:textId="77777777" w:rsidR="00000000" w:rsidRDefault="00EE5306">
            <w:pPr>
              <w:spacing w:after="100"/>
              <w:jc w:val="right"/>
              <w:rPr>
                <w:rFonts w:eastAsia="Times New Roman"/>
              </w:rPr>
            </w:pPr>
            <w:r>
              <w:rPr>
                <w:rFonts w:eastAsia="Times New Roman"/>
                <w:color w:val="000000"/>
                <w:sz w:val="16"/>
                <w:szCs w:val="16"/>
              </w:rPr>
              <w:t>55.4 </w:t>
            </w:r>
          </w:p>
        </w:tc>
        <w:tc>
          <w:tcPr>
            <w:tcW w:w="0" w:type="auto"/>
            <w:shd w:val="clear" w:color="auto" w:fill="FFFFFF"/>
            <w:tcMar>
              <w:top w:w="30" w:type="dxa"/>
              <w:left w:w="0" w:type="dxa"/>
              <w:bottom w:w="30" w:type="dxa"/>
              <w:right w:w="20" w:type="dxa"/>
            </w:tcMar>
            <w:vAlign w:val="bottom"/>
            <w:hideMark/>
          </w:tcPr>
          <w:p w14:paraId="62E512B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0CB81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FE7B75" w14:textId="77777777" w:rsidR="00000000" w:rsidRDefault="00EE5306">
            <w:pPr>
              <w:spacing w:after="100"/>
              <w:jc w:val="right"/>
              <w:rPr>
                <w:rFonts w:eastAsia="Times New Roman"/>
              </w:rPr>
            </w:pPr>
            <w:r>
              <w:rPr>
                <w:rFonts w:eastAsia="Times New Roman"/>
                <w:color w:val="000000"/>
                <w:sz w:val="16"/>
                <w:szCs w:val="16"/>
              </w:rPr>
              <w:t>(0.3)</w:t>
            </w:r>
          </w:p>
        </w:tc>
        <w:tc>
          <w:tcPr>
            <w:tcW w:w="0" w:type="auto"/>
            <w:shd w:val="clear" w:color="auto" w:fill="FFFFFF"/>
            <w:tcMar>
              <w:top w:w="30" w:type="dxa"/>
              <w:left w:w="0" w:type="dxa"/>
              <w:bottom w:w="30" w:type="dxa"/>
              <w:right w:w="20" w:type="dxa"/>
            </w:tcMar>
            <w:vAlign w:val="bottom"/>
            <w:hideMark/>
          </w:tcPr>
          <w:p w14:paraId="08D3071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3605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5477F3" w14:textId="77777777" w:rsidR="00000000" w:rsidRDefault="00EE5306">
            <w:pPr>
              <w:spacing w:after="100"/>
              <w:jc w:val="right"/>
              <w:rPr>
                <w:rFonts w:eastAsia="Times New Roman"/>
              </w:rPr>
            </w:pPr>
            <w:r>
              <w:rPr>
                <w:rFonts w:eastAsia="Times New Roman"/>
                <w:color w:val="000000"/>
                <w:sz w:val="16"/>
                <w:szCs w:val="16"/>
              </w:rPr>
              <w:t>55.1 </w:t>
            </w:r>
          </w:p>
        </w:tc>
        <w:tc>
          <w:tcPr>
            <w:tcW w:w="0" w:type="auto"/>
            <w:shd w:val="clear" w:color="auto" w:fill="FFFFFF"/>
            <w:tcMar>
              <w:top w:w="30" w:type="dxa"/>
              <w:left w:w="0" w:type="dxa"/>
              <w:bottom w:w="30" w:type="dxa"/>
              <w:right w:w="20" w:type="dxa"/>
            </w:tcMar>
            <w:vAlign w:val="bottom"/>
            <w:hideMark/>
          </w:tcPr>
          <w:p w14:paraId="0F8A668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C9DF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95D54A" w14:textId="77777777" w:rsidR="00000000" w:rsidRDefault="00EE5306">
            <w:pPr>
              <w:spacing w:after="100"/>
              <w:jc w:val="right"/>
              <w:rPr>
                <w:rFonts w:eastAsia="Times New Roman"/>
              </w:rPr>
            </w:pPr>
            <w:r>
              <w:rPr>
                <w:rFonts w:eastAsia="Times New Roman"/>
                <w:color w:val="000000"/>
                <w:sz w:val="16"/>
                <w:szCs w:val="16"/>
              </w:rPr>
              <w:t>6.9 </w:t>
            </w:r>
          </w:p>
        </w:tc>
        <w:tc>
          <w:tcPr>
            <w:tcW w:w="0" w:type="auto"/>
            <w:shd w:val="clear" w:color="auto" w:fill="FFFFFF"/>
            <w:tcMar>
              <w:top w:w="30" w:type="dxa"/>
              <w:left w:w="0" w:type="dxa"/>
              <w:bottom w:w="30" w:type="dxa"/>
              <w:right w:w="20" w:type="dxa"/>
            </w:tcMar>
            <w:vAlign w:val="bottom"/>
            <w:hideMark/>
          </w:tcPr>
          <w:p w14:paraId="4B2464A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7372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BF277" w14:textId="77777777" w:rsidR="00000000" w:rsidRDefault="00EE5306">
            <w:pPr>
              <w:spacing w:after="100"/>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bottom"/>
            <w:hideMark/>
          </w:tcPr>
          <w:p w14:paraId="77A19F8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14E1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CD989B" w14:textId="77777777" w:rsidR="00000000" w:rsidRDefault="00EE5306">
            <w:pPr>
              <w:spacing w:after="100"/>
              <w:jc w:val="right"/>
              <w:rPr>
                <w:rFonts w:eastAsia="Times New Roman"/>
              </w:rPr>
            </w:pPr>
            <w:r>
              <w:rPr>
                <w:rFonts w:eastAsia="Times New Roman"/>
                <w:color w:val="000000"/>
                <w:sz w:val="16"/>
                <w:szCs w:val="16"/>
              </w:rPr>
              <w:t>0.8 </w:t>
            </w:r>
          </w:p>
        </w:tc>
        <w:tc>
          <w:tcPr>
            <w:tcW w:w="0" w:type="auto"/>
            <w:shd w:val="clear" w:color="auto" w:fill="FFFFFF"/>
            <w:tcMar>
              <w:top w:w="30" w:type="dxa"/>
              <w:left w:w="0" w:type="dxa"/>
              <w:bottom w:w="30" w:type="dxa"/>
              <w:right w:w="20" w:type="dxa"/>
            </w:tcMar>
            <w:vAlign w:val="bottom"/>
            <w:hideMark/>
          </w:tcPr>
          <w:p w14:paraId="09643A65" w14:textId="77777777" w:rsidR="00000000" w:rsidRDefault="00EE5306">
            <w:pPr>
              <w:spacing w:after="100"/>
              <w:jc w:val="right"/>
              <w:rPr>
                <w:rFonts w:eastAsia="Times New Roman"/>
              </w:rPr>
            </w:pPr>
          </w:p>
        </w:tc>
      </w:tr>
    </w:tbl>
    <w:p w14:paraId="38F65CA0" w14:textId="77777777" w:rsidR="00000000" w:rsidRDefault="00EE5306">
      <w:pPr>
        <w:ind w:firstLine="540"/>
        <w:jc w:val="both"/>
        <w:divId w:val="2013293939"/>
        <w:rPr>
          <w:rFonts w:eastAsia="Times New Roman"/>
        </w:rPr>
      </w:pPr>
      <w:r>
        <w:rPr>
          <w:rFonts w:eastAsia="Times New Roman"/>
          <w:color w:val="000000"/>
          <w:sz w:val="20"/>
          <w:szCs w:val="20"/>
        </w:rPr>
        <w:t>The Compan</w:t>
      </w:r>
      <w:r>
        <w:rPr>
          <w:rFonts w:eastAsia="Times New Roman"/>
          <w:color w:val="000000"/>
          <w:sz w:val="20"/>
          <w:szCs w:val="20"/>
        </w:rPr>
        <w:t>y's master netting arrangements do not require cash collateral to be pledged by the Company or its counterparties. See Note 3 for further discussion of the Company's master netting arrangements.</w:t>
      </w:r>
    </w:p>
    <w:p w14:paraId="5E4C2849" w14:textId="77777777" w:rsidR="00000000" w:rsidRDefault="00EE5306">
      <w:pPr>
        <w:ind w:firstLine="540"/>
        <w:jc w:val="both"/>
        <w:divId w:val="262230554"/>
        <w:rPr>
          <w:rFonts w:eastAsia="Times New Roman"/>
        </w:rPr>
      </w:pPr>
      <w:r>
        <w:rPr>
          <w:rFonts w:eastAsia="Times New Roman"/>
          <w:color w:val="000000"/>
          <w:sz w:val="20"/>
          <w:szCs w:val="20"/>
        </w:rPr>
        <w:t>The following tables summarize the pretax impact of gains and</w:t>
      </w:r>
      <w:r>
        <w:rPr>
          <w:rFonts w:eastAsia="Times New Roman"/>
          <w:color w:val="000000"/>
          <w:sz w:val="20"/>
          <w:szCs w:val="20"/>
        </w:rPr>
        <w:t xml:space="preserve"> losses from the Company's designated derivative instruments on its consolidated financial statements for the fiscal years presented:</w:t>
      </w:r>
    </w:p>
    <w:tbl>
      <w:tblPr>
        <w:tblW w:w="4254" w:type="pct"/>
        <w:tblCellMar>
          <w:top w:w="15" w:type="dxa"/>
          <w:left w:w="15" w:type="dxa"/>
          <w:bottom w:w="15" w:type="dxa"/>
          <w:right w:w="15" w:type="dxa"/>
        </w:tblCellMar>
        <w:tblLook w:val="04A0" w:firstRow="1" w:lastRow="0" w:firstColumn="1" w:lastColumn="0" w:noHBand="0" w:noVBand="1"/>
      </w:tblPr>
      <w:tblGrid>
        <w:gridCol w:w="38"/>
        <w:gridCol w:w="4624"/>
        <w:gridCol w:w="37"/>
        <w:gridCol w:w="36"/>
        <w:gridCol w:w="48"/>
        <w:gridCol w:w="36"/>
        <w:gridCol w:w="100"/>
        <w:gridCol w:w="566"/>
        <w:gridCol w:w="36"/>
        <w:gridCol w:w="36"/>
        <w:gridCol w:w="36"/>
        <w:gridCol w:w="36"/>
        <w:gridCol w:w="101"/>
        <w:gridCol w:w="528"/>
        <w:gridCol w:w="36"/>
        <w:gridCol w:w="36"/>
        <w:gridCol w:w="36"/>
        <w:gridCol w:w="36"/>
        <w:gridCol w:w="100"/>
        <w:gridCol w:w="529"/>
        <w:gridCol w:w="36"/>
      </w:tblGrid>
      <w:tr w:rsidR="00000000" w14:paraId="1BACD418" w14:textId="77777777">
        <w:trPr>
          <w:divId w:val="935332792"/>
        </w:trPr>
        <w:tc>
          <w:tcPr>
            <w:tcW w:w="50" w:type="pct"/>
            <w:vAlign w:val="center"/>
            <w:hideMark/>
          </w:tcPr>
          <w:p w14:paraId="2AB26145" w14:textId="77777777" w:rsidR="00000000" w:rsidRDefault="00EE5306">
            <w:pPr>
              <w:ind w:firstLine="540"/>
              <w:jc w:val="both"/>
              <w:rPr>
                <w:rFonts w:eastAsia="Times New Roman"/>
              </w:rPr>
            </w:pPr>
          </w:p>
        </w:tc>
        <w:tc>
          <w:tcPr>
            <w:tcW w:w="3312" w:type="pct"/>
            <w:vAlign w:val="center"/>
            <w:hideMark/>
          </w:tcPr>
          <w:p w14:paraId="184A6B5C" w14:textId="77777777" w:rsidR="00000000" w:rsidRDefault="00EE5306">
            <w:pPr>
              <w:spacing w:after="100"/>
              <w:rPr>
                <w:rFonts w:eastAsia="Times New Roman"/>
                <w:sz w:val="20"/>
                <w:szCs w:val="20"/>
              </w:rPr>
            </w:pPr>
          </w:p>
        </w:tc>
        <w:tc>
          <w:tcPr>
            <w:tcW w:w="5" w:type="pct"/>
            <w:vAlign w:val="center"/>
            <w:hideMark/>
          </w:tcPr>
          <w:p w14:paraId="7A057359" w14:textId="77777777" w:rsidR="00000000" w:rsidRDefault="00EE5306">
            <w:pPr>
              <w:spacing w:after="100"/>
              <w:rPr>
                <w:rFonts w:eastAsia="Times New Roman"/>
                <w:sz w:val="20"/>
                <w:szCs w:val="20"/>
              </w:rPr>
            </w:pPr>
          </w:p>
        </w:tc>
        <w:tc>
          <w:tcPr>
            <w:tcW w:w="5" w:type="pct"/>
            <w:vAlign w:val="center"/>
            <w:hideMark/>
          </w:tcPr>
          <w:p w14:paraId="3E270FBF" w14:textId="77777777" w:rsidR="00000000" w:rsidRDefault="00EE5306">
            <w:pPr>
              <w:spacing w:after="100"/>
              <w:rPr>
                <w:rFonts w:eastAsia="Times New Roman"/>
                <w:sz w:val="20"/>
                <w:szCs w:val="20"/>
              </w:rPr>
            </w:pPr>
          </w:p>
        </w:tc>
        <w:tc>
          <w:tcPr>
            <w:tcW w:w="67" w:type="pct"/>
            <w:vAlign w:val="center"/>
            <w:hideMark/>
          </w:tcPr>
          <w:p w14:paraId="7B93FA4F" w14:textId="77777777" w:rsidR="00000000" w:rsidRDefault="00EE5306">
            <w:pPr>
              <w:spacing w:after="100"/>
              <w:rPr>
                <w:rFonts w:eastAsia="Times New Roman"/>
                <w:sz w:val="20"/>
                <w:szCs w:val="20"/>
              </w:rPr>
            </w:pPr>
          </w:p>
        </w:tc>
        <w:tc>
          <w:tcPr>
            <w:tcW w:w="5" w:type="pct"/>
            <w:vAlign w:val="center"/>
            <w:hideMark/>
          </w:tcPr>
          <w:p w14:paraId="76F6A66D" w14:textId="77777777" w:rsidR="00000000" w:rsidRDefault="00EE5306">
            <w:pPr>
              <w:spacing w:after="100"/>
              <w:rPr>
                <w:rFonts w:eastAsia="Times New Roman"/>
                <w:sz w:val="20"/>
                <w:szCs w:val="20"/>
              </w:rPr>
            </w:pPr>
          </w:p>
        </w:tc>
        <w:tc>
          <w:tcPr>
            <w:tcW w:w="50" w:type="pct"/>
            <w:vAlign w:val="center"/>
            <w:hideMark/>
          </w:tcPr>
          <w:p w14:paraId="6F5B9C01" w14:textId="77777777" w:rsidR="00000000" w:rsidRDefault="00EE5306">
            <w:pPr>
              <w:spacing w:after="100"/>
              <w:rPr>
                <w:rFonts w:eastAsia="Times New Roman"/>
                <w:sz w:val="20"/>
                <w:szCs w:val="20"/>
              </w:rPr>
            </w:pPr>
          </w:p>
        </w:tc>
        <w:tc>
          <w:tcPr>
            <w:tcW w:w="434" w:type="pct"/>
            <w:vAlign w:val="center"/>
            <w:hideMark/>
          </w:tcPr>
          <w:p w14:paraId="287CCEAC" w14:textId="77777777" w:rsidR="00000000" w:rsidRDefault="00EE5306">
            <w:pPr>
              <w:spacing w:after="100"/>
              <w:rPr>
                <w:rFonts w:eastAsia="Times New Roman"/>
                <w:sz w:val="20"/>
                <w:szCs w:val="20"/>
              </w:rPr>
            </w:pPr>
          </w:p>
        </w:tc>
        <w:tc>
          <w:tcPr>
            <w:tcW w:w="5" w:type="pct"/>
            <w:vAlign w:val="center"/>
            <w:hideMark/>
          </w:tcPr>
          <w:p w14:paraId="57115D25" w14:textId="77777777" w:rsidR="00000000" w:rsidRDefault="00EE5306">
            <w:pPr>
              <w:spacing w:after="100"/>
              <w:rPr>
                <w:rFonts w:eastAsia="Times New Roman"/>
                <w:sz w:val="20"/>
                <w:szCs w:val="20"/>
              </w:rPr>
            </w:pPr>
          </w:p>
        </w:tc>
        <w:tc>
          <w:tcPr>
            <w:tcW w:w="5" w:type="pct"/>
            <w:vAlign w:val="center"/>
            <w:hideMark/>
          </w:tcPr>
          <w:p w14:paraId="502F4B47" w14:textId="77777777" w:rsidR="00000000" w:rsidRDefault="00EE5306">
            <w:pPr>
              <w:spacing w:after="100"/>
              <w:rPr>
                <w:rFonts w:eastAsia="Times New Roman"/>
                <w:sz w:val="20"/>
                <w:szCs w:val="20"/>
              </w:rPr>
            </w:pPr>
          </w:p>
        </w:tc>
        <w:tc>
          <w:tcPr>
            <w:tcW w:w="32" w:type="pct"/>
            <w:vAlign w:val="center"/>
            <w:hideMark/>
          </w:tcPr>
          <w:p w14:paraId="4167BFC7" w14:textId="77777777" w:rsidR="00000000" w:rsidRDefault="00EE5306">
            <w:pPr>
              <w:spacing w:after="100"/>
              <w:rPr>
                <w:rFonts w:eastAsia="Times New Roman"/>
                <w:sz w:val="20"/>
                <w:szCs w:val="20"/>
              </w:rPr>
            </w:pPr>
          </w:p>
        </w:tc>
        <w:tc>
          <w:tcPr>
            <w:tcW w:w="5" w:type="pct"/>
            <w:vAlign w:val="center"/>
            <w:hideMark/>
          </w:tcPr>
          <w:p w14:paraId="44351F17" w14:textId="77777777" w:rsidR="00000000" w:rsidRDefault="00EE5306">
            <w:pPr>
              <w:spacing w:after="100"/>
              <w:rPr>
                <w:rFonts w:eastAsia="Times New Roman"/>
                <w:sz w:val="20"/>
                <w:szCs w:val="20"/>
              </w:rPr>
            </w:pPr>
          </w:p>
        </w:tc>
        <w:tc>
          <w:tcPr>
            <w:tcW w:w="50" w:type="pct"/>
            <w:vAlign w:val="center"/>
            <w:hideMark/>
          </w:tcPr>
          <w:p w14:paraId="44F6A17A" w14:textId="77777777" w:rsidR="00000000" w:rsidRDefault="00EE5306">
            <w:pPr>
              <w:spacing w:after="100"/>
              <w:rPr>
                <w:rFonts w:eastAsia="Times New Roman"/>
                <w:sz w:val="20"/>
                <w:szCs w:val="20"/>
              </w:rPr>
            </w:pPr>
          </w:p>
        </w:tc>
        <w:tc>
          <w:tcPr>
            <w:tcW w:w="434" w:type="pct"/>
            <w:vAlign w:val="center"/>
            <w:hideMark/>
          </w:tcPr>
          <w:p w14:paraId="449DA348" w14:textId="77777777" w:rsidR="00000000" w:rsidRDefault="00EE5306">
            <w:pPr>
              <w:spacing w:after="100"/>
              <w:rPr>
                <w:rFonts w:eastAsia="Times New Roman"/>
                <w:sz w:val="20"/>
                <w:szCs w:val="20"/>
              </w:rPr>
            </w:pPr>
          </w:p>
        </w:tc>
        <w:tc>
          <w:tcPr>
            <w:tcW w:w="5" w:type="pct"/>
            <w:vAlign w:val="center"/>
            <w:hideMark/>
          </w:tcPr>
          <w:p w14:paraId="6E8DD273" w14:textId="77777777" w:rsidR="00000000" w:rsidRDefault="00EE5306">
            <w:pPr>
              <w:spacing w:after="100"/>
              <w:rPr>
                <w:rFonts w:eastAsia="Times New Roman"/>
                <w:sz w:val="20"/>
                <w:szCs w:val="20"/>
              </w:rPr>
            </w:pPr>
          </w:p>
        </w:tc>
        <w:tc>
          <w:tcPr>
            <w:tcW w:w="5" w:type="pct"/>
            <w:vAlign w:val="center"/>
            <w:hideMark/>
          </w:tcPr>
          <w:p w14:paraId="51CF890D" w14:textId="77777777" w:rsidR="00000000" w:rsidRDefault="00EE5306">
            <w:pPr>
              <w:spacing w:after="100"/>
              <w:rPr>
                <w:rFonts w:eastAsia="Times New Roman"/>
                <w:sz w:val="20"/>
                <w:szCs w:val="20"/>
              </w:rPr>
            </w:pPr>
          </w:p>
        </w:tc>
        <w:tc>
          <w:tcPr>
            <w:tcW w:w="32" w:type="pct"/>
            <w:vAlign w:val="center"/>
            <w:hideMark/>
          </w:tcPr>
          <w:p w14:paraId="21C99A8E" w14:textId="77777777" w:rsidR="00000000" w:rsidRDefault="00EE5306">
            <w:pPr>
              <w:spacing w:after="100"/>
              <w:rPr>
                <w:rFonts w:eastAsia="Times New Roman"/>
                <w:sz w:val="20"/>
                <w:szCs w:val="20"/>
              </w:rPr>
            </w:pPr>
          </w:p>
        </w:tc>
        <w:tc>
          <w:tcPr>
            <w:tcW w:w="5" w:type="pct"/>
            <w:vAlign w:val="center"/>
            <w:hideMark/>
          </w:tcPr>
          <w:p w14:paraId="4E3B0377" w14:textId="77777777" w:rsidR="00000000" w:rsidRDefault="00EE5306">
            <w:pPr>
              <w:spacing w:after="100"/>
              <w:rPr>
                <w:rFonts w:eastAsia="Times New Roman"/>
                <w:sz w:val="20"/>
                <w:szCs w:val="20"/>
              </w:rPr>
            </w:pPr>
          </w:p>
        </w:tc>
        <w:tc>
          <w:tcPr>
            <w:tcW w:w="50" w:type="pct"/>
            <w:vAlign w:val="center"/>
            <w:hideMark/>
          </w:tcPr>
          <w:p w14:paraId="4900C9D1" w14:textId="77777777" w:rsidR="00000000" w:rsidRDefault="00EE5306">
            <w:pPr>
              <w:spacing w:after="100"/>
              <w:rPr>
                <w:rFonts w:eastAsia="Times New Roman"/>
                <w:sz w:val="20"/>
                <w:szCs w:val="20"/>
              </w:rPr>
            </w:pPr>
          </w:p>
        </w:tc>
        <w:tc>
          <w:tcPr>
            <w:tcW w:w="434" w:type="pct"/>
            <w:vAlign w:val="center"/>
            <w:hideMark/>
          </w:tcPr>
          <w:p w14:paraId="3E4B2BBF" w14:textId="77777777" w:rsidR="00000000" w:rsidRDefault="00EE5306">
            <w:pPr>
              <w:spacing w:after="100"/>
              <w:rPr>
                <w:rFonts w:eastAsia="Times New Roman"/>
                <w:sz w:val="20"/>
                <w:szCs w:val="20"/>
              </w:rPr>
            </w:pPr>
          </w:p>
        </w:tc>
        <w:tc>
          <w:tcPr>
            <w:tcW w:w="5" w:type="pct"/>
            <w:vAlign w:val="center"/>
            <w:hideMark/>
          </w:tcPr>
          <w:p w14:paraId="64DA098A" w14:textId="77777777" w:rsidR="00000000" w:rsidRDefault="00EE5306">
            <w:pPr>
              <w:spacing w:after="100"/>
              <w:rPr>
                <w:rFonts w:eastAsia="Times New Roman"/>
                <w:sz w:val="20"/>
                <w:szCs w:val="20"/>
              </w:rPr>
            </w:pPr>
          </w:p>
        </w:tc>
      </w:tr>
      <w:tr w:rsidR="00000000" w14:paraId="282FC10A" w14:textId="77777777">
        <w:trPr>
          <w:divId w:val="935332792"/>
        </w:trPr>
        <w:tc>
          <w:tcPr>
            <w:tcW w:w="0" w:type="auto"/>
            <w:gridSpan w:val="3"/>
            <w:tcMar>
              <w:top w:w="30" w:type="dxa"/>
              <w:left w:w="20" w:type="dxa"/>
              <w:bottom w:w="30" w:type="dxa"/>
              <w:right w:w="20" w:type="dxa"/>
            </w:tcMar>
            <w:vAlign w:val="bottom"/>
            <w:hideMark/>
          </w:tcPr>
          <w:p w14:paraId="505151D8"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ABD9CFD" w14:textId="77777777" w:rsidR="00000000" w:rsidRDefault="00EE5306">
            <w:pPr>
              <w:spacing w:after="100"/>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373C87BA" w14:textId="77777777" w:rsidR="00000000" w:rsidRDefault="00EE5306">
            <w:pPr>
              <w:spacing w:after="100"/>
              <w:jc w:val="center"/>
              <w:rPr>
                <w:rFonts w:eastAsia="Times New Roman"/>
              </w:rPr>
            </w:pPr>
            <w:r>
              <w:rPr>
                <w:rFonts w:eastAsia="Times New Roman"/>
                <w:b/>
                <w:bCs/>
                <w:color w:val="000000"/>
                <w:sz w:val="16"/>
                <w:szCs w:val="16"/>
              </w:rPr>
              <w:t>Gains (Losses)</w:t>
            </w:r>
            <w:r>
              <w:rPr>
                <w:rFonts w:eastAsia="Times New Roman"/>
                <w:b/>
                <w:bCs/>
                <w:color w:val="000000"/>
                <w:sz w:val="16"/>
                <w:szCs w:val="16"/>
              </w:rPr>
              <w:br/>
              <w:t>Recognized in OCI</w:t>
            </w:r>
          </w:p>
        </w:tc>
      </w:tr>
      <w:tr w:rsidR="00000000" w14:paraId="16B40BD2" w14:textId="77777777">
        <w:trPr>
          <w:divId w:val="935332792"/>
        </w:trPr>
        <w:tc>
          <w:tcPr>
            <w:tcW w:w="0" w:type="auto"/>
            <w:gridSpan w:val="3"/>
            <w:tcMar>
              <w:top w:w="30" w:type="dxa"/>
              <w:left w:w="20" w:type="dxa"/>
              <w:bottom w:w="30" w:type="dxa"/>
              <w:right w:w="20" w:type="dxa"/>
            </w:tcMar>
            <w:vAlign w:val="bottom"/>
            <w:hideMark/>
          </w:tcPr>
          <w:p w14:paraId="4B0D67A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C4DAB3C"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AAF0087"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4A37B042" w14:textId="77777777">
        <w:trPr>
          <w:divId w:val="935332792"/>
        </w:trPr>
        <w:tc>
          <w:tcPr>
            <w:tcW w:w="0" w:type="auto"/>
            <w:gridSpan w:val="3"/>
            <w:tcMar>
              <w:top w:w="0" w:type="dxa"/>
              <w:left w:w="20" w:type="dxa"/>
              <w:bottom w:w="0" w:type="dxa"/>
              <w:right w:w="20" w:type="dxa"/>
            </w:tcMar>
            <w:vAlign w:val="center"/>
            <w:hideMark/>
          </w:tcPr>
          <w:p w14:paraId="1436236D"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BF9BF8C"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7364B7B"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8FA7DA2"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B2826B"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7424984"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50B3686"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3608D54B" w14:textId="77777777">
        <w:trPr>
          <w:divId w:val="935332792"/>
        </w:trPr>
        <w:tc>
          <w:tcPr>
            <w:tcW w:w="0" w:type="auto"/>
            <w:gridSpan w:val="3"/>
            <w:tcMar>
              <w:top w:w="30" w:type="dxa"/>
              <w:left w:w="20" w:type="dxa"/>
              <w:bottom w:w="30" w:type="dxa"/>
              <w:right w:w="20" w:type="dxa"/>
            </w:tcMar>
            <w:vAlign w:val="bottom"/>
            <w:hideMark/>
          </w:tcPr>
          <w:p w14:paraId="5571BE4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79E6026"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1DB52EA"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05C290A2" w14:textId="77777777">
        <w:trPr>
          <w:divId w:val="935332792"/>
        </w:trPr>
        <w:tc>
          <w:tcPr>
            <w:tcW w:w="0" w:type="auto"/>
            <w:gridSpan w:val="3"/>
            <w:shd w:val="clear" w:color="auto" w:fill="CCEEFF"/>
            <w:tcMar>
              <w:top w:w="30" w:type="dxa"/>
              <w:left w:w="20" w:type="dxa"/>
              <w:bottom w:w="30" w:type="dxa"/>
              <w:right w:w="20" w:type="dxa"/>
            </w:tcMar>
            <w:vAlign w:val="bottom"/>
            <w:hideMark/>
          </w:tcPr>
          <w:p w14:paraId="0BEB6282" w14:textId="77777777" w:rsidR="00000000" w:rsidRDefault="00EE5306">
            <w:pPr>
              <w:spacing w:after="100"/>
              <w:rPr>
                <w:rFonts w:eastAsia="Times New Roman"/>
              </w:rPr>
            </w:pPr>
            <w:r>
              <w:rPr>
                <w:rFonts w:eastAsia="Times New Roman"/>
                <w:color w:val="000000"/>
                <w:sz w:val="16"/>
                <w:szCs w:val="16"/>
                <w:u w:val="single"/>
              </w:rPr>
              <w:t>Designated Hedges:</w:t>
            </w:r>
          </w:p>
        </w:tc>
        <w:tc>
          <w:tcPr>
            <w:tcW w:w="0" w:type="auto"/>
            <w:gridSpan w:val="3"/>
            <w:shd w:val="clear" w:color="auto" w:fill="CCEEFF"/>
            <w:tcMar>
              <w:top w:w="0" w:type="dxa"/>
              <w:left w:w="20" w:type="dxa"/>
              <w:bottom w:w="0" w:type="dxa"/>
              <w:right w:w="20" w:type="dxa"/>
            </w:tcMar>
            <w:vAlign w:val="center"/>
            <w:hideMark/>
          </w:tcPr>
          <w:p w14:paraId="602EDAE9"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0F3A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DF89A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AFE86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730FC9"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314220" w14:textId="77777777" w:rsidR="00000000" w:rsidRDefault="00EE5306">
            <w:pPr>
              <w:spacing w:after="100"/>
              <w:rPr>
                <w:rFonts w:eastAsia="Times New Roman"/>
                <w:sz w:val="20"/>
                <w:szCs w:val="20"/>
              </w:rPr>
            </w:pPr>
          </w:p>
        </w:tc>
      </w:tr>
      <w:tr w:rsidR="00000000" w14:paraId="11A44CBC" w14:textId="77777777">
        <w:trPr>
          <w:divId w:val="935332792"/>
        </w:trPr>
        <w:tc>
          <w:tcPr>
            <w:tcW w:w="0" w:type="auto"/>
            <w:gridSpan w:val="3"/>
            <w:shd w:val="clear" w:color="auto" w:fill="FFFFFF"/>
            <w:tcMar>
              <w:top w:w="30" w:type="dxa"/>
              <w:left w:w="155" w:type="dxa"/>
              <w:bottom w:w="30" w:type="dxa"/>
              <w:right w:w="20" w:type="dxa"/>
            </w:tcMar>
            <w:vAlign w:val="bottom"/>
            <w:hideMark/>
          </w:tcPr>
          <w:p w14:paraId="14334383" w14:textId="77777777" w:rsidR="00000000" w:rsidRDefault="00EE5306">
            <w:pPr>
              <w:spacing w:after="100"/>
              <w:rPr>
                <w:rFonts w:eastAsia="Times New Roman"/>
              </w:rPr>
            </w:pPr>
            <w:r>
              <w:rPr>
                <w:rFonts w:eastAsia="Times New Roman"/>
                <w:color w:val="000000"/>
                <w:sz w:val="16"/>
                <w:szCs w:val="16"/>
              </w:rPr>
              <w:t>FC — Cash flow hedges</w:t>
            </w:r>
          </w:p>
        </w:tc>
        <w:tc>
          <w:tcPr>
            <w:tcW w:w="0" w:type="auto"/>
            <w:gridSpan w:val="3"/>
            <w:shd w:val="clear" w:color="auto" w:fill="FFFFFF"/>
            <w:tcMar>
              <w:top w:w="0" w:type="dxa"/>
              <w:left w:w="20" w:type="dxa"/>
              <w:bottom w:w="0" w:type="dxa"/>
              <w:right w:w="20" w:type="dxa"/>
            </w:tcMar>
            <w:vAlign w:val="center"/>
            <w:hideMark/>
          </w:tcPr>
          <w:p w14:paraId="0DB1B5F6"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59E48C6"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45ACCCA" w14:textId="77777777" w:rsidR="00000000" w:rsidRDefault="00EE5306">
            <w:pPr>
              <w:spacing w:after="100"/>
              <w:jc w:val="right"/>
              <w:rPr>
                <w:rFonts w:eastAsia="Times New Roman"/>
              </w:rPr>
            </w:pPr>
            <w:r>
              <w:rPr>
                <w:rFonts w:eastAsia="Times New Roman"/>
                <w:color w:val="000000"/>
                <w:sz w:val="16"/>
                <w:szCs w:val="16"/>
              </w:rPr>
              <w:t>(3.5)</w:t>
            </w:r>
          </w:p>
        </w:tc>
        <w:tc>
          <w:tcPr>
            <w:tcW w:w="0" w:type="auto"/>
            <w:shd w:val="clear" w:color="auto" w:fill="FFFFFF"/>
            <w:tcMar>
              <w:top w:w="30" w:type="dxa"/>
              <w:left w:w="0" w:type="dxa"/>
              <w:bottom w:w="30" w:type="dxa"/>
              <w:right w:w="20" w:type="dxa"/>
            </w:tcMar>
            <w:vAlign w:val="bottom"/>
            <w:hideMark/>
          </w:tcPr>
          <w:p w14:paraId="3A6F3AC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2E8C27"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C3A64A"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8CF0A7F" w14:textId="77777777" w:rsidR="00000000" w:rsidRDefault="00EE5306">
            <w:pPr>
              <w:spacing w:after="100"/>
              <w:jc w:val="right"/>
              <w:rPr>
                <w:rFonts w:eastAsia="Times New Roman"/>
              </w:rPr>
            </w:pPr>
            <w:r>
              <w:rPr>
                <w:rFonts w:eastAsia="Times New Roman"/>
                <w:color w:val="000000"/>
                <w:sz w:val="16"/>
                <w:szCs w:val="16"/>
              </w:rPr>
              <w:t>24.0 </w:t>
            </w:r>
          </w:p>
        </w:tc>
        <w:tc>
          <w:tcPr>
            <w:tcW w:w="0" w:type="auto"/>
            <w:shd w:val="clear" w:color="auto" w:fill="FFFFFF"/>
            <w:tcMar>
              <w:top w:w="30" w:type="dxa"/>
              <w:left w:w="0" w:type="dxa"/>
              <w:bottom w:w="30" w:type="dxa"/>
              <w:right w:w="20" w:type="dxa"/>
            </w:tcMar>
            <w:vAlign w:val="bottom"/>
            <w:hideMark/>
          </w:tcPr>
          <w:p w14:paraId="49D28B0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C1356"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EE9FE3"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378928A" w14:textId="77777777" w:rsidR="00000000" w:rsidRDefault="00EE5306">
            <w:pPr>
              <w:spacing w:after="100"/>
              <w:jc w:val="right"/>
              <w:rPr>
                <w:rFonts w:eastAsia="Times New Roman"/>
              </w:rPr>
            </w:pPr>
            <w:r>
              <w:rPr>
                <w:rFonts w:eastAsia="Times New Roman"/>
                <w:color w:val="000000"/>
                <w:sz w:val="16"/>
                <w:szCs w:val="16"/>
              </w:rPr>
              <w:t>47.5 </w:t>
            </w:r>
          </w:p>
        </w:tc>
        <w:tc>
          <w:tcPr>
            <w:tcW w:w="0" w:type="auto"/>
            <w:shd w:val="clear" w:color="auto" w:fill="FFFFFF"/>
            <w:tcMar>
              <w:top w:w="30" w:type="dxa"/>
              <w:left w:w="0" w:type="dxa"/>
              <w:bottom w:w="30" w:type="dxa"/>
              <w:right w:w="20" w:type="dxa"/>
            </w:tcMar>
            <w:vAlign w:val="bottom"/>
            <w:hideMark/>
          </w:tcPr>
          <w:p w14:paraId="739AB87B" w14:textId="77777777" w:rsidR="00000000" w:rsidRDefault="00EE5306">
            <w:pPr>
              <w:spacing w:after="100"/>
              <w:jc w:val="right"/>
              <w:rPr>
                <w:rFonts w:eastAsia="Times New Roman"/>
              </w:rPr>
            </w:pPr>
          </w:p>
        </w:tc>
      </w:tr>
      <w:tr w:rsidR="00000000" w14:paraId="279C3AC9" w14:textId="77777777">
        <w:trPr>
          <w:divId w:val="935332792"/>
        </w:trPr>
        <w:tc>
          <w:tcPr>
            <w:tcW w:w="0" w:type="auto"/>
            <w:gridSpan w:val="3"/>
            <w:shd w:val="clear" w:color="auto" w:fill="CCEEFF"/>
            <w:tcMar>
              <w:top w:w="30" w:type="dxa"/>
              <w:left w:w="20" w:type="dxa"/>
              <w:bottom w:w="30" w:type="dxa"/>
              <w:right w:w="20" w:type="dxa"/>
            </w:tcMar>
            <w:vAlign w:val="bottom"/>
            <w:hideMark/>
          </w:tcPr>
          <w:p w14:paraId="67207A1F" w14:textId="77777777" w:rsidR="00000000" w:rsidRDefault="00EE5306">
            <w:pPr>
              <w:spacing w:after="100"/>
              <w:divId w:val="1369062375"/>
              <w:rPr>
                <w:rFonts w:eastAsia="Times New Roman"/>
              </w:rPr>
            </w:pPr>
            <w:r>
              <w:rPr>
                <w:rFonts w:eastAsia="Times New Roman"/>
                <w:color w:val="000000"/>
                <w:sz w:val="16"/>
                <w:szCs w:val="16"/>
              </w:rPr>
              <w:t>Net investment hedges — effective portio</w:t>
            </w:r>
            <w:r>
              <w:rPr>
                <w:rFonts w:eastAsia="Times New Roman"/>
                <w:color w:val="000000"/>
                <w:sz w:val="16"/>
                <w:szCs w:val="16"/>
              </w:rPr>
              <w:t>n</w:t>
            </w:r>
            <w:r>
              <w:rPr>
                <w:rFonts w:eastAsia="Times New Roman"/>
                <w:b/>
                <w:bCs/>
                <w:color w:val="000000"/>
                <w:sz w:val="10"/>
                <w:szCs w:val="10"/>
              </w:rPr>
              <w:t xml:space="preserve"> </w:t>
            </w:r>
          </w:p>
        </w:tc>
        <w:tc>
          <w:tcPr>
            <w:tcW w:w="0" w:type="auto"/>
            <w:gridSpan w:val="3"/>
            <w:shd w:val="clear" w:color="auto" w:fill="CCEEFF"/>
            <w:tcMar>
              <w:top w:w="0" w:type="dxa"/>
              <w:left w:w="20" w:type="dxa"/>
              <w:bottom w:w="0" w:type="dxa"/>
              <w:right w:w="20" w:type="dxa"/>
            </w:tcMar>
            <w:vAlign w:val="center"/>
            <w:hideMark/>
          </w:tcPr>
          <w:p w14:paraId="63F9EF7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63CFBE" w14:textId="77777777" w:rsidR="00000000" w:rsidRDefault="00EE5306">
            <w:pPr>
              <w:spacing w:after="100"/>
              <w:jc w:val="right"/>
              <w:rPr>
                <w:rFonts w:eastAsia="Times New Roman"/>
              </w:rPr>
            </w:pPr>
            <w:r>
              <w:rPr>
                <w:rFonts w:eastAsia="Times New Roman"/>
                <w:color w:val="000000"/>
                <w:sz w:val="16"/>
                <w:szCs w:val="16"/>
              </w:rPr>
              <w:t>(35.5)</w:t>
            </w:r>
          </w:p>
        </w:tc>
        <w:tc>
          <w:tcPr>
            <w:tcW w:w="0" w:type="auto"/>
            <w:shd w:val="clear" w:color="auto" w:fill="CCEEFF"/>
            <w:tcMar>
              <w:top w:w="30" w:type="dxa"/>
              <w:left w:w="0" w:type="dxa"/>
              <w:bottom w:w="30" w:type="dxa"/>
              <w:right w:w="20" w:type="dxa"/>
            </w:tcMar>
            <w:vAlign w:val="bottom"/>
            <w:hideMark/>
          </w:tcPr>
          <w:p w14:paraId="3E25720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3833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1E335E" w14:textId="77777777" w:rsidR="00000000" w:rsidRDefault="00EE5306">
            <w:pPr>
              <w:spacing w:after="100"/>
              <w:jc w:val="right"/>
              <w:rPr>
                <w:rFonts w:eastAsia="Times New Roman"/>
              </w:rPr>
            </w:pPr>
            <w:r>
              <w:rPr>
                <w:rFonts w:eastAsia="Times New Roman"/>
                <w:color w:val="000000"/>
                <w:sz w:val="16"/>
                <w:szCs w:val="16"/>
              </w:rPr>
              <w:t>7.7 </w:t>
            </w:r>
          </w:p>
        </w:tc>
        <w:tc>
          <w:tcPr>
            <w:tcW w:w="0" w:type="auto"/>
            <w:shd w:val="clear" w:color="auto" w:fill="CCEEFF"/>
            <w:tcMar>
              <w:top w:w="30" w:type="dxa"/>
              <w:left w:w="0" w:type="dxa"/>
              <w:bottom w:w="30" w:type="dxa"/>
              <w:right w:w="20" w:type="dxa"/>
            </w:tcMar>
            <w:vAlign w:val="bottom"/>
            <w:hideMark/>
          </w:tcPr>
          <w:p w14:paraId="24A57B2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3925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C1EC66" w14:textId="77777777" w:rsidR="00000000" w:rsidRDefault="00EE5306">
            <w:pPr>
              <w:spacing w:after="100"/>
              <w:jc w:val="right"/>
              <w:rPr>
                <w:rFonts w:eastAsia="Times New Roman"/>
              </w:rPr>
            </w:pPr>
            <w:r>
              <w:rPr>
                <w:rFonts w:eastAsia="Times New Roman"/>
                <w:color w:val="000000"/>
                <w:sz w:val="16"/>
                <w:szCs w:val="16"/>
              </w:rPr>
              <w:t>64.5 </w:t>
            </w:r>
          </w:p>
        </w:tc>
        <w:tc>
          <w:tcPr>
            <w:tcW w:w="0" w:type="auto"/>
            <w:shd w:val="clear" w:color="auto" w:fill="CCEEFF"/>
            <w:tcMar>
              <w:top w:w="30" w:type="dxa"/>
              <w:left w:w="0" w:type="dxa"/>
              <w:bottom w:w="30" w:type="dxa"/>
              <w:right w:w="20" w:type="dxa"/>
            </w:tcMar>
            <w:vAlign w:val="bottom"/>
            <w:hideMark/>
          </w:tcPr>
          <w:p w14:paraId="7996C1F8" w14:textId="77777777" w:rsidR="00000000" w:rsidRDefault="00EE5306">
            <w:pPr>
              <w:spacing w:after="100"/>
              <w:jc w:val="right"/>
              <w:rPr>
                <w:rFonts w:eastAsia="Times New Roman"/>
              </w:rPr>
            </w:pPr>
          </w:p>
        </w:tc>
      </w:tr>
      <w:tr w:rsidR="00000000" w14:paraId="5435395A" w14:textId="77777777">
        <w:trPr>
          <w:divId w:val="935332792"/>
        </w:trPr>
        <w:tc>
          <w:tcPr>
            <w:tcW w:w="0" w:type="auto"/>
            <w:gridSpan w:val="3"/>
            <w:shd w:val="clear" w:color="auto" w:fill="FFFFFF"/>
            <w:tcMar>
              <w:top w:w="30" w:type="dxa"/>
              <w:left w:w="155" w:type="dxa"/>
              <w:bottom w:w="30" w:type="dxa"/>
              <w:right w:w="20" w:type="dxa"/>
            </w:tcMar>
            <w:vAlign w:val="bottom"/>
            <w:hideMark/>
          </w:tcPr>
          <w:p w14:paraId="2F87F5E1" w14:textId="77777777" w:rsidR="00000000" w:rsidRDefault="00EE5306">
            <w:pPr>
              <w:spacing w:after="100"/>
              <w:rPr>
                <w:rFonts w:eastAsia="Times New Roman"/>
              </w:rPr>
            </w:pPr>
            <w:r>
              <w:rPr>
                <w:rFonts w:eastAsia="Times New Roman"/>
                <w:color w:val="000000"/>
                <w:sz w:val="16"/>
                <w:szCs w:val="16"/>
              </w:rPr>
              <w:t>Net investment hedges — portion excluded from assessment of hedge effectiveness</w:t>
            </w:r>
          </w:p>
        </w:tc>
        <w:tc>
          <w:tcPr>
            <w:tcW w:w="0" w:type="auto"/>
            <w:gridSpan w:val="3"/>
            <w:shd w:val="clear" w:color="auto" w:fill="FFFFFF"/>
            <w:tcMar>
              <w:top w:w="0" w:type="dxa"/>
              <w:left w:w="20" w:type="dxa"/>
              <w:bottom w:w="0" w:type="dxa"/>
              <w:right w:w="20" w:type="dxa"/>
            </w:tcMar>
            <w:vAlign w:val="center"/>
            <w:hideMark/>
          </w:tcPr>
          <w:p w14:paraId="0DF08FC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C9AE39" w14:textId="77777777" w:rsidR="00000000" w:rsidRDefault="00EE5306">
            <w:pPr>
              <w:spacing w:after="100"/>
              <w:jc w:val="right"/>
              <w:rPr>
                <w:rFonts w:eastAsia="Times New Roman"/>
              </w:rPr>
            </w:pPr>
            <w:r>
              <w:rPr>
                <w:rFonts w:eastAsia="Times New Roman"/>
                <w:color w:val="000000"/>
                <w:sz w:val="16"/>
                <w:szCs w:val="16"/>
              </w:rPr>
              <w:t>(50.8)</w:t>
            </w:r>
          </w:p>
        </w:tc>
        <w:tc>
          <w:tcPr>
            <w:tcW w:w="0" w:type="auto"/>
            <w:shd w:val="clear" w:color="auto" w:fill="FFFFFF"/>
            <w:tcMar>
              <w:top w:w="30" w:type="dxa"/>
              <w:left w:w="0" w:type="dxa"/>
              <w:bottom w:w="30" w:type="dxa"/>
              <w:right w:w="20" w:type="dxa"/>
            </w:tcMar>
            <w:vAlign w:val="bottom"/>
            <w:hideMark/>
          </w:tcPr>
          <w:p w14:paraId="342D992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820F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F664DF" w14:textId="77777777" w:rsidR="00000000" w:rsidRDefault="00EE5306">
            <w:pPr>
              <w:spacing w:after="100"/>
              <w:jc w:val="right"/>
              <w:rPr>
                <w:rFonts w:eastAsia="Times New Roman"/>
              </w:rPr>
            </w:pPr>
            <w:r>
              <w:rPr>
                <w:rFonts w:eastAsia="Times New Roman"/>
                <w:color w:val="000000"/>
                <w:sz w:val="16"/>
                <w:szCs w:val="16"/>
              </w:rPr>
              <w:t>30.7 </w:t>
            </w:r>
          </w:p>
        </w:tc>
        <w:tc>
          <w:tcPr>
            <w:tcW w:w="0" w:type="auto"/>
            <w:shd w:val="clear" w:color="auto" w:fill="FFFFFF"/>
            <w:tcMar>
              <w:top w:w="30" w:type="dxa"/>
              <w:left w:w="0" w:type="dxa"/>
              <w:bottom w:w="30" w:type="dxa"/>
              <w:right w:w="20" w:type="dxa"/>
            </w:tcMar>
            <w:vAlign w:val="bottom"/>
            <w:hideMark/>
          </w:tcPr>
          <w:p w14:paraId="2E88AC7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DD2F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A3E164" w14:textId="77777777" w:rsidR="00000000" w:rsidRDefault="00EE5306">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14:paraId="0A0A9CFD" w14:textId="77777777" w:rsidR="00000000" w:rsidRDefault="00EE5306">
            <w:pPr>
              <w:spacing w:after="100"/>
              <w:jc w:val="right"/>
              <w:rPr>
                <w:rFonts w:eastAsia="Times New Roman"/>
              </w:rPr>
            </w:pPr>
          </w:p>
        </w:tc>
      </w:tr>
      <w:tr w:rsidR="00000000" w14:paraId="10D25289" w14:textId="77777777">
        <w:trPr>
          <w:divId w:val="935332792"/>
        </w:trPr>
        <w:tc>
          <w:tcPr>
            <w:tcW w:w="0" w:type="auto"/>
            <w:gridSpan w:val="3"/>
            <w:shd w:val="clear" w:color="auto" w:fill="CCEEFF"/>
            <w:tcMar>
              <w:top w:w="30" w:type="dxa"/>
              <w:left w:w="245" w:type="dxa"/>
              <w:bottom w:w="30" w:type="dxa"/>
              <w:right w:w="20" w:type="dxa"/>
            </w:tcMar>
            <w:vAlign w:val="bottom"/>
            <w:hideMark/>
          </w:tcPr>
          <w:p w14:paraId="18E60851" w14:textId="77777777" w:rsidR="00000000" w:rsidRDefault="00EE5306">
            <w:pPr>
              <w:spacing w:after="100"/>
              <w:rPr>
                <w:rFonts w:eastAsia="Times New Roman"/>
              </w:rPr>
            </w:pPr>
            <w:r>
              <w:rPr>
                <w:rFonts w:eastAsia="Times New Roman"/>
                <w:color w:val="000000"/>
                <w:sz w:val="16"/>
                <w:szCs w:val="16"/>
              </w:rPr>
              <w:t>Total Designated Hedges</w:t>
            </w:r>
          </w:p>
        </w:tc>
        <w:tc>
          <w:tcPr>
            <w:tcW w:w="0" w:type="auto"/>
            <w:gridSpan w:val="3"/>
            <w:shd w:val="clear" w:color="auto" w:fill="CCEEFF"/>
            <w:tcMar>
              <w:top w:w="0" w:type="dxa"/>
              <w:left w:w="20" w:type="dxa"/>
              <w:bottom w:w="0" w:type="dxa"/>
              <w:right w:w="20" w:type="dxa"/>
            </w:tcMar>
            <w:vAlign w:val="center"/>
            <w:hideMark/>
          </w:tcPr>
          <w:p w14:paraId="4BD9BE01"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5AF723"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C8048E" w14:textId="77777777" w:rsidR="00000000" w:rsidRDefault="00EE5306">
            <w:pPr>
              <w:spacing w:after="100"/>
              <w:jc w:val="right"/>
              <w:rPr>
                <w:rFonts w:eastAsia="Times New Roman"/>
              </w:rPr>
            </w:pPr>
            <w:r>
              <w:rPr>
                <w:rFonts w:eastAsia="Times New Roman"/>
                <w:color w:val="000000"/>
                <w:sz w:val="16"/>
                <w:szCs w:val="16"/>
              </w:rPr>
              <w:t>(89.8)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63ABC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0E1CE"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A37BD1"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D1F4EA" w14:textId="77777777" w:rsidR="00000000" w:rsidRDefault="00EE5306">
            <w:pPr>
              <w:spacing w:after="100"/>
              <w:jc w:val="right"/>
              <w:rPr>
                <w:rFonts w:eastAsia="Times New Roman"/>
              </w:rPr>
            </w:pPr>
            <w:r>
              <w:rPr>
                <w:rFonts w:eastAsia="Times New Roman"/>
                <w:color w:val="000000"/>
                <w:sz w:val="16"/>
                <w:szCs w:val="16"/>
              </w:rPr>
              <w:t>62.4 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AD95B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660AE"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C7D810"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B8CA62" w14:textId="77777777" w:rsidR="00000000" w:rsidRDefault="00EE5306">
            <w:pPr>
              <w:spacing w:after="100"/>
              <w:jc w:val="right"/>
              <w:rPr>
                <w:rFonts w:eastAsia="Times New Roman"/>
              </w:rPr>
            </w:pPr>
            <w:r>
              <w:rPr>
                <w:rFonts w:eastAsia="Times New Roman"/>
                <w:color w:val="000000"/>
                <w:sz w:val="16"/>
                <w:szCs w:val="16"/>
              </w:rPr>
              <w:t>113.6 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38F315" w14:textId="77777777" w:rsidR="00000000" w:rsidRDefault="00EE5306">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628"/>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tblGrid>
      <w:tr w:rsidR="00000000" w14:paraId="412213A9" w14:textId="77777777">
        <w:trPr>
          <w:jc w:val="center"/>
        </w:trPr>
        <w:tc>
          <w:tcPr>
            <w:tcW w:w="50" w:type="pct"/>
            <w:vAlign w:val="center"/>
            <w:hideMark/>
          </w:tcPr>
          <w:p w14:paraId="6FB50671" w14:textId="77777777" w:rsidR="00000000" w:rsidRDefault="00EE5306">
            <w:pPr>
              <w:rPr>
                <w:rFonts w:eastAsia="Times New Roman"/>
              </w:rPr>
            </w:pPr>
          </w:p>
        </w:tc>
        <w:tc>
          <w:tcPr>
            <w:tcW w:w="1582" w:type="pct"/>
            <w:vAlign w:val="center"/>
            <w:hideMark/>
          </w:tcPr>
          <w:p w14:paraId="0EC5117E" w14:textId="77777777" w:rsidR="00000000" w:rsidRDefault="00EE5306">
            <w:pPr>
              <w:spacing w:after="100"/>
              <w:rPr>
                <w:rFonts w:eastAsia="Times New Roman"/>
                <w:sz w:val="20"/>
                <w:szCs w:val="20"/>
              </w:rPr>
            </w:pPr>
          </w:p>
        </w:tc>
        <w:tc>
          <w:tcPr>
            <w:tcW w:w="5" w:type="pct"/>
            <w:vAlign w:val="center"/>
            <w:hideMark/>
          </w:tcPr>
          <w:p w14:paraId="393CCCBD" w14:textId="77777777" w:rsidR="00000000" w:rsidRDefault="00EE5306">
            <w:pPr>
              <w:spacing w:after="100"/>
              <w:rPr>
                <w:rFonts w:eastAsia="Times New Roman"/>
                <w:sz w:val="20"/>
                <w:szCs w:val="20"/>
              </w:rPr>
            </w:pPr>
          </w:p>
        </w:tc>
        <w:tc>
          <w:tcPr>
            <w:tcW w:w="5" w:type="pct"/>
            <w:vAlign w:val="center"/>
            <w:hideMark/>
          </w:tcPr>
          <w:p w14:paraId="6C8750D0" w14:textId="77777777" w:rsidR="00000000" w:rsidRDefault="00EE5306">
            <w:pPr>
              <w:spacing w:after="100"/>
              <w:rPr>
                <w:rFonts w:eastAsia="Times New Roman"/>
                <w:sz w:val="20"/>
                <w:szCs w:val="20"/>
              </w:rPr>
            </w:pPr>
          </w:p>
        </w:tc>
        <w:tc>
          <w:tcPr>
            <w:tcW w:w="55" w:type="pct"/>
            <w:vAlign w:val="center"/>
            <w:hideMark/>
          </w:tcPr>
          <w:p w14:paraId="1E3439D2" w14:textId="77777777" w:rsidR="00000000" w:rsidRDefault="00EE5306">
            <w:pPr>
              <w:spacing w:after="100"/>
              <w:rPr>
                <w:rFonts w:eastAsia="Times New Roman"/>
                <w:sz w:val="20"/>
                <w:szCs w:val="20"/>
              </w:rPr>
            </w:pPr>
          </w:p>
        </w:tc>
        <w:tc>
          <w:tcPr>
            <w:tcW w:w="5" w:type="pct"/>
            <w:vAlign w:val="center"/>
            <w:hideMark/>
          </w:tcPr>
          <w:p w14:paraId="549AE350" w14:textId="77777777" w:rsidR="00000000" w:rsidRDefault="00EE5306">
            <w:pPr>
              <w:spacing w:after="100"/>
              <w:rPr>
                <w:rFonts w:eastAsia="Times New Roman"/>
                <w:sz w:val="20"/>
                <w:szCs w:val="20"/>
              </w:rPr>
            </w:pPr>
          </w:p>
        </w:tc>
        <w:tc>
          <w:tcPr>
            <w:tcW w:w="50" w:type="pct"/>
            <w:vAlign w:val="center"/>
            <w:hideMark/>
          </w:tcPr>
          <w:p w14:paraId="550F4C7A" w14:textId="77777777" w:rsidR="00000000" w:rsidRDefault="00EE5306">
            <w:pPr>
              <w:spacing w:after="100"/>
              <w:rPr>
                <w:rFonts w:eastAsia="Times New Roman"/>
                <w:sz w:val="20"/>
                <w:szCs w:val="20"/>
              </w:rPr>
            </w:pPr>
          </w:p>
        </w:tc>
        <w:tc>
          <w:tcPr>
            <w:tcW w:w="464" w:type="pct"/>
            <w:vAlign w:val="center"/>
            <w:hideMark/>
          </w:tcPr>
          <w:p w14:paraId="46F5CB0C" w14:textId="77777777" w:rsidR="00000000" w:rsidRDefault="00EE5306">
            <w:pPr>
              <w:spacing w:after="100"/>
              <w:rPr>
                <w:rFonts w:eastAsia="Times New Roman"/>
                <w:sz w:val="20"/>
                <w:szCs w:val="20"/>
              </w:rPr>
            </w:pPr>
          </w:p>
        </w:tc>
        <w:tc>
          <w:tcPr>
            <w:tcW w:w="5" w:type="pct"/>
            <w:vAlign w:val="center"/>
            <w:hideMark/>
          </w:tcPr>
          <w:p w14:paraId="5E7B6652" w14:textId="77777777" w:rsidR="00000000" w:rsidRDefault="00EE5306">
            <w:pPr>
              <w:spacing w:after="100"/>
              <w:rPr>
                <w:rFonts w:eastAsia="Times New Roman"/>
                <w:sz w:val="20"/>
                <w:szCs w:val="20"/>
              </w:rPr>
            </w:pPr>
          </w:p>
        </w:tc>
        <w:tc>
          <w:tcPr>
            <w:tcW w:w="5" w:type="pct"/>
            <w:vAlign w:val="center"/>
            <w:hideMark/>
          </w:tcPr>
          <w:p w14:paraId="3F114542" w14:textId="77777777" w:rsidR="00000000" w:rsidRDefault="00EE5306">
            <w:pPr>
              <w:spacing w:after="100"/>
              <w:rPr>
                <w:rFonts w:eastAsia="Times New Roman"/>
                <w:sz w:val="20"/>
                <w:szCs w:val="20"/>
              </w:rPr>
            </w:pPr>
          </w:p>
        </w:tc>
        <w:tc>
          <w:tcPr>
            <w:tcW w:w="26" w:type="pct"/>
            <w:vAlign w:val="center"/>
            <w:hideMark/>
          </w:tcPr>
          <w:p w14:paraId="149ADD48" w14:textId="77777777" w:rsidR="00000000" w:rsidRDefault="00EE5306">
            <w:pPr>
              <w:spacing w:after="100"/>
              <w:rPr>
                <w:rFonts w:eastAsia="Times New Roman"/>
                <w:sz w:val="20"/>
                <w:szCs w:val="20"/>
              </w:rPr>
            </w:pPr>
          </w:p>
        </w:tc>
        <w:tc>
          <w:tcPr>
            <w:tcW w:w="5" w:type="pct"/>
            <w:vAlign w:val="center"/>
            <w:hideMark/>
          </w:tcPr>
          <w:p w14:paraId="1427C0A4" w14:textId="77777777" w:rsidR="00000000" w:rsidRDefault="00EE5306">
            <w:pPr>
              <w:spacing w:after="100"/>
              <w:rPr>
                <w:rFonts w:eastAsia="Times New Roman"/>
                <w:sz w:val="20"/>
                <w:szCs w:val="20"/>
              </w:rPr>
            </w:pPr>
          </w:p>
        </w:tc>
        <w:tc>
          <w:tcPr>
            <w:tcW w:w="50" w:type="pct"/>
            <w:vAlign w:val="center"/>
            <w:hideMark/>
          </w:tcPr>
          <w:p w14:paraId="541610DE" w14:textId="77777777" w:rsidR="00000000" w:rsidRDefault="00EE5306">
            <w:pPr>
              <w:spacing w:after="100"/>
              <w:rPr>
                <w:rFonts w:eastAsia="Times New Roman"/>
                <w:sz w:val="20"/>
                <w:szCs w:val="20"/>
              </w:rPr>
            </w:pPr>
          </w:p>
        </w:tc>
        <w:tc>
          <w:tcPr>
            <w:tcW w:w="464" w:type="pct"/>
            <w:vAlign w:val="center"/>
            <w:hideMark/>
          </w:tcPr>
          <w:p w14:paraId="6D9204D0" w14:textId="77777777" w:rsidR="00000000" w:rsidRDefault="00EE5306">
            <w:pPr>
              <w:spacing w:after="100"/>
              <w:rPr>
                <w:rFonts w:eastAsia="Times New Roman"/>
                <w:sz w:val="20"/>
                <w:szCs w:val="20"/>
              </w:rPr>
            </w:pPr>
          </w:p>
        </w:tc>
        <w:tc>
          <w:tcPr>
            <w:tcW w:w="5" w:type="pct"/>
            <w:vAlign w:val="center"/>
            <w:hideMark/>
          </w:tcPr>
          <w:p w14:paraId="15CF9C8C" w14:textId="77777777" w:rsidR="00000000" w:rsidRDefault="00EE5306">
            <w:pPr>
              <w:spacing w:after="100"/>
              <w:rPr>
                <w:rFonts w:eastAsia="Times New Roman"/>
                <w:sz w:val="20"/>
                <w:szCs w:val="20"/>
              </w:rPr>
            </w:pPr>
          </w:p>
        </w:tc>
        <w:tc>
          <w:tcPr>
            <w:tcW w:w="5" w:type="pct"/>
            <w:vAlign w:val="center"/>
            <w:hideMark/>
          </w:tcPr>
          <w:p w14:paraId="58B5596F" w14:textId="77777777" w:rsidR="00000000" w:rsidRDefault="00EE5306">
            <w:pPr>
              <w:spacing w:after="100"/>
              <w:rPr>
                <w:rFonts w:eastAsia="Times New Roman"/>
                <w:sz w:val="20"/>
                <w:szCs w:val="20"/>
              </w:rPr>
            </w:pPr>
          </w:p>
        </w:tc>
        <w:tc>
          <w:tcPr>
            <w:tcW w:w="26" w:type="pct"/>
            <w:vAlign w:val="center"/>
            <w:hideMark/>
          </w:tcPr>
          <w:p w14:paraId="4034E877" w14:textId="77777777" w:rsidR="00000000" w:rsidRDefault="00EE5306">
            <w:pPr>
              <w:spacing w:after="100"/>
              <w:rPr>
                <w:rFonts w:eastAsia="Times New Roman"/>
                <w:sz w:val="20"/>
                <w:szCs w:val="20"/>
              </w:rPr>
            </w:pPr>
          </w:p>
        </w:tc>
        <w:tc>
          <w:tcPr>
            <w:tcW w:w="5" w:type="pct"/>
            <w:vAlign w:val="center"/>
            <w:hideMark/>
          </w:tcPr>
          <w:p w14:paraId="48C701B6" w14:textId="77777777" w:rsidR="00000000" w:rsidRDefault="00EE5306">
            <w:pPr>
              <w:spacing w:after="100"/>
              <w:rPr>
                <w:rFonts w:eastAsia="Times New Roman"/>
                <w:sz w:val="20"/>
                <w:szCs w:val="20"/>
              </w:rPr>
            </w:pPr>
          </w:p>
        </w:tc>
        <w:tc>
          <w:tcPr>
            <w:tcW w:w="50" w:type="pct"/>
            <w:vAlign w:val="center"/>
            <w:hideMark/>
          </w:tcPr>
          <w:p w14:paraId="15996CD9" w14:textId="77777777" w:rsidR="00000000" w:rsidRDefault="00EE5306">
            <w:pPr>
              <w:spacing w:after="100"/>
              <w:rPr>
                <w:rFonts w:eastAsia="Times New Roman"/>
                <w:sz w:val="20"/>
                <w:szCs w:val="20"/>
              </w:rPr>
            </w:pPr>
          </w:p>
        </w:tc>
        <w:tc>
          <w:tcPr>
            <w:tcW w:w="464" w:type="pct"/>
            <w:vAlign w:val="center"/>
            <w:hideMark/>
          </w:tcPr>
          <w:p w14:paraId="39F1907B" w14:textId="77777777" w:rsidR="00000000" w:rsidRDefault="00EE5306">
            <w:pPr>
              <w:spacing w:after="100"/>
              <w:rPr>
                <w:rFonts w:eastAsia="Times New Roman"/>
                <w:sz w:val="20"/>
                <w:szCs w:val="20"/>
              </w:rPr>
            </w:pPr>
          </w:p>
        </w:tc>
        <w:tc>
          <w:tcPr>
            <w:tcW w:w="5" w:type="pct"/>
            <w:vAlign w:val="center"/>
            <w:hideMark/>
          </w:tcPr>
          <w:p w14:paraId="03409BC0" w14:textId="77777777" w:rsidR="00000000" w:rsidRDefault="00EE5306">
            <w:pPr>
              <w:spacing w:after="100"/>
              <w:rPr>
                <w:rFonts w:eastAsia="Times New Roman"/>
                <w:sz w:val="20"/>
                <w:szCs w:val="20"/>
              </w:rPr>
            </w:pPr>
          </w:p>
        </w:tc>
        <w:tc>
          <w:tcPr>
            <w:tcW w:w="5" w:type="pct"/>
            <w:vAlign w:val="center"/>
            <w:hideMark/>
          </w:tcPr>
          <w:p w14:paraId="60A3B8CA" w14:textId="77777777" w:rsidR="00000000" w:rsidRDefault="00EE5306">
            <w:pPr>
              <w:spacing w:after="100"/>
              <w:rPr>
                <w:rFonts w:eastAsia="Times New Roman"/>
                <w:sz w:val="20"/>
                <w:szCs w:val="20"/>
              </w:rPr>
            </w:pPr>
          </w:p>
        </w:tc>
        <w:tc>
          <w:tcPr>
            <w:tcW w:w="26" w:type="pct"/>
            <w:vAlign w:val="center"/>
            <w:hideMark/>
          </w:tcPr>
          <w:p w14:paraId="03F50564" w14:textId="77777777" w:rsidR="00000000" w:rsidRDefault="00EE5306">
            <w:pPr>
              <w:spacing w:after="100"/>
              <w:rPr>
                <w:rFonts w:eastAsia="Times New Roman"/>
                <w:sz w:val="20"/>
                <w:szCs w:val="20"/>
              </w:rPr>
            </w:pPr>
          </w:p>
        </w:tc>
        <w:tc>
          <w:tcPr>
            <w:tcW w:w="5" w:type="pct"/>
            <w:vAlign w:val="center"/>
            <w:hideMark/>
          </w:tcPr>
          <w:p w14:paraId="69DC75F0" w14:textId="77777777" w:rsidR="00000000" w:rsidRDefault="00EE5306">
            <w:pPr>
              <w:spacing w:after="100"/>
              <w:rPr>
                <w:rFonts w:eastAsia="Times New Roman"/>
                <w:sz w:val="20"/>
                <w:szCs w:val="20"/>
              </w:rPr>
            </w:pPr>
          </w:p>
        </w:tc>
        <w:tc>
          <w:tcPr>
            <w:tcW w:w="50" w:type="pct"/>
            <w:vAlign w:val="center"/>
            <w:hideMark/>
          </w:tcPr>
          <w:p w14:paraId="49A56342" w14:textId="77777777" w:rsidR="00000000" w:rsidRDefault="00EE5306">
            <w:pPr>
              <w:spacing w:after="100"/>
              <w:rPr>
                <w:rFonts w:eastAsia="Times New Roman"/>
                <w:sz w:val="20"/>
                <w:szCs w:val="20"/>
              </w:rPr>
            </w:pPr>
          </w:p>
        </w:tc>
        <w:tc>
          <w:tcPr>
            <w:tcW w:w="464" w:type="pct"/>
            <w:vAlign w:val="center"/>
            <w:hideMark/>
          </w:tcPr>
          <w:p w14:paraId="68DDCA78" w14:textId="77777777" w:rsidR="00000000" w:rsidRDefault="00EE5306">
            <w:pPr>
              <w:spacing w:after="100"/>
              <w:rPr>
                <w:rFonts w:eastAsia="Times New Roman"/>
                <w:sz w:val="20"/>
                <w:szCs w:val="20"/>
              </w:rPr>
            </w:pPr>
          </w:p>
        </w:tc>
        <w:tc>
          <w:tcPr>
            <w:tcW w:w="5" w:type="pct"/>
            <w:vAlign w:val="center"/>
            <w:hideMark/>
          </w:tcPr>
          <w:p w14:paraId="1FAD423A" w14:textId="77777777" w:rsidR="00000000" w:rsidRDefault="00EE5306">
            <w:pPr>
              <w:spacing w:after="100"/>
              <w:rPr>
                <w:rFonts w:eastAsia="Times New Roman"/>
                <w:sz w:val="20"/>
                <w:szCs w:val="20"/>
              </w:rPr>
            </w:pPr>
          </w:p>
        </w:tc>
        <w:tc>
          <w:tcPr>
            <w:tcW w:w="5" w:type="pct"/>
            <w:vAlign w:val="center"/>
            <w:hideMark/>
          </w:tcPr>
          <w:p w14:paraId="54D25C5F" w14:textId="77777777" w:rsidR="00000000" w:rsidRDefault="00EE5306">
            <w:pPr>
              <w:spacing w:after="100"/>
              <w:rPr>
                <w:rFonts w:eastAsia="Times New Roman"/>
                <w:sz w:val="20"/>
                <w:szCs w:val="20"/>
              </w:rPr>
            </w:pPr>
          </w:p>
        </w:tc>
        <w:tc>
          <w:tcPr>
            <w:tcW w:w="26" w:type="pct"/>
            <w:vAlign w:val="center"/>
            <w:hideMark/>
          </w:tcPr>
          <w:p w14:paraId="252E9649" w14:textId="77777777" w:rsidR="00000000" w:rsidRDefault="00EE5306">
            <w:pPr>
              <w:spacing w:after="100"/>
              <w:rPr>
                <w:rFonts w:eastAsia="Times New Roman"/>
                <w:sz w:val="20"/>
                <w:szCs w:val="20"/>
              </w:rPr>
            </w:pPr>
          </w:p>
        </w:tc>
        <w:tc>
          <w:tcPr>
            <w:tcW w:w="5" w:type="pct"/>
            <w:vAlign w:val="center"/>
            <w:hideMark/>
          </w:tcPr>
          <w:p w14:paraId="074825F8" w14:textId="77777777" w:rsidR="00000000" w:rsidRDefault="00EE5306">
            <w:pPr>
              <w:spacing w:after="100"/>
              <w:rPr>
                <w:rFonts w:eastAsia="Times New Roman"/>
                <w:sz w:val="20"/>
                <w:szCs w:val="20"/>
              </w:rPr>
            </w:pPr>
          </w:p>
        </w:tc>
        <w:tc>
          <w:tcPr>
            <w:tcW w:w="50" w:type="pct"/>
            <w:vAlign w:val="center"/>
            <w:hideMark/>
          </w:tcPr>
          <w:p w14:paraId="75E55E74" w14:textId="77777777" w:rsidR="00000000" w:rsidRDefault="00EE5306">
            <w:pPr>
              <w:spacing w:after="100"/>
              <w:rPr>
                <w:rFonts w:eastAsia="Times New Roman"/>
                <w:sz w:val="20"/>
                <w:szCs w:val="20"/>
              </w:rPr>
            </w:pPr>
          </w:p>
        </w:tc>
        <w:tc>
          <w:tcPr>
            <w:tcW w:w="464" w:type="pct"/>
            <w:vAlign w:val="center"/>
            <w:hideMark/>
          </w:tcPr>
          <w:p w14:paraId="7B656D4A" w14:textId="77777777" w:rsidR="00000000" w:rsidRDefault="00EE5306">
            <w:pPr>
              <w:spacing w:after="100"/>
              <w:rPr>
                <w:rFonts w:eastAsia="Times New Roman"/>
                <w:sz w:val="20"/>
                <w:szCs w:val="20"/>
              </w:rPr>
            </w:pPr>
          </w:p>
        </w:tc>
        <w:tc>
          <w:tcPr>
            <w:tcW w:w="5" w:type="pct"/>
            <w:vAlign w:val="center"/>
            <w:hideMark/>
          </w:tcPr>
          <w:p w14:paraId="7D1EB879" w14:textId="77777777" w:rsidR="00000000" w:rsidRDefault="00EE5306">
            <w:pPr>
              <w:spacing w:after="100"/>
              <w:rPr>
                <w:rFonts w:eastAsia="Times New Roman"/>
                <w:sz w:val="20"/>
                <w:szCs w:val="20"/>
              </w:rPr>
            </w:pPr>
          </w:p>
        </w:tc>
        <w:tc>
          <w:tcPr>
            <w:tcW w:w="5" w:type="pct"/>
            <w:vAlign w:val="center"/>
            <w:hideMark/>
          </w:tcPr>
          <w:p w14:paraId="1E97FF42" w14:textId="77777777" w:rsidR="00000000" w:rsidRDefault="00EE5306">
            <w:pPr>
              <w:spacing w:after="100"/>
              <w:rPr>
                <w:rFonts w:eastAsia="Times New Roman"/>
                <w:sz w:val="20"/>
                <w:szCs w:val="20"/>
              </w:rPr>
            </w:pPr>
          </w:p>
        </w:tc>
        <w:tc>
          <w:tcPr>
            <w:tcW w:w="26" w:type="pct"/>
            <w:vAlign w:val="center"/>
            <w:hideMark/>
          </w:tcPr>
          <w:p w14:paraId="48283FD9" w14:textId="77777777" w:rsidR="00000000" w:rsidRDefault="00EE5306">
            <w:pPr>
              <w:spacing w:after="100"/>
              <w:rPr>
                <w:rFonts w:eastAsia="Times New Roman"/>
                <w:sz w:val="20"/>
                <w:szCs w:val="20"/>
              </w:rPr>
            </w:pPr>
          </w:p>
        </w:tc>
        <w:tc>
          <w:tcPr>
            <w:tcW w:w="5" w:type="pct"/>
            <w:vAlign w:val="center"/>
            <w:hideMark/>
          </w:tcPr>
          <w:p w14:paraId="4B263C80" w14:textId="77777777" w:rsidR="00000000" w:rsidRDefault="00EE5306">
            <w:pPr>
              <w:spacing w:after="100"/>
              <w:rPr>
                <w:rFonts w:eastAsia="Times New Roman"/>
                <w:sz w:val="20"/>
                <w:szCs w:val="20"/>
              </w:rPr>
            </w:pPr>
          </w:p>
        </w:tc>
        <w:tc>
          <w:tcPr>
            <w:tcW w:w="50" w:type="pct"/>
            <w:vAlign w:val="center"/>
            <w:hideMark/>
          </w:tcPr>
          <w:p w14:paraId="14EBDE15" w14:textId="77777777" w:rsidR="00000000" w:rsidRDefault="00EE5306">
            <w:pPr>
              <w:spacing w:after="100"/>
              <w:rPr>
                <w:rFonts w:eastAsia="Times New Roman"/>
                <w:sz w:val="20"/>
                <w:szCs w:val="20"/>
              </w:rPr>
            </w:pPr>
          </w:p>
        </w:tc>
        <w:tc>
          <w:tcPr>
            <w:tcW w:w="464" w:type="pct"/>
            <w:vAlign w:val="center"/>
            <w:hideMark/>
          </w:tcPr>
          <w:p w14:paraId="37B38E77" w14:textId="77777777" w:rsidR="00000000" w:rsidRDefault="00EE5306">
            <w:pPr>
              <w:spacing w:after="100"/>
              <w:rPr>
                <w:rFonts w:eastAsia="Times New Roman"/>
                <w:sz w:val="20"/>
                <w:szCs w:val="20"/>
              </w:rPr>
            </w:pPr>
          </w:p>
        </w:tc>
        <w:tc>
          <w:tcPr>
            <w:tcW w:w="5" w:type="pct"/>
            <w:vAlign w:val="center"/>
            <w:hideMark/>
          </w:tcPr>
          <w:p w14:paraId="7E6D45F7" w14:textId="77777777" w:rsidR="00000000" w:rsidRDefault="00EE5306">
            <w:pPr>
              <w:spacing w:after="100"/>
              <w:rPr>
                <w:rFonts w:eastAsia="Times New Roman"/>
                <w:sz w:val="20"/>
                <w:szCs w:val="20"/>
              </w:rPr>
            </w:pPr>
          </w:p>
        </w:tc>
      </w:tr>
      <w:tr w:rsidR="00000000" w14:paraId="16DDE1F4" w14:textId="77777777">
        <w:trPr>
          <w:jc w:val="center"/>
        </w:trPr>
        <w:tc>
          <w:tcPr>
            <w:tcW w:w="0" w:type="auto"/>
            <w:gridSpan w:val="3"/>
            <w:tcMar>
              <w:top w:w="30" w:type="dxa"/>
              <w:left w:w="20" w:type="dxa"/>
              <w:bottom w:w="30" w:type="dxa"/>
              <w:right w:w="20" w:type="dxa"/>
            </w:tcMar>
            <w:vAlign w:val="bottom"/>
            <w:hideMark/>
          </w:tcPr>
          <w:p w14:paraId="535908D8"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9B52721" w14:textId="77777777" w:rsidR="00000000" w:rsidRDefault="00EE5306">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55AADC9A" w14:textId="77777777" w:rsidR="00000000" w:rsidRDefault="00EE5306">
            <w:pPr>
              <w:spacing w:after="100"/>
              <w:jc w:val="center"/>
              <w:rPr>
                <w:rFonts w:eastAsia="Times New Roman"/>
              </w:rPr>
            </w:pPr>
            <w:r>
              <w:rPr>
                <w:rFonts w:eastAsia="Times New Roman"/>
                <w:b/>
                <w:bCs/>
                <w:color w:val="000000"/>
                <w:sz w:val="16"/>
                <w:szCs w:val="16"/>
              </w:rPr>
              <w:t>Location and Amount of Gains (Losses)</w:t>
            </w:r>
            <w:r>
              <w:rPr>
                <w:rFonts w:eastAsia="Times New Roman"/>
                <w:b/>
                <w:bCs/>
                <w:color w:val="000000"/>
                <w:sz w:val="16"/>
                <w:szCs w:val="16"/>
              </w:rPr>
              <w:br/>
            </w:r>
            <w:r>
              <w:rPr>
                <w:rFonts w:eastAsia="Times New Roman"/>
                <w:b/>
                <w:bCs/>
                <w:color w:val="000000"/>
                <w:sz w:val="16"/>
                <w:szCs w:val="16"/>
              </w:rPr>
              <w:t>from Cash Flow Hedges Reclassified from AOCI to Earnings</w:t>
            </w:r>
          </w:p>
        </w:tc>
      </w:tr>
      <w:tr w:rsidR="00000000" w14:paraId="562EAE17" w14:textId="77777777">
        <w:trPr>
          <w:jc w:val="center"/>
        </w:trPr>
        <w:tc>
          <w:tcPr>
            <w:tcW w:w="0" w:type="auto"/>
            <w:gridSpan w:val="3"/>
            <w:tcMar>
              <w:top w:w="30" w:type="dxa"/>
              <w:left w:w="20" w:type="dxa"/>
              <w:bottom w:w="30" w:type="dxa"/>
              <w:right w:w="20" w:type="dxa"/>
            </w:tcMar>
            <w:vAlign w:val="bottom"/>
            <w:hideMark/>
          </w:tcPr>
          <w:p w14:paraId="59321798"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1C006C5" w14:textId="77777777" w:rsidR="00000000" w:rsidRDefault="00EE5306">
            <w:pPr>
              <w:spacing w:after="100"/>
              <w:rPr>
                <w:rFonts w:eastAsia="Times New Roman"/>
              </w:rPr>
            </w:pPr>
          </w:p>
        </w:tc>
        <w:tc>
          <w:tcPr>
            <w:tcW w:w="0" w:type="auto"/>
            <w:gridSpan w:val="33"/>
            <w:tcBorders>
              <w:top w:val="single" w:sz="8" w:space="0" w:color="000000"/>
              <w:bottom w:val="single" w:sz="8" w:space="0" w:color="000000"/>
            </w:tcBorders>
            <w:tcMar>
              <w:top w:w="30" w:type="dxa"/>
              <w:left w:w="20" w:type="dxa"/>
              <w:bottom w:w="30" w:type="dxa"/>
              <w:right w:w="20" w:type="dxa"/>
            </w:tcMar>
            <w:vAlign w:val="bottom"/>
            <w:hideMark/>
          </w:tcPr>
          <w:p w14:paraId="6ED0AAA0"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59ED9E7A" w14:textId="77777777">
        <w:trPr>
          <w:jc w:val="center"/>
        </w:trPr>
        <w:tc>
          <w:tcPr>
            <w:tcW w:w="0" w:type="auto"/>
            <w:gridSpan w:val="3"/>
            <w:tcMar>
              <w:top w:w="0" w:type="dxa"/>
              <w:left w:w="20" w:type="dxa"/>
              <w:bottom w:w="0" w:type="dxa"/>
              <w:right w:w="20" w:type="dxa"/>
            </w:tcMar>
            <w:vAlign w:val="center"/>
            <w:hideMark/>
          </w:tcPr>
          <w:p w14:paraId="57D98CD5"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FFCB779" w14:textId="77777777" w:rsidR="00000000" w:rsidRDefault="00EE530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2D176C9B" w14:textId="77777777" w:rsidR="00000000" w:rsidRDefault="00EE5306">
            <w:pPr>
              <w:spacing w:after="100"/>
              <w:jc w:val="center"/>
              <w:rPr>
                <w:rFonts w:eastAsia="Times New Roman"/>
              </w:rPr>
            </w:pPr>
            <w:r>
              <w:rPr>
                <w:rFonts w:eastAsia="Times New Roman"/>
                <w:b/>
                <w:bCs/>
                <w:color w:val="000000"/>
                <w:sz w:val="16"/>
                <w:szCs w:val="16"/>
              </w:rPr>
              <w:t>March 27, 2021</w:t>
            </w:r>
          </w:p>
        </w:tc>
        <w:tc>
          <w:tcPr>
            <w:tcW w:w="0" w:type="auto"/>
            <w:gridSpan w:val="3"/>
            <w:tcBorders>
              <w:top w:val="single" w:sz="8" w:space="0" w:color="000000"/>
            </w:tcBorders>
            <w:tcMar>
              <w:top w:w="0" w:type="dxa"/>
              <w:left w:w="20" w:type="dxa"/>
              <w:bottom w:w="0" w:type="dxa"/>
              <w:right w:w="20" w:type="dxa"/>
            </w:tcMar>
            <w:vAlign w:val="center"/>
            <w:hideMark/>
          </w:tcPr>
          <w:p w14:paraId="76AE535E" w14:textId="77777777" w:rsidR="00000000" w:rsidRDefault="00EE530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8C12DEB" w14:textId="77777777" w:rsidR="00000000" w:rsidRDefault="00EE5306">
            <w:pPr>
              <w:spacing w:after="100"/>
              <w:jc w:val="center"/>
              <w:rPr>
                <w:rFonts w:eastAsia="Times New Roman"/>
              </w:rPr>
            </w:pPr>
            <w:r>
              <w:rPr>
                <w:rFonts w:eastAsia="Times New Roman"/>
                <w:b/>
                <w:bCs/>
                <w:color w:val="000000"/>
                <w:sz w:val="16"/>
                <w:szCs w:val="16"/>
              </w:rPr>
              <w:t>March 28, 2020</w:t>
            </w:r>
          </w:p>
        </w:tc>
        <w:tc>
          <w:tcPr>
            <w:tcW w:w="0" w:type="auto"/>
            <w:gridSpan w:val="3"/>
            <w:tcBorders>
              <w:top w:val="single" w:sz="8" w:space="0" w:color="000000"/>
            </w:tcBorders>
            <w:tcMar>
              <w:top w:w="0" w:type="dxa"/>
              <w:left w:w="20" w:type="dxa"/>
              <w:bottom w:w="0" w:type="dxa"/>
              <w:right w:w="20" w:type="dxa"/>
            </w:tcMar>
            <w:vAlign w:val="center"/>
            <w:hideMark/>
          </w:tcPr>
          <w:p w14:paraId="460B5215" w14:textId="77777777" w:rsidR="00000000" w:rsidRDefault="00EE530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B58D4EF" w14:textId="77777777" w:rsidR="00000000" w:rsidRDefault="00EE5306">
            <w:pPr>
              <w:spacing w:after="100"/>
              <w:jc w:val="center"/>
              <w:rPr>
                <w:rFonts w:eastAsia="Times New Roman"/>
              </w:rPr>
            </w:pPr>
            <w:r>
              <w:rPr>
                <w:rFonts w:eastAsia="Times New Roman"/>
                <w:b/>
                <w:bCs/>
                <w:color w:val="000000"/>
                <w:sz w:val="16"/>
                <w:szCs w:val="16"/>
              </w:rPr>
              <w:t>March 30, 2019</w:t>
            </w:r>
          </w:p>
        </w:tc>
      </w:tr>
      <w:tr w:rsidR="00000000" w14:paraId="695F2B0E" w14:textId="77777777">
        <w:trPr>
          <w:jc w:val="center"/>
        </w:trPr>
        <w:tc>
          <w:tcPr>
            <w:tcW w:w="0" w:type="auto"/>
            <w:gridSpan w:val="3"/>
            <w:tcMar>
              <w:top w:w="0" w:type="dxa"/>
              <w:left w:w="20" w:type="dxa"/>
              <w:bottom w:w="0" w:type="dxa"/>
              <w:right w:w="20" w:type="dxa"/>
            </w:tcMar>
            <w:vAlign w:val="center"/>
            <w:hideMark/>
          </w:tcPr>
          <w:p w14:paraId="0BE59D5E"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2D2D9F9"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E00C91F" w14:textId="77777777" w:rsidR="00000000" w:rsidRDefault="00EE5306">
            <w:pPr>
              <w:spacing w:after="100"/>
              <w:jc w:val="center"/>
              <w:rPr>
                <w:rFonts w:eastAsia="Times New Roman"/>
              </w:rPr>
            </w:pPr>
            <w:r>
              <w:rPr>
                <w:rFonts w:eastAsia="Times New Roman"/>
                <w:b/>
                <w:bCs/>
                <w:color w:val="000000"/>
                <w:sz w:val="16"/>
                <w:szCs w:val="16"/>
              </w:rPr>
              <w:t>Cost of</w:t>
            </w:r>
            <w:r>
              <w:rPr>
                <w:rFonts w:eastAsia="Times New Roman"/>
                <w:b/>
                <w:bCs/>
                <w:color w:val="000000"/>
                <w:sz w:val="16"/>
                <w:szCs w:val="16"/>
              </w:rPr>
              <w:br/>
            </w:r>
            <w:r>
              <w:rPr>
                <w:rFonts w:eastAsia="Times New Roman"/>
                <w:b/>
                <w:bCs/>
                <w:color w:val="000000"/>
                <w:sz w:val="16"/>
                <w:szCs w:val="16"/>
              </w:rPr>
              <w:t>goods sold</w:t>
            </w:r>
          </w:p>
        </w:tc>
        <w:tc>
          <w:tcPr>
            <w:tcW w:w="0" w:type="auto"/>
            <w:gridSpan w:val="3"/>
            <w:tcBorders>
              <w:top w:val="single" w:sz="8" w:space="0" w:color="000000"/>
            </w:tcBorders>
            <w:tcMar>
              <w:top w:w="0" w:type="dxa"/>
              <w:left w:w="20" w:type="dxa"/>
              <w:bottom w:w="0" w:type="dxa"/>
              <w:right w:w="20" w:type="dxa"/>
            </w:tcMar>
            <w:vAlign w:val="center"/>
            <w:hideMark/>
          </w:tcPr>
          <w:p w14:paraId="2F3095CA"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5EF2399" w14:textId="77777777" w:rsidR="00000000" w:rsidRDefault="00EE5306">
            <w:pPr>
              <w:spacing w:after="100"/>
              <w:jc w:val="center"/>
              <w:rPr>
                <w:rFonts w:eastAsia="Times New Roman"/>
              </w:rPr>
            </w:pPr>
            <w:r>
              <w:rPr>
                <w:rFonts w:eastAsia="Times New Roman"/>
                <w:b/>
                <w:bCs/>
                <w:color w:val="000000"/>
                <w:sz w:val="16"/>
                <w:szCs w:val="16"/>
              </w:rPr>
              <w:t>Other income (expense), net</w:t>
            </w:r>
          </w:p>
        </w:tc>
        <w:tc>
          <w:tcPr>
            <w:tcW w:w="0" w:type="auto"/>
            <w:gridSpan w:val="3"/>
            <w:tcMar>
              <w:top w:w="0" w:type="dxa"/>
              <w:left w:w="20" w:type="dxa"/>
              <w:bottom w:w="0" w:type="dxa"/>
              <w:right w:w="20" w:type="dxa"/>
            </w:tcMar>
            <w:vAlign w:val="center"/>
            <w:hideMark/>
          </w:tcPr>
          <w:p w14:paraId="72358DC7"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B8D0C66" w14:textId="77777777" w:rsidR="00000000" w:rsidRDefault="00EE5306">
            <w:pPr>
              <w:spacing w:after="100"/>
              <w:jc w:val="center"/>
              <w:rPr>
                <w:rFonts w:eastAsia="Times New Roman"/>
              </w:rPr>
            </w:pPr>
            <w:r>
              <w:rPr>
                <w:rFonts w:eastAsia="Times New Roman"/>
                <w:b/>
                <w:bCs/>
                <w:color w:val="000000"/>
                <w:sz w:val="16"/>
                <w:szCs w:val="16"/>
              </w:rPr>
              <w:t>Cost of</w:t>
            </w:r>
            <w:r>
              <w:rPr>
                <w:rFonts w:eastAsia="Times New Roman"/>
                <w:b/>
                <w:bCs/>
                <w:color w:val="000000"/>
                <w:sz w:val="16"/>
                <w:szCs w:val="16"/>
              </w:rPr>
              <w:br/>
              <w:t>goods sold</w:t>
            </w:r>
          </w:p>
        </w:tc>
        <w:tc>
          <w:tcPr>
            <w:tcW w:w="0" w:type="auto"/>
            <w:gridSpan w:val="3"/>
            <w:tcBorders>
              <w:top w:val="single" w:sz="8" w:space="0" w:color="000000"/>
            </w:tcBorders>
            <w:tcMar>
              <w:top w:w="0" w:type="dxa"/>
              <w:left w:w="20" w:type="dxa"/>
              <w:bottom w:w="0" w:type="dxa"/>
              <w:right w:w="20" w:type="dxa"/>
            </w:tcMar>
            <w:vAlign w:val="center"/>
            <w:hideMark/>
          </w:tcPr>
          <w:p w14:paraId="3D215755"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202D26" w14:textId="77777777" w:rsidR="00000000" w:rsidRDefault="00EE5306">
            <w:pPr>
              <w:spacing w:after="100"/>
              <w:jc w:val="center"/>
              <w:rPr>
                <w:rFonts w:eastAsia="Times New Roman"/>
              </w:rPr>
            </w:pPr>
            <w:r>
              <w:rPr>
                <w:rFonts w:eastAsia="Times New Roman"/>
                <w:b/>
                <w:bCs/>
                <w:color w:val="000000"/>
                <w:sz w:val="16"/>
                <w:szCs w:val="16"/>
              </w:rPr>
              <w:t>Other income (expense), net</w:t>
            </w:r>
          </w:p>
        </w:tc>
        <w:tc>
          <w:tcPr>
            <w:tcW w:w="0" w:type="auto"/>
            <w:gridSpan w:val="3"/>
            <w:tcMar>
              <w:top w:w="0" w:type="dxa"/>
              <w:left w:w="20" w:type="dxa"/>
              <w:bottom w:w="0" w:type="dxa"/>
              <w:right w:w="20" w:type="dxa"/>
            </w:tcMar>
            <w:vAlign w:val="center"/>
            <w:hideMark/>
          </w:tcPr>
          <w:p w14:paraId="4470D968"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513303" w14:textId="77777777" w:rsidR="00000000" w:rsidRDefault="00EE5306">
            <w:pPr>
              <w:spacing w:after="100"/>
              <w:jc w:val="center"/>
              <w:rPr>
                <w:rFonts w:eastAsia="Times New Roman"/>
              </w:rPr>
            </w:pPr>
            <w:r>
              <w:rPr>
                <w:rFonts w:eastAsia="Times New Roman"/>
                <w:b/>
                <w:bCs/>
                <w:color w:val="000000"/>
                <w:sz w:val="16"/>
                <w:szCs w:val="16"/>
              </w:rPr>
              <w:t>Cost of</w:t>
            </w:r>
            <w:r>
              <w:rPr>
                <w:rFonts w:eastAsia="Times New Roman"/>
                <w:b/>
                <w:bCs/>
                <w:color w:val="000000"/>
                <w:sz w:val="16"/>
                <w:szCs w:val="16"/>
              </w:rPr>
              <w:br/>
              <w:t>goods sold</w:t>
            </w:r>
          </w:p>
        </w:tc>
        <w:tc>
          <w:tcPr>
            <w:tcW w:w="0" w:type="auto"/>
            <w:gridSpan w:val="3"/>
            <w:tcBorders>
              <w:top w:val="single" w:sz="8" w:space="0" w:color="000000"/>
            </w:tcBorders>
            <w:tcMar>
              <w:top w:w="0" w:type="dxa"/>
              <w:left w:w="20" w:type="dxa"/>
              <w:bottom w:w="0" w:type="dxa"/>
              <w:right w:w="20" w:type="dxa"/>
            </w:tcMar>
            <w:vAlign w:val="center"/>
            <w:hideMark/>
          </w:tcPr>
          <w:p w14:paraId="1E1ED7D4"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04A9C69" w14:textId="77777777" w:rsidR="00000000" w:rsidRDefault="00EE5306">
            <w:pPr>
              <w:spacing w:after="100"/>
              <w:jc w:val="center"/>
              <w:rPr>
                <w:rFonts w:eastAsia="Times New Roman"/>
              </w:rPr>
            </w:pPr>
            <w:r>
              <w:rPr>
                <w:rFonts w:eastAsia="Times New Roman"/>
                <w:b/>
                <w:bCs/>
                <w:color w:val="000000"/>
                <w:sz w:val="16"/>
                <w:szCs w:val="16"/>
              </w:rPr>
              <w:t>Other income (expense), net</w:t>
            </w:r>
          </w:p>
        </w:tc>
      </w:tr>
      <w:tr w:rsidR="00000000" w14:paraId="6BE43985" w14:textId="77777777">
        <w:trPr>
          <w:jc w:val="center"/>
        </w:trPr>
        <w:tc>
          <w:tcPr>
            <w:tcW w:w="0" w:type="auto"/>
            <w:gridSpan w:val="3"/>
            <w:tcMar>
              <w:top w:w="30" w:type="dxa"/>
              <w:left w:w="20" w:type="dxa"/>
              <w:bottom w:w="30" w:type="dxa"/>
              <w:right w:w="20" w:type="dxa"/>
            </w:tcMar>
            <w:vAlign w:val="bottom"/>
            <w:hideMark/>
          </w:tcPr>
          <w:p w14:paraId="030399C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C2FD531" w14:textId="77777777" w:rsidR="00000000" w:rsidRDefault="00EE5306">
            <w:pPr>
              <w:spacing w:after="100"/>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14:paraId="1212877B"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4F472FC8" w14:textId="77777777">
        <w:trPr>
          <w:jc w:val="center"/>
        </w:trPr>
        <w:tc>
          <w:tcPr>
            <w:tcW w:w="0" w:type="auto"/>
            <w:gridSpan w:val="3"/>
            <w:shd w:val="clear" w:color="auto" w:fill="CCEEFF"/>
            <w:tcMar>
              <w:top w:w="30" w:type="dxa"/>
              <w:left w:w="20" w:type="dxa"/>
              <w:bottom w:w="30" w:type="dxa"/>
              <w:right w:w="20" w:type="dxa"/>
            </w:tcMar>
            <w:vAlign w:val="bottom"/>
            <w:hideMark/>
          </w:tcPr>
          <w:p w14:paraId="2D7F9A3B" w14:textId="77777777" w:rsidR="00000000" w:rsidRDefault="00EE5306">
            <w:pPr>
              <w:spacing w:after="100"/>
              <w:divId w:val="358358506"/>
              <w:rPr>
                <w:rFonts w:eastAsia="Times New Roman"/>
              </w:rPr>
            </w:pPr>
            <w:r>
              <w:rPr>
                <w:rFonts w:eastAsia="Times New Roman"/>
                <w:b/>
                <w:bCs/>
                <w:color w:val="000000"/>
                <w:sz w:val="16"/>
                <w:szCs w:val="16"/>
              </w:rPr>
              <w:t>Total amounts presented in the consolidated statements of operations in which the effects of related cash flow hedges are recorded</w:t>
            </w:r>
            <w:r>
              <w:rPr>
                <w:rFonts w:eastAsia="Times New Roman"/>
                <w:color w:val="000000"/>
                <w:sz w:val="16"/>
                <w:szCs w:val="16"/>
              </w:rPr>
              <w:t xml:space="preserve"> </w:t>
            </w:r>
          </w:p>
        </w:tc>
        <w:tc>
          <w:tcPr>
            <w:tcW w:w="0" w:type="auto"/>
            <w:gridSpan w:val="3"/>
            <w:shd w:val="clear" w:color="auto" w:fill="CCEEFF"/>
            <w:tcMar>
              <w:top w:w="0" w:type="dxa"/>
              <w:left w:w="20" w:type="dxa"/>
              <w:bottom w:w="0" w:type="dxa"/>
              <w:right w:w="20" w:type="dxa"/>
            </w:tcMar>
            <w:vAlign w:val="center"/>
            <w:hideMark/>
          </w:tcPr>
          <w:p w14:paraId="134C871A"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9E7B6BA"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959E5F2" w14:textId="77777777" w:rsidR="00000000" w:rsidRDefault="00EE5306">
            <w:pPr>
              <w:spacing w:after="100"/>
              <w:jc w:val="right"/>
              <w:rPr>
                <w:rFonts w:eastAsia="Times New Roman"/>
              </w:rPr>
            </w:pPr>
            <w:r>
              <w:rPr>
                <w:rFonts w:eastAsia="Times New Roman"/>
                <w:color w:val="000000"/>
                <w:sz w:val="16"/>
                <w:szCs w:val="16"/>
              </w:rPr>
              <w:t>(1,539.4)</w:t>
            </w:r>
          </w:p>
        </w:tc>
        <w:tc>
          <w:tcPr>
            <w:tcW w:w="0" w:type="auto"/>
            <w:shd w:val="clear" w:color="auto" w:fill="CCEEFF"/>
            <w:tcMar>
              <w:top w:w="30" w:type="dxa"/>
              <w:left w:w="0" w:type="dxa"/>
              <w:bottom w:w="30" w:type="dxa"/>
              <w:right w:w="20" w:type="dxa"/>
            </w:tcMar>
            <w:vAlign w:val="bottom"/>
            <w:hideMark/>
          </w:tcPr>
          <w:p w14:paraId="18D74FC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D51FA"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DEA9E1"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B27F036" w14:textId="77777777" w:rsidR="00000000" w:rsidRDefault="00EE5306">
            <w:pPr>
              <w:spacing w:after="100"/>
              <w:jc w:val="right"/>
              <w:rPr>
                <w:rFonts w:eastAsia="Times New Roman"/>
              </w:rPr>
            </w:pPr>
            <w:r>
              <w:rPr>
                <w:rFonts w:eastAsia="Times New Roman"/>
                <w:color w:val="000000"/>
                <w:sz w:val="16"/>
                <w:szCs w:val="16"/>
              </w:rPr>
              <w:t>7.6 </w:t>
            </w:r>
          </w:p>
        </w:tc>
        <w:tc>
          <w:tcPr>
            <w:tcW w:w="0" w:type="auto"/>
            <w:shd w:val="clear" w:color="auto" w:fill="CCEEFF"/>
            <w:tcMar>
              <w:top w:w="30" w:type="dxa"/>
              <w:left w:w="0" w:type="dxa"/>
              <w:bottom w:w="30" w:type="dxa"/>
              <w:right w:w="20" w:type="dxa"/>
            </w:tcMar>
            <w:vAlign w:val="bottom"/>
            <w:hideMark/>
          </w:tcPr>
          <w:p w14:paraId="3637086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B425E"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3E0B41"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942A73D" w14:textId="77777777" w:rsidR="00000000" w:rsidRDefault="00EE5306">
            <w:pPr>
              <w:spacing w:after="100"/>
              <w:jc w:val="right"/>
              <w:rPr>
                <w:rFonts w:eastAsia="Times New Roman"/>
              </w:rPr>
            </w:pPr>
            <w:r>
              <w:rPr>
                <w:rFonts w:eastAsia="Times New Roman"/>
                <w:color w:val="000000"/>
                <w:sz w:val="16"/>
                <w:szCs w:val="16"/>
              </w:rPr>
              <w:t>(2,506.5)</w:t>
            </w:r>
          </w:p>
        </w:tc>
        <w:tc>
          <w:tcPr>
            <w:tcW w:w="0" w:type="auto"/>
            <w:shd w:val="clear" w:color="auto" w:fill="CCEEFF"/>
            <w:tcMar>
              <w:top w:w="30" w:type="dxa"/>
              <w:left w:w="0" w:type="dxa"/>
              <w:bottom w:w="30" w:type="dxa"/>
              <w:right w:w="20" w:type="dxa"/>
            </w:tcMar>
            <w:vAlign w:val="bottom"/>
            <w:hideMark/>
          </w:tcPr>
          <w:p w14:paraId="4D1694E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BD954"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AD632D"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2C29255" w14:textId="77777777" w:rsidR="00000000" w:rsidRDefault="00EE5306">
            <w:pPr>
              <w:spacing w:after="100"/>
              <w:jc w:val="right"/>
              <w:rPr>
                <w:rFonts w:eastAsia="Times New Roman"/>
              </w:rPr>
            </w:pPr>
            <w:r>
              <w:rPr>
                <w:rFonts w:eastAsia="Times New Roman"/>
                <w:color w:val="000000"/>
                <w:sz w:val="16"/>
                <w:szCs w:val="16"/>
              </w:rPr>
              <w:t>(7.4)</w:t>
            </w:r>
          </w:p>
        </w:tc>
        <w:tc>
          <w:tcPr>
            <w:tcW w:w="0" w:type="auto"/>
            <w:shd w:val="clear" w:color="auto" w:fill="CCEEFF"/>
            <w:tcMar>
              <w:top w:w="30" w:type="dxa"/>
              <w:left w:w="0" w:type="dxa"/>
              <w:bottom w:w="30" w:type="dxa"/>
              <w:right w:w="20" w:type="dxa"/>
            </w:tcMar>
            <w:vAlign w:val="bottom"/>
            <w:hideMark/>
          </w:tcPr>
          <w:p w14:paraId="5D74B0A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AC8F8"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ECB00F"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D2ADA63" w14:textId="77777777" w:rsidR="00000000" w:rsidRDefault="00EE5306">
            <w:pPr>
              <w:spacing w:after="100"/>
              <w:jc w:val="right"/>
              <w:rPr>
                <w:rFonts w:eastAsia="Times New Roman"/>
              </w:rPr>
            </w:pPr>
            <w:r>
              <w:rPr>
                <w:rFonts w:eastAsia="Times New Roman"/>
                <w:color w:val="000000"/>
                <w:sz w:val="16"/>
                <w:szCs w:val="16"/>
              </w:rPr>
              <w:t>(2,427.0)</w:t>
            </w:r>
          </w:p>
        </w:tc>
        <w:tc>
          <w:tcPr>
            <w:tcW w:w="0" w:type="auto"/>
            <w:shd w:val="clear" w:color="auto" w:fill="CCEEFF"/>
            <w:tcMar>
              <w:top w:w="30" w:type="dxa"/>
              <w:left w:w="0" w:type="dxa"/>
              <w:bottom w:w="30" w:type="dxa"/>
              <w:right w:w="20" w:type="dxa"/>
            </w:tcMar>
            <w:vAlign w:val="bottom"/>
            <w:hideMark/>
          </w:tcPr>
          <w:p w14:paraId="1008BE8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18A6C"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A81B1E"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A25051F" w14:textId="77777777" w:rsidR="00000000" w:rsidRDefault="00EE5306">
            <w:pPr>
              <w:spacing w:after="100"/>
              <w:jc w:val="right"/>
              <w:rPr>
                <w:rFonts w:eastAsia="Times New Roman"/>
              </w:rPr>
            </w:pPr>
            <w:r>
              <w:rPr>
                <w:rFonts w:eastAsia="Times New Roman"/>
                <w:color w:val="000000"/>
                <w:sz w:val="16"/>
                <w:szCs w:val="16"/>
              </w:rPr>
              <w:t>0.6 </w:t>
            </w:r>
          </w:p>
        </w:tc>
        <w:tc>
          <w:tcPr>
            <w:tcW w:w="0" w:type="auto"/>
            <w:shd w:val="clear" w:color="auto" w:fill="CCEEFF"/>
            <w:tcMar>
              <w:top w:w="30" w:type="dxa"/>
              <w:left w:w="0" w:type="dxa"/>
              <w:bottom w:w="30" w:type="dxa"/>
              <w:right w:w="20" w:type="dxa"/>
            </w:tcMar>
            <w:vAlign w:val="bottom"/>
            <w:hideMark/>
          </w:tcPr>
          <w:p w14:paraId="09424B16" w14:textId="77777777" w:rsidR="00000000" w:rsidRDefault="00EE5306">
            <w:pPr>
              <w:spacing w:after="100"/>
              <w:jc w:val="right"/>
              <w:rPr>
                <w:rFonts w:eastAsia="Times New Roman"/>
              </w:rPr>
            </w:pPr>
          </w:p>
        </w:tc>
      </w:tr>
      <w:tr w:rsidR="00000000" w14:paraId="69E8684B" w14:textId="77777777">
        <w:trPr>
          <w:jc w:val="center"/>
        </w:trPr>
        <w:tc>
          <w:tcPr>
            <w:tcW w:w="0" w:type="auto"/>
            <w:gridSpan w:val="3"/>
            <w:shd w:val="clear" w:color="auto" w:fill="FFFFFF"/>
            <w:tcMar>
              <w:top w:w="30" w:type="dxa"/>
              <w:left w:w="20" w:type="dxa"/>
              <w:bottom w:w="30" w:type="dxa"/>
              <w:right w:w="20" w:type="dxa"/>
            </w:tcMar>
            <w:vAlign w:val="bottom"/>
            <w:hideMark/>
          </w:tcPr>
          <w:p w14:paraId="7900EC9C" w14:textId="77777777" w:rsidR="00000000" w:rsidRDefault="00EE5306">
            <w:pPr>
              <w:spacing w:after="100"/>
              <w:rPr>
                <w:rFonts w:eastAsia="Times New Roman"/>
              </w:rPr>
            </w:pPr>
            <w:r>
              <w:rPr>
                <w:rFonts w:eastAsia="Times New Roman"/>
                <w:b/>
                <w:bCs/>
                <w:color w:val="000000"/>
                <w:sz w:val="16"/>
                <w:szCs w:val="16"/>
              </w:rPr>
              <w:t>Effects of cash flow hedging:</w:t>
            </w:r>
          </w:p>
        </w:tc>
        <w:tc>
          <w:tcPr>
            <w:tcW w:w="0" w:type="auto"/>
            <w:gridSpan w:val="3"/>
            <w:shd w:val="clear" w:color="auto" w:fill="FFFFFF"/>
            <w:tcMar>
              <w:top w:w="0" w:type="dxa"/>
              <w:left w:w="20" w:type="dxa"/>
              <w:bottom w:w="0" w:type="dxa"/>
              <w:right w:w="20" w:type="dxa"/>
            </w:tcMar>
            <w:vAlign w:val="center"/>
            <w:hideMark/>
          </w:tcPr>
          <w:p w14:paraId="33821E86"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D9CC4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7E923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BC1A5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4AD3E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AFC7B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8CB76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65C08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98563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3014A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945B7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861BE2" w14:textId="77777777" w:rsidR="00000000" w:rsidRDefault="00EE5306">
            <w:pPr>
              <w:spacing w:after="100"/>
              <w:rPr>
                <w:rFonts w:eastAsia="Times New Roman"/>
                <w:sz w:val="20"/>
                <w:szCs w:val="20"/>
              </w:rPr>
            </w:pPr>
          </w:p>
        </w:tc>
      </w:tr>
      <w:tr w:rsidR="00000000" w14:paraId="492FE011" w14:textId="77777777">
        <w:trPr>
          <w:jc w:val="center"/>
        </w:trPr>
        <w:tc>
          <w:tcPr>
            <w:tcW w:w="0" w:type="auto"/>
            <w:gridSpan w:val="3"/>
            <w:shd w:val="clear" w:color="auto" w:fill="CCEEFF"/>
            <w:tcMar>
              <w:top w:w="30" w:type="dxa"/>
              <w:left w:w="155" w:type="dxa"/>
              <w:bottom w:w="30" w:type="dxa"/>
              <w:right w:w="20" w:type="dxa"/>
            </w:tcMar>
            <w:vAlign w:val="bottom"/>
            <w:hideMark/>
          </w:tcPr>
          <w:p w14:paraId="13F5F21F" w14:textId="77777777" w:rsidR="00000000" w:rsidRDefault="00EE5306">
            <w:pPr>
              <w:spacing w:after="100"/>
              <w:rPr>
                <w:rFonts w:eastAsia="Times New Roman"/>
              </w:rPr>
            </w:pPr>
            <w:r>
              <w:rPr>
                <w:rFonts w:eastAsia="Times New Roman"/>
                <w:color w:val="000000"/>
                <w:sz w:val="16"/>
                <w:szCs w:val="16"/>
              </w:rPr>
              <w:t>FC — Cash flow hedges</w:t>
            </w:r>
          </w:p>
        </w:tc>
        <w:tc>
          <w:tcPr>
            <w:tcW w:w="0" w:type="auto"/>
            <w:gridSpan w:val="3"/>
            <w:shd w:val="clear" w:color="auto" w:fill="CCEEFF"/>
            <w:tcMar>
              <w:top w:w="0" w:type="dxa"/>
              <w:left w:w="20" w:type="dxa"/>
              <w:bottom w:w="0" w:type="dxa"/>
              <w:right w:w="20" w:type="dxa"/>
            </w:tcMar>
            <w:vAlign w:val="center"/>
            <w:hideMark/>
          </w:tcPr>
          <w:p w14:paraId="5D563FD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DB0360" w14:textId="77777777" w:rsidR="00000000" w:rsidRDefault="00EE5306">
            <w:pPr>
              <w:spacing w:after="100"/>
              <w:jc w:val="right"/>
              <w:rPr>
                <w:rFonts w:eastAsia="Times New Roman"/>
              </w:rPr>
            </w:pPr>
            <w:r>
              <w:rPr>
                <w:rFonts w:eastAsia="Times New Roman"/>
                <w:color w:val="000000"/>
                <w:sz w:val="16"/>
                <w:szCs w:val="16"/>
              </w:rPr>
              <w:t>12.6 </w:t>
            </w:r>
          </w:p>
        </w:tc>
        <w:tc>
          <w:tcPr>
            <w:tcW w:w="0" w:type="auto"/>
            <w:shd w:val="clear" w:color="auto" w:fill="CCEEFF"/>
            <w:tcMar>
              <w:top w:w="30" w:type="dxa"/>
              <w:left w:w="0" w:type="dxa"/>
              <w:bottom w:w="30" w:type="dxa"/>
              <w:right w:w="20" w:type="dxa"/>
            </w:tcMar>
            <w:vAlign w:val="bottom"/>
            <w:hideMark/>
          </w:tcPr>
          <w:p w14:paraId="7D1D5A8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6F96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3A06AE" w14:textId="77777777" w:rsidR="00000000" w:rsidRDefault="00EE5306">
            <w:pPr>
              <w:spacing w:after="100"/>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14:paraId="711F387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C7409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04F22F" w14:textId="77777777" w:rsidR="00000000" w:rsidRDefault="00EE5306">
            <w:pPr>
              <w:spacing w:after="100"/>
              <w:jc w:val="right"/>
              <w:rPr>
                <w:rFonts w:eastAsia="Times New Roman"/>
              </w:rPr>
            </w:pPr>
            <w:r>
              <w:rPr>
                <w:rFonts w:eastAsia="Times New Roman"/>
                <w:color w:val="000000"/>
                <w:sz w:val="16"/>
                <w:szCs w:val="16"/>
              </w:rPr>
              <w:t>24.9 </w:t>
            </w:r>
          </w:p>
        </w:tc>
        <w:tc>
          <w:tcPr>
            <w:tcW w:w="0" w:type="auto"/>
            <w:shd w:val="clear" w:color="auto" w:fill="CCEEFF"/>
            <w:tcMar>
              <w:top w:w="30" w:type="dxa"/>
              <w:left w:w="0" w:type="dxa"/>
              <w:bottom w:w="30" w:type="dxa"/>
              <w:right w:w="20" w:type="dxa"/>
            </w:tcMar>
            <w:vAlign w:val="bottom"/>
            <w:hideMark/>
          </w:tcPr>
          <w:p w14:paraId="50CBEA6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CA93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249279" w14:textId="77777777" w:rsidR="00000000" w:rsidRDefault="00EE5306">
            <w:pPr>
              <w:spacing w:after="100"/>
              <w:jc w:val="right"/>
              <w:rPr>
                <w:rFonts w:eastAsia="Times New Roman"/>
              </w:rPr>
            </w:pPr>
            <w:r>
              <w:rPr>
                <w:rFonts w:eastAsia="Times New Roman"/>
                <w:color w:val="000000"/>
                <w:sz w:val="16"/>
                <w:szCs w:val="16"/>
              </w:rPr>
              <w:t>1.1 </w:t>
            </w:r>
          </w:p>
        </w:tc>
        <w:tc>
          <w:tcPr>
            <w:tcW w:w="0" w:type="auto"/>
            <w:shd w:val="clear" w:color="auto" w:fill="CCEEFF"/>
            <w:tcMar>
              <w:top w:w="30" w:type="dxa"/>
              <w:left w:w="0" w:type="dxa"/>
              <w:bottom w:w="30" w:type="dxa"/>
              <w:right w:w="20" w:type="dxa"/>
            </w:tcMar>
            <w:vAlign w:val="bottom"/>
            <w:hideMark/>
          </w:tcPr>
          <w:p w14:paraId="6114109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D222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A4464D" w14:textId="77777777" w:rsidR="00000000" w:rsidRDefault="00EE5306">
            <w:pPr>
              <w:spacing w:after="100"/>
              <w:jc w:val="right"/>
              <w:rPr>
                <w:rFonts w:eastAsia="Times New Roman"/>
              </w:rPr>
            </w:pPr>
            <w:r>
              <w:rPr>
                <w:rFonts w:eastAsia="Times New Roman"/>
                <w:color w:val="000000"/>
                <w:sz w:val="16"/>
                <w:szCs w:val="16"/>
              </w:rPr>
              <w:t>5.0 </w:t>
            </w:r>
          </w:p>
        </w:tc>
        <w:tc>
          <w:tcPr>
            <w:tcW w:w="0" w:type="auto"/>
            <w:shd w:val="clear" w:color="auto" w:fill="CCEEFF"/>
            <w:tcMar>
              <w:top w:w="30" w:type="dxa"/>
              <w:left w:w="0" w:type="dxa"/>
              <w:bottom w:w="30" w:type="dxa"/>
              <w:right w:w="20" w:type="dxa"/>
            </w:tcMar>
            <w:vAlign w:val="bottom"/>
            <w:hideMark/>
          </w:tcPr>
          <w:p w14:paraId="1229D5C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B436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54C564" w14:textId="77777777" w:rsidR="00000000" w:rsidRDefault="00EE5306">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14:paraId="3A256F69" w14:textId="77777777" w:rsidR="00000000" w:rsidRDefault="00EE5306">
            <w:pPr>
              <w:spacing w:after="100"/>
              <w:jc w:val="right"/>
              <w:rPr>
                <w:rFonts w:eastAsia="Times New Roman"/>
              </w:rPr>
            </w:pPr>
          </w:p>
        </w:tc>
      </w:tr>
    </w:tbl>
    <w:p w14:paraId="4CB3CC9C" w14:textId="77777777" w:rsidR="00000000" w:rsidRDefault="00EE5306">
      <w:pPr>
        <w:jc w:val="center"/>
        <w:divId w:val="511342224"/>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B1D9B05" w14:textId="77777777">
        <w:trPr>
          <w:divId w:val="511342224"/>
          <w:jc w:val="center"/>
        </w:trPr>
        <w:tc>
          <w:tcPr>
            <w:tcW w:w="50" w:type="pct"/>
            <w:vAlign w:val="center"/>
            <w:hideMark/>
          </w:tcPr>
          <w:p w14:paraId="28BD4DBF" w14:textId="77777777" w:rsidR="00000000" w:rsidRDefault="00EE5306">
            <w:pPr>
              <w:jc w:val="center"/>
              <w:rPr>
                <w:rFonts w:eastAsia="Times New Roman"/>
              </w:rPr>
            </w:pPr>
          </w:p>
        </w:tc>
        <w:tc>
          <w:tcPr>
            <w:tcW w:w="1699" w:type="pct"/>
            <w:vAlign w:val="center"/>
            <w:hideMark/>
          </w:tcPr>
          <w:p w14:paraId="015C6066" w14:textId="77777777" w:rsidR="00000000" w:rsidRDefault="00EE5306">
            <w:pPr>
              <w:spacing w:after="100"/>
              <w:rPr>
                <w:rFonts w:eastAsia="Times New Roman"/>
                <w:sz w:val="20"/>
                <w:szCs w:val="20"/>
              </w:rPr>
            </w:pPr>
          </w:p>
        </w:tc>
        <w:tc>
          <w:tcPr>
            <w:tcW w:w="5" w:type="pct"/>
            <w:vAlign w:val="center"/>
            <w:hideMark/>
          </w:tcPr>
          <w:p w14:paraId="4FEACB85" w14:textId="77777777" w:rsidR="00000000" w:rsidRDefault="00EE5306">
            <w:pPr>
              <w:spacing w:after="100"/>
              <w:rPr>
                <w:rFonts w:eastAsia="Times New Roman"/>
                <w:sz w:val="20"/>
                <w:szCs w:val="20"/>
              </w:rPr>
            </w:pPr>
          </w:p>
        </w:tc>
        <w:tc>
          <w:tcPr>
            <w:tcW w:w="50" w:type="pct"/>
            <w:vAlign w:val="center"/>
            <w:hideMark/>
          </w:tcPr>
          <w:p w14:paraId="7D8E9C6F" w14:textId="77777777" w:rsidR="00000000" w:rsidRDefault="00EE5306">
            <w:pPr>
              <w:spacing w:after="100"/>
              <w:rPr>
                <w:rFonts w:eastAsia="Times New Roman"/>
                <w:sz w:val="20"/>
                <w:szCs w:val="20"/>
              </w:rPr>
            </w:pPr>
          </w:p>
        </w:tc>
        <w:tc>
          <w:tcPr>
            <w:tcW w:w="1436" w:type="pct"/>
            <w:vAlign w:val="center"/>
            <w:hideMark/>
          </w:tcPr>
          <w:p w14:paraId="631441F0" w14:textId="77777777" w:rsidR="00000000" w:rsidRDefault="00EE5306">
            <w:pPr>
              <w:spacing w:after="100"/>
              <w:rPr>
                <w:rFonts w:eastAsia="Times New Roman"/>
                <w:sz w:val="20"/>
                <w:szCs w:val="20"/>
              </w:rPr>
            </w:pPr>
          </w:p>
        </w:tc>
        <w:tc>
          <w:tcPr>
            <w:tcW w:w="5" w:type="pct"/>
            <w:vAlign w:val="center"/>
            <w:hideMark/>
          </w:tcPr>
          <w:p w14:paraId="1B327885" w14:textId="77777777" w:rsidR="00000000" w:rsidRDefault="00EE5306">
            <w:pPr>
              <w:spacing w:after="100"/>
              <w:rPr>
                <w:rFonts w:eastAsia="Times New Roman"/>
                <w:sz w:val="20"/>
                <w:szCs w:val="20"/>
              </w:rPr>
            </w:pPr>
          </w:p>
        </w:tc>
        <w:tc>
          <w:tcPr>
            <w:tcW w:w="50" w:type="pct"/>
            <w:vAlign w:val="center"/>
            <w:hideMark/>
          </w:tcPr>
          <w:p w14:paraId="7A46421B" w14:textId="77777777" w:rsidR="00000000" w:rsidRDefault="00EE5306">
            <w:pPr>
              <w:spacing w:after="100"/>
              <w:rPr>
                <w:rFonts w:eastAsia="Times New Roman"/>
                <w:sz w:val="20"/>
                <w:szCs w:val="20"/>
              </w:rPr>
            </w:pPr>
          </w:p>
        </w:tc>
        <w:tc>
          <w:tcPr>
            <w:tcW w:w="1699" w:type="pct"/>
            <w:vAlign w:val="center"/>
            <w:hideMark/>
          </w:tcPr>
          <w:p w14:paraId="7463040F" w14:textId="77777777" w:rsidR="00000000" w:rsidRDefault="00EE5306">
            <w:pPr>
              <w:spacing w:after="100"/>
              <w:rPr>
                <w:rFonts w:eastAsia="Times New Roman"/>
                <w:sz w:val="20"/>
                <w:szCs w:val="20"/>
              </w:rPr>
            </w:pPr>
          </w:p>
        </w:tc>
        <w:tc>
          <w:tcPr>
            <w:tcW w:w="5" w:type="pct"/>
            <w:vAlign w:val="center"/>
            <w:hideMark/>
          </w:tcPr>
          <w:p w14:paraId="159FB634" w14:textId="77777777" w:rsidR="00000000" w:rsidRDefault="00EE5306">
            <w:pPr>
              <w:spacing w:after="100"/>
              <w:rPr>
                <w:rFonts w:eastAsia="Times New Roman"/>
                <w:sz w:val="20"/>
                <w:szCs w:val="20"/>
              </w:rPr>
            </w:pPr>
          </w:p>
        </w:tc>
      </w:tr>
      <w:tr w:rsidR="00000000" w14:paraId="50DBA4CC" w14:textId="77777777">
        <w:trPr>
          <w:divId w:val="511342224"/>
          <w:jc w:val="center"/>
        </w:trPr>
        <w:tc>
          <w:tcPr>
            <w:tcW w:w="0" w:type="auto"/>
            <w:gridSpan w:val="3"/>
            <w:tcMar>
              <w:top w:w="0" w:type="dxa"/>
              <w:left w:w="20" w:type="dxa"/>
              <w:bottom w:w="0" w:type="dxa"/>
              <w:right w:w="20" w:type="dxa"/>
            </w:tcMar>
            <w:vAlign w:val="center"/>
            <w:hideMark/>
          </w:tcPr>
          <w:p w14:paraId="29D0D62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B446A5" w14:textId="77777777" w:rsidR="00000000" w:rsidRDefault="00EE5306">
            <w:pPr>
              <w:spacing w:after="100"/>
              <w:jc w:val="center"/>
              <w:rPr>
                <w:rFonts w:eastAsia="Times New Roman"/>
              </w:rPr>
            </w:pPr>
            <w:r>
              <w:rPr>
                <w:rFonts w:eastAsia="Times New Roman"/>
                <w:color w:val="000000"/>
                <w:sz w:val="20"/>
                <w:szCs w:val="20"/>
              </w:rPr>
              <w:t>F-39</w:t>
            </w:r>
          </w:p>
        </w:tc>
        <w:tc>
          <w:tcPr>
            <w:tcW w:w="0" w:type="auto"/>
            <w:gridSpan w:val="3"/>
            <w:tcMar>
              <w:top w:w="0" w:type="dxa"/>
              <w:left w:w="20" w:type="dxa"/>
              <w:bottom w:w="0" w:type="dxa"/>
              <w:right w:w="20" w:type="dxa"/>
            </w:tcMar>
            <w:vAlign w:val="center"/>
            <w:hideMark/>
          </w:tcPr>
          <w:p w14:paraId="5E0715C9" w14:textId="77777777" w:rsidR="00000000" w:rsidRDefault="00EE5306">
            <w:pPr>
              <w:spacing w:after="100"/>
              <w:jc w:val="center"/>
              <w:rPr>
                <w:rFonts w:eastAsia="Times New Roman"/>
              </w:rPr>
            </w:pPr>
          </w:p>
        </w:tc>
      </w:tr>
    </w:tbl>
    <w:p w14:paraId="154E0BB7" w14:textId="77777777" w:rsidR="00000000" w:rsidRDefault="00EE5306">
      <w:pPr>
        <w:rPr>
          <w:rFonts w:eastAsia="Times New Roman"/>
        </w:rPr>
      </w:pPr>
      <w:r>
        <w:rPr>
          <w:rFonts w:eastAsia="Times New Roman"/>
        </w:rPr>
        <w:pict w14:anchorId="502DFD7F">
          <v:rect id="_x0000_i1149" style="width:0;height:1.5pt" o:hralign="center" o:hrstd="t" o:hr="t" fillcolor="#a0a0a0" stroked="f"/>
        </w:pict>
      </w:r>
    </w:p>
    <w:p w14:paraId="6E242AA4" w14:textId="77777777" w:rsidR="00000000" w:rsidRDefault="00EE5306">
      <w:pPr>
        <w:jc w:val="center"/>
        <w:divId w:val="1264535502"/>
        <w:rPr>
          <w:rFonts w:eastAsia="Times New Roman"/>
        </w:rPr>
      </w:pPr>
    </w:p>
    <w:p w14:paraId="7C84DA7F" w14:textId="77777777" w:rsidR="00000000" w:rsidRDefault="00EE5306">
      <w:pPr>
        <w:jc w:val="center"/>
        <w:divId w:val="1264535502"/>
        <w:rPr>
          <w:rFonts w:eastAsia="Times New Roman"/>
        </w:rPr>
      </w:pPr>
      <w:r>
        <w:rPr>
          <w:rFonts w:eastAsia="Times New Roman"/>
          <w:b/>
          <w:bCs/>
          <w:color w:val="000000"/>
          <w:sz w:val="20"/>
          <w:szCs w:val="20"/>
        </w:rPr>
        <w:t>RALPH LAUREN CORPORATION</w:t>
      </w:r>
    </w:p>
    <w:p w14:paraId="0FBF4355" w14:textId="77777777" w:rsidR="00000000" w:rsidRDefault="00EE5306">
      <w:pPr>
        <w:jc w:val="center"/>
        <w:divId w:val="1022245197"/>
        <w:rPr>
          <w:rFonts w:eastAsia="Times New Roman"/>
        </w:rPr>
      </w:pPr>
      <w:r>
        <w:rPr>
          <w:rFonts w:eastAsia="Times New Roman"/>
          <w:b/>
          <w:bCs/>
          <w:color w:val="000000"/>
          <w:sz w:val="20"/>
          <w:szCs w:val="20"/>
        </w:rPr>
        <w:t>NOTES TO CONSOLIDATED FINANCIAL STATEMENTS (Continued)</w:t>
      </w:r>
    </w:p>
    <w:tbl>
      <w:tblPr>
        <w:tblW w:w="4985" w:type="pct"/>
        <w:tblCellMar>
          <w:top w:w="15" w:type="dxa"/>
          <w:left w:w="15" w:type="dxa"/>
          <w:bottom w:w="15" w:type="dxa"/>
          <w:right w:w="15" w:type="dxa"/>
        </w:tblCellMar>
        <w:tblLook w:val="04A0" w:firstRow="1" w:lastRow="0" w:firstColumn="1" w:lastColumn="0" w:noHBand="0" w:noVBand="1"/>
      </w:tblPr>
      <w:tblGrid>
        <w:gridCol w:w="44"/>
        <w:gridCol w:w="4635"/>
        <w:gridCol w:w="37"/>
        <w:gridCol w:w="36"/>
        <w:gridCol w:w="53"/>
        <w:gridCol w:w="36"/>
        <w:gridCol w:w="101"/>
        <w:gridCol w:w="563"/>
        <w:gridCol w:w="37"/>
        <w:gridCol w:w="36"/>
        <w:gridCol w:w="36"/>
        <w:gridCol w:w="36"/>
        <w:gridCol w:w="101"/>
        <w:gridCol w:w="532"/>
        <w:gridCol w:w="37"/>
        <w:gridCol w:w="36"/>
        <w:gridCol w:w="36"/>
        <w:gridCol w:w="36"/>
        <w:gridCol w:w="101"/>
        <w:gridCol w:w="532"/>
        <w:gridCol w:w="37"/>
        <w:gridCol w:w="36"/>
        <w:gridCol w:w="36"/>
        <w:gridCol w:w="36"/>
        <w:gridCol w:w="60"/>
        <w:gridCol w:w="979"/>
        <w:gridCol w:w="36"/>
      </w:tblGrid>
      <w:tr w:rsidR="00000000" w14:paraId="59AB7E04" w14:textId="77777777">
        <w:trPr>
          <w:divId w:val="1637297236"/>
        </w:trPr>
        <w:tc>
          <w:tcPr>
            <w:tcW w:w="50" w:type="pct"/>
            <w:vAlign w:val="center"/>
            <w:hideMark/>
          </w:tcPr>
          <w:p w14:paraId="3786DDD5" w14:textId="77777777" w:rsidR="00000000" w:rsidRDefault="00EE5306">
            <w:pPr>
              <w:jc w:val="center"/>
              <w:rPr>
                <w:rFonts w:eastAsia="Times New Roman"/>
              </w:rPr>
            </w:pPr>
          </w:p>
        </w:tc>
        <w:tc>
          <w:tcPr>
            <w:tcW w:w="2818" w:type="pct"/>
            <w:vAlign w:val="center"/>
            <w:hideMark/>
          </w:tcPr>
          <w:p w14:paraId="4BF918EF" w14:textId="77777777" w:rsidR="00000000" w:rsidRDefault="00EE5306">
            <w:pPr>
              <w:spacing w:after="100"/>
              <w:rPr>
                <w:rFonts w:eastAsia="Times New Roman"/>
                <w:sz w:val="20"/>
                <w:szCs w:val="20"/>
              </w:rPr>
            </w:pPr>
          </w:p>
        </w:tc>
        <w:tc>
          <w:tcPr>
            <w:tcW w:w="5" w:type="pct"/>
            <w:vAlign w:val="center"/>
            <w:hideMark/>
          </w:tcPr>
          <w:p w14:paraId="2E3E5986" w14:textId="77777777" w:rsidR="00000000" w:rsidRDefault="00EE5306">
            <w:pPr>
              <w:spacing w:after="100"/>
              <w:rPr>
                <w:rFonts w:eastAsia="Times New Roman"/>
                <w:sz w:val="20"/>
                <w:szCs w:val="20"/>
              </w:rPr>
            </w:pPr>
          </w:p>
        </w:tc>
        <w:tc>
          <w:tcPr>
            <w:tcW w:w="5" w:type="pct"/>
            <w:vAlign w:val="center"/>
            <w:hideMark/>
          </w:tcPr>
          <w:p w14:paraId="28FD3536" w14:textId="77777777" w:rsidR="00000000" w:rsidRDefault="00EE5306">
            <w:pPr>
              <w:spacing w:after="100"/>
              <w:rPr>
                <w:rFonts w:eastAsia="Times New Roman"/>
                <w:sz w:val="20"/>
                <w:szCs w:val="20"/>
              </w:rPr>
            </w:pPr>
          </w:p>
        </w:tc>
        <w:tc>
          <w:tcPr>
            <w:tcW w:w="55" w:type="pct"/>
            <w:vAlign w:val="center"/>
            <w:hideMark/>
          </w:tcPr>
          <w:p w14:paraId="14EF0FB1" w14:textId="77777777" w:rsidR="00000000" w:rsidRDefault="00EE5306">
            <w:pPr>
              <w:spacing w:after="100"/>
              <w:rPr>
                <w:rFonts w:eastAsia="Times New Roman"/>
                <w:sz w:val="20"/>
                <w:szCs w:val="20"/>
              </w:rPr>
            </w:pPr>
          </w:p>
        </w:tc>
        <w:tc>
          <w:tcPr>
            <w:tcW w:w="5" w:type="pct"/>
            <w:vAlign w:val="center"/>
            <w:hideMark/>
          </w:tcPr>
          <w:p w14:paraId="3239C02F" w14:textId="77777777" w:rsidR="00000000" w:rsidRDefault="00EE5306">
            <w:pPr>
              <w:spacing w:after="100"/>
              <w:rPr>
                <w:rFonts w:eastAsia="Times New Roman"/>
                <w:sz w:val="20"/>
                <w:szCs w:val="20"/>
              </w:rPr>
            </w:pPr>
          </w:p>
        </w:tc>
        <w:tc>
          <w:tcPr>
            <w:tcW w:w="50" w:type="pct"/>
            <w:vAlign w:val="center"/>
            <w:hideMark/>
          </w:tcPr>
          <w:p w14:paraId="6C8E9E78" w14:textId="77777777" w:rsidR="00000000" w:rsidRDefault="00EE5306">
            <w:pPr>
              <w:spacing w:after="100"/>
              <w:rPr>
                <w:rFonts w:eastAsia="Times New Roman"/>
                <w:sz w:val="20"/>
                <w:szCs w:val="20"/>
              </w:rPr>
            </w:pPr>
          </w:p>
        </w:tc>
        <w:tc>
          <w:tcPr>
            <w:tcW w:w="362" w:type="pct"/>
            <w:vAlign w:val="center"/>
            <w:hideMark/>
          </w:tcPr>
          <w:p w14:paraId="366241CD" w14:textId="77777777" w:rsidR="00000000" w:rsidRDefault="00EE5306">
            <w:pPr>
              <w:spacing w:after="100"/>
              <w:rPr>
                <w:rFonts w:eastAsia="Times New Roman"/>
                <w:sz w:val="20"/>
                <w:szCs w:val="20"/>
              </w:rPr>
            </w:pPr>
          </w:p>
        </w:tc>
        <w:tc>
          <w:tcPr>
            <w:tcW w:w="5" w:type="pct"/>
            <w:vAlign w:val="center"/>
            <w:hideMark/>
          </w:tcPr>
          <w:p w14:paraId="72833800" w14:textId="77777777" w:rsidR="00000000" w:rsidRDefault="00EE5306">
            <w:pPr>
              <w:spacing w:after="100"/>
              <w:rPr>
                <w:rFonts w:eastAsia="Times New Roman"/>
                <w:sz w:val="20"/>
                <w:szCs w:val="20"/>
              </w:rPr>
            </w:pPr>
          </w:p>
        </w:tc>
        <w:tc>
          <w:tcPr>
            <w:tcW w:w="5" w:type="pct"/>
            <w:vAlign w:val="center"/>
            <w:hideMark/>
          </w:tcPr>
          <w:p w14:paraId="2F0852BC" w14:textId="77777777" w:rsidR="00000000" w:rsidRDefault="00EE5306">
            <w:pPr>
              <w:spacing w:after="100"/>
              <w:rPr>
                <w:rFonts w:eastAsia="Times New Roman"/>
                <w:sz w:val="20"/>
                <w:szCs w:val="20"/>
              </w:rPr>
            </w:pPr>
          </w:p>
        </w:tc>
        <w:tc>
          <w:tcPr>
            <w:tcW w:w="26" w:type="pct"/>
            <w:vAlign w:val="center"/>
            <w:hideMark/>
          </w:tcPr>
          <w:p w14:paraId="6D5ABE27" w14:textId="77777777" w:rsidR="00000000" w:rsidRDefault="00EE5306">
            <w:pPr>
              <w:spacing w:after="100"/>
              <w:rPr>
                <w:rFonts w:eastAsia="Times New Roman"/>
                <w:sz w:val="20"/>
                <w:szCs w:val="20"/>
              </w:rPr>
            </w:pPr>
          </w:p>
        </w:tc>
        <w:tc>
          <w:tcPr>
            <w:tcW w:w="5" w:type="pct"/>
            <w:vAlign w:val="center"/>
            <w:hideMark/>
          </w:tcPr>
          <w:p w14:paraId="4D3DBF6D" w14:textId="77777777" w:rsidR="00000000" w:rsidRDefault="00EE5306">
            <w:pPr>
              <w:spacing w:after="100"/>
              <w:rPr>
                <w:rFonts w:eastAsia="Times New Roman"/>
                <w:sz w:val="20"/>
                <w:szCs w:val="20"/>
              </w:rPr>
            </w:pPr>
          </w:p>
        </w:tc>
        <w:tc>
          <w:tcPr>
            <w:tcW w:w="50" w:type="pct"/>
            <w:vAlign w:val="center"/>
            <w:hideMark/>
          </w:tcPr>
          <w:p w14:paraId="54E589BE" w14:textId="77777777" w:rsidR="00000000" w:rsidRDefault="00EE5306">
            <w:pPr>
              <w:spacing w:after="100"/>
              <w:rPr>
                <w:rFonts w:eastAsia="Times New Roman"/>
                <w:sz w:val="20"/>
                <w:szCs w:val="20"/>
              </w:rPr>
            </w:pPr>
          </w:p>
        </w:tc>
        <w:tc>
          <w:tcPr>
            <w:tcW w:w="362" w:type="pct"/>
            <w:vAlign w:val="center"/>
            <w:hideMark/>
          </w:tcPr>
          <w:p w14:paraId="04E2335D" w14:textId="77777777" w:rsidR="00000000" w:rsidRDefault="00EE5306">
            <w:pPr>
              <w:spacing w:after="100"/>
              <w:rPr>
                <w:rFonts w:eastAsia="Times New Roman"/>
                <w:sz w:val="20"/>
                <w:szCs w:val="20"/>
              </w:rPr>
            </w:pPr>
          </w:p>
        </w:tc>
        <w:tc>
          <w:tcPr>
            <w:tcW w:w="5" w:type="pct"/>
            <w:vAlign w:val="center"/>
            <w:hideMark/>
          </w:tcPr>
          <w:p w14:paraId="74D93B7E" w14:textId="77777777" w:rsidR="00000000" w:rsidRDefault="00EE5306">
            <w:pPr>
              <w:spacing w:after="100"/>
              <w:rPr>
                <w:rFonts w:eastAsia="Times New Roman"/>
                <w:sz w:val="20"/>
                <w:szCs w:val="20"/>
              </w:rPr>
            </w:pPr>
          </w:p>
        </w:tc>
        <w:tc>
          <w:tcPr>
            <w:tcW w:w="5" w:type="pct"/>
            <w:vAlign w:val="center"/>
            <w:hideMark/>
          </w:tcPr>
          <w:p w14:paraId="4CCC4044" w14:textId="77777777" w:rsidR="00000000" w:rsidRDefault="00EE5306">
            <w:pPr>
              <w:spacing w:after="100"/>
              <w:rPr>
                <w:rFonts w:eastAsia="Times New Roman"/>
                <w:sz w:val="20"/>
                <w:szCs w:val="20"/>
              </w:rPr>
            </w:pPr>
          </w:p>
        </w:tc>
        <w:tc>
          <w:tcPr>
            <w:tcW w:w="26" w:type="pct"/>
            <w:vAlign w:val="center"/>
            <w:hideMark/>
          </w:tcPr>
          <w:p w14:paraId="52CA5555" w14:textId="77777777" w:rsidR="00000000" w:rsidRDefault="00EE5306">
            <w:pPr>
              <w:spacing w:after="100"/>
              <w:rPr>
                <w:rFonts w:eastAsia="Times New Roman"/>
                <w:sz w:val="20"/>
                <w:szCs w:val="20"/>
              </w:rPr>
            </w:pPr>
          </w:p>
        </w:tc>
        <w:tc>
          <w:tcPr>
            <w:tcW w:w="5" w:type="pct"/>
            <w:vAlign w:val="center"/>
            <w:hideMark/>
          </w:tcPr>
          <w:p w14:paraId="3738758C" w14:textId="77777777" w:rsidR="00000000" w:rsidRDefault="00EE5306">
            <w:pPr>
              <w:spacing w:after="100"/>
              <w:rPr>
                <w:rFonts w:eastAsia="Times New Roman"/>
                <w:sz w:val="20"/>
                <w:szCs w:val="20"/>
              </w:rPr>
            </w:pPr>
          </w:p>
        </w:tc>
        <w:tc>
          <w:tcPr>
            <w:tcW w:w="50" w:type="pct"/>
            <w:vAlign w:val="center"/>
            <w:hideMark/>
          </w:tcPr>
          <w:p w14:paraId="0C024345" w14:textId="77777777" w:rsidR="00000000" w:rsidRDefault="00EE5306">
            <w:pPr>
              <w:spacing w:after="100"/>
              <w:rPr>
                <w:rFonts w:eastAsia="Times New Roman"/>
                <w:sz w:val="20"/>
                <w:szCs w:val="20"/>
              </w:rPr>
            </w:pPr>
          </w:p>
        </w:tc>
        <w:tc>
          <w:tcPr>
            <w:tcW w:w="362" w:type="pct"/>
            <w:vAlign w:val="center"/>
            <w:hideMark/>
          </w:tcPr>
          <w:p w14:paraId="4DDB6583" w14:textId="77777777" w:rsidR="00000000" w:rsidRDefault="00EE5306">
            <w:pPr>
              <w:spacing w:after="100"/>
              <w:rPr>
                <w:rFonts w:eastAsia="Times New Roman"/>
                <w:sz w:val="20"/>
                <w:szCs w:val="20"/>
              </w:rPr>
            </w:pPr>
          </w:p>
        </w:tc>
        <w:tc>
          <w:tcPr>
            <w:tcW w:w="5" w:type="pct"/>
            <w:vAlign w:val="center"/>
            <w:hideMark/>
          </w:tcPr>
          <w:p w14:paraId="74D23C50" w14:textId="77777777" w:rsidR="00000000" w:rsidRDefault="00EE5306">
            <w:pPr>
              <w:spacing w:after="100"/>
              <w:rPr>
                <w:rFonts w:eastAsia="Times New Roman"/>
                <w:sz w:val="20"/>
                <w:szCs w:val="20"/>
              </w:rPr>
            </w:pPr>
          </w:p>
        </w:tc>
        <w:tc>
          <w:tcPr>
            <w:tcW w:w="5" w:type="pct"/>
            <w:vAlign w:val="center"/>
            <w:hideMark/>
          </w:tcPr>
          <w:p w14:paraId="4060AE37" w14:textId="77777777" w:rsidR="00000000" w:rsidRDefault="00EE5306">
            <w:pPr>
              <w:spacing w:after="100"/>
              <w:rPr>
                <w:rFonts w:eastAsia="Times New Roman"/>
                <w:sz w:val="20"/>
                <w:szCs w:val="20"/>
              </w:rPr>
            </w:pPr>
          </w:p>
        </w:tc>
        <w:tc>
          <w:tcPr>
            <w:tcW w:w="26" w:type="pct"/>
            <w:vAlign w:val="center"/>
            <w:hideMark/>
          </w:tcPr>
          <w:p w14:paraId="58085636" w14:textId="77777777" w:rsidR="00000000" w:rsidRDefault="00EE5306">
            <w:pPr>
              <w:spacing w:after="100"/>
              <w:rPr>
                <w:rFonts w:eastAsia="Times New Roman"/>
                <w:sz w:val="20"/>
                <w:szCs w:val="20"/>
              </w:rPr>
            </w:pPr>
          </w:p>
        </w:tc>
        <w:tc>
          <w:tcPr>
            <w:tcW w:w="5" w:type="pct"/>
            <w:vAlign w:val="center"/>
            <w:hideMark/>
          </w:tcPr>
          <w:p w14:paraId="52E0347A" w14:textId="77777777" w:rsidR="00000000" w:rsidRDefault="00EE5306">
            <w:pPr>
              <w:spacing w:after="100"/>
              <w:rPr>
                <w:rFonts w:eastAsia="Times New Roman"/>
                <w:sz w:val="20"/>
                <w:szCs w:val="20"/>
              </w:rPr>
            </w:pPr>
          </w:p>
        </w:tc>
        <w:tc>
          <w:tcPr>
            <w:tcW w:w="50" w:type="pct"/>
            <w:vAlign w:val="center"/>
            <w:hideMark/>
          </w:tcPr>
          <w:p w14:paraId="7E4A0482" w14:textId="77777777" w:rsidR="00000000" w:rsidRDefault="00EE5306">
            <w:pPr>
              <w:spacing w:after="100"/>
              <w:rPr>
                <w:rFonts w:eastAsia="Times New Roman"/>
                <w:sz w:val="20"/>
                <w:szCs w:val="20"/>
              </w:rPr>
            </w:pPr>
          </w:p>
        </w:tc>
        <w:tc>
          <w:tcPr>
            <w:tcW w:w="641" w:type="pct"/>
            <w:vAlign w:val="center"/>
            <w:hideMark/>
          </w:tcPr>
          <w:p w14:paraId="789BE769" w14:textId="77777777" w:rsidR="00000000" w:rsidRDefault="00EE5306">
            <w:pPr>
              <w:spacing w:after="100"/>
              <w:rPr>
                <w:rFonts w:eastAsia="Times New Roman"/>
                <w:sz w:val="20"/>
                <w:szCs w:val="20"/>
              </w:rPr>
            </w:pPr>
          </w:p>
        </w:tc>
        <w:tc>
          <w:tcPr>
            <w:tcW w:w="5" w:type="pct"/>
            <w:vAlign w:val="center"/>
            <w:hideMark/>
          </w:tcPr>
          <w:p w14:paraId="10098E79" w14:textId="77777777" w:rsidR="00000000" w:rsidRDefault="00EE5306">
            <w:pPr>
              <w:spacing w:after="100"/>
              <w:rPr>
                <w:rFonts w:eastAsia="Times New Roman"/>
                <w:sz w:val="20"/>
                <w:szCs w:val="20"/>
              </w:rPr>
            </w:pPr>
          </w:p>
        </w:tc>
      </w:tr>
      <w:tr w:rsidR="00000000" w14:paraId="35A2BC43" w14:textId="77777777">
        <w:trPr>
          <w:divId w:val="1637297236"/>
          <w:trHeight w:val="420"/>
        </w:trPr>
        <w:tc>
          <w:tcPr>
            <w:tcW w:w="0" w:type="auto"/>
            <w:gridSpan w:val="3"/>
            <w:tcMar>
              <w:top w:w="30" w:type="dxa"/>
              <w:left w:w="20" w:type="dxa"/>
              <w:bottom w:w="30" w:type="dxa"/>
              <w:right w:w="20" w:type="dxa"/>
            </w:tcMar>
            <w:vAlign w:val="bottom"/>
            <w:hideMark/>
          </w:tcPr>
          <w:p w14:paraId="230E32ED"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2C46EE8" w14:textId="77777777" w:rsidR="00000000" w:rsidRDefault="00EE5306">
            <w:pPr>
              <w:spacing w:after="100"/>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74DFBF0D" w14:textId="77777777" w:rsidR="00000000" w:rsidRDefault="00EE5306">
            <w:pPr>
              <w:spacing w:after="100"/>
              <w:jc w:val="center"/>
              <w:rPr>
                <w:rFonts w:eastAsia="Times New Roman"/>
              </w:rPr>
            </w:pPr>
            <w:r>
              <w:rPr>
                <w:rFonts w:eastAsia="Times New Roman"/>
                <w:b/>
                <w:bCs/>
                <w:color w:val="000000"/>
                <w:sz w:val="16"/>
                <w:szCs w:val="16"/>
              </w:rPr>
              <w:t>Gains (Losses) from Net Investment Hedges Recognized in Earnings</w:t>
            </w:r>
          </w:p>
        </w:tc>
        <w:tc>
          <w:tcPr>
            <w:tcW w:w="0" w:type="auto"/>
            <w:gridSpan w:val="3"/>
            <w:tcMar>
              <w:top w:w="0" w:type="dxa"/>
              <w:left w:w="20" w:type="dxa"/>
              <w:bottom w:w="0" w:type="dxa"/>
              <w:right w:w="20" w:type="dxa"/>
            </w:tcMar>
            <w:vAlign w:val="center"/>
            <w:hideMark/>
          </w:tcPr>
          <w:p w14:paraId="46B150D4"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B76BFA4" w14:textId="77777777" w:rsidR="00000000" w:rsidRDefault="00EE5306">
            <w:pPr>
              <w:spacing w:after="100"/>
              <w:jc w:val="center"/>
              <w:rPr>
                <w:rFonts w:eastAsia="Times New Roman"/>
              </w:rPr>
            </w:pPr>
            <w:r>
              <w:rPr>
                <w:rFonts w:eastAsia="Times New Roman"/>
                <w:b/>
                <w:bCs/>
                <w:color w:val="000000"/>
                <w:sz w:val="16"/>
                <w:szCs w:val="16"/>
              </w:rPr>
              <w:t>Location of</w:t>
            </w:r>
            <w:r>
              <w:rPr>
                <w:rFonts w:eastAsia="Times New Roman"/>
                <w:b/>
                <w:bCs/>
                <w:color w:val="000000"/>
                <w:sz w:val="16"/>
                <w:szCs w:val="16"/>
              </w:rPr>
              <w:br/>
              <w:t>Gains (Losses) Recognized in Earnings</w:t>
            </w:r>
          </w:p>
        </w:tc>
      </w:tr>
      <w:tr w:rsidR="00000000" w14:paraId="68D96925" w14:textId="77777777">
        <w:trPr>
          <w:divId w:val="1637297236"/>
          <w:trHeight w:val="240"/>
        </w:trPr>
        <w:tc>
          <w:tcPr>
            <w:tcW w:w="0" w:type="auto"/>
            <w:gridSpan w:val="3"/>
            <w:tcMar>
              <w:top w:w="30" w:type="dxa"/>
              <w:left w:w="20" w:type="dxa"/>
              <w:bottom w:w="30" w:type="dxa"/>
              <w:right w:w="20" w:type="dxa"/>
            </w:tcMar>
            <w:vAlign w:val="bottom"/>
            <w:hideMark/>
          </w:tcPr>
          <w:p w14:paraId="3F1D2D5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D60EB4C"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A2F9F25"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3FF934CB" w14:textId="77777777" w:rsidR="00000000" w:rsidRDefault="00EE5306">
            <w:pPr>
              <w:spacing w:after="100"/>
              <w:jc w:val="center"/>
              <w:rPr>
                <w:rFonts w:eastAsia="Times New Roman"/>
              </w:rPr>
            </w:pPr>
          </w:p>
        </w:tc>
        <w:tc>
          <w:tcPr>
            <w:tcW w:w="0" w:type="auto"/>
            <w:gridSpan w:val="3"/>
            <w:vMerge/>
            <w:vAlign w:val="center"/>
            <w:hideMark/>
          </w:tcPr>
          <w:p w14:paraId="566B2E3B" w14:textId="77777777" w:rsidR="00000000" w:rsidRDefault="00EE5306">
            <w:pPr>
              <w:spacing w:after="100"/>
              <w:rPr>
                <w:rFonts w:eastAsia="Times New Roman"/>
              </w:rPr>
            </w:pPr>
          </w:p>
        </w:tc>
      </w:tr>
      <w:tr w:rsidR="00000000" w14:paraId="1B42D0EF" w14:textId="77777777">
        <w:trPr>
          <w:divId w:val="1637297236"/>
          <w:trHeight w:val="420"/>
        </w:trPr>
        <w:tc>
          <w:tcPr>
            <w:tcW w:w="0" w:type="auto"/>
            <w:gridSpan w:val="3"/>
            <w:tcMar>
              <w:top w:w="0" w:type="dxa"/>
              <w:left w:w="20" w:type="dxa"/>
              <w:bottom w:w="0" w:type="dxa"/>
              <w:right w:w="20" w:type="dxa"/>
            </w:tcMar>
            <w:vAlign w:val="center"/>
            <w:hideMark/>
          </w:tcPr>
          <w:p w14:paraId="77A396D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DFA81A"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440C52F"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3D990CF"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955566"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07FA222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FD85B1"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15FEA860" w14:textId="77777777" w:rsidR="00000000" w:rsidRDefault="00EE5306">
            <w:pPr>
              <w:spacing w:after="100"/>
              <w:jc w:val="center"/>
              <w:rPr>
                <w:rFonts w:eastAsia="Times New Roman"/>
              </w:rPr>
            </w:pPr>
          </w:p>
        </w:tc>
        <w:tc>
          <w:tcPr>
            <w:tcW w:w="0" w:type="auto"/>
            <w:gridSpan w:val="3"/>
            <w:vMerge/>
            <w:vAlign w:val="center"/>
            <w:hideMark/>
          </w:tcPr>
          <w:p w14:paraId="658E32E1" w14:textId="77777777" w:rsidR="00000000" w:rsidRDefault="00EE5306">
            <w:pPr>
              <w:spacing w:after="100"/>
              <w:rPr>
                <w:rFonts w:eastAsia="Times New Roman"/>
              </w:rPr>
            </w:pPr>
          </w:p>
        </w:tc>
      </w:tr>
      <w:tr w:rsidR="00000000" w14:paraId="7E56261F" w14:textId="77777777">
        <w:trPr>
          <w:divId w:val="1637297236"/>
        </w:trPr>
        <w:tc>
          <w:tcPr>
            <w:tcW w:w="0" w:type="auto"/>
            <w:gridSpan w:val="3"/>
            <w:tcMar>
              <w:top w:w="30" w:type="dxa"/>
              <w:left w:w="20" w:type="dxa"/>
              <w:bottom w:w="30" w:type="dxa"/>
              <w:right w:w="20" w:type="dxa"/>
            </w:tcMar>
            <w:vAlign w:val="bottom"/>
            <w:hideMark/>
          </w:tcPr>
          <w:p w14:paraId="6D562994"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D85FAEB"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7F7CF6E"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38DD826F"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4E19D24" w14:textId="77777777" w:rsidR="00000000" w:rsidRDefault="00EE5306">
            <w:pPr>
              <w:spacing w:after="100"/>
              <w:rPr>
                <w:rFonts w:eastAsia="Times New Roman"/>
                <w:sz w:val="20"/>
                <w:szCs w:val="20"/>
              </w:rPr>
            </w:pPr>
          </w:p>
        </w:tc>
      </w:tr>
      <w:tr w:rsidR="00000000" w14:paraId="2A49A6E8" w14:textId="77777777">
        <w:trPr>
          <w:divId w:val="1637297236"/>
        </w:trPr>
        <w:tc>
          <w:tcPr>
            <w:tcW w:w="0" w:type="auto"/>
            <w:gridSpan w:val="3"/>
            <w:shd w:val="clear" w:color="auto" w:fill="CCEEFF"/>
            <w:tcMar>
              <w:top w:w="30" w:type="dxa"/>
              <w:left w:w="20" w:type="dxa"/>
              <w:bottom w:w="30" w:type="dxa"/>
              <w:right w:w="20" w:type="dxa"/>
            </w:tcMar>
            <w:vAlign w:val="bottom"/>
            <w:hideMark/>
          </w:tcPr>
          <w:p w14:paraId="4A016E5E" w14:textId="77777777" w:rsidR="00000000" w:rsidRDefault="00EE5306">
            <w:pPr>
              <w:spacing w:after="100"/>
              <w:rPr>
                <w:rFonts w:eastAsia="Times New Roman"/>
              </w:rPr>
            </w:pPr>
            <w:r>
              <w:rPr>
                <w:rFonts w:eastAsia="Times New Roman"/>
                <w:color w:val="000000"/>
                <w:sz w:val="16"/>
                <w:szCs w:val="16"/>
                <w:u w:val="single"/>
              </w:rPr>
              <w:t>Net Investment Hedges:</w:t>
            </w:r>
          </w:p>
        </w:tc>
        <w:tc>
          <w:tcPr>
            <w:tcW w:w="0" w:type="auto"/>
            <w:gridSpan w:val="3"/>
            <w:shd w:val="clear" w:color="auto" w:fill="CCEEFF"/>
            <w:tcMar>
              <w:top w:w="0" w:type="dxa"/>
              <w:left w:w="20" w:type="dxa"/>
              <w:bottom w:w="0" w:type="dxa"/>
              <w:right w:w="20" w:type="dxa"/>
            </w:tcMar>
            <w:vAlign w:val="center"/>
            <w:hideMark/>
          </w:tcPr>
          <w:p w14:paraId="33F3F6C6"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ECF9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7F910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EB8EF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D84FE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7E374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1B30B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282CC1" w14:textId="77777777" w:rsidR="00000000" w:rsidRDefault="00EE5306">
            <w:pPr>
              <w:spacing w:after="100"/>
              <w:rPr>
                <w:rFonts w:eastAsia="Times New Roman"/>
                <w:sz w:val="20"/>
                <w:szCs w:val="20"/>
              </w:rPr>
            </w:pPr>
          </w:p>
        </w:tc>
      </w:tr>
      <w:tr w:rsidR="00000000" w14:paraId="73606441" w14:textId="77777777">
        <w:trPr>
          <w:divId w:val="1637297236"/>
        </w:trPr>
        <w:tc>
          <w:tcPr>
            <w:tcW w:w="0" w:type="auto"/>
            <w:gridSpan w:val="3"/>
            <w:tcMar>
              <w:top w:w="30" w:type="dxa"/>
              <w:left w:w="20" w:type="dxa"/>
              <w:bottom w:w="30" w:type="dxa"/>
              <w:right w:w="20" w:type="dxa"/>
            </w:tcMar>
            <w:vAlign w:val="bottom"/>
            <w:hideMark/>
          </w:tcPr>
          <w:p w14:paraId="6694CDFF" w14:textId="77777777" w:rsidR="00000000" w:rsidRDefault="00EE5306">
            <w:pPr>
              <w:spacing w:after="100"/>
              <w:ind w:hanging="180"/>
              <w:divId w:val="1304235946"/>
              <w:rPr>
                <w:rFonts w:eastAsia="Times New Roman"/>
              </w:rPr>
            </w:pPr>
            <w:r>
              <w:rPr>
                <w:rFonts w:eastAsia="Times New Roman"/>
                <w:color w:val="000000"/>
                <w:sz w:val="16"/>
                <w:szCs w:val="16"/>
              </w:rPr>
              <w:t>Net investment hedges — portion excluded from assessment of hedge effectivenes</w:t>
            </w:r>
            <w:r>
              <w:rPr>
                <w:rFonts w:eastAsia="Times New Roman"/>
                <w:color w:val="000000"/>
                <w:sz w:val="16"/>
                <w:szCs w:val="16"/>
              </w:rPr>
              <w:t>s</w:t>
            </w:r>
            <w:r>
              <w:rPr>
                <w:rFonts w:eastAsia="Times New Roman"/>
                <w:b/>
                <w:bCs/>
                <w:color w:val="000000"/>
                <w:sz w:val="10"/>
                <w:szCs w:val="10"/>
              </w:rPr>
              <w:t>(a</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75AFA6EB" w14:textId="77777777" w:rsidR="00000000" w:rsidRDefault="00EE5306">
            <w:pPr>
              <w:spacing w:after="100"/>
              <w:ind w:hanging="180"/>
              <w:rPr>
                <w:rFonts w:eastAsia="Times New Roman"/>
              </w:rPr>
            </w:pPr>
          </w:p>
        </w:tc>
        <w:tc>
          <w:tcPr>
            <w:tcW w:w="0" w:type="auto"/>
            <w:shd w:val="clear" w:color="auto" w:fill="FFFFFF"/>
            <w:tcMar>
              <w:top w:w="30" w:type="dxa"/>
              <w:left w:w="20" w:type="dxa"/>
              <w:bottom w:w="30" w:type="dxa"/>
              <w:right w:w="0" w:type="dxa"/>
            </w:tcMar>
            <w:vAlign w:val="bottom"/>
            <w:hideMark/>
          </w:tcPr>
          <w:p w14:paraId="6EA38C2A"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3451EC6" w14:textId="77777777" w:rsidR="00000000" w:rsidRDefault="00EE5306">
            <w:pPr>
              <w:spacing w:after="100"/>
              <w:jc w:val="right"/>
              <w:rPr>
                <w:rFonts w:eastAsia="Times New Roman"/>
              </w:rPr>
            </w:pPr>
            <w:r>
              <w:rPr>
                <w:rFonts w:eastAsia="Times New Roman"/>
                <w:color w:val="000000"/>
                <w:sz w:val="16"/>
                <w:szCs w:val="16"/>
              </w:rPr>
              <w:t>11.3 </w:t>
            </w:r>
          </w:p>
        </w:tc>
        <w:tc>
          <w:tcPr>
            <w:tcW w:w="0" w:type="auto"/>
            <w:shd w:val="clear" w:color="auto" w:fill="FFFFFF"/>
            <w:tcMar>
              <w:top w:w="30" w:type="dxa"/>
              <w:left w:w="0" w:type="dxa"/>
              <w:bottom w:w="30" w:type="dxa"/>
              <w:right w:w="20" w:type="dxa"/>
            </w:tcMar>
            <w:vAlign w:val="bottom"/>
            <w:hideMark/>
          </w:tcPr>
          <w:p w14:paraId="5DBA3A9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78B13"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4F4346"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AD4B96E" w14:textId="77777777" w:rsidR="00000000" w:rsidRDefault="00EE5306">
            <w:pPr>
              <w:spacing w:after="100"/>
              <w:jc w:val="right"/>
              <w:rPr>
                <w:rFonts w:eastAsia="Times New Roman"/>
              </w:rPr>
            </w:pPr>
            <w:r>
              <w:rPr>
                <w:rFonts w:eastAsia="Times New Roman"/>
                <w:color w:val="000000"/>
                <w:sz w:val="16"/>
                <w:szCs w:val="16"/>
              </w:rPr>
              <w:t>19.0 </w:t>
            </w:r>
          </w:p>
        </w:tc>
        <w:tc>
          <w:tcPr>
            <w:tcW w:w="0" w:type="auto"/>
            <w:shd w:val="clear" w:color="auto" w:fill="FFFFFF"/>
            <w:tcMar>
              <w:top w:w="30" w:type="dxa"/>
              <w:left w:w="0" w:type="dxa"/>
              <w:bottom w:w="30" w:type="dxa"/>
              <w:right w:w="20" w:type="dxa"/>
            </w:tcMar>
            <w:vAlign w:val="bottom"/>
            <w:hideMark/>
          </w:tcPr>
          <w:p w14:paraId="7DDAAB7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0F3D5"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C7191B"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71AFBC6" w14:textId="77777777" w:rsidR="00000000" w:rsidRDefault="00EE5306">
            <w:pPr>
              <w:spacing w:after="100"/>
              <w:jc w:val="right"/>
              <w:rPr>
                <w:rFonts w:eastAsia="Times New Roman"/>
              </w:rPr>
            </w:pPr>
            <w:r>
              <w:rPr>
                <w:rFonts w:eastAsia="Times New Roman"/>
                <w:color w:val="000000"/>
                <w:sz w:val="16"/>
                <w:szCs w:val="16"/>
              </w:rPr>
              <w:t>19.0 </w:t>
            </w:r>
          </w:p>
        </w:tc>
        <w:tc>
          <w:tcPr>
            <w:tcW w:w="0" w:type="auto"/>
            <w:shd w:val="clear" w:color="auto" w:fill="FFFFFF"/>
            <w:tcMar>
              <w:top w:w="30" w:type="dxa"/>
              <w:left w:w="0" w:type="dxa"/>
              <w:bottom w:w="30" w:type="dxa"/>
              <w:right w:w="20" w:type="dxa"/>
            </w:tcMar>
            <w:vAlign w:val="bottom"/>
            <w:hideMark/>
          </w:tcPr>
          <w:p w14:paraId="0139A20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A1B93"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DD083E2" w14:textId="77777777" w:rsidR="00000000" w:rsidRDefault="00EE5306">
            <w:pPr>
              <w:spacing w:after="100"/>
              <w:rPr>
                <w:rFonts w:eastAsia="Times New Roman"/>
              </w:rPr>
            </w:pPr>
            <w:r>
              <w:rPr>
                <w:rFonts w:eastAsia="Times New Roman"/>
                <w:color w:val="000000"/>
                <w:sz w:val="16"/>
                <w:szCs w:val="16"/>
              </w:rPr>
              <w:t>Interest expense</w:t>
            </w:r>
          </w:p>
        </w:tc>
      </w:tr>
      <w:tr w:rsidR="00000000" w14:paraId="7B1ECD80" w14:textId="77777777">
        <w:trPr>
          <w:divId w:val="1637297236"/>
        </w:trPr>
        <w:tc>
          <w:tcPr>
            <w:tcW w:w="0" w:type="auto"/>
            <w:gridSpan w:val="3"/>
            <w:shd w:val="clear" w:color="auto" w:fill="CCEEFF"/>
            <w:tcMar>
              <w:top w:w="30" w:type="dxa"/>
              <w:left w:w="245" w:type="dxa"/>
              <w:bottom w:w="30" w:type="dxa"/>
              <w:right w:w="20" w:type="dxa"/>
            </w:tcMar>
            <w:vAlign w:val="bottom"/>
            <w:hideMark/>
          </w:tcPr>
          <w:p w14:paraId="53F31077" w14:textId="77777777" w:rsidR="00000000" w:rsidRDefault="00EE5306">
            <w:pPr>
              <w:spacing w:after="100"/>
              <w:rPr>
                <w:rFonts w:eastAsia="Times New Roman"/>
              </w:rPr>
            </w:pPr>
            <w:r>
              <w:rPr>
                <w:rFonts w:eastAsia="Times New Roman"/>
                <w:color w:val="000000"/>
                <w:sz w:val="16"/>
                <w:szCs w:val="16"/>
              </w:rPr>
              <w:t>Total Net Investment Hedges</w:t>
            </w:r>
          </w:p>
        </w:tc>
        <w:tc>
          <w:tcPr>
            <w:tcW w:w="0" w:type="auto"/>
            <w:gridSpan w:val="3"/>
            <w:shd w:val="clear" w:color="auto" w:fill="CCEEFF"/>
            <w:tcMar>
              <w:top w:w="0" w:type="dxa"/>
              <w:left w:w="20" w:type="dxa"/>
              <w:bottom w:w="0" w:type="dxa"/>
              <w:right w:w="20" w:type="dxa"/>
            </w:tcMar>
            <w:vAlign w:val="center"/>
            <w:hideMark/>
          </w:tcPr>
          <w:p w14:paraId="2ECB9300"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D344CF"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03A2ED" w14:textId="77777777" w:rsidR="00000000" w:rsidRDefault="00EE5306">
            <w:pPr>
              <w:spacing w:after="100"/>
              <w:jc w:val="right"/>
              <w:rPr>
                <w:rFonts w:eastAsia="Times New Roman"/>
              </w:rPr>
            </w:pPr>
            <w:r>
              <w:rPr>
                <w:rFonts w:eastAsia="Times New Roman"/>
                <w:color w:val="000000"/>
                <w:sz w:val="16"/>
                <w:szCs w:val="16"/>
              </w:rPr>
              <w:t>11.3 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8E1CE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7128C"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8F55C8"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DABA17" w14:textId="77777777" w:rsidR="00000000" w:rsidRDefault="00EE5306">
            <w:pPr>
              <w:spacing w:after="100"/>
              <w:jc w:val="right"/>
              <w:rPr>
                <w:rFonts w:eastAsia="Times New Roman"/>
              </w:rPr>
            </w:pPr>
            <w:r>
              <w:rPr>
                <w:rFonts w:eastAsia="Times New Roman"/>
                <w:color w:val="000000"/>
                <w:sz w:val="16"/>
                <w:szCs w:val="16"/>
              </w:rPr>
              <w:t>19.0 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21D56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05A4F8"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9686EC"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C2FADA" w14:textId="77777777" w:rsidR="00000000" w:rsidRDefault="00EE5306">
            <w:pPr>
              <w:spacing w:after="100"/>
              <w:jc w:val="right"/>
              <w:rPr>
                <w:rFonts w:eastAsia="Times New Roman"/>
              </w:rPr>
            </w:pPr>
            <w:r>
              <w:rPr>
                <w:rFonts w:eastAsia="Times New Roman"/>
                <w:color w:val="000000"/>
                <w:sz w:val="16"/>
                <w:szCs w:val="16"/>
              </w:rPr>
              <w:t>19.0 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1E655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2CD3D"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28890F" w14:textId="77777777" w:rsidR="00000000" w:rsidRDefault="00EE5306">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7E07F03C" w14:textId="77777777">
        <w:tc>
          <w:tcPr>
            <w:tcW w:w="50" w:type="pct"/>
            <w:vAlign w:val="center"/>
            <w:hideMark/>
          </w:tcPr>
          <w:p w14:paraId="67BEAB86" w14:textId="77777777" w:rsidR="00000000" w:rsidRDefault="00EE5306">
            <w:pPr>
              <w:rPr>
                <w:rFonts w:eastAsia="Times New Roman"/>
              </w:rPr>
            </w:pPr>
          </w:p>
        </w:tc>
        <w:tc>
          <w:tcPr>
            <w:tcW w:w="4945" w:type="pct"/>
            <w:vAlign w:val="center"/>
            <w:hideMark/>
          </w:tcPr>
          <w:p w14:paraId="18C70F9F" w14:textId="77777777" w:rsidR="00000000" w:rsidRDefault="00EE5306">
            <w:pPr>
              <w:spacing w:after="100"/>
              <w:rPr>
                <w:rFonts w:eastAsia="Times New Roman"/>
                <w:sz w:val="20"/>
                <w:szCs w:val="20"/>
              </w:rPr>
            </w:pPr>
          </w:p>
        </w:tc>
        <w:tc>
          <w:tcPr>
            <w:tcW w:w="5" w:type="pct"/>
            <w:vAlign w:val="center"/>
            <w:hideMark/>
          </w:tcPr>
          <w:p w14:paraId="27AEF55E" w14:textId="77777777" w:rsidR="00000000" w:rsidRDefault="00EE5306">
            <w:pPr>
              <w:spacing w:after="100"/>
              <w:rPr>
                <w:rFonts w:eastAsia="Times New Roman"/>
                <w:sz w:val="20"/>
                <w:szCs w:val="20"/>
              </w:rPr>
            </w:pPr>
          </w:p>
        </w:tc>
      </w:tr>
      <w:tr w:rsidR="00000000" w14:paraId="15FE699D"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11982CE1" w14:textId="77777777" w:rsidR="00000000" w:rsidRDefault="00EE5306">
            <w:pPr>
              <w:spacing w:after="100"/>
              <w:rPr>
                <w:rFonts w:eastAsia="Times New Roman"/>
                <w:sz w:val="20"/>
                <w:szCs w:val="20"/>
              </w:rPr>
            </w:pPr>
          </w:p>
        </w:tc>
      </w:tr>
    </w:tbl>
    <w:p w14:paraId="5C267683" w14:textId="77777777" w:rsidR="00000000" w:rsidRDefault="00EE5306">
      <w:pPr>
        <w:ind w:hanging="360"/>
        <w:jc w:val="both"/>
        <w:divId w:val="174999742"/>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Amounts recognized in OCI relating to the effective portion of the Company's net investment hedges would be recognized in earnings only upon the sale or liquidation of the hedged net investment.</w:t>
      </w:r>
    </w:p>
    <w:p w14:paraId="4A9D6E8F" w14:textId="77777777" w:rsidR="00000000" w:rsidRDefault="00EE5306">
      <w:pPr>
        <w:ind w:firstLine="540"/>
        <w:jc w:val="both"/>
        <w:divId w:val="916670659"/>
        <w:rPr>
          <w:rFonts w:eastAsia="Times New Roman"/>
        </w:rPr>
      </w:pPr>
      <w:r>
        <w:rPr>
          <w:rFonts w:eastAsia="Times New Roman"/>
          <w:color w:val="000000"/>
          <w:sz w:val="20"/>
          <w:szCs w:val="20"/>
          <w:shd w:val="clear" w:color="auto" w:fill="FFFFFF"/>
        </w:rPr>
        <w:t>As of March 27, 2021, it is estimated that $4.9 million of pr</w:t>
      </w:r>
      <w:r>
        <w:rPr>
          <w:rFonts w:eastAsia="Times New Roman"/>
          <w:color w:val="000000"/>
          <w:sz w:val="20"/>
          <w:szCs w:val="20"/>
          <w:shd w:val="clear" w:color="auto" w:fill="FFFFFF"/>
        </w:rPr>
        <w:t>etax n</w:t>
      </w:r>
      <w:r>
        <w:rPr>
          <w:rFonts w:eastAsia="Times New Roman"/>
          <w:color w:val="000000"/>
          <w:sz w:val="20"/>
          <w:szCs w:val="20"/>
        </w:rPr>
        <w:t>et gains on both outstanding and matured derivative instruments designated and qualifying as cash flow hedges deferred in AOCI will be recognized in earnings over the next twelve months. Amounts ultimately recognized in earnings will depend on exchan</w:t>
      </w:r>
      <w:r>
        <w:rPr>
          <w:rFonts w:eastAsia="Times New Roman"/>
          <w:color w:val="000000"/>
          <w:sz w:val="20"/>
          <w:szCs w:val="20"/>
        </w:rPr>
        <w:t>ge rates in effect when outstanding derivative instruments are settled.</w:t>
      </w:r>
    </w:p>
    <w:p w14:paraId="14A73E2A" w14:textId="77777777" w:rsidR="00000000" w:rsidRDefault="00EE5306">
      <w:pPr>
        <w:ind w:firstLine="540"/>
        <w:jc w:val="both"/>
        <w:divId w:val="186070087"/>
        <w:rPr>
          <w:rFonts w:eastAsia="Times New Roman"/>
        </w:rPr>
      </w:pPr>
      <w:r>
        <w:rPr>
          <w:rFonts w:eastAsia="Times New Roman"/>
          <w:color w:val="000000"/>
          <w:sz w:val="20"/>
          <w:szCs w:val="20"/>
        </w:rPr>
        <w:t>The following table summarizes the pretax impact of gains and losses from the Company's undesignated derivative instruments on its consolidated financial statements for the fiscal year</w:t>
      </w:r>
      <w:r>
        <w:rPr>
          <w:rFonts w:eastAsia="Times New Roman"/>
          <w:color w:val="000000"/>
          <w:sz w:val="20"/>
          <w:szCs w:val="20"/>
        </w:rPr>
        <w:t>s presented:</w:t>
      </w:r>
    </w:p>
    <w:tbl>
      <w:tblPr>
        <w:tblW w:w="4978" w:type="pct"/>
        <w:tblCellMar>
          <w:top w:w="15" w:type="dxa"/>
          <w:left w:w="15" w:type="dxa"/>
          <w:bottom w:w="15" w:type="dxa"/>
          <w:right w:w="15" w:type="dxa"/>
        </w:tblCellMar>
        <w:tblLook w:val="04A0" w:firstRow="1" w:lastRow="0" w:firstColumn="1" w:lastColumn="0" w:noHBand="0" w:noVBand="1"/>
      </w:tblPr>
      <w:tblGrid>
        <w:gridCol w:w="45"/>
        <w:gridCol w:w="4209"/>
        <w:gridCol w:w="38"/>
        <w:gridCol w:w="36"/>
        <w:gridCol w:w="55"/>
        <w:gridCol w:w="36"/>
        <w:gridCol w:w="101"/>
        <w:gridCol w:w="562"/>
        <w:gridCol w:w="36"/>
        <w:gridCol w:w="36"/>
        <w:gridCol w:w="36"/>
        <w:gridCol w:w="36"/>
        <w:gridCol w:w="101"/>
        <w:gridCol w:w="531"/>
        <w:gridCol w:w="37"/>
        <w:gridCol w:w="36"/>
        <w:gridCol w:w="36"/>
        <w:gridCol w:w="36"/>
        <w:gridCol w:w="101"/>
        <w:gridCol w:w="531"/>
        <w:gridCol w:w="36"/>
        <w:gridCol w:w="36"/>
        <w:gridCol w:w="36"/>
        <w:gridCol w:w="36"/>
        <w:gridCol w:w="44"/>
        <w:gridCol w:w="1410"/>
        <w:gridCol w:w="36"/>
      </w:tblGrid>
      <w:tr w:rsidR="00000000" w14:paraId="0E25B900" w14:textId="77777777">
        <w:trPr>
          <w:divId w:val="511266971"/>
        </w:trPr>
        <w:tc>
          <w:tcPr>
            <w:tcW w:w="50" w:type="pct"/>
            <w:vAlign w:val="center"/>
            <w:hideMark/>
          </w:tcPr>
          <w:p w14:paraId="6F089F68" w14:textId="77777777" w:rsidR="00000000" w:rsidRDefault="00EE5306">
            <w:pPr>
              <w:ind w:firstLine="540"/>
              <w:jc w:val="both"/>
              <w:rPr>
                <w:rFonts w:eastAsia="Times New Roman"/>
              </w:rPr>
            </w:pPr>
          </w:p>
        </w:tc>
        <w:tc>
          <w:tcPr>
            <w:tcW w:w="2566" w:type="pct"/>
            <w:vAlign w:val="center"/>
            <w:hideMark/>
          </w:tcPr>
          <w:p w14:paraId="38D843EE" w14:textId="77777777" w:rsidR="00000000" w:rsidRDefault="00EE5306">
            <w:pPr>
              <w:spacing w:after="100"/>
              <w:rPr>
                <w:rFonts w:eastAsia="Times New Roman"/>
                <w:sz w:val="20"/>
                <w:szCs w:val="20"/>
              </w:rPr>
            </w:pPr>
          </w:p>
        </w:tc>
        <w:tc>
          <w:tcPr>
            <w:tcW w:w="5" w:type="pct"/>
            <w:vAlign w:val="center"/>
            <w:hideMark/>
          </w:tcPr>
          <w:p w14:paraId="5BB2D1B5" w14:textId="77777777" w:rsidR="00000000" w:rsidRDefault="00EE5306">
            <w:pPr>
              <w:spacing w:after="100"/>
              <w:rPr>
                <w:rFonts w:eastAsia="Times New Roman"/>
                <w:sz w:val="20"/>
                <w:szCs w:val="20"/>
              </w:rPr>
            </w:pPr>
          </w:p>
        </w:tc>
        <w:tc>
          <w:tcPr>
            <w:tcW w:w="5" w:type="pct"/>
            <w:vAlign w:val="center"/>
            <w:hideMark/>
          </w:tcPr>
          <w:p w14:paraId="7623FB32" w14:textId="77777777" w:rsidR="00000000" w:rsidRDefault="00EE5306">
            <w:pPr>
              <w:spacing w:after="100"/>
              <w:rPr>
                <w:rFonts w:eastAsia="Times New Roman"/>
                <w:sz w:val="20"/>
                <w:szCs w:val="20"/>
              </w:rPr>
            </w:pPr>
          </w:p>
        </w:tc>
        <w:tc>
          <w:tcPr>
            <w:tcW w:w="56" w:type="pct"/>
            <w:vAlign w:val="center"/>
            <w:hideMark/>
          </w:tcPr>
          <w:p w14:paraId="5D68A353" w14:textId="77777777" w:rsidR="00000000" w:rsidRDefault="00EE5306">
            <w:pPr>
              <w:spacing w:after="100"/>
              <w:rPr>
                <w:rFonts w:eastAsia="Times New Roman"/>
                <w:sz w:val="20"/>
                <w:szCs w:val="20"/>
              </w:rPr>
            </w:pPr>
          </w:p>
        </w:tc>
        <w:tc>
          <w:tcPr>
            <w:tcW w:w="5" w:type="pct"/>
            <w:vAlign w:val="center"/>
            <w:hideMark/>
          </w:tcPr>
          <w:p w14:paraId="124E923A" w14:textId="77777777" w:rsidR="00000000" w:rsidRDefault="00EE5306">
            <w:pPr>
              <w:spacing w:after="100"/>
              <w:rPr>
                <w:rFonts w:eastAsia="Times New Roman"/>
                <w:sz w:val="20"/>
                <w:szCs w:val="20"/>
              </w:rPr>
            </w:pPr>
          </w:p>
        </w:tc>
        <w:tc>
          <w:tcPr>
            <w:tcW w:w="50" w:type="pct"/>
            <w:vAlign w:val="center"/>
            <w:hideMark/>
          </w:tcPr>
          <w:p w14:paraId="6B4C8433" w14:textId="77777777" w:rsidR="00000000" w:rsidRDefault="00EE5306">
            <w:pPr>
              <w:spacing w:after="100"/>
              <w:rPr>
                <w:rFonts w:eastAsia="Times New Roman"/>
                <w:sz w:val="20"/>
                <w:szCs w:val="20"/>
              </w:rPr>
            </w:pPr>
          </w:p>
        </w:tc>
        <w:tc>
          <w:tcPr>
            <w:tcW w:w="363" w:type="pct"/>
            <w:vAlign w:val="center"/>
            <w:hideMark/>
          </w:tcPr>
          <w:p w14:paraId="71787D27" w14:textId="77777777" w:rsidR="00000000" w:rsidRDefault="00EE5306">
            <w:pPr>
              <w:spacing w:after="100"/>
              <w:rPr>
                <w:rFonts w:eastAsia="Times New Roman"/>
                <w:sz w:val="20"/>
                <w:szCs w:val="20"/>
              </w:rPr>
            </w:pPr>
          </w:p>
        </w:tc>
        <w:tc>
          <w:tcPr>
            <w:tcW w:w="5" w:type="pct"/>
            <w:vAlign w:val="center"/>
            <w:hideMark/>
          </w:tcPr>
          <w:p w14:paraId="36663F46" w14:textId="77777777" w:rsidR="00000000" w:rsidRDefault="00EE5306">
            <w:pPr>
              <w:spacing w:after="100"/>
              <w:rPr>
                <w:rFonts w:eastAsia="Times New Roman"/>
                <w:sz w:val="20"/>
                <w:szCs w:val="20"/>
              </w:rPr>
            </w:pPr>
          </w:p>
        </w:tc>
        <w:tc>
          <w:tcPr>
            <w:tcW w:w="5" w:type="pct"/>
            <w:vAlign w:val="center"/>
            <w:hideMark/>
          </w:tcPr>
          <w:p w14:paraId="0B962EE2" w14:textId="77777777" w:rsidR="00000000" w:rsidRDefault="00EE5306">
            <w:pPr>
              <w:spacing w:after="100"/>
              <w:rPr>
                <w:rFonts w:eastAsia="Times New Roman"/>
                <w:sz w:val="20"/>
                <w:szCs w:val="20"/>
              </w:rPr>
            </w:pPr>
          </w:p>
        </w:tc>
        <w:tc>
          <w:tcPr>
            <w:tcW w:w="26" w:type="pct"/>
            <w:vAlign w:val="center"/>
            <w:hideMark/>
          </w:tcPr>
          <w:p w14:paraId="1B914E66" w14:textId="77777777" w:rsidR="00000000" w:rsidRDefault="00EE5306">
            <w:pPr>
              <w:spacing w:after="100"/>
              <w:rPr>
                <w:rFonts w:eastAsia="Times New Roman"/>
                <w:sz w:val="20"/>
                <w:szCs w:val="20"/>
              </w:rPr>
            </w:pPr>
          </w:p>
        </w:tc>
        <w:tc>
          <w:tcPr>
            <w:tcW w:w="5" w:type="pct"/>
            <w:vAlign w:val="center"/>
            <w:hideMark/>
          </w:tcPr>
          <w:p w14:paraId="30795EAC" w14:textId="77777777" w:rsidR="00000000" w:rsidRDefault="00EE5306">
            <w:pPr>
              <w:spacing w:after="100"/>
              <w:rPr>
                <w:rFonts w:eastAsia="Times New Roman"/>
                <w:sz w:val="20"/>
                <w:szCs w:val="20"/>
              </w:rPr>
            </w:pPr>
          </w:p>
        </w:tc>
        <w:tc>
          <w:tcPr>
            <w:tcW w:w="50" w:type="pct"/>
            <w:vAlign w:val="center"/>
            <w:hideMark/>
          </w:tcPr>
          <w:p w14:paraId="3B31A821" w14:textId="77777777" w:rsidR="00000000" w:rsidRDefault="00EE5306">
            <w:pPr>
              <w:spacing w:after="100"/>
              <w:rPr>
                <w:rFonts w:eastAsia="Times New Roman"/>
                <w:sz w:val="20"/>
                <w:szCs w:val="20"/>
              </w:rPr>
            </w:pPr>
          </w:p>
        </w:tc>
        <w:tc>
          <w:tcPr>
            <w:tcW w:w="363" w:type="pct"/>
            <w:vAlign w:val="center"/>
            <w:hideMark/>
          </w:tcPr>
          <w:p w14:paraId="7B0BC3F0" w14:textId="77777777" w:rsidR="00000000" w:rsidRDefault="00EE5306">
            <w:pPr>
              <w:spacing w:after="100"/>
              <w:rPr>
                <w:rFonts w:eastAsia="Times New Roman"/>
                <w:sz w:val="20"/>
                <w:szCs w:val="20"/>
              </w:rPr>
            </w:pPr>
          </w:p>
        </w:tc>
        <w:tc>
          <w:tcPr>
            <w:tcW w:w="5" w:type="pct"/>
            <w:vAlign w:val="center"/>
            <w:hideMark/>
          </w:tcPr>
          <w:p w14:paraId="0D68D91C" w14:textId="77777777" w:rsidR="00000000" w:rsidRDefault="00EE5306">
            <w:pPr>
              <w:spacing w:after="100"/>
              <w:rPr>
                <w:rFonts w:eastAsia="Times New Roman"/>
                <w:sz w:val="20"/>
                <w:szCs w:val="20"/>
              </w:rPr>
            </w:pPr>
          </w:p>
        </w:tc>
        <w:tc>
          <w:tcPr>
            <w:tcW w:w="5" w:type="pct"/>
            <w:vAlign w:val="center"/>
            <w:hideMark/>
          </w:tcPr>
          <w:p w14:paraId="0A5DB1A9" w14:textId="77777777" w:rsidR="00000000" w:rsidRDefault="00EE5306">
            <w:pPr>
              <w:spacing w:after="100"/>
              <w:rPr>
                <w:rFonts w:eastAsia="Times New Roman"/>
                <w:sz w:val="20"/>
                <w:szCs w:val="20"/>
              </w:rPr>
            </w:pPr>
          </w:p>
        </w:tc>
        <w:tc>
          <w:tcPr>
            <w:tcW w:w="26" w:type="pct"/>
            <w:vAlign w:val="center"/>
            <w:hideMark/>
          </w:tcPr>
          <w:p w14:paraId="4775537F" w14:textId="77777777" w:rsidR="00000000" w:rsidRDefault="00EE5306">
            <w:pPr>
              <w:spacing w:after="100"/>
              <w:rPr>
                <w:rFonts w:eastAsia="Times New Roman"/>
                <w:sz w:val="20"/>
                <w:szCs w:val="20"/>
              </w:rPr>
            </w:pPr>
          </w:p>
        </w:tc>
        <w:tc>
          <w:tcPr>
            <w:tcW w:w="5" w:type="pct"/>
            <w:vAlign w:val="center"/>
            <w:hideMark/>
          </w:tcPr>
          <w:p w14:paraId="7B110454" w14:textId="77777777" w:rsidR="00000000" w:rsidRDefault="00EE5306">
            <w:pPr>
              <w:spacing w:after="100"/>
              <w:rPr>
                <w:rFonts w:eastAsia="Times New Roman"/>
                <w:sz w:val="20"/>
                <w:szCs w:val="20"/>
              </w:rPr>
            </w:pPr>
          </w:p>
        </w:tc>
        <w:tc>
          <w:tcPr>
            <w:tcW w:w="50" w:type="pct"/>
            <w:vAlign w:val="center"/>
            <w:hideMark/>
          </w:tcPr>
          <w:p w14:paraId="56DFF882" w14:textId="77777777" w:rsidR="00000000" w:rsidRDefault="00EE5306">
            <w:pPr>
              <w:spacing w:after="100"/>
              <w:rPr>
                <w:rFonts w:eastAsia="Times New Roman"/>
                <w:sz w:val="20"/>
                <w:szCs w:val="20"/>
              </w:rPr>
            </w:pPr>
          </w:p>
        </w:tc>
        <w:tc>
          <w:tcPr>
            <w:tcW w:w="363" w:type="pct"/>
            <w:vAlign w:val="center"/>
            <w:hideMark/>
          </w:tcPr>
          <w:p w14:paraId="694D85F1" w14:textId="77777777" w:rsidR="00000000" w:rsidRDefault="00EE5306">
            <w:pPr>
              <w:spacing w:after="100"/>
              <w:rPr>
                <w:rFonts w:eastAsia="Times New Roman"/>
                <w:sz w:val="20"/>
                <w:szCs w:val="20"/>
              </w:rPr>
            </w:pPr>
          </w:p>
        </w:tc>
        <w:tc>
          <w:tcPr>
            <w:tcW w:w="5" w:type="pct"/>
            <w:vAlign w:val="center"/>
            <w:hideMark/>
          </w:tcPr>
          <w:p w14:paraId="5E184BE9" w14:textId="77777777" w:rsidR="00000000" w:rsidRDefault="00EE5306">
            <w:pPr>
              <w:spacing w:after="100"/>
              <w:rPr>
                <w:rFonts w:eastAsia="Times New Roman"/>
                <w:sz w:val="20"/>
                <w:szCs w:val="20"/>
              </w:rPr>
            </w:pPr>
          </w:p>
        </w:tc>
        <w:tc>
          <w:tcPr>
            <w:tcW w:w="5" w:type="pct"/>
            <w:vAlign w:val="center"/>
            <w:hideMark/>
          </w:tcPr>
          <w:p w14:paraId="65250FEB" w14:textId="77777777" w:rsidR="00000000" w:rsidRDefault="00EE5306">
            <w:pPr>
              <w:spacing w:after="100"/>
              <w:rPr>
                <w:rFonts w:eastAsia="Times New Roman"/>
                <w:sz w:val="20"/>
                <w:szCs w:val="20"/>
              </w:rPr>
            </w:pPr>
          </w:p>
        </w:tc>
        <w:tc>
          <w:tcPr>
            <w:tcW w:w="26" w:type="pct"/>
            <w:vAlign w:val="center"/>
            <w:hideMark/>
          </w:tcPr>
          <w:p w14:paraId="59E0A840" w14:textId="77777777" w:rsidR="00000000" w:rsidRDefault="00EE5306">
            <w:pPr>
              <w:spacing w:after="100"/>
              <w:rPr>
                <w:rFonts w:eastAsia="Times New Roman"/>
                <w:sz w:val="20"/>
                <w:szCs w:val="20"/>
              </w:rPr>
            </w:pPr>
          </w:p>
        </w:tc>
        <w:tc>
          <w:tcPr>
            <w:tcW w:w="5" w:type="pct"/>
            <w:vAlign w:val="center"/>
            <w:hideMark/>
          </w:tcPr>
          <w:p w14:paraId="1AA37F16" w14:textId="77777777" w:rsidR="00000000" w:rsidRDefault="00EE5306">
            <w:pPr>
              <w:spacing w:after="100"/>
              <w:rPr>
                <w:rFonts w:eastAsia="Times New Roman"/>
                <w:sz w:val="20"/>
                <w:szCs w:val="20"/>
              </w:rPr>
            </w:pPr>
          </w:p>
        </w:tc>
        <w:tc>
          <w:tcPr>
            <w:tcW w:w="50" w:type="pct"/>
            <w:vAlign w:val="center"/>
            <w:hideMark/>
          </w:tcPr>
          <w:p w14:paraId="0D4F2EAF" w14:textId="77777777" w:rsidR="00000000" w:rsidRDefault="00EE5306">
            <w:pPr>
              <w:spacing w:after="100"/>
              <w:rPr>
                <w:rFonts w:eastAsia="Times New Roman"/>
                <w:sz w:val="20"/>
                <w:szCs w:val="20"/>
              </w:rPr>
            </w:pPr>
          </w:p>
        </w:tc>
        <w:tc>
          <w:tcPr>
            <w:tcW w:w="892" w:type="pct"/>
            <w:vAlign w:val="center"/>
            <w:hideMark/>
          </w:tcPr>
          <w:p w14:paraId="31BEB230" w14:textId="77777777" w:rsidR="00000000" w:rsidRDefault="00EE5306">
            <w:pPr>
              <w:spacing w:after="100"/>
              <w:rPr>
                <w:rFonts w:eastAsia="Times New Roman"/>
                <w:sz w:val="20"/>
                <w:szCs w:val="20"/>
              </w:rPr>
            </w:pPr>
          </w:p>
        </w:tc>
        <w:tc>
          <w:tcPr>
            <w:tcW w:w="5" w:type="pct"/>
            <w:vAlign w:val="center"/>
            <w:hideMark/>
          </w:tcPr>
          <w:p w14:paraId="7BC6A144" w14:textId="77777777" w:rsidR="00000000" w:rsidRDefault="00EE5306">
            <w:pPr>
              <w:spacing w:after="100"/>
              <w:rPr>
                <w:rFonts w:eastAsia="Times New Roman"/>
                <w:sz w:val="20"/>
                <w:szCs w:val="20"/>
              </w:rPr>
            </w:pPr>
          </w:p>
        </w:tc>
      </w:tr>
      <w:tr w:rsidR="00000000" w14:paraId="54BADDAB" w14:textId="77777777">
        <w:trPr>
          <w:divId w:val="511266971"/>
          <w:trHeight w:val="420"/>
        </w:trPr>
        <w:tc>
          <w:tcPr>
            <w:tcW w:w="0" w:type="auto"/>
            <w:gridSpan w:val="3"/>
            <w:tcMar>
              <w:top w:w="30" w:type="dxa"/>
              <w:left w:w="20" w:type="dxa"/>
              <w:bottom w:w="30" w:type="dxa"/>
              <w:right w:w="20" w:type="dxa"/>
            </w:tcMar>
            <w:vAlign w:val="bottom"/>
            <w:hideMark/>
          </w:tcPr>
          <w:p w14:paraId="5836DBE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B9E77B8" w14:textId="77777777" w:rsidR="00000000" w:rsidRDefault="00EE5306">
            <w:pPr>
              <w:spacing w:after="100"/>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1963A909" w14:textId="77777777" w:rsidR="00000000" w:rsidRDefault="00EE5306">
            <w:pPr>
              <w:spacing w:after="100"/>
              <w:jc w:val="center"/>
              <w:rPr>
                <w:rFonts w:eastAsia="Times New Roman"/>
              </w:rPr>
            </w:pPr>
            <w:r>
              <w:rPr>
                <w:rFonts w:eastAsia="Times New Roman"/>
                <w:b/>
                <w:bCs/>
                <w:color w:val="000000"/>
                <w:sz w:val="16"/>
                <w:szCs w:val="16"/>
              </w:rPr>
              <w:t>Gains (Losses)</w:t>
            </w:r>
            <w:r>
              <w:rPr>
                <w:rFonts w:eastAsia="Times New Roman"/>
                <w:b/>
                <w:bCs/>
                <w:color w:val="000000"/>
                <w:sz w:val="16"/>
                <w:szCs w:val="16"/>
              </w:rPr>
              <w:br/>
              <w:t>Recognized in Earnings</w:t>
            </w:r>
          </w:p>
        </w:tc>
        <w:tc>
          <w:tcPr>
            <w:tcW w:w="0" w:type="auto"/>
            <w:gridSpan w:val="3"/>
            <w:tcMar>
              <w:top w:w="0" w:type="dxa"/>
              <w:left w:w="20" w:type="dxa"/>
              <w:bottom w:w="0" w:type="dxa"/>
              <w:right w:w="20" w:type="dxa"/>
            </w:tcMar>
            <w:vAlign w:val="center"/>
            <w:hideMark/>
          </w:tcPr>
          <w:p w14:paraId="1F5873EC" w14:textId="77777777" w:rsidR="00000000" w:rsidRDefault="00EE530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F63DA4F" w14:textId="77777777" w:rsidR="00000000" w:rsidRDefault="00EE5306">
            <w:pPr>
              <w:spacing w:after="100"/>
              <w:jc w:val="center"/>
              <w:rPr>
                <w:rFonts w:eastAsia="Times New Roman"/>
              </w:rPr>
            </w:pPr>
            <w:r>
              <w:rPr>
                <w:rFonts w:eastAsia="Times New Roman"/>
                <w:b/>
                <w:bCs/>
                <w:color w:val="000000"/>
                <w:sz w:val="16"/>
                <w:szCs w:val="16"/>
              </w:rPr>
              <w:t>Location of</w:t>
            </w:r>
            <w:r>
              <w:rPr>
                <w:rFonts w:eastAsia="Times New Roman"/>
                <w:b/>
                <w:bCs/>
                <w:color w:val="000000"/>
                <w:sz w:val="16"/>
                <w:szCs w:val="16"/>
              </w:rPr>
              <w:br/>
              <w:t>Gains (Losses)</w:t>
            </w:r>
            <w:r>
              <w:rPr>
                <w:rFonts w:eastAsia="Times New Roman"/>
                <w:b/>
                <w:bCs/>
                <w:color w:val="000000"/>
                <w:sz w:val="16"/>
                <w:szCs w:val="16"/>
              </w:rPr>
              <w:br/>
              <w:t>Recognized</w:t>
            </w:r>
            <w:r>
              <w:rPr>
                <w:rFonts w:eastAsia="Times New Roman"/>
                <w:b/>
                <w:bCs/>
                <w:color w:val="000000"/>
                <w:sz w:val="16"/>
                <w:szCs w:val="16"/>
              </w:rPr>
              <w:br/>
              <w:t>in Earnings</w:t>
            </w:r>
          </w:p>
        </w:tc>
      </w:tr>
      <w:tr w:rsidR="00000000" w14:paraId="33907DAF" w14:textId="77777777">
        <w:trPr>
          <w:divId w:val="511266971"/>
          <w:trHeight w:val="240"/>
        </w:trPr>
        <w:tc>
          <w:tcPr>
            <w:tcW w:w="0" w:type="auto"/>
            <w:gridSpan w:val="3"/>
            <w:tcMar>
              <w:top w:w="30" w:type="dxa"/>
              <w:left w:w="20" w:type="dxa"/>
              <w:bottom w:w="30" w:type="dxa"/>
              <w:right w:w="20" w:type="dxa"/>
            </w:tcMar>
            <w:vAlign w:val="bottom"/>
            <w:hideMark/>
          </w:tcPr>
          <w:p w14:paraId="1FD6C23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CE56A56"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82D1B1D"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55761860" w14:textId="77777777" w:rsidR="00000000" w:rsidRDefault="00EE5306">
            <w:pPr>
              <w:spacing w:after="100"/>
              <w:jc w:val="center"/>
              <w:rPr>
                <w:rFonts w:eastAsia="Times New Roman"/>
              </w:rPr>
            </w:pPr>
          </w:p>
        </w:tc>
        <w:tc>
          <w:tcPr>
            <w:tcW w:w="0" w:type="auto"/>
            <w:gridSpan w:val="3"/>
            <w:vMerge/>
            <w:vAlign w:val="center"/>
            <w:hideMark/>
          </w:tcPr>
          <w:p w14:paraId="2E9209D8" w14:textId="77777777" w:rsidR="00000000" w:rsidRDefault="00EE5306">
            <w:pPr>
              <w:spacing w:after="100"/>
              <w:rPr>
                <w:rFonts w:eastAsia="Times New Roman"/>
              </w:rPr>
            </w:pPr>
          </w:p>
        </w:tc>
      </w:tr>
      <w:tr w:rsidR="00000000" w14:paraId="4DC16A45" w14:textId="77777777">
        <w:trPr>
          <w:divId w:val="511266971"/>
          <w:trHeight w:val="420"/>
        </w:trPr>
        <w:tc>
          <w:tcPr>
            <w:tcW w:w="0" w:type="auto"/>
            <w:gridSpan w:val="3"/>
            <w:tcMar>
              <w:top w:w="0" w:type="dxa"/>
              <w:left w:w="20" w:type="dxa"/>
              <w:bottom w:w="0" w:type="dxa"/>
              <w:right w:w="20" w:type="dxa"/>
            </w:tcMar>
            <w:vAlign w:val="center"/>
            <w:hideMark/>
          </w:tcPr>
          <w:p w14:paraId="493270B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1B545B"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67FF728"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6399A0A"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D749AC"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103235BC"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443680"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60EBB818" w14:textId="77777777" w:rsidR="00000000" w:rsidRDefault="00EE5306">
            <w:pPr>
              <w:spacing w:after="100"/>
              <w:jc w:val="center"/>
              <w:rPr>
                <w:rFonts w:eastAsia="Times New Roman"/>
              </w:rPr>
            </w:pPr>
          </w:p>
        </w:tc>
        <w:tc>
          <w:tcPr>
            <w:tcW w:w="0" w:type="auto"/>
            <w:gridSpan w:val="3"/>
            <w:vMerge/>
            <w:vAlign w:val="center"/>
            <w:hideMark/>
          </w:tcPr>
          <w:p w14:paraId="4E026AA0" w14:textId="77777777" w:rsidR="00000000" w:rsidRDefault="00EE5306">
            <w:pPr>
              <w:spacing w:after="100"/>
              <w:rPr>
                <w:rFonts w:eastAsia="Times New Roman"/>
              </w:rPr>
            </w:pPr>
          </w:p>
        </w:tc>
      </w:tr>
      <w:tr w:rsidR="00000000" w14:paraId="21D7873A" w14:textId="77777777">
        <w:trPr>
          <w:divId w:val="511266971"/>
        </w:trPr>
        <w:tc>
          <w:tcPr>
            <w:tcW w:w="0" w:type="auto"/>
            <w:gridSpan w:val="3"/>
            <w:tcMar>
              <w:top w:w="30" w:type="dxa"/>
              <w:left w:w="20" w:type="dxa"/>
              <w:bottom w:w="30" w:type="dxa"/>
              <w:right w:w="20" w:type="dxa"/>
            </w:tcMar>
            <w:vAlign w:val="bottom"/>
            <w:hideMark/>
          </w:tcPr>
          <w:p w14:paraId="1016B35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1EB7F2D"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27AC860"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4B65DB59"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9CC252" w14:textId="77777777" w:rsidR="00000000" w:rsidRDefault="00EE5306">
            <w:pPr>
              <w:spacing w:after="100"/>
              <w:rPr>
                <w:rFonts w:eastAsia="Times New Roman"/>
              </w:rPr>
            </w:pPr>
            <w:r>
              <w:rPr>
                <w:rFonts w:eastAsia="Times New Roman"/>
                <w:color w:val="000000"/>
                <w:sz w:val="16"/>
                <w:szCs w:val="16"/>
              </w:rPr>
              <w:t> </w:t>
            </w:r>
          </w:p>
        </w:tc>
      </w:tr>
      <w:tr w:rsidR="00000000" w14:paraId="54EA7084" w14:textId="77777777">
        <w:trPr>
          <w:divId w:val="511266971"/>
        </w:trPr>
        <w:tc>
          <w:tcPr>
            <w:tcW w:w="0" w:type="auto"/>
            <w:gridSpan w:val="3"/>
            <w:shd w:val="clear" w:color="auto" w:fill="CCEEFF"/>
            <w:tcMar>
              <w:top w:w="30" w:type="dxa"/>
              <w:left w:w="20" w:type="dxa"/>
              <w:bottom w:w="30" w:type="dxa"/>
              <w:right w:w="20" w:type="dxa"/>
            </w:tcMar>
            <w:vAlign w:val="bottom"/>
            <w:hideMark/>
          </w:tcPr>
          <w:p w14:paraId="646B81D4" w14:textId="77777777" w:rsidR="00000000" w:rsidRDefault="00EE5306">
            <w:pPr>
              <w:spacing w:after="100"/>
              <w:rPr>
                <w:rFonts w:eastAsia="Times New Roman"/>
              </w:rPr>
            </w:pPr>
            <w:r>
              <w:rPr>
                <w:rFonts w:eastAsia="Times New Roman"/>
                <w:color w:val="000000"/>
                <w:sz w:val="16"/>
                <w:szCs w:val="16"/>
                <w:u w:val="single"/>
              </w:rPr>
              <w:t>Undesignated Hedges:</w:t>
            </w:r>
          </w:p>
        </w:tc>
        <w:tc>
          <w:tcPr>
            <w:tcW w:w="0" w:type="auto"/>
            <w:gridSpan w:val="3"/>
            <w:shd w:val="clear" w:color="auto" w:fill="CCEEFF"/>
            <w:tcMar>
              <w:top w:w="0" w:type="dxa"/>
              <w:left w:w="20" w:type="dxa"/>
              <w:bottom w:w="0" w:type="dxa"/>
              <w:right w:w="20" w:type="dxa"/>
            </w:tcMar>
            <w:vAlign w:val="center"/>
            <w:hideMark/>
          </w:tcPr>
          <w:p w14:paraId="0B607FFB"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A6B1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8C3AC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B8FA0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5CCEC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75D2C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318D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7DE5ED" w14:textId="77777777" w:rsidR="00000000" w:rsidRDefault="00EE5306">
            <w:pPr>
              <w:spacing w:after="100"/>
              <w:rPr>
                <w:rFonts w:eastAsia="Times New Roman"/>
                <w:sz w:val="20"/>
                <w:szCs w:val="20"/>
              </w:rPr>
            </w:pPr>
          </w:p>
        </w:tc>
      </w:tr>
      <w:tr w:rsidR="00000000" w14:paraId="0D8685F9" w14:textId="77777777">
        <w:trPr>
          <w:divId w:val="511266971"/>
        </w:trPr>
        <w:tc>
          <w:tcPr>
            <w:tcW w:w="0" w:type="auto"/>
            <w:gridSpan w:val="3"/>
            <w:shd w:val="clear" w:color="auto" w:fill="FFFFFF"/>
            <w:tcMar>
              <w:top w:w="30" w:type="dxa"/>
              <w:left w:w="155" w:type="dxa"/>
              <w:bottom w:w="30" w:type="dxa"/>
              <w:right w:w="20" w:type="dxa"/>
            </w:tcMar>
            <w:vAlign w:val="bottom"/>
            <w:hideMark/>
          </w:tcPr>
          <w:p w14:paraId="40EB535E" w14:textId="77777777" w:rsidR="00000000" w:rsidRDefault="00EE5306">
            <w:pPr>
              <w:spacing w:after="100"/>
              <w:rPr>
                <w:rFonts w:eastAsia="Times New Roman"/>
              </w:rPr>
            </w:pPr>
            <w:r>
              <w:rPr>
                <w:rFonts w:eastAsia="Times New Roman"/>
                <w:color w:val="000000"/>
                <w:sz w:val="16"/>
                <w:szCs w:val="16"/>
              </w:rPr>
              <w:t>FC — Undesignated hedges</w:t>
            </w:r>
          </w:p>
        </w:tc>
        <w:tc>
          <w:tcPr>
            <w:tcW w:w="0" w:type="auto"/>
            <w:gridSpan w:val="3"/>
            <w:shd w:val="clear" w:color="auto" w:fill="FFFFFF"/>
            <w:tcMar>
              <w:top w:w="0" w:type="dxa"/>
              <w:left w:w="20" w:type="dxa"/>
              <w:bottom w:w="0" w:type="dxa"/>
              <w:right w:w="20" w:type="dxa"/>
            </w:tcMar>
            <w:vAlign w:val="center"/>
            <w:hideMark/>
          </w:tcPr>
          <w:p w14:paraId="1EEA07B4"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33653F8"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64000D3" w14:textId="77777777" w:rsidR="00000000" w:rsidRDefault="00EE5306">
            <w:pPr>
              <w:spacing w:after="100"/>
              <w:jc w:val="right"/>
              <w:rPr>
                <w:rFonts w:eastAsia="Times New Roman"/>
              </w:rPr>
            </w:pPr>
            <w:r>
              <w:rPr>
                <w:rFonts w:eastAsia="Times New Roman"/>
                <w:color w:val="000000"/>
                <w:sz w:val="16"/>
                <w:szCs w:val="16"/>
              </w:rPr>
              <w:t>(0.8)</w:t>
            </w:r>
          </w:p>
        </w:tc>
        <w:tc>
          <w:tcPr>
            <w:tcW w:w="0" w:type="auto"/>
            <w:shd w:val="clear" w:color="auto" w:fill="FFFFFF"/>
            <w:tcMar>
              <w:top w:w="30" w:type="dxa"/>
              <w:left w:w="0" w:type="dxa"/>
              <w:bottom w:w="30" w:type="dxa"/>
              <w:right w:w="20" w:type="dxa"/>
            </w:tcMar>
            <w:vAlign w:val="bottom"/>
            <w:hideMark/>
          </w:tcPr>
          <w:p w14:paraId="006C6D2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53EF9"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6DB851"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C44C2E8" w14:textId="77777777" w:rsidR="00000000" w:rsidRDefault="00EE5306">
            <w:pPr>
              <w:spacing w:after="100"/>
              <w:jc w:val="right"/>
              <w:rPr>
                <w:rFonts w:eastAsia="Times New Roman"/>
              </w:rPr>
            </w:pPr>
            <w:r>
              <w:rPr>
                <w:rFonts w:eastAsia="Times New Roman"/>
                <w:color w:val="000000"/>
                <w:sz w:val="16"/>
                <w:szCs w:val="16"/>
              </w:rPr>
              <w:t>16.0 </w:t>
            </w:r>
          </w:p>
        </w:tc>
        <w:tc>
          <w:tcPr>
            <w:tcW w:w="0" w:type="auto"/>
            <w:shd w:val="clear" w:color="auto" w:fill="FFFFFF"/>
            <w:tcMar>
              <w:top w:w="30" w:type="dxa"/>
              <w:left w:w="0" w:type="dxa"/>
              <w:bottom w:w="30" w:type="dxa"/>
              <w:right w:w="20" w:type="dxa"/>
            </w:tcMar>
            <w:vAlign w:val="bottom"/>
            <w:hideMark/>
          </w:tcPr>
          <w:p w14:paraId="54F6230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BDC0E"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25C440"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8E6A9CF" w14:textId="77777777" w:rsidR="00000000" w:rsidRDefault="00EE5306">
            <w:pPr>
              <w:spacing w:after="100"/>
              <w:jc w:val="right"/>
              <w:rPr>
                <w:rFonts w:eastAsia="Times New Roman"/>
              </w:rPr>
            </w:pPr>
            <w:r>
              <w:rPr>
                <w:rFonts w:eastAsia="Times New Roman"/>
                <w:color w:val="000000"/>
                <w:sz w:val="16"/>
                <w:szCs w:val="16"/>
              </w:rPr>
              <w:t>3.1 </w:t>
            </w:r>
          </w:p>
        </w:tc>
        <w:tc>
          <w:tcPr>
            <w:tcW w:w="0" w:type="auto"/>
            <w:shd w:val="clear" w:color="auto" w:fill="FFFFFF"/>
            <w:tcMar>
              <w:top w:w="30" w:type="dxa"/>
              <w:left w:w="0" w:type="dxa"/>
              <w:bottom w:w="30" w:type="dxa"/>
              <w:right w:w="20" w:type="dxa"/>
            </w:tcMar>
            <w:vAlign w:val="bottom"/>
            <w:hideMark/>
          </w:tcPr>
          <w:p w14:paraId="440D63E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BDAE57"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7D62643" w14:textId="77777777" w:rsidR="00000000" w:rsidRDefault="00EE5306">
            <w:pPr>
              <w:spacing w:after="100"/>
              <w:rPr>
                <w:rFonts w:eastAsia="Times New Roman"/>
              </w:rPr>
            </w:pPr>
            <w:r>
              <w:rPr>
                <w:rFonts w:eastAsia="Times New Roman"/>
                <w:color w:val="000000"/>
                <w:sz w:val="16"/>
                <w:szCs w:val="16"/>
              </w:rPr>
              <w:t>Other income (expense), net</w:t>
            </w:r>
          </w:p>
        </w:tc>
      </w:tr>
      <w:tr w:rsidR="00000000" w14:paraId="2ABA8088" w14:textId="77777777">
        <w:trPr>
          <w:divId w:val="511266971"/>
        </w:trPr>
        <w:tc>
          <w:tcPr>
            <w:tcW w:w="0" w:type="auto"/>
            <w:gridSpan w:val="3"/>
            <w:shd w:val="clear" w:color="auto" w:fill="CCEEFF"/>
            <w:tcMar>
              <w:top w:w="30" w:type="dxa"/>
              <w:left w:w="245" w:type="dxa"/>
              <w:bottom w:w="30" w:type="dxa"/>
              <w:right w:w="20" w:type="dxa"/>
            </w:tcMar>
            <w:vAlign w:val="bottom"/>
            <w:hideMark/>
          </w:tcPr>
          <w:p w14:paraId="7CCE6CAF" w14:textId="77777777" w:rsidR="00000000" w:rsidRDefault="00EE5306">
            <w:pPr>
              <w:spacing w:after="100"/>
              <w:rPr>
                <w:rFonts w:eastAsia="Times New Roman"/>
              </w:rPr>
            </w:pPr>
            <w:r>
              <w:rPr>
                <w:rFonts w:eastAsia="Times New Roman"/>
                <w:color w:val="000000"/>
                <w:sz w:val="16"/>
                <w:szCs w:val="16"/>
              </w:rPr>
              <w:t>Total Undesignated Hedges</w:t>
            </w:r>
          </w:p>
        </w:tc>
        <w:tc>
          <w:tcPr>
            <w:tcW w:w="0" w:type="auto"/>
            <w:gridSpan w:val="3"/>
            <w:shd w:val="clear" w:color="auto" w:fill="CCEEFF"/>
            <w:tcMar>
              <w:top w:w="0" w:type="dxa"/>
              <w:left w:w="20" w:type="dxa"/>
              <w:bottom w:w="0" w:type="dxa"/>
              <w:right w:w="20" w:type="dxa"/>
            </w:tcMar>
            <w:vAlign w:val="center"/>
            <w:hideMark/>
          </w:tcPr>
          <w:p w14:paraId="162C5D81"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0BCEF1"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0ECC6A" w14:textId="77777777" w:rsidR="00000000" w:rsidRDefault="00EE5306">
            <w:pPr>
              <w:spacing w:after="100"/>
              <w:jc w:val="right"/>
              <w:rPr>
                <w:rFonts w:eastAsia="Times New Roman"/>
              </w:rPr>
            </w:pPr>
            <w:r>
              <w:rPr>
                <w:rFonts w:eastAsia="Times New Roman"/>
                <w:color w:val="000000"/>
                <w:sz w:val="16"/>
                <w:szCs w:val="16"/>
              </w:rPr>
              <w:t>(0.8)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C4E8A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1F43D1"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794BEC"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62498B" w14:textId="77777777" w:rsidR="00000000" w:rsidRDefault="00EE5306">
            <w:pPr>
              <w:spacing w:after="100"/>
              <w:jc w:val="right"/>
              <w:rPr>
                <w:rFonts w:eastAsia="Times New Roman"/>
              </w:rPr>
            </w:pPr>
            <w:r>
              <w:rPr>
                <w:rFonts w:eastAsia="Times New Roman"/>
                <w:color w:val="000000"/>
                <w:sz w:val="16"/>
                <w:szCs w:val="16"/>
              </w:rPr>
              <w:t>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AC3BC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7EB149"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6435DC" w14:textId="77777777" w:rsidR="00000000" w:rsidRDefault="00EE530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72E175" w14:textId="77777777" w:rsidR="00000000" w:rsidRDefault="00EE5306">
            <w:pPr>
              <w:spacing w:after="100"/>
              <w:jc w:val="right"/>
              <w:rPr>
                <w:rFonts w:eastAsia="Times New Roman"/>
              </w:rPr>
            </w:pPr>
            <w:r>
              <w:rPr>
                <w:rFonts w:eastAsia="Times New Roman"/>
                <w:color w:val="000000"/>
                <w:sz w:val="16"/>
                <w:szCs w:val="16"/>
              </w:rPr>
              <w:t>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40299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929ED"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1A444A" w14:textId="77777777" w:rsidR="00000000" w:rsidRDefault="00EE5306">
            <w:pPr>
              <w:spacing w:after="100"/>
              <w:rPr>
                <w:rFonts w:eastAsia="Times New Roman"/>
                <w:sz w:val="20"/>
                <w:szCs w:val="20"/>
              </w:rPr>
            </w:pPr>
          </w:p>
        </w:tc>
      </w:tr>
    </w:tbl>
    <w:p w14:paraId="4FE1BD58" w14:textId="77777777" w:rsidR="00000000" w:rsidRDefault="00EE5306">
      <w:pPr>
        <w:ind w:firstLine="360"/>
        <w:jc w:val="both"/>
        <w:divId w:val="1678191542"/>
        <w:rPr>
          <w:rFonts w:eastAsia="Times New Roman"/>
        </w:rPr>
      </w:pPr>
      <w:r>
        <w:rPr>
          <w:rFonts w:eastAsia="Times New Roman"/>
          <w:b/>
          <w:bCs/>
          <w:i/>
          <w:iCs/>
          <w:color w:val="000000"/>
          <w:sz w:val="20"/>
          <w:szCs w:val="20"/>
        </w:rPr>
        <w:t>Risk Management Strategies</w:t>
      </w:r>
    </w:p>
    <w:p w14:paraId="2229ADF1" w14:textId="77777777" w:rsidR="00000000" w:rsidRDefault="00EE5306">
      <w:pPr>
        <w:ind w:firstLine="360"/>
        <w:jc w:val="both"/>
        <w:divId w:val="171721591"/>
        <w:rPr>
          <w:rFonts w:eastAsia="Times New Roman"/>
        </w:rPr>
      </w:pPr>
      <w:r>
        <w:rPr>
          <w:rFonts w:eastAsia="Times New Roman"/>
          <w:i/>
          <w:iCs/>
          <w:color w:val="000000"/>
          <w:sz w:val="20"/>
          <w:szCs w:val="20"/>
        </w:rPr>
        <w:t>Forwar</w:t>
      </w:r>
      <w:r>
        <w:rPr>
          <w:rFonts w:eastAsia="Times New Roman"/>
          <w:i/>
          <w:iCs/>
          <w:color w:val="000000"/>
          <w:sz w:val="20"/>
          <w:szCs w:val="20"/>
        </w:rPr>
        <w:t>d Foreign Currency Exchange Contracts</w:t>
      </w:r>
    </w:p>
    <w:p w14:paraId="3402A947" w14:textId="77777777" w:rsidR="00000000" w:rsidRDefault="00EE5306">
      <w:pPr>
        <w:ind w:firstLine="540"/>
        <w:jc w:val="both"/>
        <w:divId w:val="1411582078"/>
        <w:rPr>
          <w:rFonts w:eastAsia="Times New Roman"/>
        </w:rPr>
      </w:pPr>
      <w:r>
        <w:rPr>
          <w:rFonts w:eastAsia="Times New Roman"/>
          <w:color w:val="000000"/>
          <w:sz w:val="20"/>
          <w:szCs w:val="20"/>
        </w:rPr>
        <w:t xml:space="preserve">The Company uses forward foreign currency exchange contracts to mitigate its risk related to exchange rate fluctuations on inventory transactions made in an entity's non-functional currency, the settlement of foreign currency-denominated balances, and the </w:t>
      </w:r>
      <w:r>
        <w:rPr>
          <w:rFonts w:eastAsia="Times New Roman"/>
          <w:color w:val="000000"/>
          <w:sz w:val="20"/>
          <w:szCs w:val="20"/>
        </w:rPr>
        <w:t>translation of certain foreign operations' net assets into U.S. dollars. As part of its overall strategy for managing the level of exposure to such exchange rate risk, relating primarily to the Euro, the Japanese Yen, the South Korean Won, the Australian D</w:t>
      </w:r>
      <w:r>
        <w:rPr>
          <w:rFonts w:eastAsia="Times New Roman"/>
          <w:color w:val="000000"/>
          <w:sz w:val="20"/>
          <w:szCs w:val="20"/>
        </w:rPr>
        <w:t>ollar, the Canadian Dollar, the British Pound Sterling, the Swiss Franc, and the Chinese Renminbi, the Company generally hedges a portion of its related exposures anticipated over the next twelve months using forward foreign currency exchange contracts wit</w:t>
      </w:r>
      <w:r>
        <w:rPr>
          <w:rFonts w:eastAsia="Times New Roman"/>
          <w:color w:val="000000"/>
          <w:sz w:val="20"/>
          <w:szCs w:val="20"/>
        </w:rPr>
        <w:t>h maturities of two months to one year to provide continuing coverage over the period of the respective exposure.</w:t>
      </w:r>
    </w:p>
    <w:p w14:paraId="6524E182" w14:textId="77777777" w:rsidR="00000000" w:rsidRDefault="00EE5306">
      <w:pPr>
        <w:ind w:firstLine="360"/>
        <w:jc w:val="both"/>
        <w:divId w:val="1170221411"/>
        <w:rPr>
          <w:rFonts w:eastAsia="Times New Roman"/>
        </w:rPr>
      </w:pPr>
      <w:r>
        <w:rPr>
          <w:rFonts w:eastAsia="Times New Roman"/>
          <w:i/>
          <w:iCs/>
          <w:color w:val="000000"/>
          <w:sz w:val="20"/>
          <w:szCs w:val="20"/>
        </w:rPr>
        <w:t>Interest Rate Swap Contracts</w:t>
      </w:r>
    </w:p>
    <w:p w14:paraId="52EC1476" w14:textId="77777777" w:rsidR="00000000" w:rsidRDefault="00EE5306">
      <w:pPr>
        <w:ind w:firstLine="540"/>
        <w:jc w:val="both"/>
        <w:divId w:val="1381782633"/>
        <w:rPr>
          <w:rFonts w:eastAsia="Times New Roman"/>
        </w:rPr>
      </w:pPr>
      <w:r>
        <w:rPr>
          <w:rFonts w:eastAsia="Times New Roman"/>
          <w:color w:val="000000"/>
          <w:sz w:val="20"/>
          <w:szCs w:val="20"/>
        </w:rPr>
        <w:t xml:space="preserve">The Company periodically designates pay-floating rate, receive-fixed rate interest rate swap contracts as hedges </w:t>
      </w:r>
      <w:r>
        <w:rPr>
          <w:rFonts w:eastAsia="Times New Roman"/>
          <w:color w:val="000000"/>
          <w:sz w:val="20"/>
          <w:szCs w:val="20"/>
        </w:rPr>
        <w:t>against changes in the fair value of its fixed-rate debt attributed to changes in a benchmark interest rate. To the extent of their notional amount, such contracts effectively swap the fixed interest rate on certain of the Company's fixed-rate senior notes</w:t>
      </w:r>
      <w:r>
        <w:rPr>
          <w:rFonts w:eastAsia="Times New Roman"/>
          <w:color w:val="000000"/>
          <w:sz w:val="20"/>
          <w:szCs w:val="20"/>
        </w:rPr>
        <w:t xml:space="preserve"> for a variable interest rate based on the 3-month LIBOR plus a fixed spread. Changes in the fair value of the Company's interest rate swap contracts were offset by changes in the fair value of the corresponding senior notes attributed to changes in the be</w:t>
      </w:r>
      <w:r>
        <w:rPr>
          <w:rFonts w:eastAsia="Times New Roman"/>
          <w:color w:val="000000"/>
          <w:sz w:val="20"/>
          <w:szCs w:val="20"/>
        </w:rPr>
        <w:t>nchmark interest rate, with no resulting net impact reflected in earnings during any of the fiscal years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48639EB" w14:textId="77777777">
        <w:trPr>
          <w:divId w:val="2011441573"/>
          <w:jc w:val="center"/>
        </w:trPr>
        <w:tc>
          <w:tcPr>
            <w:tcW w:w="50" w:type="pct"/>
            <w:vAlign w:val="center"/>
            <w:hideMark/>
          </w:tcPr>
          <w:p w14:paraId="45D9E3B6" w14:textId="77777777" w:rsidR="00000000" w:rsidRDefault="00EE5306">
            <w:pPr>
              <w:ind w:firstLine="540"/>
              <w:jc w:val="both"/>
              <w:rPr>
                <w:rFonts w:eastAsia="Times New Roman"/>
              </w:rPr>
            </w:pPr>
          </w:p>
        </w:tc>
        <w:tc>
          <w:tcPr>
            <w:tcW w:w="1699" w:type="pct"/>
            <w:vAlign w:val="center"/>
            <w:hideMark/>
          </w:tcPr>
          <w:p w14:paraId="530185B9" w14:textId="77777777" w:rsidR="00000000" w:rsidRDefault="00EE5306">
            <w:pPr>
              <w:spacing w:after="100"/>
              <w:rPr>
                <w:rFonts w:eastAsia="Times New Roman"/>
                <w:sz w:val="20"/>
                <w:szCs w:val="20"/>
              </w:rPr>
            </w:pPr>
          </w:p>
        </w:tc>
        <w:tc>
          <w:tcPr>
            <w:tcW w:w="5" w:type="pct"/>
            <w:vAlign w:val="center"/>
            <w:hideMark/>
          </w:tcPr>
          <w:p w14:paraId="7C73E46B" w14:textId="77777777" w:rsidR="00000000" w:rsidRDefault="00EE5306">
            <w:pPr>
              <w:spacing w:after="100"/>
              <w:rPr>
                <w:rFonts w:eastAsia="Times New Roman"/>
                <w:sz w:val="20"/>
                <w:szCs w:val="20"/>
              </w:rPr>
            </w:pPr>
          </w:p>
        </w:tc>
        <w:tc>
          <w:tcPr>
            <w:tcW w:w="50" w:type="pct"/>
            <w:vAlign w:val="center"/>
            <w:hideMark/>
          </w:tcPr>
          <w:p w14:paraId="050ED163" w14:textId="77777777" w:rsidR="00000000" w:rsidRDefault="00EE5306">
            <w:pPr>
              <w:spacing w:after="100"/>
              <w:rPr>
                <w:rFonts w:eastAsia="Times New Roman"/>
                <w:sz w:val="20"/>
                <w:szCs w:val="20"/>
              </w:rPr>
            </w:pPr>
          </w:p>
        </w:tc>
        <w:tc>
          <w:tcPr>
            <w:tcW w:w="1436" w:type="pct"/>
            <w:vAlign w:val="center"/>
            <w:hideMark/>
          </w:tcPr>
          <w:p w14:paraId="248387D3" w14:textId="77777777" w:rsidR="00000000" w:rsidRDefault="00EE5306">
            <w:pPr>
              <w:spacing w:after="100"/>
              <w:rPr>
                <w:rFonts w:eastAsia="Times New Roman"/>
                <w:sz w:val="20"/>
                <w:szCs w:val="20"/>
              </w:rPr>
            </w:pPr>
          </w:p>
        </w:tc>
        <w:tc>
          <w:tcPr>
            <w:tcW w:w="5" w:type="pct"/>
            <w:vAlign w:val="center"/>
            <w:hideMark/>
          </w:tcPr>
          <w:p w14:paraId="64FE80B8" w14:textId="77777777" w:rsidR="00000000" w:rsidRDefault="00EE5306">
            <w:pPr>
              <w:spacing w:after="100"/>
              <w:rPr>
                <w:rFonts w:eastAsia="Times New Roman"/>
                <w:sz w:val="20"/>
                <w:szCs w:val="20"/>
              </w:rPr>
            </w:pPr>
          </w:p>
        </w:tc>
        <w:tc>
          <w:tcPr>
            <w:tcW w:w="50" w:type="pct"/>
            <w:vAlign w:val="center"/>
            <w:hideMark/>
          </w:tcPr>
          <w:p w14:paraId="129CEF3C" w14:textId="77777777" w:rsidR="00000000" w:rsidRDefault="00EE5306">
            <w:pPr>
              <w:spacing w:after="100"/>
              <w:rPr>
                <w:rFonts w:eastAsia="Times New Roman"/>
                <w:sz w:val="20"/>
                <w:szCs w:val="20"/>
              </w:rPr>
            </w:pPr>
          </w:p>
        </w:tc>
        <w:tc>
          <w:tcPr>
            <w:tcW w:w="1699" w:type="pct"/>
            <w:vAlign w:val="center"/>
            <w:hideMark/>
          </w:tcPr>
          <w:p w14:paraId="299282DA" w14:textId="77777777" w:rsidR="00000000" w:rsidRDefault="00EE5306">
            <w:pPr>
              <w:spacing w:after="100"/>
              <w:rPr>
                <w:rFonts w:eastAsia="Times New Roman"/>
                <w:sz w:val="20"/>
                <w:szCs w:val="20"/>
              </w:rPr>
            </w:pPr>
          </w:p>
        </w:tc>
        <w:tc>
          <w:tcPr>
            <w:tcW w:w="5" w:type="pct"/>
            <w:vAlign w:val="center"/>
            <w:hideMark/>
          </w:tcPr>
          <w:p w14:paraId="74B2A58E" w14:textId="77777777" w:rsidR="00000000" w:rsidRDefault="00EE5306">
            <w:pPr>
              <w:spacing w:after="100"/>
              <w:rPr>
                <w:rFonts w:eastAsia="Times New Roman"/>
                <w:sz w:val="20"/>
                <w:szCs w:val="20"/>
              </w:rPr>
            </w:pPr>
          </w:p>
        </w:tc>
      </w:tr>
      <w:tr w:rsidR="00000000" w14:paraId="2B07308E" w14:textId="77777777">
        <w:trPr>
          <w:divId w:val="2011441573"/>
          <w:jc w:val="center"/>
        </w:trPr>
        <w:tc>
          <w:tcPr>
            <w:tcW w:w="0" w:type="auto"/>
            <w:gridSpan w:val="3"/>
            <w:tcMar>
              <w:top w:w="0" w:type="dxa"/>
              <w:left w:w="20" w:type="dxa"/>
              <w:bottom w:w="0" w:type="dxa"/>
              <w:right w:w="20" w:type="dxa"/>
            </w:tcMar>
            <w:vAlign w:val="center"/>
            <w:hideMark/>
          </w:tcPr>
          <w:p w14:paraId="2C688D4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2003994" w14:textId="77777777" w:rsidR="00000000" w:rsidRDefault="00EE5306">
            <w:pPr>
              <w:spacing w:after="100"/>
              <w:jc w:val="center"/>
              <w:rPr>
                <w:rFonts w:eastAsia="Times New Roman"/>
              </w:rPr>
            </w:pPr>
            <w:r>
              <w:rPr>
                <w:rFonts w:eastAsia="Times New Roman"/>
                <w:color w:val="000000"/>
                <w:sz w:val="20"/>
                <w:szCs w:val="20"/>
              </w:rPr>
              <w:t>F-40</w:t>
            </w:r>
          </w:p>
        </w:tc>
        <w:tc>
          <w:tcPr>
            <w:tcW w:w="0" w:type="auto"/>
            <w:gridSpan w:val="3"/>
            <w:tcMar>
              <w:top w:w="0" w:type="dxa"/>
              <w:left w:w="20" w:type="dxa"/>
              <w:bottom w:w="0" w:type="dxa"/>
              <w:right w:w="20" w:type="dxa"/>
            </w:tcMar>
            <w:vAlign w:val="center"/>
            <w:hideMark/>
          </w:tcPr>
          <w:p w14:paraId="1DADAE5F" w14:textId="77777777" w:rsidR="00000000" w:rsidRDefault="00EE5306">
            <w:pPr>
              <w:spacing w:after="100"/>
              <w:jc w:val="center"/>
              <w:rPr>
                <w:rFonts w:eastAsia="Times New Roman"/>
              </w:rPr>
            </w:pPr>
          </w:p>
        </w:tc>
      </w:tr>
    </w:tbl>
    <w:p w14:paraId="4DDE7A59" w14:textId="77777777" w:rsidR="00000000" w:rsidRDefault="00EE5306">
      <w:pPr>
        <w:rPr>
          <w:rFonts w:eastAsia="Times New Roman"/>
        </w:rPr>
      </w:pPr>
      <w:r>
        <w:rPr>
          <w:rFonts w:eastAsia="Times New Roman"/>
        </w:rPr>
        <w:pict w14:anchorId="0F62CBBA">
          <v:rect id="_x0000_i1150" style="width:0;height:1.5pt" o:hralign="center" o:hrstd="t" o:hr="t" fillcolor="#a0a0a0" stroked="f"/>
        </w:pict>
      </w:r>
    </w:p>
    <w:p w14:paraId="6B087C19" w14:textId="77777777" w:rsidR="00000000" w:rsidRDefault="00EE5306">
      <w:pPr>
        <w:jc w:val="center"/>
        <w:divId w:val="1393238106"/>
        <w:rPr>
          <w:rFonts w:eastAsia="Times New Roman"/>
        </w:rPr>
      </w:pPr>
    </w:p>
    <w:p w14:paraId="3F8DCE22" w14:textId="77777777" w:rsidR="00000000" w:rsidRDefault="00EE5306">
      <w:pPr>
        <w:jc w:val="center"/>
        <w:divId w:val="1393238106"/>
        <w:rPr>
          <w:rFonts w:eastAsia="Times New Roman"/>
        </w:rPr>
      </w:pPr>
      <w:r>
        <w:rPr>
          <w:rFonts w:eastAsia="Times New Roman"/>
          <w:b/>
          <w:bCs/>
          <w:color w:val="000000"/>
          <w:sz w:val="20"/>
          <w:szCs w:val="20"/>
        </w:rPr>
        <w:t>RALPH LAUREN CORPORATION</w:t>
      </w:r>
    </w:p>
    <w:p w14:paraId="3E29BC5A" w14:textId="77777777" w:rsidR="00000000" w:rsidRDefault="00EE5306">
      <w:pPr>
        <w:jc w:val="center"/>
        <w:divId w:val="1272592233"/>
        <w:rPr>
          <w:rFonts w:eastAsia="Times New Roman"/>
        </w:rPr>
      </w:pPr>
      <w:r>
        <w:rPr>
          <w:rFonts w:eastAsia="Times New Roman"/>
          <w:b/>
          <w:bCs/>
          <w:color w:val="000000"/>
          <w:sz w:val="20"/>
          <w:szCs w:val="20"/>
        </w:rPr>
        <w:t>NOTES TO CONSOLIDATED FINANCIAL STATEMENTS (Continued)</w:t>
      </w:r>
    </w:p>
    <w:p w14:paraId="622BA5E8" w14:textId="77777777" w:rsidR="00000000" w:rsidRDefault="00EE5306">
      <w:pPr>
        <w:ind w:firstLine="540"/>
        <w:jc w:val="both"/>
        <w:divId w:val="799231817"/>
        <w:rPr>
          <w:rFonts w:eastAsia="Times New Roman"/>
        </w:rPr>
      </w:pPr>
      <w:r>
        <w:rPr>
          <w:rFonts w:eastAsia="Times New Roman"/>
          <w:color w:val="000000"/>
          <w:sz w:val="20"/>
          <w:szCs w:val="20"/>
        </w:rPr>
        <w:t>The following table summarizes the carrying value of the hedged senior notes and the impacts of the related fair value hedging adjustments</w:t>
      </w:r>
      <w:r>
        <w:rPr>
          <w:rFonts w:eastAsia="Times New Roman"/>
          <w:color w:val="000000"/>
          <w:sz w:val="20"/>
          <w:szCs w:val="20"/>
        </w:rPr>
        <w:t xml:space="preserve"> as of March 27, 2021 and March 28,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2282"/>
        <w:gridCol w:w="36"/>
        <w:gridCol w:w="36"/>
        <w:gridCol w:w="36"/>
        <w:gridCol w:w="36"/>
        <w:gridCol w:w="37"/>
        <w:gridCol w:w="1821"/>
        <w:gridCol w:w="36"/>
        <w:gridCol w:w="36"/>
        <w:gridCol w:w="36"/>
        <w:gridCol w:w="36"/>
        <w:gridCol w:w="46"/>
        <w:gridCol w:w="767"/>
        <w:gridCol w:w="36"/>
        <w:gridCol w:w="36"/>
        <w:gridCol w:w="36"/>
        <w:gridCol w:w="36"/>
        <w:gridCol w:w="100"/>
        <w:gridCol w:w="762"/>
        <w:gridCol w:w="36"/>
        <w:gridCol w:w="36"/>
        <w:gridCol w:w="36"/>
        <w:gridCol w:w="36"/>
        <w:gridCol w:w="46"/>
        <w:gridCol w:w="770"/>
        <w:gridCol w:w="38"/>
        <w:gridCol w:w="37"/>
        <w:gridCol w:w="37"/>
        <w:gridCol w:w="37"/>
        <w:gridCol w:w="100"/>
        <w:gridCol w:w="763"/>
        <w:gridCol w:w="36"/>
      </w:tblGrid>
      <w:tr w:rsidR="00000000" w14:paraId="2D4ABBB0" w14:textId="77777777">
        <w:trPr>
          <w:divId w:val="40446922"/>
          <w:jc w:val="center"/>
        </w:trPr>
        <w:tc>
          <w:tcPr>
            <w:tcW w:w="50" w:type="pct"/>
            <w:vAlign w:val="center"/>
            <w:hideMark/>
          </w:tcPr>
          <w:p w14:paraId="3F888D9F" w14:textId="77777777" w:rsidR="00000000" w:rsidRDefault="00EE5306">
            <w:pPr>
              <w:ind w:firstLine="540"/>
              <w:jc w:val="both"/>
              <w:rPr>
                <w:rFonts w:eastAsia="Times New Roman"/>
              </w:rPr>
            </w:pPr>
          </w:p>
        </w:tc>
        <w:tc>
          <w:tcPr>
            <w:tcW w:w="1392" w:type="pct"/>
            <w:vAlign w:val="center"/>
            <w:hideMark/>
          </w:tcPr>
          <w:p w14:paraId="74ADEC84" w14:textId="77777777" w:rsidR="00000000" w:rsidRDefault="00EE5306">
            <w:pPr>
              <w:spacing w:after="100"/>
              <w:rPr>
                <w:rFonts w:eastAsia="Times New Roman"/>
                <w:sz w:val="20"/>
                <w:szCs w:val="20"/>
              </w:rPr>
            </w:pPr>
          </w:p>
        </w:tc>
        <w:tc>
          <w:tcPr>
            <w:tcW w:w="5" w:type="pct"/>
            <w:vAlign w:val="center"/>
            <w:hideMark/>
          </w:tcPr>
          <w:p w14:paraId="4F578966" w14:textId="77777777" w:rsidR="00000000" w:rsidRDefault="00EE5306">
            <w:pPr>
              <w:spacing w:after="100"/>
              <w:rPr>
                <w:rFonts w:eastAsia="Times New Roman"/>
                <w:sz w:val="20"/>
                <w:szCs w:val="20"/>
              </w:rPr>
            </w:pPr>
          </w:p>
        </w:tc>
        <w:tc>
          <w:tcPr>
            <w:tcW w:w="5" w:type="pct"/>
            <w:vAlign w:val="center"/>
            <w:hideMark/>
          </w:tcPr>
          <w:p w14:paraId="6C3EFB39" w14:textId="77777777" w:rsidR="00000000" w:rsidRDefault="00EE5306">
            <w:pPr>
              <w:spacing w:after="100"/>
              <w:rPr>
                <w:rFonts w:eastAsia="Times New Roman"/>
                <w:sz w:val="20"/>
                <w:szCs w:val="20"/>
              </w:rPr>
            </w:pPr>
          </w:p>
        </w:tc>
        <w:tc>
          <w:tcPr>
            <w:tcW w:w="26" w:type="pct"/>
            <w:vAlign w:val="center"/>
            <w:hideMark/>
          </w:tcPr>
          <w:p w14:paraId="4738AC7F" w14:textId="77777777" w:rsidR="00000000" w:rsidRDefault="00EE5306">
            <w:pPr>
              <w:spacing w:after="100"/>
              <w:rPr>
                <w:rFonts w:eastAsia="Times New Roman"/>
                <w:sz w:val="20"/>
                <w:szCs w:val="20"/>
              </w:rPr>
            </w:pPr>
          </w:p>
        </w:tc>
        <w:tc>
          <w:tcPr>
            <w:tcW w:w="5" w:type="pct"/>
            <w:vAlign w:val="center"/>
            <w:hideMark/>
          </w:tcPr>
          <w:p w14:paraId="643E6877" w14:textId="77777777" w:rsidR="00000000" w:rsidRDefault="00EE5306">
            <w:pPr>
              <w:spacing w:after="100"/>
              <w:rPr>
                <w:rFonts w:eastAsia="Times New Roman"/>
                <w:sz w:val="20"/>
                <w:szCs w:val="20"/>
              </w:rPr>
            </w:pPr>
          </w:p>
        </w:tc>
        <w:tc>
          <w:tcPr>
            <w:tcW w:w="50" w:type="pct"/>
            <w:vAlign w:val="center"/>
            <w:hideMark/>
          </w:tcPr>
          <w:p w14:paraId="493A7F63" w14:textId="77777777" w:rsidR="00000000" w:rsidRDefault="00EE5306">
            <w:pPr>
              <w:spacing w:after="100"/>
              <w:rPr>
                <w:rFonts w:eastAsia="Times New Roman"/>
                <w:sz w:val="20"/>
                <w:szCs w:val="20"/>
              </w:rPr>
            </w:pPr>
          </w:p>
        </w:tc>
        <w:tc>
          <w:tcPr>
            <w:tcW w:w="1121" w:type="pct"/>
            <w:vAlign w:val="center"/>
            <w:hideMark/>
          </w:tcPr>
          <w:p w14:paraId="6435D0DB" w14:textId="77777777" w:rsidR="00000000" w:rsidRDefault="00EE5306">
            <w:pPr>
              <w:spacing w:after="100"/>
              <w:rPr>
                <w:rFonts w:eastAsia="Times New Roman"/>
                <w:sz w:val="20"/>
                <w:szCs w:val="20"/>
              </w:rPr>
            </w:pPr>
          </w:p>
        </w:tc>
        <w:tc>
          <w:tcPr>
            <w:tcW w:w="5" w:type="pct"/>
            <w:vAlign w:val="center"/>
            <w:hideMark/>
          </w:tcPr>
          <w:p w14:paraId="7F9A3DDE" w14:textId="77777777" w:rsidR="00000000" w:rsidRDefault="00EE5306">
            <w:pPr>
              <w:spacing w:after="100"/>
              <w:rPr>
                <w:rFonts w:eastAsia="Times New Roman"/>
                <w:sz w:val="20"/>
                <w:szCs w:val="20"/>
              </w:rPr>
            </w:pPr>
          </w:p>
        </w:tc>
        <w:tc>
          <w:tcPr>
            <w:tcW w:w="5" w:type="pct"/>
            <w:vAlign w:val="center"/>
            <w:hideMark/>
          </w:tcPr>
          <w:p w14:paraId="5B446575" w14:textId="77777777" w:rsidR="00000000" w:rsidRDefault="00EE5306">
            <w:pPr>
              <w:spacing w:after="100"/>
              <w:rPr>
                <w:rFonts w:eastAsia="Times New Roman"/>
                <w:sz w:val="20"/>
                <w:szCs w:val="20"/>
              </w:rPr>
            </w:pPr>
          </w:p>
        </w:tc>
        <w:tc>
          <w:tcPr>
            <w:tcW w:w="26" w:type="pct"/>
            <w:vAlign w:val="center"/>
            <w:hideMark/>
          </w:tcPr>
          <w:p w14:paraId="69F5246D" w14:textId="77777777" w:rsidR="00000000" w:rsidRDefault="00EE5306">
            <w:pPr>
              <w:spacing w:after="100"/>
              <w:rPr>
                <w:rFonts w:eastAsia="Times New Roman"/>
                <w:sz w:val="20"/>
                <w:szCs w:val="20"/>
              </w:rPr>
            </w:pPr>
          </w:p>
        </w:tc>
        <w:tc>
          <w:tcPr>
            <w:tcW w:w="5" w:type="pct"/>
            <w:vAlign w:val="center"/>
            <w:hideMark/>
          </w:tcPr>
          <w:p w14:paraId="7C834B27" w14:textId="77777777" w:rsidR="00000000" w:rsidRDefault="00EE5306">
            <w:pPr>
              <w:spacing w:after="100"/>
              <w:rPr>
                <w:rFonts w:eastAsia="Times New Roman"/>
                <w:sz w:val="20"/>
                <w:szCs w:val="20"/>
              </w:rPr>
            </w:pPr>
          </w:p>
        </w:tc>
        <w:tc>
          <w:tcPr>
            <w:tcW w:w="50" w:type="pct"/>
            <w:vAlign w:val="center"/>
            <w:hideMark/>
          </w:tcPr>
          <w:p w14:paraId="53E7040A" w14:textId="77777777" w:rsidR="00000000" w:rsidRDefault="00EE5306">
            <w:pPr>
              <w:spacing w:after="100"/>
              <w:rPr>
                <w:rFonts w:eastAsia="Times New Roman"/>
                <w:sz w:val="20"/>
                <w:szCs w:val="20"/>
              </w:rPr>
            </w:pPr>
          </w:p>
        </w:tc>
        <w:tc>
          <w:tcPr>
            <w:tcW w:w="493" w:type="pct"/>
            <w:vAlign w:val="center"/>
            <w:hideMark/>
          </w:tcPr>
          <w:p w14:paraId="6092CA9F" w14:textId="77777777" w:rsidR="00000000" w:rsidRDefault="00EE5306">
            <w:pPr>
              <w:spacing w:after="100"/>
              <w:rPr>
                <w:rFonts w:eastAsia="Times New Roman"/>
                <w:sz w:val="20"/>
                <w:szCs w:val="20"/>
              </w:rPr>
            </w:pPr>
          </w:p>
        </w:tc>
        <w:tc>
          <w:tcPr>
            <w:tcW w:w="5" w:type="pct"/>
            <w:vAlign w:val="center"/>
            <w:hideMark/>
          </w:tcPr>
          <w:p w14:paraId="7A74318A" w14:textId="77777777" w:rsidR="00000000" w:rsidRDefault="00EE5306">
            <w:pPr>
              <w:spacing w:after="100"/>
              <w:rPr>
                <w:rFonts w:eastAsia="Times New Roman"/>
                <w:sz w:val="20"/>
                <w:szCs w:val="20"/>
              </w:rPr>
            </w:pPr>
          </w:p>
        </w:tc>
        <w:tc>
          <w:tcPr>
            <w:tcW w:w="5" w:type="pct"/>
            <w:vAlign w:val="center"/>
            <w:hideMark/>
          </w:tcPr>
          <w:p w14:paraId="569D7E08" w14:textId="77777777" w:rsidR="00000000" w:rsidRDefault="00EE5306">
            <w:pPr>
              <w:spacing w:after="100"/>
              <w:rPr>
                <w:rFonts w:eastAsia="Times New Roman"/>
                <w:sz w:val="20"/>
                <w:szCs w:val="20"/>
              </w:rPr>
            </w:pPr>
          </w:p>
        </w:tc>
        <w:tc>
          <w:tcPr>
            <w:tcW w:w="26" w:type="pct"/>
            <w:vAlign w:val="center"/>
            <w:hideMark/>
          </w:tcPr>
          <w:p w14:paraId="72F8DF55" w14:textId="77777777" w:rsidR="00000000" w:rsidRDefault="00EE5306">
            <w:pPr>
              <w:spacing w:after="100"/>
              <w:rPr>
                <w:rFonts w:eastAsia="Times New Roman"/>
                <w:sz w:val="20"/>
                <w:szCs w:val="20"/>
              </w:rPr>
            </w:pPr>
          </w:p>
        </w:tc>
        <w:tc>
          <w:tcPr>
            <w:tcW w:w="5" w:type="pct"/>
            <w:vAlign w:val="center"/>
            <w:hideMark/>
          </w:tcPr>
          <w:p w14:paraId="509CA555" w14:textId="77777777" w:rsidR="00000000" w:rsidRDefault="00EE5306">
            <w:pPr>
              <w:spacing w:after="100"/>
              <w:rPr>
                <w:rFonts w:eastAsia="Times New Roman"/>
                <w:sz w:val="20"/>
                <w:szCs w:val="20"/>
              </w:rPr>
            </w:pPr>
          </w:p>
        </w:tc>
        <w:tc>
          <w:tcPr>
            <w:tcW w:w="50" w:type="pct"/>
            <w:vAlign w:val="center"/>
            <w:hideMark/>
          </w:tcPr>
          <w:p w14:paraId="247F859F" w14:textId="77777777" w:rsidR="00000000" w:rsidRDefault="00EE5306">
            <w:pPr>
              <w:spacing w:after="100"/>
              <w:rPr>
                <w:rFonts w:eastAsia="Times New Roman"/>
                <w:sz w:val="20"/>
                <w:szCs w:val="20"/>
              </w:rPr>
            </w:pPr>
          </w:p>
        </w:tc>
        <w:tc>
          <w:tcPr>
            <w:tcW w:w="493" w:type="pct"/>
            <w:vAlign w:val="center"/>
            <w:hideMark/>
          </w:tcPr>
          <w:p w14:paraId="4B35F323" w14:textId="77777777" w:rsidR="00000000" w:rsidRDefault="00EE5306">
            <w:pPr>
              <w:spacing w:after="100"/>
              <w:rPr>
                <w:rFonts w:eastAsia="Times New Roman"/>
                <w:sz w:val="20"/>
                <w:szCs w:val="20"/>
              </w:rPr>
            </w:pPr>
          </w:p>
        </w:tc>
        <w:tc>
          <w:tcPr>
            <w:tcW w:w="5" w:type="pct"/>
            <w:vAlign w:val="center"/>
            <w:hideMark/>
          </w:tcPr>
          <w:p w14:paraId="6FBD5F67" w14:textId="77777777" w:rsidR="00000000" w:rsidRDefault="00EE5306">
            <w:pPr>
              <w:spacing w:after="100"/>
              <w:rPr>
                <w:rFonts w:eastAsia="Times New Roman"/>
                <w:sz w:val="20"/>
                <w:szCs w:val="20"/>
              </w:rPr>
            </w:pPr>
          </w:p>
        </w:tc>
        <w:tc>
          <w:tcPr>
            <w:tcW w:w="5" w:type="pct"/>
            <w:vAlign w:val="center"/>
            <w:hideMark/>
          </w:tcPr>
          <w:p w14:paraId="4F01DC84" w14:textId="77777777" w:rsidR="00000000" w:rsidRDefault="00EE5306">
            <w:pPr>
              <w:spacing w:after="100"/>
              <w:rPr>
                <w:rFonts w:eastAsia="Times New Roman"/>
                <w:sz w:val="20"/>
                <w:szCs w:val="20"/>
              </w:rPr>
            </w:pPr>
          </w:p>
        </w:tc>
        <w:tc>
          <w:tcPr>
            <w:tcW w:w="26" w:type="pct"/>
            <w:vAlign w:val="center"/>
            <w:hideMark/>
          </w:tcPr>
          <w:p w14:paraId="15759596" w14:textId="77777777" w:rsidR="00000000" w:rsidRDefault="00EE5306">
            <w:pPr>
              <w:spacing w:after="100"/>
              <w:rPr>
                <w:rFonts w:eastAsia="Times New Roman"/>
                <w:sz w:val="20"/>
                <w:szCs w:val="20"/>
              </w:rPr>
            </w:pPr>
          </w:p>
        </w:tc>
        <w:tc>
          <w:tcPr>
            <w:tcW w:w="5" w:type="pct"/>
            <w:vAlign w:val="center"/>
            <w:hideMark/>
          </w:tcPr>
          <w:p w14:paraId="5AF868F7" w14:textId="77777777" w:rsidR="00000000" w:rsidRDefault="00EE5306">
            <w:pPr>
              <w:spacing w:after="100"/>
              <w:rPr>
                <w:rFonts w:eastAsia="Times New Roman"/>
                <w:sz w:val="20"/>
                <w:szCs w:val="20"/>
              </w:rPr>
            </w:pPr>
          </w:p>
        </w:tc>
        <w:tc>
          <w:tcPr>
            <w:tcW w:w="50" w:type="pct"/>
            <w:vAlign w:val="center"/>
            <w:hideMark/>
          </w:tcPr>
          <w:p w14:paraId="06DFC4E5" w14:textId="77777777" w:rsidR="00000000" w:rsidRDefault="00EE5306">
            <w:pPr>
              <w:spacing w:after="100"/>
              <w:rPr>
                <w:rFonts w:eastAsia="Times New Roman"/>
                <w:sz w:val="20"/>
                <w:szCs w:val="20"/>
              </w:rPr>
            </w:pPr>
          </w:p>
        </w:tc>
        <w:tc>
          <w:tcPr>
            <w:tcW w:w="493" w:type="pct"/>
            <w:vAlign w:val="center"/>
            <w:hideMark/>
          </w:tcPr>
          <w:p w14:paraId="51912DA7" w14:textId="77777777" w:rsidR="00000000" w:rsidRDefault="00EE5306">
            <w:pPr>
              <w:spacing w:after="100"/>
              <w:rPr>
                <w:rFonts w:eastAsia="Times New Roman"/>
                <w:sz w:val="20"/>
                <w:szCs w:val="20"/>
              </w:rPr>
            </w:pPr>
          </w:p>
        </w:tc>
        <w:tc>
          <w:tcPr>
            <w:tcW w:w="5" w:type="pct"/>
            <w:vAlign w:val="center"/>
            <w:hideMark/>
          </w:tcPr>
          <w:p w14:paraId="49913CCE" w14:textId="77777777" w:rsidR="00000000" w:rsidRDefault="00EE5306">
            <w:pPr>
              <w:spacing w:after="100"/>
              <w:rPr>
                <w:rFonts w:eastAsia="Times New Roman"/>
                <w:sz w:val="20"/>
                <w:szCs w:val="20"/>
              </w:rPr>
            </w:pPr>
          </w:p>
        </w:tc>
        <w:tc>
          <w:tcPr>
            <w:tcW w:w="5" w:type="pct"/>
            <w:vAlign w:val="center"/>
            <w:hideMark/>
          </w:tcPr>
          <w:p w14:paraId="63D67C35" w14:textId="77777777" w:rsidR="00000000" w:rsidRDefault="00EE5306">
            <w:pPr>
              <w:spacing w:after="100"/>
              <w:rPr>
                <w:rFonts w:eastAsia="Times New Roman"/>
                <w:sz w:val="20"/>
                <w:szCs w:val="20"/>
              </w:rPr>
            </w:pPr>
          </w:p>
        </w:tc>
        <w:tc>
          <w:tcPr>
            <w:tcW w:w="26" w:type="pct"/>
            <w:vAlign w:val="center"/>
            <w:hideMark/>
          </w:tcPr>
          <w:p w14:paraId="3667E122" w14:textId="77777777" w:rsidR="00000000" w:rsidRDefault="00EE5306">
            <w:pPr>
              <w:spacing w:after="100"/>
              <w:rPr>
                <w:rFonts w:eastAsia="Times New Roman"/>
                <w:sz w:val="20"/>
                <w:szCs w:val="20"/>
              </w:rPr>
            </w:pPr>
          </w:p>
        </w:tc>
        <w:tc>
          <w:tcPr>
            <w:tcW w:w="5" w:type="pct"/>
            <w:vAlign w:val="center"/>
            <w:hideMark/>
          </w:tcPr>
          <w:p w14:paraId="4A34B410" w14:textId="77777777" w:rsidR="00000000" w:rsidRDefault="00EE5306">
            <w:pPr>
              <w:spacing w:after="100"/>
              <w:rPr>
                <w:rFonts w:eastAsia="Times New Roman"/>
                <w:sz w:val="20"/>
                <w:szCs w:val="20"/>
              </w:rPr>
            </w:pPr>
          </w:p>
        </w:tc>
        <w:tc>
          <w:tcPr>
            <w:tcW w:w="50" w:type="pct"/>
            <w:vAlign w:val="center"/>
            <w:hideMark/>
          </w:tcPr>
          <w:p w14:paraId="62EC9411" w14:textId="77777777" w:rsidR="00000000" w:rsidRDefault="00EE5306">
            <w:pPr>
              <w:spacing w:after="100"/>
              <w:rPr>
                <w:rFonts w:eastAsia="Times New Roman"/>
                <w:sz w:val="20"/>
                <w:szCs w:val="20"/>
              </w:rPr>
            </w:pPr>
          </w:p>
        </w:tc>
        <w:tc>
          <w:tcPr>
            <w:tcW w:w="493" w:type="pct"/>
            <w:vAlign w:val="center"/>
            <w:hideMark/>
          </w:tcPr>
          <w:p w14:paraId="28F92A3E" w14:textId="77777777" w:rsidR="00000000" w:rsidRDefault="00EE5306">
            <w:pPr>
              <w:spacing w:after="100"/>
              <w:rPr>
                <w:rFonts w:eastAsia="Times New Roman"/>
                <w:sz w:val="20"/>
                <w:szCs w:val="20"/>
              </w:rPr>
            </w:pPr>
          </w:p>
        </w:tc>
        <w:tc>
          <w:tcPr>
            <w:tcW w:w="5" w:type="pct"/>
            <w:vAlign w:val="center"/>
            <w:hideMark/>
          </w:tcPr>
          <w:p w14:paraId="79D64CBC" w14:textId="77777777" w:rsidR="00000000" w:rsidRDefault="00EE5306">
            <w:pPr>
              <w:spacing w:after="100"/>
              <w:rPr>
                <w:rFonts w:eastAsia="Times New Roman"/>
                <w:sz w:val="20"/>
                <w:szCs w:val="20"/>
              </w:rPr>
            </w:pPr>
          </w:p>
        </w:tc>
      </w:tr>
      <w:tr w:rsidR="00000000" w14:paraId="71B15D7E" w14:textId="77777777">
        <w:trPr>
          <w:divId w:val="40446922"/>
          <w:jc w:val="center"/>
        </w:trPr>
        <w:tc>
          <w:tcPr>
            <w:tcW w:w="0" w:type="auto"/>
            <w:gridSpan w:val="3"/>
            <w:tcMar>
              <w:top w:w="30" w:type="dxa"/>
              <w:left w:w="20" w:type="dxa"/>
              <w:bottom w:w="30" w:type="dxa"/>
              <w:right w:w="20" w:type="dxa"/>
            </w:tcMar>
            <w:vAlign w:val="bottom"/>
            <w:hideMark/>
          </w:tcPr>
          <w:p w14:paraId="270F1E4A"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A09BE13"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32CD936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9DA31A"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186E281" w14:textId="77777777" w:rsidR="00000000" w:rsidRDefault="00EE5306">
            <w:pPr>
              <w:spacing w:after="100"/>
              <w:jc w:val="center"/>
              <w:rPr>
                <w:rFonts w:eastAsia="Times New Roman"/>
              </w:rPr>
            </w:pPr>
            <w:r>
              <w:rPr>
                <w:rFonts w:eastAsia="Times New Roman"/>
                <w:b/>
                <w:bCs/>
                <w:color w:val="000000"/>
                <w:sz w:val="16"/>
                <w:szCs w:val="16"/>
              </w:rPr>
              <w:t>Carrying Value of</w:t>
            </w:r>
            <w:r>
              <w:rPr>
                <w:rFonts w:eastAsia="Times New Roman"/>
                <w:b/>
                <w:bCs/>
                <w:color w:val="000000"/>
                <w:sz w:val="16"/>
                <w:szCs w:val="16"/>
              </w:rPr>
              <w:br/>
              <w:t>the Hedged Item</w:t>
            </w:r>
          </w:p>
        </w:tc>
        <w:tc>
          <w:tcPr>
            <w:tcW w:w="0" w:type="auto"/>
            <w:gridSpan w:val="3"/>
            <w:tcMar>
              <w:top w:w="0" w:type="dxa"/>
              <w:left w:w="20" w:type="dxa"/>
              <w:bottom w:w="0" w:type="dxa"/>
              <w:right w:w="20" w:type="dxa"/>
            </w:tcMar>
            <w:vAlign w:val="center"/>
            <w:hideMark/>
          </w:tcPr>
          <w:p w14:paraId="4EAC4255" w14:textId="77777777" w:rsidR="00000000" w:rsidRDefault="00EE530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1799E0E" w14:textId="77777777" w:rsidR="00000000" w:rsidRDefault="00EE5306">
            <w:pPr>
              <w:spacing w:after="100"/>
              <w:jc w:val="center"/>
              <w:rPr>
                <w:rFonts w:eastAsia="Times New Roman"/>
              </w:rPr>
            </w:pPr>
            <w:r>
              <w:rPr>
                <w:rFonts w:eastAsia="Times New Roman"/>
                <w:b/>
                <w:bCs/>
                <w:color w:val="000000"/>
                <w:sz w:val="16"/>
                <w:szCs w:val="16"/>
              </w:rPr>
              <w:t>Cumulative Amount of Fair Value Hedging Adjustment Included in the Carrying Value of the Hedged Item</w:t>
            </w:r>
          </w:p>
        </w:tc>
      </w:tr>
      <w:tr w:rsidR="00000000" w14:paraId="3A9FF102" w14:textId="77777777">
        <w:trPr>
          <w:divId w:val="40446922"/>
          <w:jc w:val="center"/>
        </w:trPr>
        <w:tc>
          <w:tcPr>
            <w:tcW w:w="0" w:type="auto"/>
            <w:gridSpan w:val="3"/>
            <w:tcMar>
              <w:top w:w="30" w:type="dxa"/>
              <w:left w:w="20" w:type="dxa"/>
              <w:bottom w:w="30" w:type="dxa"/>
              <w:right w:w="20" w:type="dxa"/>
            </w:tcMar>
            <w:vAlign w:val="bottom"/>
            <w:hideMark/>
          </w:tcPr>
          <w:p w14:paraId="3C5CA5E2" w14:textId="77777777" w:rsidR="00000000" w:rsidRDefault="00EE5306">
            <w:pPr>
              <w:spacing w:after="100"/>
              <w:jc w:val="center"/>
              <w:rPr>
                <w:rFonts w:eastAsia="Times New Roman"/>
              </w:rPr>
            </w:pPr>
            <w:r>
              <w:rPr>
                <w:rFonts w:eastAsia="Times New Roman"/>
                <w:b/>
                <w:bCs/>
                <w:color w:val="000000"/>
                <w:sz w:val="16"/>
                <w:szCs w:val="16"/>
              </w:rPr>
              <w:t>Hedged Item</w:t>
            </w:r>
          </w:p>
        </w:tc>
        <w:tc>
          <w:tcPr>
            <w:tcW w:w="0" w:type="auto"/>
            <w:gridSpan w:val="3"/>
            <w:tcMar>
              <w:top w:w="0" w:type="dxa"/>
              <w:left w:w="20" w:type="dxa"/>
              <w:bottom w:w="0" w:type="dxa"/>
              <w:right w:w="20" w:type="dxa"/>
            </w:tcMar>
            <w:vAlign w:val="center"/>
            <w:hideMark/>
          </w:tcPr>
          <w:p w14:paraId="4954935C"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A61C78" w14:textId="77777777" w:rsidR="00000000" w:rsidRDefault="00EE5306">
            <w:pPr>
              <w:spacing w:after="100"/>
              <w:jc w:val="center"/>
              <w:rPr>
                <w:rFonts w:eastAsia="Times New Roman"/>
              </w:rPr>
            </w:pPr>
            <w:r>
              <w:rPr>
                <w:rFonts w:eastAsia="Times New Roman"/>
                <w:b/>
                <w:bCs/>
                <w:color w:val="000000"/>
                <w:sz w:val="16"/>
                <w:szCs w:val="16"/>
              </w:rPr>
              <w:t>Balance Sheet Line in which the Hedged Item is Included</w:t>
            </w:r>
          </w:p>
        </w:tc>
        <w:tc>
          <w:tcPr>
            <w:tcW w:w="0" w:type="auto"/>
            <w:gridSpan w:val="3"/>
            <w:tcMar>
              <w:top w:w="0" w:type="dxa"/>
              <w:left w:w="20" w:type="dxa"/>
              <w:bottom w:w="0" w:type="dxa"/>
              <w:right w:w="20" w:type="dxa"/>
            </w:tcMar>
            <w:vAlign w:val="center"/>
            <w:hideMark/>
          </w:tcPr>
          <w:p w14:paraId="1B9EFE97"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9995E9"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818E82E"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90130F"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78382B4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DE1DE66"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D1DB629"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E22B31"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4F922DE4" w14:textId="77777777">
        <w:trPr>
          <w:divId w:val="40446922"/>
          <w:jc w:val="center"/>
        </w:trPr>
        <w:tc>
          <w:tcPr>
            <w:tcW w:w="0" w:type="auto"/>
            <w:gridSpan w:val="3"/>
            <w:tcBorders>
              <w:top w:val="single" w:sz="8" w:space="0" w:color="000000"/>
            </w:tcBorders>
            <w:tcMar>
              <w:top w:w="0" w:type="dxa"/>
              <w:left w:w="20" w:type="dxa"/>
              <w:bottom w:w="0" w:type="dxa"/>
              <w:right w:w="20" w:type="dxa"/>
            </w:tcMar>
            <w:vAlign w:val="center"/>
            <w:hideMark/>
          </w:tcPr>
          <w:p w14:paraId="24EDBD75"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F8A0247"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86304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F76033" w14:textId="77777777" w:rsidR="00000000" w:rsidRDefault="00EE5306">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14:paraId="27324BC9"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7DA25E5D" w14:textId="77777777">
        <w:trPr>
          <w:divId w:val="40446922"/>
          <w:jc w:val="center"/>
        </w:trPr>
        <w:tc>
          <w:tcPr>
            <w:tcW w:w="0" w:type="auto"/>
            <w:gridSpan w:val="3"/>
            <w:shd w:val="clear" w:color="auto" w:fill="CCEEFF"/>
            <w:tcMar>
              <w:top w:w="30" w:type="dxa"/>
              <w:left w:w="20" w:type="dxa"/>
              <w:bottom w:w="30" w:type="dxa"/>
              <w:right w:w="20" w:type="dxa"/>
            </w:tcMar>
            <w:vAlign w:val="bottom"/>
            <w:hideMark/>
          </w:tcPr>
          <w:p w14:paraId="35F775CC" w14:textId="77777777" w:rsidR="00000000" w:rsidRDefault="00EE5306">
            <w:pPr>
              <w:spacing w:after="100"/>
              <w:divId w:val="1332029054"/>
              <w:rPr>
                <w:rFonts w:eastAsia="Times New Roman"/>
              </w:rPr>
            </w:pPr>
            <w:r>
              <w:rPr>
                <w:rFonts w:eastAsia="Times New Roman"/>
                <w:color w:val="000000"/>
                <w:sz w:val="16"/>
                <w:szCs w:val="16"/>
              </w:rPr>
              <w:t>$300 million 2.625% Senior Note</w:t>
            </w:r>
            <w:r>
              <w:rPr>
                <w:rFonts w:eastAsia="Times New Roman"/>
                <w:color w:val="000000"/>
                <w:sz w:val="16"/>
                <w:szCs w:val="16"/>
              </w:rPr>
              <w:t>s</w:t>
            </w:r>
            <w:r>
              <w:rPr>
                <w:rFonts w:eastAsia="Times New Roman"/>
                <w:b/>
                <w:bCs/>
                <w:color w:val="000000"/>
                <w:sz w:val="10"/>
                <w:szCs w:val="10"/>
              </w:rPr>
              <w:t>(a</w:t>
            </w:r>
            <w:r>
              <w:rPr>
                <w:rFonts w:eastAsia="Times New Roman"/>
                <w:b/>
                <w:bCs/>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716ED126"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35A87EE" w14:textId="77777777" w:rsidR="00000000" w:rsidRDefault="00EE5306">
            <w:pPr>
              <w:spacing w:after="100"/>
              <w:rPr>
                <w:rFonts w:eastAsia="Times New Roman"/>
              </w:rPr>
            </w:pPr>
            <w:r>
              <w:rPr>
                <w:rFonts w:eastAsia="Times New Roman"/>
                <w:color w:val="000000"/>
                <w:sz w:val="16"/>
                <w:szCs w:val="16"/>
              </w:rPr>
              <w:t>Current portion of long-term debt</w:t>
            </w:r>
          </w:p>
        </w:tc>
        <w:tc>
          <w:tcPr>
            <w:tcW w:w="0" w:type="auto"/>
            <w:gridSpan w:val="3"/>
            <w:shd w:val="clear" w:color="auto" w:fill="CCEEFF"/>
            <w:tcMar>
              <w:top w:w="0" w:type="dxa"/>
              <w:left w:w="20" w:type="dxa"/>
              <w:bottom w:w="0" w:type="dxa"/>
              <w:right w:w="20" w:type="dxa"/>
            </w:tcMar>
            <w:vAlign w:val="center"/>
            <w:hideMark/>
          </w:tcPr>
          <w:p w14:paraId="031D894F" w14:textId="77777777" w:rsidR="00000000" w:rsidRDefault="00EE530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2958FE" w14:textId="77777777" w:rsidR="00000000" w:rsidRDefault="00EE5306">
            <w:pPr>
              <w:spacing w:after="100"/>
              <w:jc w:val="center"/>
              <w:rPr>
                <w:rFonts w:eastAsia="Times New Roman"/>
              </w:rPr>
            </w:pPr>
            <w:r>
              <w:rPr>
                <w:rFonts w:eastAsia="Times New Roman"/>
                <w:color w:val="000000"/>
                <w:sz w:val="16"/>
                <w:szCs w:val="16"/>
              </w:rPr>
              <w:t>N/A</w:t>
            </w:r>
          </w:p>
        </w:tc>
        <w:tc>
          <w:tcPr>
            <w:tcW w:w="0" w:type="auto"/>
            <w:gridSpan w:val="3"/>
            <w:shd w:val="clear" w:color="auto" w:fill="CCEEFF"/>
            <w:tcMar>
              <w:top w:w="0" w:type="dxa"/>
              <w:left w:w="20" w:type="dxa"/>
              <w:bottom w:w="0" w:type="dxa"/>
              <w:right w:w="20" w:type="dxa"/>
            </w:tcMar>
            <w:vAlign w:val="center"/>
            <w:hideMark/>
          </w:tcPr>
          <w:p w14:paraId="1047D215" w14:textId="77777777" w:rsidR="00000000" w:rsidRDefault="00EE5306">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2E5336E3"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96D7257" w14:textId="77777777" w:rsidR="00000000" w:rsidRDefault="00EE5306">
            <w:pPr>
              <w:spacing w:after="100"/>
              <w:jc w:val="right"/>
              <w:rPr>
                <w:rFonts w:eastAsia="Times New Roman"/>
              </w:rPr>
            </w:pPr>
            <w:r>
              <w:rPr>
                <w:rFonts w:eastAsia="Times New Roman"/>
                <w:color w:val="000000"/>
                <w:sz w:val="16"/>
                <w:szCs w:val="16"/>
              </w:rPr>
              <w:t>299.6 </w:t>
            </w:r>
          </w:p>
        </w:tc>
        <w:tc>
          <w:tcPr>
            <w:tcW w:w="0" w:type="auto"/>
            <w:shd w:val="clear" w:color="auto" w:fill="CCEEFF"/>
            <w:tcMar>
              <w:top w:w="30" w:type="dxa"/>
              <w:left w:w="0" w:type="dxa"/>
              <w:bottom w:w="30" w:type="dxa"/>
              <w:right w:w="20" w:type="dxa"/>
            </w:tcMar>
            <w:vAlign w:val="bottom"/>
            <w:hideMark/>
          </w:tcPr>
          <w:p w14:paraId="06C83F3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DB8A8"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411EE28" w14:textId="77777777" w:rsidR="00000000" w:rsidRDefault="00EE5306">
            <w:pPr>
              <w:spacing w:after="100"/>
              <w:jc w:val="center"/>
              <w:rPr>
                <w:rFonts w:eastAsia="Times New Roman"/>
              </w:rPr>
            </w:pPr>
            <w:r>
              <w:rPr>
                <w:rFonts w:eastAsia="Times New Roman"/>
                <w:color w:val="000000"/>
                <w:sz w:val="16"/>
                <w:szCs w:val="16"/>
              </w:rPr>
              <w:t>N/A</w:t>
            </w:r>
          </w:p>
        </w:tc>
        <w:tc>
          <w:tcPr>
            <w:tcW w:w="0" w:type="auto"/>
            <w:gridSpan w:val="3"/>
            <w:shd w:val="clear" w:color="auto" w:fill="CCEEFF"/>
            <w:tcMar>
              <w:top w:w="0" w:type="dxa"/>
              <w:left w:w="20" w:type="dxa"/>
              <w:bottom w:w="0" w:type="dxa"/>
              <w:right w:w="20" w:type="dxa"/>
            </w:tcMar>
            <w:vAlign w:val="center"/>
            <w:hideMark/>
          </w:tcPr>
          <w:p w14:paraId="2EEA484D" w14:textId="77777777" w:rsidR="00000000" w:rsidRDefault="00EE5306">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6CE48EA8" w14:textId="77777777" w:rsidR="00000000" w:rsidRDefault="00EE530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741B753" w14:textId="77777777" w:rsidR="00000000" w:rsidRDefault="00EE5306">
            <w:pPr>
              <w:spacing w:after="100"/>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bottom"/>
            <w:hideMark/>
          </w:tcPr>
          <w:p w14:paraId="4F229B08"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1A6EEA71" w14:textId="77777777">
        <w:tc>
          <w:tcPr>
            <w:tcW w:w="50" w:type="pct"/>
            <w:vAlign w:val="center"/>
            <w:hideMark/>
          </w:tcPr>
          <w:p w14:paraId="590B1B88" w14:textId="77777777" w:rsidR="00000000" w:rsidRDefault="00EE5306">
            <w:pPr>
              <w:jc w:val="center"/>
              <w:rPr>
                <w:rFonts w:eastAsia="Times New Roman"/>
              </w:rPr>
            </w:pPr>
          </w:p>
        </w:tc>
        <w:tc>
          <w:tcPr>
            <w:tcW w:w="4945" w:type="pct"/>
            <w:vAlign w:val="center"/>
            <w:hideMark/>
          </w:tcPr>
          <w:p w14:paraId="1A2C1317" w14:textId="77777777" w:rsidR="00000000" w:rsidRDefault="00EE5306">
            <w:pPr>
              <w:spacing w:after="100"/>
              <w:rPr>
                <w:rFonts w:eastAsia="Times New Roman"/>
                <w:sz w:val="20"/>
                <w:szCs w:val="20"/>
              </w:rPr>
            </w:pPr>
          </w:p>
        </w:tc>
        <w:tc>
          <w:tcPr>
            <w:tcW w:w="5" w:type="pct"/>
            <w:vAlign w:val="center"/>
            <w:hideMark/>
          </w:tcPr>
          <w:p w14:paraId="27E5154D" w14:textId="77777777" w:rsidR="00000000" w:rsidRDefault="00EE5306">
            <w:pPr>
              <w:spacing w:after="100"/>
              <w:rPr>
                <w:rFonts w:eastAsia="Times New Roman"/>
                <w:sz w:val="20"/>
                <w:szCs w:val="20"/>
              </w:rPr>
            </w:pPr>
          </w:p>
        </w:tc>
      </w:tr>
      <w:tr w:rsidR="00000000" w14:paraId="13EB4AAD"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2C249EC2" w14:textId="77777777" w:rsidR="00000000" w:rsidRDefault="00EE5306">
            <w:pPr>
              <w:spacing w:after="100"/>
              <w:rPr>
                <w:rFonts w:eastAsia="Times New Roman"/>
                <w:sz w:val="20"/>
                <w:szCs w:val="20"/>
              </w:rPr>
            </w:pPr>
          </w:p>
        </w:tc>
      </w:tr>
    </w:tbl>
    <w:p w14:paraId="449C8C4A" w14:textId="77777777" w:rsidR="00000000" w:rsidRDefault="00EE5306">
      <w:pPr>
        <w:ind w:hanging="360"/>
        <w:jc w:val="both"/>
        <w:divId w:val="1626035006"/>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The interest rate swap contract designated as a fair value hedge of the Company's 2.625% Senior Notes was settled during Fiscal 2021 at a loss of </w:t>
      </w:r>
      <w:r>
        <w:rPr>
          <w:rFonts w:eastAsia="Times New Roman"/>
          <w:color w:val="000000"/>
          <w:sz w:val="20"/>
          <w:szCs w:val="20"/>
          <w:shd w:val="clear" w:color="auto" w:fill="FFFFFF"/>
        </w:rPr>
        <w:t>$0.3 million</w:t>
      </w:r>
      <w:r>
        <w:rPr>
          <w:rFonts w:eastAsia="Times New Roman"/>
          <w:color w:val="000000"/>
          <w:sz w:val="20"/>
          <w:szCs w:val="20"/>
        </w:rPr>
        <w:t>.</w:t>
      </w:r>
    </w:p>
    <w:p w14:paraId="44BECAA0" w14:textId="77777777" w:rsidR="00000000" w:rsidRDefault="00EE5306">
      <w:pPr>
        <w:ind w:firstLine="360"/>
        <w:jc w:val="both"/>
        <w:divId w:val="512647238"/>
        <w:rPr>
          <w:rFonts w:eastAsia="Times New Roman"/>
        </w:rPr>
      </w:pPr>
      <w:r>
        <w:rPr>
          <w:rFonts w:eastAsia="Times New Roman"/>
          <w:i/>
          <w:iCs/>
          <w:color w:val="000000"/>
          <w:sz w:val="20"/>
          <w:szCs w:val="20"/>
        </w:rPr>
        <w:t>Cross-Currency Swap Contracts</w:t>
      </w:r>
    </w:p>
    <w:p w14:paraId="66702A7F" w14:textId="77777777" w:rsidR="00000000" w:rsidRDefault="00EE5306">
      <w:pPr>
        <w:ind w:firstLine="540"/>
        <w:jc w:val="both"/>
        <w:divId w:val="223227082"/>
        <w:rPr>
          <w:rFonts w:eastAsia="Times New Roman"/>
        </w:rPr>
      </w:pPr>
      <w:r>
        <w:rPr>
          <w:rFonts w:eastAsia="Times New Roman"/>
          <w:color w:val="000000"/>
          <w:sz w:val="20"/>
          <w:szCs w:val="20"/>
        </w:rPr>
        <w:t>The Company periodically designates (i) pay-floating rate, receive</w:t>
      </w:r>
      <w:r>
        <w:rPr>
          <w:rFonts w:eastAsia="Times New Roman"/>
          <w:color w:val="000000"/>
          <w:sz w:val="20"/>
          <w:szCs w:val="20"/>
        </w:rPr>
        <w:t xml:space="preserve">-floating rate cross-currency swap contracts or (ii) pay-fixed rate, receive fixed-rate cross-currency swap contracts as hedges of its net investment in certain of its European subsidiaries. </w:t>
      </w:r>
    </w:p>
    <w:p w14:paraId="781B4A30" w14:textId="77777777" w:rsidR="00000000" w:rsidRDefault="00EE5306">
      <w:pPr>
        <w:ind w:firstLine="540"/>
        <w:jc w:val="both"/>
        <w:divId w:val="1559852044"/>
        <w:rPr>
          <w:rFonts w:eastAsia="Times New Roman"/>
        </w:rPr>
      </w:pPr>
      <w:r>
        <w:rPr>
          <w:rFonts w:eastAsia="Times New Roman"/>
          <w:color w:val="000000"/>
          <w:sz w:val="20"/>
          <w:szCs w:val="20"/>
        </w:rPr>
        <w:t>The Company's pay-floating rate, receive-floating rate cross-cur</w:t>
      </w:r>
      <w:r>
        <w:rPr>
          <w:rFonts w:eastAsia="Times New Roman"/>
          <w:color w:val="000000"/>
          <w:sz w:val="20"/>
          <w:szCs w:val="20"/>
        </w:rPr>
        <w:t>rency swap contracts swap U.S. Dollar-denominated variable interest rate payments based on the contract's notional amount and 3-month LIBOR plus a fixed spread (as paid under a corresponding interest rate swap contract discussed above) for Euro-denominated</w:t>
      </w:r>
      <w:r>
        <w:rPr>
          <w:rFonts w:eastAsia="Times New Roman"/>
          <w:color w:val="000000"/>
          <w:sz w:val="20"/>
          <w:szCs w:val="20"/>
        </w:rPr>
        <w:t xml:space="preserve"> variable interest rate payments based on 3-month Euro Interbank Offered Rate ("EURIBOR") plus a fixed spread, which, in combination with the corresponding interest rate swap contract, economically converts a portion of the Company's fixed-rate U.S. Dollar</w:t>
      </w:r>
      <w:r>
        <w:rPr>
          <w:rFonts w:eastAsia="Times New Roman"/>
          <w:color w:val="000000"/>
          <w:sz w:val="20"/>
          <w:szCs w:val="20"/>
        </w:rPr>
        <w:t>-denominated senior note obligations to floating-rate Euro-denominated obligations.</w:t>
      </w:r>
    </w:p>
    <w:p w14:paraId="49F9FD89" w14:textId="77777777" w:rsidR="00000000" w:rsidRDefault="00EE5306">
      <w:pPr>
        <w:ind w:firstLine="540"/>
        <w:jc w:val="both"/>
        <w:divId w:val="443383074"/>
        <w:rPr>
          <w:rFonts w:eastAsia="Times New Roman"/>
        </w:rPr>
      </w:pPr>
      <w:r>
        <w:rPr>
          <w:rFonts w:eastAsia="Times New Roman"/>
          <w:color w:val="000000"/>
          <w:sz w:val="20"/>
          <w:szCs w:val="20"/>
        </w:rPr>
        <w:t>The Company's pay-fixed rate, receive-fixed rate cross-currency swap contracts swap U.S. Dollar-denominated fixed interest rate payments based on the contract's notional am</w:t>
      </w:r>
      <w:r>
        <w:rPr>
          <w:rFonts w:eastAsia="Times New Roman"/>
          <w:color w:val="000000"/>
          <w:sz w:val="20"/>
          <w:szCs w:val="20"/>
        </w:rPr>
        <w:t>ount and the fixed rate of interest payable on certain of the Company's senior notes for Euro-denominated fixed interest rate payments, thereby economically converting a portion of its fixed-rate U.S. Dollar-denominated senior note obligations to fixed-rat</w:t>
      </w:r>
      <w:r>
        <w:rPr>
          <w:rFonts w:eastAsia="Times New Roman"/>
          <w:color w:val="000000"/>
          <w:sz w:val="20"/>
          <w:szCs w:val="20"/>
        </w:rPr>
        <w:t>e Euro-denominated obligations.</w:t>
      </w:r>
    </w:p>
    <w:p w14:paraId="16805267" w14:textId="77777777" w:rsidR="00000000" w:rsidRDefault="00EE5306">
      <w:pPr>
        <w:ind w:firstLine="540"/>
        <w:jc w:val="both"/>
        <w:divId w:val="924144937"/>
        <w:rPr>
          <w:rFonts w:eastAsia="Times New Roman"/>
        </w:rPr>
      </w:pPr>
      <w:r>
        <w:rPr>
          <w:rFonts w:eastAsia="Times New Roman"/>
          <w:color w:val="000000"/>
          <w:sz w:val="20"/>
          <w:szCs w:val="20"/>
        </w:rPr>
        <w:t>See Note 3 for further discussion of the Company's accounting policies relating to its derivative financial instruments.</w:t>
      </w:r>
    </w:p>
    <w:p w14:paraId="53E606E5" w14:textId="77777777" w:rsidR="00000000" w:rsidRDefault="00EE5306">
      <w:pPr>
        <w:ind w:firstLine="360"/>
        <w:jc w:val="both"/>
        <w:divId w:val="581066049"/>
        <w:rPr>
          <w:rFonts w:eastAsia="Times New Roman"/>
        </w:rPr>
      </w:pPr>
      <w:r>
        <w:rPr>
          <w:rFonts w:eastAsia="Times New Roman"/>
          <w:b/>
          <w:bCs/>
          <w:i/>
          <w:iCs/>
          <w:color w:val="000000"/>
          <w:sz w:val="20"/>
          <w:szCs w:val="20"/>
        </w:rPr>
        <w:t>Investments</w:t>
      </w:r>
    </w:p>
    <w:p w14:paraId="3AA351FD" w14:textId="77777777" w:rsidR="00000000" w:rsidRDefault="00EE5306">
      <w:pPr>
        <w:ind w:firstLine="540"/>
        <w:jc w:val="both"/>
        <w:divId w:val="633871580"/>
        <w:rPr>
          <w:rFonts w:eastAsia="Times New Roman"/>
        </w:rPr>
      </w:pPr>
      <w:r>
        <w:rPr>
          <w:rFonts w:eastAsia="Times New Roman"/>
          <w:color w:val="000000"/>
          <w:sz w:val="20"/>
          <w:szCs w:val="20"/>
        </w:rPr>
        <w:t>As of March 27, 2021, the Company's investments were all classified as short-term and consi</w:t>
      </w:r>
      <w:r>
        <w:rPr>
          <w:rFonts w:eastAsia="Times New Roman"/>
          <w:color w:val="000000"/>
          <w:sz w:val="20"/>
          <w:szCs w:val="20"/>
        </w:rPr>
        <w:t>sted of $197.5 million of time deposits. The Company's investments as of March 28, 2020 were also all classified as short-term and consisted of $252.3 million of time deposits and $243.6 million of commercial paper.</w:t>
      </w:r>
    </w:p>
    <w:p w14:paraId="268D25BD" w14:textId="77777777" w:rsidR="00000000" w:rsidRDefault="00EE5306">
      <w:pPr>
        <w:ind w:firstLine="540"/>
        <w:jc w:val="both"/>
        <w:divId w:val="864828292"/>
        <w:rPr>
          <w:rFonts w:eastAsia="Times New Roman"/>
        </w:rPr>
      </w:pPr>
      <w:r>
        <w:rPr>
          <w:rFonts w:eastAsia="Times New Roman"/>
          <w:color w:val="000000"/>
          <w:sz w:val="20"/>
          <w:szCs w:val="20"/>
        </w:rPr>
        <w:t>No significant realized or unrealized ga</w:t>
      </w:r>
      <w:r>
        <w:rPr>
          <w:rFonts w:eastAsia="Times New Roman"/>
          <w:color w:val="000000"/>
          <w:sz w:val="20"/>
          <w:szCs w:val="20"/>
        </w:rPr>
        <w:t>ins or losses on available-for-sale investments or impairment charges were recorded in any of the fiscal years presented.</w:t>
      </w:r>
    </w:p>
    <w:p w14:paraId="0FED7A70" w14:textId="77777777" w:rsidR="00000000" w:rsidRDefault="00EE5306">
      <w:pPr>
        <w:ind w:firstLine="540"/>
        <w:jc w:val="both"/>
        <w:divId w:val="1309626818"/>
        <w:rPr>
          <w:rFonts w:eastAsia="Times New Roman"/>
        </w:rPr>
      </w:pPr>
      <w:r>
        <w:rPr>
          <w:rFonts w:eastAsia="Times New Roman"/>
          <w:color w:val="000000"/>
          <w:sz w:val="20"/>
          <w:szCs w:val="20"/>
        </w:rPr>
        <w:t>See Note 3 for further discussion of the Company's accounting policies relating to its investments.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BBAAD76" w14:textId="77777777">
        <w:trPr>
          <w:divId w:val="1011177231"/>
          <w:jc w:val="center"/>
        </w:trPr>
        <w:tc>
          <w:tcPr>
            <w:tcW w:w="50" w:type="pct"/>
            <w:vAlign w:val="center"/>
            <w:hideMark/>
          </w:tcPr>
          <w:p w14:paraId="247EC5B3" w14:textId="77777777" w:rsidR="00000000" w:rsidRDefault="00EE5306">
            <w:pPr>
              <w:ind w:firstLine="540"/>
              <w:jc w:val="both"/>
              <w:rPr>
                <w:rFonts w:eastAsia="Times New Roman"/>
              </w:rPr>
            </w:pPr>
          </w:p>
        </w:tc>
        <w:tc>
          <w:tcPr>
            <w:tcW w:w="1699" w:type="pct"/>
            <w:vAlign w:val="center"/>
            <w:hideMark/>
          </w:tcPr>
          <w:p w14:paraId="2E73218B" w14:textId="77777777" w:rsidR="00000000" w:rsidRDefault="00EE5306">
            <w:pPr>
              <w:spacing w:after="100"/>
              <w:rPr>
                <w:rFonts w:eastAsia="Times New Roman"/>
                <w:sz w:val="20"/>
                <w:szCs w:val="20"/>
              </w:rPr>
            </w:pPr>
          </w:p>
        </w:tc>
        <w:tc>
          <w:tcPr>
            <w:tcW w:w="5" w:type="pct"/>
            <w:vAlign w:val="center"/>
            <w:hideMark/>
          </w:tcPr>
          <w:p w14:paraId="11DAB035" w14:textId="77777777" w:rsidR="00000000" w:rsidRDefault="00EE5306">
            <w:pPr>
              <w:spacing w:after="100"/>
              <w:rPr>
                <w:rFonts w:eastAsia="Times New Roman"/>
                <w:sz w:val="20"/>
                <w:szCs w:val="20"/>
              </w:rPr>
            </w:pPr>
          </w:p>
        </w:tc>
        <w:tc>
          <w:tcPr>
            <w:tcW w:w="50" w:type="pct"/>
            <w:vAlign w:val="center"/>
            <w:hideMark/>
          </w:tcPr>
          <w:p w14:paraId="0DA6AB83" w14:textId="77777777" w:rsidR="00000000" w:rsidRDefault="00EE5306">
            <w:pPr>
              <w:spacing w:after="100"/>
              <w:rPr>
                <w:rFonts w:eastAsia="Times New Roman"/>
                <w:sz w:val="20"/>
                <w:szCs w:val="20"/>
              </w:rPr>
            </w:pPr>
          </w:p>
        </w:tc>
        <w:tc>
          <w:tcPr>
            <w:tcW w:w="1436" w:type="pct"/>
            <w:vAlign w:val="center"/>
            <w:hideMark/>
          </w:tcPr>
          <w:p w14:paraId="4E0E744A" w14:textId="77777777" w:rsidR="00000000" w:rsidRDefault="00EE5306">
            <w:pPr>
              <w:spacing w:after="100"/>
              <w:rPr>
                <w:rFonts w:eastAsia="Times New Roman"/>
                <w:sz w:val="20"/>
                <w:szCs w:val="20"/>
              </w:rPr>
            </w:pPr>
          </w:p>
        </w:tc>
        <w:tc>
          <w:tcPr>
            <w:tcW w:w="5" w:type="pct"/>
            <w:vAlign w:val="center"/>
            <w:hideMark/>
          </w:tcPr>
          <w:p w14:paraId="1B902176" w14:textId="77777777" w:rsidR="00000000" w:rsidRDefault="00EE5306">
            <w:pPr>
              <w:spacing w:after="100"/>
              <w:rPr>
                <w:rFonts w:eastAsia="Times New Roman"/>
                <w:sz w:val="20"/>
                <w:szCs w:val="20"/>
              </w:rPr>
            </w:pPr>
          </w:p>
        </w:tc>
        <w:tc>
          <w:tcPr>
            <w:tcW w:w="50" w:type="pct"/>
            <w:vAlign w:val="center"/>
            <w:hideMark/>
          </w:tcPr>
          <w:p w14:paraId="036078E6" w14:textId="77777777" w:rsidR="00000000" w:rsidRDefault="00EE5306">
            <w:pPr>
              <w:spacing w:after="100"/>
              <w:rPr>
                <w:rFonts w:eastAsia="Times New Roman"/>
                <w:sz w:val="20"/>
                <w:szCs w:val="20"/>
              </w:rPr>
            </w:pPr>
          </w:p>
        </w:tc>
        <w:tc>
          <w:tcPr>
            <w:tcW w:w="1699" w:type="pct"/>
            <w:vAlign w:val="center"/>
            <w:hideMark/>
          </w:tcPr>
          <w:p w14:paraId="270AB88B" w14:textId="77777777" w:rsidR="00000000" w:rsidRDefault="00EE5306">
            <w:pPr>
              <w:spacing w:after="100"/>
              <w:rPr>
                <w:rFonts w:eastAsia="Times New Roman"/>
                <w:sz w:val="20"/>
                <w:szCs w:val="20"/>
              </w:rPr>
            </w:pPr>
          </w:p>
        </w:tc>
        <w:tc>
          <w:tcPr>
            <w:tcW w:w="5" w:type="pct"/>
            <w:vAlign w:val="center"/>
            <w:hideMark/>
          </w:tcPr>
          <w:p w14:paraId="61566DAF" w14:textId="77777777" w:rsidR="00000000" w:rsidRDefault="00EE5306">
            <w:pPr>
              <w:spacing w:after="100"/>
              <w:rPr>
                <w:rFonts w:eastAsia="Times New Roman"/>
                <w:sz w:val="20"/>
                <w:szCs w:val="20"/>
              </w:rPr>
            </w:pPr>
          </w:p>
        </w:tc>
      </w:tr>
      <w:tr w:rsidR="00000000" w14:paraId="1E257E68" w14:textId="77777777">
        <w:trPr>
          <w:divId w:val="1011177231"/>
          <w:jc w:val="center"/>
        </w:trPr>
        <w:tc>
          <w:tcPr>
            <w:tcW w:w="0" w:type="auto"/>
            <w:gridSpan w:val="3"/>
            <w:tcMar>
              <w:top w:w="0" w:type="dxa"/>
              <w:left w:w="20" w:type="dxa"/>
              <w:bottom w:w="0" w:type="dxa"/>
              <w:right w:w="20" w:type="dxa"/>
            </w:tcMar>
            <w:vAlign w:val="center"/>
            <w:hideMark/>
          </w:tcPr>
          <w:p w14:paraId="539D6E5E"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99FF892" w14:textId="77777777" w:rsidR="00000000" w:rsidRDefault="00EE5306">
            <w:pPr>
              <w:spacing w:after="100"/>
              <w:jc w:val="center"/>
              <w:rPr>
                <w:rFonts w:eastAsia="Times New Roman"/>
              </w:rPr>
            </w:pPr>
            <w:r>
              <w:rPr>
                <w:rFonts w:eastAsia="Times New Roman"/>
                <w:color w:val="000000"/>
                <w:sz w:val="20"/>
                <w:szCs w:val="20"/>
              </w:rPr>
              <w:t>F-41</w:t>
            </w:r>
          </w:p>
        </w:tc>
        <w:tc>
          <w:tcPr>
            <w:tcW w:w="0" w:type="auto"/>
            <w:gridSpan w:val="3"/>
            <w:tcMar>
              <w:top w:w="0" w:type="dxa"/>
              <w:left w:w="20" w:type="dxa"/>
              <w:bottom w:w="0" w:type="dxa"/>
              <w:right w:w="20" w:type="dxa"/>
            </w:tcMar>
            <w:vAlign w:val="center"/>
            <w:hideMark/>
          </w:tcPr>
          <w:p w14:paraId="690FCC82" w14:textId="77777777" w:rsidR="00000000" w:rsidRDefault="00EE5306">
            <w:pPr>
              <w:spacing w:after="100"/>
              <w:jc w:val="center"/>
              <w:rPr>
                <w:rFonts w:eastAsia="Times New Roman"/>
              </w:rPr>
            </w:pPr>
          </w:p>
        </w:tc>
      </w:tr>
    </w:tbl>
    <w:p w14:paraId="1F6F13D4" w14:textId="77777777" w:rsidR="00000000" w:rsidRDefault="00EE5306">
      <w:pPr>
        <w:rPr>
          <w:rFonts w:eastAsia="Times New Roman"/>
        </w:rPr>
      </w:pPr>
      <w:r>
        <w:rPr>
          <w:rFonts w:eastAsia="Times New Roman"/>
        </w:rPr>
        <w:pict w14:anchorId="5C2E6933">
          <v:rect id="_x0000_i1151" style="width:0;height:1.5pt" o:hralign="center" o:hrstd="t" o:hr="t" fillcolor="#a0a0a0" stroked="f"/>
        </w:pict>
      </w:r>
    </w:p>
    <w:p w14:paraId="035880C3" w14:textId="77777777" w:rsidR="00000000" w:rsidRDefault="00EE5306">
      <w:pPr>
        <w:jc w:val="center"/>
        <w:divId w:val="1104304820"/>
        <w:rPr>
          <w:rFonts w:eastAsia="Times New Roman"/>
        </w:rPr>
      </w:pPr>
    </w:p>
    <w:p w14:paraId="75507D06" w14:textId="77777777" w:rsidR="00000000" w:rsidRDefault="00EE5306">
      <w:pPr>
        <w:jc w:val="center"/>
        <w:divId w:val="1104304820"/>
        <w:rPr>
          <w:rFonts w:eastAsia="Times New Roman"/>
        </w:rPr>
      </w:pPr>
      <w:r>
        <w:rPr>
          <w:rFonts w:eastAsia="Times New Roman"/>
          <w:b/>
          <w:bCs/>
          <w:color w:val="000000"/>
          <w:sz w:val="20"/>
          <w:szCs w:val="20"/>
        </w:rPr>
        <w:t>RALPH LAUREN CORPORATION</w:t>
      </w:r>
    </w:p>
    <w:p w14:paraId="2BD93442" w14:textId="77777777" w:rsidR="00000000" w:rsidRDefault="00EE5306">
      <w:pPr>
        <w:jc w:val="center"/>
        <w:divId w:val="211314430"/>
        <w:rPr>
          <w:rFonts w:eastAsia="Times New Roman"/>
        </w:rPr>
      </w:pPr>
      <w:r>
        <w:rPr>
          <w:rFonts w:eastAsia="Times New Roman"/>
          <w:b/>
          <w:bCs/>
          <w:color w:val="000000"/>
          <w:sz w:val="20"/>
          <w:szCs w:val="20"/>
        </w:rPr>
        <w:t>NOTES TO CONSOLIDATED FINANCIAL STATEMENTS (Continued)</w:t>
      </w:r>
    </w:p>
    <w:p w14:paraId="46B6A32A" w14:textId="77777777" w:rsidR="00000000" w:rsidRDefault="00EE5306">
      <w:pPr>
        <w:ind w:hanging="540"/>
        <w:divId w:val="1289315176"/>
        <w:rPr>
          <w:rFonts w:eastAsia="Times New Roman"/>
        </w:rPr>
      </w:pPr>
      <w:r>
        <w:rPr>
          <w:rFonts w:eastAsia="Times New Roman"/>
          <w:b/>
          <w:bCs/>
          <w:color w:val="000000"/>
          <w:sz w:val="20"/>
          <w:szCs w:val="20"/>
        </w:rPr>
        <w:t>14.    Leases</w:t>
      </w:r>
    </w:p>
    <w:p w14:paraId="679E5E45" w14:textId="77777777" w:rsidR="00000000" w:rsidRDefault="00EE5306">
      <w:pPr>
        <w:ind w:firstLine="540"/>
        <w:jc w:val="both"/>
        <w:divId w:val="959340146"/>
        <w:rPr>
          <w:rFonts w:eastAsia="Times New Roman"/>
        </w:rPr>
      </w:pPr>
      <w:r>
        <w:rPr>
          <w:rFonts w:eastAsia="Times New Roman"/>
          <w:color w:val="000000"/>
          <w:sz w:val="20"/>
          <w:szCs w:val="20"/>
        </w:rPr>
        <w:t>The following table summarizes ROU assets and lease liabilities recorded on the Company's consolidated balance sheet:</w:t>
      </w:r>
    </w:p>
    <w:tbl>
      <w:tblPr>
        <w:tblW w:w="4692" w:type="pct"/>
        <w:tblCellMar>
          <w:top w:w="15" w:type="dxa"/>
          <w:left w:w="15" w:type="dxa"/>
          <w:bottom w:w="15" w:type="dxa"/>
          <w:right w:w="15" w:type="dxa"/>
        </w:tblCellMar>
        <w:tblLook w:val="04A0" w:firstRow="1" w:lastRow="0" w:firstColumn="1" w:lastColumn="0" w:noHBand="0" w:noVBand="1"/>
      </w:tblPr>
      <w:tblGrid>
        <w:gridCol w:w="40"/>
        <w:gridCol w:w="2396"/>
        <w:gridCol w:w="38"/>
        <w:gridCol w:w="36"/>
        <w:gridCol w:w="76"/>
        <w:gridCol w:w="36"/>
        <w:gridCol w:w="120"/>
        <w:gridCol w:w="844"/>
        <w:gridCol w:w="36"/>
        <w:gridCol w:w="36"/>
        <w:gridCol w:w="36"/>
        <w:gridCol w:w="36"/>
        <w:gridCol w:w="120"/>
        <w:gridCol w:w="811"/>
        <w:gridCol w:w="36"/>
        <w:gridCol w:w="36"/>
        <w:gridCol w:w="36"/>
        <w:gridCol w:w="36"/>
        <w:gridCol w:w="39"/>
        <w:gridCol w:w="2912"/>
        <w:gridCol w:w="38"/>
      </w:tblGrid>
      <w:tr w:rsidR="00000000" w14:paraId="102F4546" w14:textId="77777777">
        <w:trPr>
          <w:divId w:val="481580632"/>
        </w:trPr>
        <w:tc>
          <w:tcPr>
            <w:tcW w:w="50" w:type="pct"/>
            <w:vAlign w:val="center"/>
            <w:hideMark/>
          </w:tcPr>
          <w:p w14:paraId="41935901" w14:textId="77777777" w:rsidR="00000000" w:rsidRDefault="00EE5306">
            <w:pPr>
              <w:ind w:firstLine="540"/>
              <w:jc w:val="both"/>
              <w:rPr>
                <w:rFonts w:eastAsia="Times New Roman"/>
              </w:rPr>
            </w:pPr>
          </w:p>
        </w:tc>
        <w:tc>
          <w:tcPr>
            <w:tcW w:w="1564" w:type="pct"/>
            <w:vAlign w:val="center"/>
            <w:hideMark/>
          </w:tcPr>
          <w:p w14:paraId="4CCA5055" w14:textId="77777777" w:rsidR="00000000" w:rsidRDefault="00EE5306">
            <w:pPr>
              <w:spacing w:after="100"/>
              <w:rPr>
                <w:rFonts w:eastAsia="Times New Roman"/>
                <w:sz w:val="20"/>
                <w:szCs w:val="20"/>
              </w:rPr>
            </w:pPr>
          </w:p>
        </w:tc>
        <w:tc>
          <w:tcPr>
            <w:tcW w:w="5" w:type="pct"/>
            <w:vAlign w:val="center"/>
            <w:hideMark/>
          </w:tcPr>
          <w:p w14:paraId="0878A5F9" w14:textId="77777777" w:rsidR="00000000" w:rsidRDefault="00EE5306">
            <w:pPr>
              <w:spacing w:after="100"/>
              <w:rPr>
                <w:rFonts w:eastAsia="Times New Roman"/>
                <w:sz w:val="20"/>
                <w:szCs w:val="20"/>
              </w:rPr>
            </w:pPr>
          </w:p>
        </w:tc>
        <w:tc>
          <w:tcPr>
            <w:tcW w:w="5" w:type="pct"/>
            <w:vAlign w:val="center"/>
            <w:hideMark/>
          </w:tcPr>
          <w:p w14:paraId="1783F3D0" w14:textId="77777777" w:rsidR="00000000" w:rsidRDefault="00EE5306">
            <w:pPr>
              <w:spacing w:after="100"/>
              <w:rPr>
                <w:rFonts w:eastAsia="Times New Roman"/>
                <w:sz w:val="20"/>
                <w:szCs w:val="20"/>
              </w:rPr>
            </w:pPr>
          </w:p>
        </w:tc>
        <w:tc>
          <w:tcPr>
            <w:tcW w:w="75" w:type="pct"/>
            <w:vAlign w:val="center"/>
            <w:hideMark/>
          </w:tcPr>
          <w:p w14:paraId="3C2D2870" w14:textId="77777777" w:rsidR="00000000" w:rsidRDefault="00EE5306">
            <w:pPr>
              <w:spacing w:after="100"/>
              <w:rPr>
                <w:rFonts w:eastAsia="Times New Roman"/>
                <w:sz w:val="20"/>
                <w:szCs w:val="20"/>
              </w:rPr>
            </w:pPr>
          </w:p>
        </w:tc>
        <w:tc>
          <w:tcPr>
            <w:tcW w:w="5" w:type="pct"/>
            <w:vAlign w:val="center"/>
            <w:hideMark/>
          </w:tcPr>
          <w:p w14:paraId="2B751B2B" w14:textId="77777777" w:rsidR="00000000" w:rsidRDefault="00EE5306">
            <w:pPr>
              <w:spacing w:after="100"/>
              <w:rPr>
                <w:rFonts w:eastAsia="Times New Roman"/>
                <w:sz w:val="20"/>
                <w:szCs w:val="20"/>
              </w:rPr>
            </w:pPr>
          </w:p>
        </w:tc>
        <w:tc>
          <w:tcPr>
            <w:tcW w:w="50" w:type="pct"/>
            <w:vAlign w:val="center"/>
            <w:hideMark/>
          </w:tcPr>
          <w:p w14:paraId="46A0093A" w14:textId="77777777" w:rsidR="00000000" w:rsidRDefault="00EE5306">
            <w:pPr>
              <w:spacing w:after="100"/>
              <w:rPr>
                <w:rFonts w:eastAsia="Times New Roman"/>
                <w:sz w:val="20"/>
                <w:szCs w:val="20"/>
              </w:rPr>
            </w:pPr>
          </w:p>
        </w:tc>
        <w:tc>
          <w:tcPr>
            <w:tcW w:w="568" w:type="pct"/>
            <w:vAlign w:val="center"/>
            <w:hideMark/>
          </w:tcPr>
          <w:p w14:paraId="048ED04A" w14:textId="77777777" w:rsidR="00000000" w:rsidRDefault="00EE5306">
            <w:pPr>
              <w:spacing w:after="100"/>
              <w:rPr>
                <w:rFonts w:eastAsia="Times New Roman"/>
                <w:sz w:val="20"/>
                <w:szCs w:val="20"/>
              </w:rPr>
            </w:pPr>
          </w:p>
        </w:tc>
        <w:tc>
          <w:tcPr>
            <w:tcW w:w="5" w:type="pct"/>
            <w:vAlign w:val="center"/>
            <w:hideMark/>
          </w:tcPr>
          <w:p w14:paraId="75D94EAB" w14:textId="77777777" w:rsidR="00000000" w:rsidRDefault="00EE5306">
            <w:pPr>
              <w:spacing w:after="100"/>
              <w:rPr>
                <w:rFonts w:eastAsia="Times New Roman"/>
                <w:sz w:val="20"/>
                <w:szCs w:val="20"/>
              </w:rPr>
            </w:pPr>
          </w:p>
        </w:tc>
        <w:tc>
          <w:tcPr>
            <w:tcW w:w="5" w:type="pct"/>
            <w:vAlign w:val="center"/>
            <w:hideMark/>
          </w:tcPr>
          <w:p w14:paraId="2CABE145" w14:textId="77777777" w:rsidR="00000000" w:rsidRDefault="00EE5306">
            <w:pPr>
              <w:spacing w:after="100"/>
              <w:rPr>
                <w:rFonts w:eastAsia="Times New Roman"/>
                <w:sz w:val="20"/>
                <w:szCs w:val="20"/>
              </w:rPr>
            </w:pPr>
          </w:p>
        </w:tc>
        <w:tc>
          <w:tcPr>
            <w:tcW w:w="28" w:type="pct"/>
            <w:vAlign w:val="center"/>
            <w:hideMark/>
          </w:tcPr>
          <w:p w14:paraId="58EDE450" w14:textId="77777777" w:rsidR="00000000" w:rsidRDefault="00EE5306">
            <w:pPr>
              <w:spacing w:after="100"/>
              <w:rPr>
                <w:rFonts w:eastAsia="Times New Roman"/>
                <w:sz w:val="20"/>
                <w:szCs w:val="20"/>
              </w:rPr>
            </w:pPr>
          </w:p>
        </w:tc>
        <w:tc>
          <w:tcPr>
            <w:tcW w:w="5" w:type="pct"/>
            <w:vAlign w:val="center"/>
            <w:hideMark/>
          </w:tcPr>
          <w:p w14:paraId="395CBF82" w14:textId="77777777" w:rsidR="00000000" w:rsidRDefault="00EE5306">
            <w:pPr>
              <w:spacing w:after="100"/>
              <w:rPr>
                <w:rFonts w:eastAsia="Times New Roman"/>
                <w:sz w:val="20"/>
                <w:szCs w:val="20"/>
              </w:rPr>
            </w:pPr>
          </w:p>
        </w:tc>
        <w:tc>
          <w:tcPr>
            <w:tcW w:w="50" w:type="pct"/>
            <w:vAlign w:val="center"/>
            <w:hideMark/>
          </w:tcPr>
          <w:p w14:paraId="362BAE07" w14:textId="77777777" w:rsidR="00000000" w:rsidRDefault="00EE5306">
            <w:pPr>
              <w:spacing w:after="100"/>
              <w:rPr>
                <w:rFonts w:eastAsia="Times New Roman"/>
                <w:sz w:val="20"/>
                <w:szCs w:val="20"/>
              </w:rPr>
            </w:pPr>
          </w:p>
        </w:tc>
        <w:tc>
          <w:tcPr>
            <w:tcW w:w="568" w:type="pct"/>
            <w:vAlign w:val="center"/>
            <w:hideMark/>
          </w:tcPr>
          <w:p w14:paraId="44C0072D" w14:textId="77777777" w:rsidR="00000000" w:rsidRDefault="00EE5306">
            <w:pPr>
              <w:spacing w:after="100"/>
              <w:rPr>
                <w:rFonts w:eastAsia="Times New Roman"/>
                <w:sz w:val="20"/>
                <w:szCs w:val="20"/>
              </w:rPr>
            </w:pPr>
          </w:p>
        </w:tc>
        <w:tc>
          <w:tcPr>
            <w:tcW w:w="5" w:type="pct"/>
            <w:vAlign w:val="center"/>
            <w:hideMark/>
          </w:tcPr>
          <w:p w14:paraId="15E031E0" w14:textId="77777777" w:rsidR="00000000" w:rsidRDefault="00EE5306">
            <w:pPr>
              <w:spacing w:after="100"/>
              <w:rPr>
                <w:rFonts w:eastAsia="Times New Roman"/>
                <w:sz w:val="20"/>
                <w:szCs w:val="20"/>
              </w:rPr>
            </w:pPr>
          </w:p>
        </w:tc>
        <w:tc>
          <w:tcPr>
            <w:tcW w:w="5" w:type="pct"/>
            <w:vAlign w:val="center"/>
            <w:hideMark/>
          </w:tcPr>
          <w:p w14:paraId="54E620C3" w14:textId="77777777" w:rsidR="00000000" w:rsidRDefault="00EE5306">
            <w:pPr>
              <w:spacing w:after="100"/>
              <w:rPr>
                <w:rFonts w:eastAsia="Times New Roman"/>
                <w:sz w:val="20"/>
                <w:szCs w:val="20"/>
              </w:rPr>
            </w:pPr>
          </w:p>
        </w:tc>
        <w:tc>
          <w:tcPr>
            <w:tcW w:w="28" w:type="pct"/>
            <w:vAlign w:val="center"/>
            <w:hideMark/>
          </w:tcPr>
          <w:p w14:paraId="1B83B022" w14:textId="77777777" w:rsidR="00000000" w:rsidRDefault="00EE5306">
            <w:pPr>
              <w:spacing w:after="100"/>
              <w:rPr>
                <w:rFonts w:eastAsia="Times New Roman"/>
                <w:sz w:val="20"/>
                <w:szCs w:val="20"/>
              </w:rPr>
            </w:pPr>
          </w:p>
        </w:tc>
        <w:tc>
          <w:tcPr>
            <w:tcW w:w="5" w:type="pct"/>
            <w:vAlign w:val="center"/>
            <w:hideMark/>
          </w:tcPr>
          <w:p w14:paraId="2608D348" w14:textId="77777777" w:rsidR="00000000" w:rsidRDefault="00EE5306">
            <w:pPr>
              <w:spacing w:after="100"/>
              <w:rPr>
                <w:rFonts w:eastAsia="Times New Roman"/>
                <w:sz w:val="20"/>
                <w:szCs w:val="20"/>
              </w:rPr>
            </w:pPr>
          </w:p>
        </w:tc>
        <w:tc>
          <w:tcPr>
            <w:tcW w:w="50" w:type="pct"/>
            <w:vAlign w:val="center"/>
            <w:hideMark/>
          </w:tcPr>
          <w:p w14:paraId="3B9E3D36" w14:textId="77777777" w:rsidR="00000000" w:rsidRDefault="00EE5306">
            <w:pPr>
              <w:spacing w:after="100"/>
              <w:rPr>
                <w:rFonts w:eastAsia="Times New Roman"/>
                <w:sz w:val="20"/>
                <w:szCs w:val="20"/>
              </w:rPr>
            </w:pPr>
          </w:p>
        </w:tc>
        <w:tc>
          <w:tcPr>
            <w:tcW w:w="1915" w:type="pct"/>
            <w:vAlign w:val="center"/>
            <w:hideMark/>
          </w:tcPr>
          <w:p w14:paraId="409F021B" w14:textId="77777777" w:rsidR="00000000" w:rsidRDefault="00EE5306">
            <w:pPr>
              <w:spacing w:after="100"/>
              <w:rPr>
                <w:rFonts w:eastAsia="Times New Roman"/>
                <w:sz w:val="20"/>
                <w:szCs w:val="20"/>
              </w:rPr>
            </w:pPr>
          </w:p>
        </w:tc>
        <w:tc>
          <w:tcPr>
            <w:tcW w:w="5" w:type="pct"/>
            <w:vAlign w:val="center"/>
            <w:hideMark/>
          </w:tcPr>
          <w:p w14:paraId="2F209635" w14:textId="77777777" w:rsidR="00000000" w:rsidRDefault="00EE5306">
            <w:pPr>
              <w:spacing w:after="100"/>
              <w:rPr>
                <w:rFonts w:eastAsia="Times New Roman"/>
                <w:sz w:val="20"/>
                <w:szCs w:val="20"/>
              </w:rPr>
            </w:pPr>
          </w:p>
        </w:tc>
      </w:tr>
      <w:tr w:rsidR="00000000" w14:paraId="583C4EAD" w14:textId="77777777">
        <w:trPr>
          <w:divId w:val="481580632"/>
        </w:trPr>
        <w:tc>
          <w:tcPr>
            <w:tcW w:w="0" w:type="auto"/>
            <w:gridSpan w:val="3"/>
            <w:tcMar>
              <w:top w:w="0" w:type="dxa"/>
              <w:left w:w="20" w:type="dxa"/>
              <w:bottom w:w="0" w:type="dxa"/>
              <w:right w:w="20" w:type="dxa"/>
            </w:tcMar>
            <w:vAlign w:val="center"/>
            <w:hideMark/>
          </w:tcPr>
          <w:p w14:paraId="008155FE"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CC904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EC86EBA"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A4CC715"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E7E77F2"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04CC80EB"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47A708B" w14:textId="77777777" w:rsidR="00000000" w:rsidRDefault="00EE5306">
            <w:pPr>
              <w:spacing w:after="100"/>
              <w:jc w:val="center"/>
              <w:rPr>
                <w:rFonts w:eastAsia="Times New Roman"/>
              </w:rPr>
            </w:pPr>
            <w:r>
              <w:rPr>
                <w:rFonts w:eastAsia="Times New Roman"/>
                <w:b/>
                <w:bCs/>
                <w:color w:val="000000"/>
                <w:sz w:val="16"/>
                <w:szCs w:val="16"/>
              </w:rPr>
              <w:t>Location Recorded on Balance Sheet</w:t>
            </w:r>
          </w:p>
        </w:tc>
      </w:tr>
      <w:tr w:rsidR="00000000" w14:paraId="651B3E5C" w14:textId="77777777">
        <w:trPr>
          <w:divId w:val="481580632"/>
        </w:trPr>
        <w:tc>
          <w:tcPr>
            <w:tcW w:w="0" w:type="auto"/>
            <w:gridSpan w:val="3"/>
            <w:tcMar>
              <w:top w:w="0" w:type="dxa"/>
              <w:left w:w="20" w:type="dxa"/>
              <w:bottom w:w="0" w:type="dxa"/>
              <w:right w:w="20" w:type="dxa"/>
            </w:tcMar>
            <w:vAlign w:val="center"/>
            <w:hideMark/>
          </w:tcPr>
          <w:p w14:paraId="1CA315F2"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78DA940" w14:textId="77777777" w:rsidR="00000000" w:rsidRDefault="00EE530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0A2C8E7"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100218CB"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B7DD32D" w14:textId="77777777" w:rsidR="00000000" w:rsidRDefault="00EE5306">
            <w:pPr>
              <w:spacing w:after="100"/>
              <w:rPr>
                <w:rFonts w:eastAsia="Times New Roman"/>
                <w:sz w:val="20"/>
                <w:szCs w:val="20"/>
              </w:rPr>
            </w:pPr>
          </w:p>
        </w:tc>
      </w:tr>
      <w:tr w:rsidR="00000000" w14:paraId="3D30304C" w14:textId="77777777">
        <w:trPr>
          <w:divId w:val="481580632"/>
        </w:trPr>
        <w:tc>
          <w:tcPr>
            <w:tcW w:w="0" w:type="auto"/>
            <w:gridSpan w:val="3"/>
            <w:shd w:val="clear" w:color="auto" w:fill="FFFFFF"/>
            <w:tcMar>
              <w:top w:w="30" w:type="dxa"/>
              <w:left w:w="20" w:type="dxa"/>
              <w:bottom w:w="30" w:type="dxa"/>
              <w:right w:w="20" w:type="dxa"/>
            </w:tcMar>
            <w:vAlign w:val="bottom"/>
            <w:hideMark/>
          </w:tcPr>
          <w:p w14:paraId="61344788" w14:textId="77777777" w:rsidR="00000000" w:rsidRDefault="00EE5306">
            <w:pPr>
              <w:spacing w:after="100"/>
              <w:rPr>
                <w:rFonts w:eastAsia="Times New Roman"/>
              </w:rPr>
            </w:pPr>
            <w:r>
              <w:rPr>
                <w:rFonts w:eastAsia="Times New Roman"/>
                <w:b/>
                <w:bCs/>
                <w:color w:val="000000"/>
                <w:sz w:val="20"/>
                <w:szCs w:val="20"/>
              </w:rPr>
              <w:t>Assets:</w:t>
            </w:r>
          </w:p>
        </w:tc>
        <w:tc>
          <w:tcPr>
            <w:tcW w:w="0" w:type="auto"/>
            <w:gridSpan w:val="3"/>
            <w:shd w:val="clear" w:color="auto" w:fill="FFFFFF"/>
            <w:tcMar>
              <w:top w:w="0" w:type="dxa"/>
              <w:left w:w="20" w:type="dxa"/>
              <w:bottom w:w="0" w:type="dxa"/>
              <w:right w:w="20" w:type="dxa"/>
            </w:tcMar>
            <w:vAlign w:val="center"/>
            <w:hideMark/>
          </w:tcPr>
          <w:p w14:paraId="2DA90CC4"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B854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15F3D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37D47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DEF23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FFBE31" w14:textId="77777777" w:rsidR="00000000" w:rsidRDefault="00EE5306">
            <w:pPr>
              <w:spacing w:after="100"/>
              <w:rPr>
                <w:rFonts w:eastAsia="Times New Roman"/>
                <w:sz w:val="20"/>
                <w:szCs w:val="20"/>
              </w:rPr>
            </w:pPr>
          </w:p>
        </w:tc>
      </w:tr>
      <w:tr w:rsidR="00000000" w14:paraId="1C88A3F3" w14:textId="77777777">
        <w:trPr>
          <w:divId w:val="481580632"/>
        </w:trPr>
        <w:tc>
          <w:tcPr>
            <w:tcW w:w="0" w:type="auto"/>
            <w:gridSpan w:val="3"/>
            <w:shd w:val="clear" w:color="auto" w:fill="CCEEFF"/>
            <w:tcMar>
              <w:top w:w="30" w:type="dxa"/>
              <w:left w:w="155" w:type="dxa"/>
              <w:bottom w:w="30" w:type="dxa"/>
              <w:right w:w="20" w:type="dxa"/>
            </w:tcMar>
            <w:vAlign w:val="bottom"/>
            <w:hideMark/>
          </w:tcPr>
          <w:p w14:paraId="7CB9ACEC" w14:textId="77777777" w:rsidR="00000000" w:rsidRDefault="00EE5306">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14:paraId="7A2BC75A"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C8BBE0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052560" w14:textId="77777777" w:rsidR="00000000" w:rsidRDefault="00EE5306">
            <w:pPr>
              <w:spacing w:after="100"/>
              <w:jc w:val="right"/>
              <w:rPr>
                <w:rFonts w:eastAsia="Times New Roman"/>
              </w:rPr>
            </w:pPr>
            <w:r>
              <w:rPr>
                <w:rFonts w:eastAsia="Times New Roman"/>
                <w:color w:val="000000"/>
                <w:sz w:val="20"/>
                <w:szCs w:val="20"/>
              </w:rPr>
              <w:t>1,239.5 </w:t>
            </w:r>
          </w:p>
        </w:tc>
        <w:tc>
          <w:tcPr>
            <w:tcW w:w="0" w:type="auto"/>
            <w:shd w:val="clear" w:color="auto" w:fill="CCEEFF"/>
            <w:tcMar>
              <w:top w:w="30" w:type="dxa"/>
              <w:left w:w="0" w:type="dxa"/>
              <w:bottom w:w="30" w:type="dxa"/>
              <w:right w:w="20" w:type="dxa"/>
            </w:tcMar>
            <w:vAlign w:val="bottom"/>
            <w:hideMark/>
          </w:tcPr>
          <w:p w14:paraId="187794D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5C21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43B8D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1794DB" w14:textId="77777777" w:rsidR="00000000" w:rsidRDefault="00EE5306">
            <w:pPr>
              <w:spacing w:after="100"/>
              <w:jc w:val="right"/>
              <w:rPr>
                <w:rFonts w:eastAsia="Times New Roman"/>
              </w:rPr>
            </w:pPr>
            <w:r>
              <w:rPr>
                <w:rFonts w:eastAsia="Times New Roman"/>
                <w:color w:val="000000"/>
                <w:sz w:val="20"/>
                <w:szCs w:val="20"/>
              </w:rPr>
              <w:t>1,511.6 </w:t>
            </w:r>
          </w:p>
        </w:tc>
        <w:tc>
          <w:tcPr>
            <w:tcW w:w="0" w:type="auto"/>
            <w:shd w:val="clear" w:color="auto" w:fill="CCEEFF"/>
            <w:tcMar>
              <w:top w:w="30" w:type="dxa"/>
              <w:left w:w="0" w:type="dxa"/>
              <w:bottom w:w="30" w:type="dxa"/>
              <w:right w:w="20" w:type="dxa"/>
            </w:tcMar>
            <w:vAlign w:val="bottom"/>
            <w:hideMark/>
          </w:tcPr>
          <w:p w14:paraId="62B6739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D667D"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1D17BD6" w14:textId="77777777" w:rsidR="00000000" w:rsidRDefault="00EE5306">
            <w:pPr>
              <w:spacing w:after="100"/>
              <w:rPr>
                <w:rFonts w:eastAsia="Times New Roman"/>
              </w:rPr>
            </w:pPr>
            <w:r>
              <w:rPr>
                <w:rFonts w:eastAsia="Times New Roman"/>
                <w:color w:val="000000"/>
                <w:sz w:val="20"/>
                <w:szCs w:val="20"/>
              </w:rPr>
              <w:t>Operating lease right-of-use assets</w:t>
            </w:r>
          </w:p>
        </w:tc>
      </w:tr>
      <w:tr w:rsidR="00000000" w14:paraId="2AF096B8" w14:textId="77777777">
        <w:trPr>
          <w:divId w:val="481580632"/>
        </w:trPr>
        <w:tc>
          <w:tcPr>
            <w:tcW w:w="0" w:type="auto"/>
            <w:gridSpan w:val="3"/>
            <w:shd w:val="clear" w:color="auto" w:fill="FFFFFF"/>
            <w:tcMar>
              <w:top w:w="30" w:type="dxa"/>
              <w:left w:w="155" w:type="dxa"/>
              <w:bottom w:w="30" w:type="dxa"/>
              <w:right w:w="20" w:type="dxa"/>
            </w:tcMar>
            <w:vAlign w:val="bottom"/>
            <w:hideMark/>
          </w:tcPr>
          <w:p w14:paraId="410667A3" w14:textId="77777777" w:rsidR="00000000" w:rsidRDefault="00EE5306">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2DC2A13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AED1DC" w14:textId="77777777" w:rsidR="00000000" w:rsidRDefault="00EE5306">
            <w:pPr>
              <w:spacing w:after="100"/>
              <w:jc w:val="right"/>
              <w:rPr>
                <w:rFonts w:eastAsia="Times New Roman"/>
              </w:rPr>
            </w:pPr>
            <w:r>
              <w:rPr>
                <w:rFonts w:eastAsia="Times New Roman"/>
                <w:color w:val="000000"/>
                <w:sz w:val="20"/>
                <w:szCs w:val="20"/>
              </w:rPr>
              <w:t>331.6 </w:t>
            </w:r>
          </w:p>
        </w:tc>
        <w:tc>
          <w:tcPr>
            <w:tcW w:w="0" w:type="auto"/>
            <w:shd w:val="clear" w:color="auto" w:fill="FFFFFF"/>
            <w:tcMar>
              <w:top w:w="30" w:type="dxa"/>
              <w:left w:w="0" w:type="dxa"/>
              <w:bottom w:w="30" w:type="dxa"/>
              <w:right w:w="20" w:type="dxa"/>
            </w:tcMar>
            <w:vAlign w:val="bottom"/>
            <w:hideMark/>
          </w:tcPr>
          <w:p w14:paraId="33B59E7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D284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4E041B" w14:textId="77777777" w:rsidR="00000000" w:rsidRDefault="00EE5306">
            <w:pPr>
              <w:spacing w:after="100"/>
              <w:jc w:val="right"/>
              <w:rPr>
                <w:rFonts w:eastAsia="Times New Roman"/>
              </w:rPr>
            </w:pPr>
            <w:r>
              <w:rPr>
                <w:rFonts w:eastAsia="Times New Roman"/>
                <w:color w:val="000000"/>
                <w:sz w:val="20"/>
                <w:szCs w:val="20"/>
              </w:rPr>
              <w:t>166.4 </w:t>
            </w:r>
          </w:p>
        </w:tc>
        <w:tc>
          <w:tcPr>
            <w:tcW w:w="0" w:type="auto"/>
            <w:shd w:val="clear" w:color="auto" w:fill="FFFFFF"/>
            <w:tcMar>
              <w:top w:w="30" w:type="dxa"/>
              <w:left w:w="0" w:type="dxa"/>
              <w:bottom w:w="30" w:type="dxa"/>
              <w:right w:w="20" w:type="dxa"/>
            </w:tcMar>
            <w:vAlign w:val="bottom"/>
            <w:hideMark/>
          </w:tcPr>
          <w:p w14:paraId="2700460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AE8DC"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C141EDA" w14:textId="77777777" w:rsidR="00000000" w:rsidRDefault="00EE5306">
            <w:pPr>
              <w:spacing w:after="100"/>
              <w:rPr>
                <w:rFonts w:eastAsia="Times New Roman"/>
              </w:rPr>
            </w:pPr>
            <w:r>
              <w:rPr>
                <w:rFonts w:eastAsia="Times New Roman"/>
                <w:color w:val="000000"/>
                <w:sz w:val="20"/>
                <w:szCs w:val="20"/>
              </w:rPr>
              <w:t>Property and equipment, net</w:t>
            </w:r>
          </w:p>
        </w:tc>
      </w:tr>
      <w:tr w:rsidR="00000000" w14:paraId="0CDBB916" w14:textId="77777777">
        <w:trPr>
          <w:divId w:val="481580632"/>
        </w:trPr>
        <w:tc>
          <w:tcPr>
            <w:tcW w:w="0" w:type="auto"/>
            <w:gridSpan w:val="3"/>
            <w:shd w:val="clear" w:color="auto" w:fill="CCEEFF"/>
            <w:tcMar>
              <w:top w:w="30" w:type="dxa"/>
              <w:left w:w="245" w:type="dxa"/>
              <w:bottom w:w="30" w:type="dxa"/>
              <w:right w:w="20" w:type="dxa"/>
            </w:tcMar>
            <w:vAlign w:val="bottom"/>
            <w:hideMark/>
          </w:tcPr>
          <w:p w14:paraId="6AD2DEB1" w14:textId="77777777" w:rsidR="00000000" w:rsidRDefault="00EE5306">
            <w:pPr>
              <w:spacing w:after="100"/>
              <w:rPr>
                <w:rFonts w:eastAsia="Times New Roman"/>
              </w:rPr>
            </w:pPr>
            <w:r>
              <w:rPr>
                <w:rFonts w:eastAsia="Times New Roman"/>
                <w:color w:val="000000"/>
                <w:sz w:val="20"/>
                <w:szCs w:val="20"/>
              </w:rPr>
              <w:t>Total lease assets</w:t>
            </w:r>
          </w:p>
        </w:tc>
        <w:tc>
          <w:tcPr>
            <w:tcW w:w="0" w:type="auto"/>
            <w:gridSpan w:val="3"/>
            <w:shd w:val="clear" w:color="auto" w:fill="CCEEFF"/>
            <w:tcMar>
              <w:top w:w="0" w:type="dxa"/>
              <w:left w:w="20" w:type="dxa"/>
              <w:bottom w:w="0" w:type="dxa"/>
              <w:right w:w="20" w:type="dxa"/>
            </w:tcMar>
            <w:vAlign w:val="center"/>
            <w:hideMark/>
          </w:tcPr>
          <w:p w14:paraId="36B621F0" w14:textId="77777777" w:rsidR="00000000" w:rsidRDefault="00EE530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40D4ED"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352851" w14:textId="77777777" w:rsidR="00000000" w:rsidRDefault="00EE5306">
            <w:pPr>
              <w:spacing w:after="100"/>
              <w:jc w:val="right"/>
              <w:rPr>
                <w:rFonts w:eastAsia="Times New Roman"/>
              </w:rPr>
            </w:pPr>
            <w:r>
              <w:rPr>
                <w:rFonts w:eastAsia="Times New Roman"/>
                <w:color w:val="000000"/>
                <w:sz w:val="20"/>
                <w:szCs w:val="20"/>
              </w:rPr>
              <w:t>1,571.1 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58895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88C64"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4EB95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29EF44" w14:textId="77777777" w:rsidR="00000000" w:rsidRDefault="00EE5306">
            <w:pPr>
              <w:spacing w:after="100"/>
              <w:jc w:val="right"/>
              <w:rPr>
                <w:rFonts w:eastAsia="Times New Roman"/>
              </w:rPr>
            </w:pPr>
            <w:r>
              <w:rPr>
                <w:rFonts w:eastAsia="Times New Roman"/>
                <w:color w:val="000000"/>
                <w:sz w:val="20"/>
                <w:szCs w:val="20"/>
              </w:rPr>
              <w:t>1,678.0 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CCCC7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C8CA9"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3CCEF0" w14:textId="77777777" w:rsidR="00000000" w:rsidRDefault="00EE5306">
            <w:pPr>
              <w:spacing w:after="100"/>
              <w:rPr>
                <w:rFonts w:eastAsia="Times New Roman"/>
                <w:sz w:val="20"/>
                <w:szCs w:val="20"/>
              </w:rPr>
            </w:pPr>
          </w:p>
        </w:tc>
      </w:tr>
      <w:tr w:rsidR="00000000" w14:paraId="33000D1B" w14:textId="77777777">
        <w:trPr>
          <w:divId w:val="481580632"/>
        </w:trPr>
        <w:tc>
          <w:tcPr>
            <w:tcW w:w="0" w:type="auto"/>
            <w:gridSpan w:val="3"/>
            <w:shd w:val="clear" w:color="auto" w:fill="FFFFFF"/>
            <w:tcMar>
              <w:top w:w="30" w:type="dxa"/>
              <w:left w:w="20" w:type="dxa"/>
              <w:bottom w:w="30" w:type="dxa"/>
              <w:right w:w="20" w:type="dxa"/>
            </w:tcMar>
            <w:vAlign w:val="bottom"/>
            <w:hideMark/>
          </w:tcPr>
          <w:p w14:paraId="64584A0C" w14:textId="77777777" w:rsidR="00000000" w:rsidRDefault="00EE5306">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2A1D8C05" w14:textId="77777777" w:rsidR="00000000" w:rsidRDefault="00EE530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91779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A63C57"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65B6F1"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27ED28"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C1D472" w14:textId="77777777" w:rsidR="00000000" w:rsidRDefault="00EE5306">
            <w:pPr>
              <w:spacing w:after="100"/>
              <w:rPr>
                <w:rFonts w:eastAsia="Times New Roman"/>
                <w:sz w:val="20"/>
                <w:szCs w:val="20"/>
              </w:rPr>
            </w:pPr>
          </w:p>
        </w:tc>
      </w:tr>
      <w:tr w:rsidR="00000000" w14:paraId="3C12084C" w14:textId="77777777">
        <w:trPr>
          <w:divId w:val="481580632"/>
        </w:trPr>
        <w:tc>
          <w:tcPr>
            <w:tcW w:w="0" w:type="auto"/>
            <w:gridSpan w:val="3"/>
            <w:shd w:val="clear" w:color="auto" w:fill="CCEEFF"/>
            <w:tcMar>
              <w:top w:w="30" w:type="dxa"/>
              <w:left w:w="20" w:type="dxa"/>
              <w:bottom w:w="30" w:type="dxa"/>
              <w:right w:w="20" w:type="dxa"/>
            </w:tcMar>
            <w:vAlign w:val="bottom"/>
            <w:hideMark/>
          </w:tcPr>
          <w:p w14:paraId="240389AB" w14:textId="77777777" w:rsidR="00000000" w:rsidRDefault="00EE5306">
            <w:pPr>
              <w:spacing w:after="100"/>
              <w:divId w:val="1831748536"/>
              <w:rPr>
                <w:rFonts w:eastAsia="Times New Roman"/>
              </w:rPr>
            </w:pPr>
            <w:r>
              <w:rPr>
                <w:rFonts w:eastAsia="Times New Roman"/>
                <w:color w:val="000000"/>
                <w:sz w:val="20"/>
                <w:szCs w:val="20"/>
                <w:u w:val="single"/>
              </w:rPr>
              <w:t>Operating leases</w:t>
            </w: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6C53C30"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2D9D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8B4C1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F20EE6"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328EE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A03B5C" w14:textId="77777777" w:rsidR="00000000" w:rsidRDefault="00EE5306">
            <w:pPr>
              <w:spacing w:after="100"/>
              <w:rPr>
                <w:rFonts w:eastAsia="Times New Roman"/>
                <w:sz w:val="20"/>
                <w:szCs w:val="20"/>
              </w:rPr>
            </w:pPr>
          </w:p>
        </w:tc>
      </w:tr>
      <w:tr w:rsidR="00000000" w14:paraId="679AA17D" w14:textId="77777777">
        <w:trPr>
          <w:divId w:val="481580632"/>
        </w:trPr>
        <w:tc>
          <w:tcPr>
            <w:tcW w:w="0" w:type="auto"/>
            <w:gridSpan w:val="3"/>
            <w:shd w:val="clear" w:color="auto" w:fill="FFFFFF"/>
            <w:tcMar>
              <w:top w:w="30" w:type="dxa"/>
              <w:left w:w="245" w:type="dxa"/>
              <w:bottom w:w="30" w:type="dxa"/>
              <w:right w:w="20" w:type="dxa"/>
            </w:tcMar>
            <w:vAlign w:val="bottom"/>
            <w:hideMark/>
          </w:tcPr>
          <w:p w14:paraId="1AD51737" w14:textId="77777777" w:rsidR="00000000" w:rsidRDefault="00EE5306">
            <w:pPr>
              <w:spacing w:after="100"/>
              <w:rPr>
                <w:rFonts w:eastAsia="Times New Roman"/>
              </w:rPr>
            </w:pPr>
            <w:r>
              <w:rPr>
                <w:rFonts w:eastAsia="Times New Roman"/>
                <w:color w:val="000000"/>
                <w:sz w:val="20"/>
                <w:szCs w:val="20"/>
              </w:rPr>
              <w:t>Current portion</w:t>
            </w:r>
          </w:p>
        </w:tc>
        <w:tc>
          <w:tcPr>
            <w:tcW w:w="0" w:type="auto"/>
            <w:gridSpan w:val="3"/>
            <w:shd w:val="clear" w:color="auto" w:fill="FFFFFF"/>
            <w:tcMar>
              <w:top w:w="0" w:type="dxa"/>
              <w:left w:w="20" w:type="dxa"/>
              <w:bottom w:w="0" w:type="dxa"/>
              <w:right w:w="20" w:type="dxa"/>
            </w:tcMar>
            <w:vAlign w:val="center"/>
            <w:hideMark/>
          </w:tcPr>
          <w:p w14:paraId="7BE85705"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B5F43F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BE4866" w14:textId="77777777" w:rsidR="00000000" w:rsidRDefault="00EE5306">
            <w:pPr>
              <w:spacing w:after="100"/>
              <w:jc w:val="right"/>
              <w:rPr>
                <w:rFonts w:eastAsia="Times New Roman"/>
              </w:rPr>
            </w:pPr>
            <w:r>
              <w:rPr>
                <w:rFonts w:eastAsia="Times New Roman"/>
                <w:color w:val="000000"/>
                <w:sz w:val="20"/>
                <w:szCs w:val="20"/>
              </w:rPr>
              <w:t>302.9 </w:t>
            </w:r>
          </w:p>
        </w:tc>
        <w:tc>
          <w:tcPr>
            <w:tcW w:w="0" w:type="auto"/>
            <w:shd w:val="clear" w:color="auto" w:fill="FFFFFF"/>
            <w:tcMar>
              <w:top w:w="30" w:type="dxa"/>
              <w:left w:w="0" w:type="dxa"/>
              <w:bottom w:w="30" w:type="dxa"/>
              <w:right w:w="20" w:type="dxa"/>
            </w:tcMar>
            <w:vAlign w:val="bottom"/>
            <w:hideMark/>
          </w:tcPr>
          <w:p w14:paraId="0EEC2E5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AD624"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B5D35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793CD2" w14:textId="77777777" w:rsidR="00000000" w:rsidRDefault="00EE5306">
            <w:pPr>
              <w:spacing w:after="100"/>
              <w:jc w:val="right"/>
              <w:rPr>
                <w:rFonts w:eastAsia="Times New Roman"/>
              </w:rPr>
            </w:pPr>
            <w:r>
              <w:rPr>
                <w:rFonts w:eastAsia="Times New Roman"/>
                <w:color w:val="000000"/>
                <w:sz w:val="20"/>
                <w:szCs w:val="20"/>
              </w:rPr>
              <w:t>288.4 </w:t>
            </w:r>
          </w:p>
        </w:tc>
        <w:tc>
          <w:tcPr>
            <w:tcW w:w="0" w:type="auto"/>
            <w:shd w:val="clear" w:color="auto" w:fill="FFFFFF"/>
            <w:tcMar>
              <w:top w:w="30" w:type="dxa"/>
              <w:left w:w="0" w:type="dxa"/>
              <w:bottom w:w="30" w:type="dxa"/>
              <w:right w:w="20" w:type="dxa"/>
            </w:tcMar>
            <w:vAlign w:val="bottom"/>
            <w:hideMark/>
          </w:tcPr>
          <w:p w14:paraId="4B1F0F1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1E3A9"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4D76DC2" w14:textId="77777777" w:rsidR="00000000" w:rsidRDefault="00EE5306">
            <w:pPr>
              <w:spacing w:after="100"/>
              <w:rPr>
                <w:rFonts w:eastAsia="Times New Roman"/>
              </w:rPr>
            </w:pPr>
            <w:r>
              <w:rPr>
                <w:rFonts w:eastAsia="Times New Roman"/>
                <w:color w:val="000000"/>
                <w:sz w:val="20"/>
                <w:szCs w:val="20"/>
              </w:rPr>
              <w:t>Current operating lease liabilities</w:t>
            </w:r>
          </w:p>
        </w:tc>
      </w:tr>
      <w:tr w:rsidR="00000000" w14:paraId="29ADC5F1" w14:textId="77777777">
        <w:trPr>
          <w:divId w:val="481580632"/>
        </w:trPr>
        <w:tc>
          <w:tcPr>
            <w:tcW w:w="0" w:type="auto"/>
            <w:gridSpan w:val="3"/>
            <w:shd w:val="clear" w:color="auto" w:fill="CCEEFF"/>
            <w:tcMar>
              <w:top w:w="30" w:type="dxa"/>
              <w:left w:w="245" w:type="dxa"/>
              <w:bottom w:w="30" w:type="dxa"/>
              <w:right w:w="20" w:type="dxa"/>
            </w:tcMar>
            <w:vAlign w:val="bottom"/>
            <w:hideMark/>
          </w:tcPr>
          <w:p w14:paraId="323220F0" w14:textId="77777777" w:rsidR="00000000" w:rsidRDefault="00EE5306">
            <w:pPr>
              <w:spacing w:after="100"/>
              <w:rPr>
                <w:rFonts w:eastAsia="Times New Roman"/>
              </w:rPr>
            </w:pPr>
            <w:r>
              <w:rPr>
                <w:rFonts w:eastAsia="Times New Roman"/>
                <w:color w:val="000000"/>
                <w:sz w:val="20"/>
                <w:szCs w:val="20"/>
              </w:rPr>
              <w:t>Non-current portion</w:t>
            </w:r>
          </w:p>
        </w:tc>
        <w:tc>
          <w:tcPr>
            <w:tcW w:w="0" w:type="auto"/>
            <w:gridSpan w:val="3"/>
            <w:shd w:val="clear" w:color="auto" w:fill="CCEEFF"/>
            <w:tcMar>
              <w:top w:w="0" w:type="dxa"/>
              <w:left w:w="20" w:type="dxa"/>
              <w:bottom w:w="0" w:type="dxa"/>
              <w:right w:w="20" w:type="dxa"/>
            </w:tcMar>
            <w:vAlign w:val="center"/>
            <w:hideMark/>
          </w:tcPr>
          <w:p w14:paraId="4826599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4733B3" w14:textId="77777777" w:rsidR="00000000" w:rsidRDefault="00EE5306">
            <w:pPr>
              <w:spacing w:after="100"/>
              <w:jc w:val="right"/>
              <w:rPr>
                <w:rFonts w:eastAsia="Times New Roman"/>
              </w:rPr>
            </w:pPr>
            <w:r>
              <w:rPr>
                <w:rFonts w:eastAsia="Times New Roman"/>
                <w:color w:val="000000"/>
                <w:sz w:val="20"/>
                <w:szCs w:val="20"/>
              </w:rPr>
              <w:t>1,294.5 </w:t>
            </w:r>
          </w:p>
        </w:tc>
        <w:tc>
          <w:tcPr>
            <w:tcW w:w="0" w:type="auto"/>
            <w:shd w:val="clear" w:color="auto" w:fill="CCEEFF"/>
            <w:tcMar>
              <w:top w:w="30" w:type="dxa"/>
              <w:left w:w="0" w:type="dxa"/>
              <w:bottom w:w="30" w:type="dxa"/>
              <w:right w:w="20" w:type="dxa"/>
            </w:tcMar>
            <w:vAlign w:val="bottom"/>
            <w:hideMark/>
          </w:tcPr>
          <w:p w14:paraId="0096FE9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B1D94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E92AEA" w14:textId="77777777" w:rsidR="00000000" w:rsidRDefault="00EE5306">
            <w:pPr>
              <w:spacing w:after="100"/>
              <w:jc w:val="right"/>
              <w:rPr>
                <w:rFonts w:eastAsia="Times New Roman"/>
              </w:rPr>
            </w:pPr>
            <w:r>
              <w:rPr>
                <w:rFonts w:eastAsia="Times New Roman"/>
                <w:color w:val="000000"/>
                <w:sz w:val="20"/>
                <w:szCs w:val="20"/>
              </w:rPr>
              <w:t>1,568.3 </w:t>
            </w:r>
          </w:p>
        </w:tc>
        <w:tc>
          <w:tcPr>
            <w:tcW w:w="0" w:type="auto"/>
            <w:shd w:val="clear" w:color="auto" w:fill="CCEEFF"/>
            <w:tcMar>
              <w:top w:w="30" w:type="dxa"/>
              <w:left w:w="0" w:type="dxa"/>
              <w:bottom w:w="30" w:type="dxa"/>
              <w:right w:w="20" w:type="dxa"/>
            </w:tcMar>
            <w:vAlign w:val="bottom"/>
            <w:hideMark/>
          </w:tcPr>
          <w:p w14:paraId="7C202D9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21135"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DDB1B2A" w14:textId="77777777" w:rsidR="00000000" w:rsidRDefault="00EE5306">
            <w:pPr>
              <w:spacing w:after="100"/>
              <w:divId w:val="2079863358"/>
              <w:rPr>
                <w:rFonts w:eastAsia="Times New Roman"/>
              </w:rPr>
            </w:pPr>
            <w:r>
              <w:rPr>
                <w:rFonts w:eastAsia="Times New Roman"/>
                <w:color w:val="000000"/>
                <w:sz w:val="20"/>
                <w:szCs w:val="20"/>
              </w:rPr>
              <w:t xml:space="preserve">Long-term </w:t>
            </w:r>
            <w:r>
              <w:rPr>
                <w:rFonts w:eastAsia="Times New Roman"/>
                <w:color w:val="000000"/>
                <w:sz w:val="19"/>
                <w:szCs w:val="19"/>
              </w:rPr>
              <w:t>operating lease liabilities</w:t>
            </w:r>
          </w:p>
        </w:tc>
      </w:tr>
      <w:tr w:rsidR="00000000" w14:paraId="56603B36" w14:textId="77777777">
        <w:trPr>
          <w:divId w:val="481580632"/>
        </w:trPr>
        <w:tc>
          <w:tcPr>
            <w:tcW w:w="0" w:type="auto"/>
            <w:gridSpan w:val="3"/>
            <w:shd w:val="clear" w:color="auto" w:fill="FFFFFF"/>
            <w:tcMar>
              <w:top w:w="30" w:type="dxa"/>
              <w:left w:w="380" w:type="dxa"/>
              <w:bottom w:w="30" w:type="dxa"/>
              <w:right w:w="20" w:type="dxa"/>
            </w:tcMar>
            <w:vAlign w:val="bottom"/>
            <w:hideMark/>
          </w:tcPr>
          <w:p w14:paraId="0A8F846C" w14:textId="77777777" w:rsidR="00000000" w:rsidRDefault="00EE5306">
            <w:pPr>
              <w:spacing w:after="100"/>
              <w:rPr>
                <w:rFonts w:eastAsia="Times New Roman"/>
              </w:rPr>
            </w:pPr>
            <w:r>
              <w:rPr>
                <w:rFonts w:eastAsia="Times New Roman"/>
                <w:color w:val="000000"/>
                <w:sz w:val="20"/>
                <w:szCs w:val="20"/>
              </w:rPr>
              <w:t>Total operating lease liabilities</w:t>
            </w:r>
          </w:p>
        </w:tc>
        <w:tc>
          <w:tcPr>
            <w:tcW w:w="0" w:type="auto"/>
            <w:gridSpan w:val="3"/>
            <w:shd w:val="clear" w:color="auto" w:fill="FFFFFF"/>
            <w:tcMar>
              <w:top w:w="0" w:type="dxa"/>
              <w:left w:w="20" w:type="dxa"/>
              <w:bottom w:w="0" w:type="dxa"/>
              <w:right w:w="20" w:type="dxa"/>
            </w:tcMar>
            <w:vAlign w:val="center"/>
            <w:hideMark/>
          </w:tcPr>
          <w:p w14:paraId="3ED7DCDB"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408B2E" w14:textId="77777777" w:rsidR="00000000" w:rsidRDefault="00EE5306">
            <w:pPr>
              <w:spacing w:after="100"/>
              <w:jc w:val="right"/>
              <w:rPr>
                <w:rFonts w:eastAsia="Times New Roman"/>
              </w:rPr>
            </w:pPr>
            <w:r>
              <w:rPr>
                <w:rFonts w:eastAsia="Times New Roman"/>
                <w:color w:val="000000"/>
                <w:sz w:val="20"/>
                <w:szCs w:val="20"/>
              </w:rPr>
              <w:t>1,597.4 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286AC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64DDB"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35AF6A" w14:textId="77777777" w:rsidR="00000000" w:rsidRDefault="00EE5306">
            <w:pPr>
              <w:spacing w:after="100"/>
              <w:jc w:val="right"/>
              <w:rPr>
                <w:rFonts w:eastAsia="Times New Roman"/>
              </w:rPr>
            </w:pPr>
            <w:r>
              <w:rPr>
                <w:rFonts w:eastAsia="Times New Roman"/>
                <w:color w:val="000000"/>
                <w:sz w:val="20"/>
                <w:szCs w:val="20"/>
              </w:rPr>
              <w:t>1,856.7 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973BB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ABCE3"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8D2F66" w14:textId="77777777" w:rsidR="00000000" w:rsidRDefault="00EE5306">
            <w:pPr>
              <w:spacing w:after="100"/>
              <w:rPr>
                <w:rFonts w:eastAsia="Times New Roman"/>
                <w:sz w:val="20"/>
                <w:szCs w:val="20"/>
              </w:rPr>
            </w:pPr>
          </w:p>
        </w:tc>
      </w:tr>
      <w:tr w:rsidR="00000000" w14:paraId="2E077476" w14:textId="77777777">
        <w:trPr>
          <w:divId w:val="481580632"/>
        </w:trPr>
        <w:tc>
          <w:tcPr>
            <w:tcW w:w="0" w:type="auto"/>
            <w:gridSpan w:val="3"/>
            <w:shd w:val="clear" w:color="auto" w:fill="CCEEFF"/>
            <w:tcMar>
              <w:top w:w="30" w:type="dxa"/>
              <w:left w:w="20" w:type="dxa"/>
              <w:bottom w:w="30" w:type="dxa"/>
              <w:right w:w="20" w:type="dxa"/>
            </w:tcMar>
            <w:vAlign w:val="bottom"/>
            <w:hideMark/>
          </w:tcPr>
          <w:p w14:paraId="44CC7AAE" w14:textId="77777777" w:rsidR="00000000" w:rsidRDefault="00EE5306">
            <w:pPr>
              <w:spacing w:after="100"/>
              <w:divId w:val="401827978"/>
              <w:rPr>
                <w:rFonts w:eastAsia="Times New Roman"/>
              </w:rPr>
            </w:pPr>
            <w:r>
              <w:rPr>
                <w:rFonts w:eastAsia="Times New Roman"/>
                <w:color w:val="000000"/>
                <w:sz w:val="20"/>
                <w:szCs w:val="20"/>
                <w:u w:val="single"/>
              </w:rPr>
              <w:t>Finance leases</w:t>
            </w: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38B4CE9"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126F7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4B2CED"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07743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3107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9B89F0" w14:textId="77777777" w:rsidR="00000000" w:rsidRDefault="00EE5306">
            <w:pPr>
              <w:spacing w:after="100"/>
              <w:rPr>
                <w:rFonts w:eastAsia="Times New Roman"/>
                <w:sz w:val="20"/>
                <w:szCs w:val="20"/>
              </w:rPr>
            </w:pPr>
          </w:p>
        </w:tc>
      </w:tr>
      <w:tr w:rsidR="00000000" w14:paraId="25CACCC6" w14:textId="77777777">
        <w:trPr>
          <w:divId w:val="481580632"/>
        </w:trPr>
        <w:tc>
          <w:tcPr>
            <w:tcW w:w="0" w:type="auto"/>
            <w:gridSpan w:val="3"/>
            <w:shd w:val="clear" w:color="auto" w:fill="FFFFFF"/>
            <w:tcMar>
              <w:top w:w="30" w:type="dxa"/>
              <w:left w:w="245" w:type="dxa"/>
              <w:bottom w:w="30" w:type="dxa"/>
              <w:right w:w="20" w:type="dxa"/>
            </w:tcMar>
            <w:vAlign w:val="bottom"/>
            <w:hideMark/>
          </w:tcPr>
          <w:p w14:paraId="6F0B9626" w14:textId="77777777" w:rsidR="00000000" w:rsidRDefault="00EE5306">
            <w:pPr>
              <w:spacing w:after="100"/>
              <w:rPr>
                <w:rFonts w:eastAsia="Times New Roman"/>
              </w:rPr>
            </w:pPr>
            <w:r>
              <w:rPr>
                <w:rFonts w:eastAsia="Times New Roman"/>
                <w:color w:val="000000"/>
                <w:sz w:val="20"/>
                <w:szCs w:val="20"/>
              </w:rPr>
              <w:t>Current portion</w:t>
            </w:r>
          </w:p>
        </w:tc>
        <w:tc>
          <w:tcPr>
            <w:tcW w:w="0" w:type="auto"/>
            <w:gridSpan w:val="3"/>
            <w:shd w:val="clear" w:color="auto" w:fill="FFFFFF"/>
            <w:tcMar>
              <w:top w:w="0" w:type="dxa"/>
              <w:left w:w="20" w:type="dxa"/>
              <w:bottom w:w="0" w:type="dxa"/>
              <w:right w:w="20" w:type="dxa"/>
            </w:tcMar>
            <w:vAlign w:val="center"/>
            <w:hideMark/>
          </w:tcPr>
          <w:p w14:paraId="2A8C345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C146F9" w14:textId="77777777" w:rsidR="00000000" w:rsidRDefault="00EE5306">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14:paraId="14CC95F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2514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1569EF" w14:textId="77777777" w:rsidR="00000000" w:rsidRDefault="00EE5306">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14:paraId="458DDEC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92461"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9E58922" w14:textId="77777777" w:rsidR="00000000" w:rsidRDefault="00EE5306">
            <w:pPr>
              <w:spacing w:after="100"/>
              <w:rPr>
                <w:rFonts w:eastAsia="Times New Roman"/>
              </w:rPr>
            </w:pPr>
            <w:r>
              <w:rPr>
                <w:rFonts w:eastAsia="Times New Roman"/>
                <w:color w:val="000000"/>
                <w:sz w:val="20"/>
                <w:szCs w:val="20"/>
              </w:rPr>
              <w:t>Accrued expenses and other current liabilities</w:t>
            </w:r>
          </w:p>
        </w:tc>
      </w:tr>
      <w:tr w:rsidR="00000000" w14:paraId="7997BF9F" w14:textId="77777777">
        <w:trPr>
          <w:divId w:val="481580632"/>
        </w:trPr>
        <w:tc>
          <w:tcPr>
            <w:tcW w:w="0" w:type="auto"/>
            <w:gridSpan w:val="3"/>
            <w:shd w:val="clear" w:color="auto" w:fill="CCEEFF"/>
            <w:tcMar>
              <w:top w:w="30" w:type="dxa"/>
              <w:left w:w="245" w:type="dxa"/>
              <w:bottom w:w="30" w:type="dxa"/>
              <w:right w:w="20" w:type="dxa"/>
            </w:tcMar>
            <w:vAlign w:val="bottom"/>
            <w:hideMark/>
          </w:tcPr>
          <w:p w14:paraId="701E7F39" w14:textId="77777777" w:rsidR="00000000" w:rsidRDefault="00EE5306">
            <w:pPr>
              <w:spacing w:after="100"/>
              <w:rPr>
                <w:rFonts w:eastAsia="Times New Roman"/>
              </w:rPr>
            </w:pPr>
            <w:r>
              <w:rPr>
                <w:rFonts w:eastAsia="Times New Roman"/>
                <w:color w:val="000000"/>
                <w:sz w:val="20"/>
                <w:szCs w:val="20"/>
              </w:rPr>
              <w:t>Non-current portion</w:t>
            </w:r>
          </w:p>
        </w:tc>
        <w:tc>
          <w:tcPr>
            <w:tcW w:w="0" w:type="auto"/>
            <w:gridSpan w:val="3"/>
            <w:shd w:val="clear" w:color="auto" w:fill="CCEEFF"/>
            <w:tcMar>
              <w:top w:w="0" w:type="dxa"/>
              <w:left w:w="20" w:type="dxa"/>
              <w:bottom w:w="0" w:type="dxa"/>
              <w:right w:w="20" w:type="dxa"/>
            </w:tcMar>
            <w:vAlign w:val="center"/>
            <w:hideMark/>
          </w:tcPr>
          <w:p w14:paraId="5D03AFDB"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7E5207" w14:textId="77777777" w:rsidR="00000000" w:rsidRDefault="00EE5306">
            <w:pPr>
              <w:spacing w:after="100"/>
              <w:jc w:val="right"/>
              <w:rPr>
                <w:rFonts w:eastAsia="Times New Roman"/>
              </w:rPr>
            </w:pPr>
            <w:r>
              <w:rPr>
                <w:rFonts w:eastAsia="Times New Roman"/>
                <w:color w:val="000000"/>
                <w:sz w:val="20"/>
                <w:szCs w:val="20"/>
              </w:rPr>
              <w:t>370.5 </w:t>
            </w:r>
          </w:p>
        </w:tc>
        <w:tc>
          <w:tcPr>
            <w:tcW w:w="0" w:type="auto"/>
            <w:shd w:val="clear" w:color="auto" w:fill="CCEEFF"/>
            <w:tcMar>
              <w:top w:w="30" w:type="dxa"/>
              <w:left w:w="0" w:type="dxa"/>
              <w:bottom w:w="30" w:type="dxa"/>
              <w:right w:w="20" w:type="dxa"/>
            </w:tcMar>
            <w:vAlign w:val="bottom"/>
            <w:hideMark/>
          </w:tcPr>
          <w:p w14:paraId="161DBED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2F385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9038B8" w14:textId="77777777" w:rsidR="00000000" w:rsidRDefault="00EE5306">
            <w:pPr>
              <w:spacing w:after="100"/>
              <w:jc w:val="right"/>
              <w:rPr>
                <w:rFonts w:eastAsia="Times New Roman"/>
              </w:rPr>
            </w:pPr>
            <w:r>
              <w:rPr>
                <w:rFonts w:eastAsia="Times New Roman"/>
                <w:color w:val="000000"/>
                <w:sz w:val="20"/>
                <w:szCs w:val="20"/>
              </w:rPr>
              <w:t>189.4 </w:t>
            </w:r>
          </w:p>
        </w:tc>
        <w:tc>
          <w:tcPr>
            <w:tcW w:w="0" w:type="auto"/>
            <w:shd w:val="clear" w:color="auto" w:fill="CCEEFF"/>
            <w:tcMar>
              <w:top w:w="30" w:type="dxa"/>
              <w:left w:w="0" w:type="dxa"/>
              <w:bottom w:w="30" w:type="dxa"/>
              <w:right w:w="20" w:type="dxa"/>
            </w:tcMar>
            <w:vAlign w:val="bottom"/>
            <w:hideMark/>
          </w:tcPr>
          <w:p w14:paraId="6BDCB4A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B1AED"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E14A8AC" w14:textId="77777777" w:rsidR="00000000" w:rsidRDefault="00EE5306">
            <w:pPr>
              <w:spacing w:after="100"/>
              <w:rPr>
                <w:rFonts w:eastAsia="Times New Roman"/>
              </w:rPr>
            </w:pPr>
            <w:r>
              <w:rPr>
                <w:rFonts w:eastAsia="Times New Roman"/>
                <w:color w:val="000000"/>
                <w:sz w:val="20"/>
                <w:szCs w:val="20"/>
              </w:rPr>
              <w:t>Other non-current liabilities</w:t>
            </w:r>
          </w:p>
        </w:tc>
      </w:tr>
      <w:tr w:rsidR="00000000" w14:paraId="6C853DD8" w14:textId="77777777">
        <w:trPr>
          <w:divId w:val="481580632"/>
        </w:trPr>
        <w:tc>
          <w:tcPr>
            <w:tcW w:w="0" w:type="auto"/>
            <w:gridSpan w:val="3"/>
            <w:shd w:val="clear" w:color="auto" w:fill="FFFFFF"/>
            <w:tcMar>
              <w:top w:w="30" w:type="dxa"/>
              <w:left w:w="380" w:type="dxa"/>
              <w:bottom w:w="30" w:type="dxa"/>
              <w:right w:w="20" w:type="dxa"/>
            </w:tcMar>
            <w:vAlign w:val="bottom"/>
            <w:hideMark/>
          </w:tcPr>
          <w:p w14:paraId="4D9F41C1" w14:textId="77777777" w:rsidR="00000000" w:rsidRDefault="00EE5306">
            <w:pPr>
              <w:spacing w:after="100"/>
              <w:rPr>
                <w:rFonts w:eastAsia="Times New Roman"/>
              </w:rPr>
            </w:pPr>
            <w:r>
              <w:rPr>
                <w:rFonts w:eastAsia="Times New Roman"/>
                <w:color w:val="000000"/>
                <w:sz w:val="20"/>
                <w:szCs w:val="20"/>
              </w:rPr>
              <w:t>Total finance lease liabilities</w:t>
            </w:r>
          </w:p>
        </w:tc>
        <w:tc>
          <w:tcPr>
            <w:tcW w:w="0" w:type="auto"/>
            <w:gridSpan w:val="3"/>
            <w:shd w:val="clear" w:color="auto" w:fill="FFFFFF"/>
            <w:tcMar>
              <w:top w:w="0" w:type="dxa"/>
              <w:left w:w="20" w:type="dxa"/>
              <w:bottom w:w="0" w:type="dxa"/>
              <w:right w:w="20" w:type="dxa"/>
            </w:tcMar>
            <w:vAlign w:val="center"/>
            <w:hideMark/>
          </w:tcPr>
          <w:p w14:paraId="71AA60DA"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527FEF" w14:textId="77777777" w:rsidR="00000000" w:rsidRDefault="00EE5306">
            <w:pPr>
              <w:spacing w:after="100"/>
              <w:jc w:val="right"/>
              <w:rPr>
                <w:rFonts w:eastAsia="Times New Roman"/>
              </w:rPr>
            </w:pPr>
            <w:r>
              <w:rPr>
                <w:rFonts w:eastAsia="Times New Roman"/>
                <w:color w:val="000000"/>
                <w:sz w:val="20"/>
                <w:szCs w:val="20"/>
              </w:rPr>
              <w:t>390.2 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02CDA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8C46E"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B48959" w14:textId="77777777" w:rsidR="00000000" w:rsidRDefault="00EE5306">
            <w:pPr>
              <w:spacing w:after="100"/>
              <w:jc w:val="right"/>
              <w:rPr>
                <w:rFonts w:eastAsia="Times New Roman"/>
              </w:rPr>
            </w:pPr>
            <w:r>
              <w:rPr>
                <w:rFonts w:eastAsia="Times New Roman"/>
                <w:color w:val="000000"/>
                <w:sz w:val="20"/>
                <w:szCs w:val="20"/>
              </w:rPr>
              <w:t>199.2 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060FE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9D9C7D"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893364" w14:textId="77777777" w:rsidR="00000000" w:rsidRDefault="00EE5306">
            <w:pPr>
              <w:spacing w:after="100"/>
              <w:rPr>
                <w:rFonts w:eastAsia="Times New Roman"/>
                <w:sz w:val="20"/>
                <w:szCs w:val="20"/>
              </w:rPr>
            </w:pPr>
          </w:p>
        </w:tc>
      </w:tr>
      <w:tr w:rsidR="00000000" w14:paraId="60B425AF" w14:textId="77777777">
        <w:trPr>
          <w:divId w:val="481580632"/>
        </w:trPr>
        <w:tc>
          <w:tcPr>
            <w:tcW w:w="0" w:type="auto"/>
            <w:gridSpan w:val="3"/>
            <w:shd w:val="clear" w:color="auto" w:fill="CCEEFF"/>
            <w:tcMar>
              <w:top w:w="30" w:type="dxa"/>
              <w:left w:w="515" w:type="dxa"/>
              <w:bottom w:w="30" w:type="dxa"/>
              <w:right w:w="20" w:type="dxa"/>
            </w:tcMar>
            <w:vAlign w:val="bottom"/>
            <w:hideMark/>
          </w:tcPr>
          <w:p w14:paraId="4EA2825A" w14:textId="77777777" w:rsidR="00000000" w:rsidRDefault="00EE5306">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14:paraId="4B6F8C57"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67B0B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F20390" w14:textId="77777777" w:rsidR="00000000" w:rsidRDefault="00EE5306">
            <w:pPr>
              <w:spacing w:after="100"/>
              <w:jc w:val="right"/>
              <w:rPr>
                <w:rFonts w:eastAsia="Times New Roman"/>
              </w:rPr>
            </w:pPr>
            <w:r>
              <w:rPr>
                <w:rFonts w:eastAsia="Times New Roman"/>
                <w:color w:val="000000"/>
                <w:sz w:val="20"/>
                <w:szCs w:val="20"/>
              </w:rPr>
              <w:t>1,987.6 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7F8AE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150E1"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88BD1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CA6CFB" w14:textId="77777777" w:rsidR="00000000" w:rsidRDefault="00EE5306">
            <w:pPr>
              <w:spacing w:after="100"/>
              <w:jc w:val="right"/>
              <w:rPr>
                <w:rFonts w:eastAsia="Times New Roman"/>
              </w:rPr>
            </w:pPr>
            <w:r>
              <w:rPr>
                <w:rFonts w:eastAsia="Times New Roman"/>
                <w:color w:val="000000"/>
                <w:sz w:val="20"/>
                <w:szCs w:val="20"/>
              </w:rPr>
              <w:t>2,055.9 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C37BF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76FDE9"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F784F3" w14:textId="77777777" w:rsidR="00000000" w:rsidRDefault="00EE5306">
            <w:pPr>
              <w:spacing w:after="100"/>
              <w:rPr>
                <w:rFonts w:eastAsia="Times New Roman"/>
                <w:sz w:val="20"/>
                <w:szCs w:val="20"/>
              </w:rPr>
            </w:pPr>
          </w:p>
        </w:tc>
      </w:tr>
    </w:tbl>
    <w:p w14:paraId="7A168862" w14:textId="77777777" w:rsidR="00000000" w:rsidRDefault="00EE5306">
      <w:pPr>
        <w:ind w:firstLine="540"/>
        <w:jc w:val="both"/>
        <w:divId w:val="144978536"/>
        <w:rPr>
          <w:rFonts w:eastAsia="Times New Roman"/>
        </w:rPr>
      </w:pPr>
      <w:r>
        <w:rPr>
          <w:rFonts w:eastAsia="Times New Roman"/>
          <w:color w:val="000000"/>
          <w:sz w:val="20"/>
          <w:szCs w:val="20"/>
        </w:rPr>
        <w:t>The following table summarizes the composition of total lease cost during Fiscal 2021 and Fiscal 2020:</w:t>
      </w:r>
    </w:p>
    <w:tbl>
      <w:tblPr>
        <w:tblW w:w="4736" w:type="pct"/>
        <w:tblCellMar>
          <w:top w:w="15" w:type="dxa"/>
          <w:left w:w="15" w:type="dxa"/>
          <w:bottom w:w="15" w:type="dxa"/>
          <w:right w:w="15" w:type="dxa"/>
        </w:tblCellMar>
        <w:tblLook w:val="04A0" w:firstRow="1" w:lastRow="0" w:firstColumn="1" w:lastColumn="0" w:noHBand="0" w:noVBand="1"/>
      </w:tblPr>
      <w:tblGrid>
        <w:gridCol w:w="38"/>
        <w:gridCol w:w="2398"/>
        <w:gridCol w:w="37"/>
        <w:gridCol w:w="36"/>
        <w:gridCol w:w="75"/>
        <w:gridCol w:w="36"/>
        <w:gridCol w:w="120"/>
        <w:gridCol w:w="879"/>
        <w:gridCol w:w="36"/>
        <w:gridCol w:w="36"/>
        <w:gridCol w:w="36"/>
        <w:gridCol w:w="36"/>
        <w:gridCol w:w="120"/>
        <w:gridCol w:w="847"/>
        <w:gridCol w:w="36"/>
        <w:gridCol w:w="36"/>
        <w:gridCol w:w="36"/>
        <w:gridCol w:w="36"/>
        <w:gridCol w:w="39"/>
        <w:gridCol w:w="2916"/>
        <w:gridCol w:w="38"/>
      </w:tblGrid>
      <w:tr w:rsidR="00000000" w14:paraId="6788E408" w14:textId="77777777">
        <w:trPr>
          <w:divId w:val="681317358"/>
        </w:trPr>
        <w:tc>
          <w:tcPr>
            <w:tcW w:w="50" w:type="pct"/>
            <w:vAlign w:val="center"/>
            <w:hideMark/>
          </w:tcPr>
          <w:p w14:paraId="4D7B0153" w14:textId="77777777" w:rsidR="00000000" w:rsidRDefault="00EE5306">
            <w:pPr>
              <w:ind w:firstLine="540"/>
              <w:jc w:val="both"/>
              <w:rPr>
                <w:rFonts w:eastAsia="Times New Roman"/>
              </w:rPr>
            </w:pPr>
          </w:p>
        </w:tc>
        <w:tc>
          <w:tcPr>
            <w:tcW w:w="1549" w:type="pct"/>
            <w:vAlign w:val="center"/>
            <w:hideMark/>
          </w:tcPr>
          <w:p w14:paraId="02EEB262" w14:textId="77777777" w:rsidR="00000000" w:rsidRDefault="00EE5306">
            <w:pPr>
              <w:spacing w:after="100"/>
              <w:rPr>
                <w:rFonts w:eastAsia="Times New Roman"/>
                <w:sz w:val="20"/>
                <w:szCs w:val="20"/>
              </w:rPr>
            </w:pPr>
          </w:p>
        </w:tc>
        <w:tc>
          <w:tcPr>
            <w:tcW w:w="5" w:type="pct"/>
            <w:vAlign w:val="center"/>
            <w:hideMark/>
          </w:tcPr>
          <w:p w14:paraId="1A3E1C4A" w14:textId="77777777" w:rsidR="00000000" w:rsidRDefault="00EE5306">
            <w:pPr>
              <w:spacing w:after="100"/>
              <w:rPr>
                <w:rFonts w:eastAsia="Times New Roman"/>
                <w:sz w:val="20"/>
                <w:szCs w:val="20"/>
              </w:rPr>
            </w:pPr>
          </w:p>
        </w:tc>
        <w:tc>
          <w:tcPr>
            <w:tcW w:w="5" w:type="pct"/>
            <w:vAlign w:val="center"/>
            <w:hideMark/>
          </w:tcPr>
          <w:p w14:paraId="5BD00FAF" w14:textId="77777777" w:rsidR="00000000" w:rsidRDefault="00EE5306">
            <w:pPr>
              <w:spacing w:after="100"/>
              <w:rPr>
                <w:rFonts w:eastAsia="Times New Roman"/>
                <w:sz w:val="20"/>
                <w:szCs w:val="20"/>
              </w:rPr>
            </w:pPr>
          </w:p>
        </w:tc>
        <w:tc>
          <w:tcPr>
            <w:tcW w:w="74" w:type="pct"/>
            <w:vAlign w:val="center"/>
            <w:hideMark/>
          </w:tcPr>
          <w:p w14:paraId="57F6A462" w14:textId="77777777" w:rsidR="00000000" w:rsidRDefault="00EE5306">
            <w:pPr>
              <w:spacing w:after="100"/>
              <w:rPr>
                <w:rFonts w:eastAsia="Times New Roman"/>
                <w:sz w:val="20"/>
                <w:szCs w:val="20"/>
              </w:rPr>
            </w:pPr>
          </w:p>
        </w:tc>
        <w:tc>
          <w:tcPr>
            <w:tcW w:w="5" w:type="pct"/>
            <w:vAlign w:val="center"/>
            <w:hideMark/>
          </w:tcPr>
          <w:p w14:paraId="2C0D2E73" w14:textId="77777777" w:rsidR="00000000" w:rsidRDefault="00EE5306">
            <w:pPr>
              <w:spacing w:after="100"/>
              <w:rPr>
                <w:rFonts w:eastAsia="Times New Roman"/>
                <w:sz w:val="20"/>
                <w:szCs w:val="20"/>
              </w:rPr>
            </w:pPr>
          </w:p>
        </w:tc>
        <w:tc>
          <w:tcPr>
            <w:tcW w:w="50" w:type="pct"/>
            <w:vAlign w:val="center"/>
            <w:hideMark/>
          </w:tcPr>
          <w:p w14:paraId="10BBCC5E" w14:textId="77777777" w:rsidR="00000000" w:rsidRDefault="00EE5306">
            <w:pPr>
              <w:spacing w:after="100"/>
              <w:rPr>
                <w:rFonts w:eastAsia="Times New Roman"/>
                <w:sz w:val="20"/>
                <w:szCs w:val="20"/>
              </w:rPr>
            </w:pPr>
          </w:p>
        </w:tc>
        <w:tc>
          <w:tcPr>
            <w:tcW w:w="585" w:type="pct"/>
            <w:vAlign w:val="center"/>
            <w:hideMark/>
          </w:tcPr>
          <w:p w14:paraId="0F9BFCC8" w14:textId="77777777" w:rsidR="00000000" w:rsidRDefault="00EE5306">
            <w:pPr>
              <w:spacing w:after="100"/>
              <w:rPr>
                <w:rFonts w:eastAsia="Times New Roman"/>
                <w:sz w:val="20"/>
                <w:szCs w:val="20"/>
              </w:rPr>
            </w:pPr>
          </w:p>
        </w:tc>
        <w:tc>
          <w:tcPr>
            <w:tcW w:w="5" w:type="pct"/>
            <w:vAlign w:val="center"/>
            <w:hideMark/>
          </w:tcPr>
          <w:p w14:paraId="6E3D34D5" w14:textId="77777777" w:rsidR="00000000" w:rsidRDefault="00EE5306">
            <w:pPr>
              <w:spacing w:after="100"/>
              <w:rPr>
                <w:rFonts w:eastAsia="Times New Roman"/>
                <w:sz w:val="20"/>
                <w:szCs w:val="20"/>
              </w:rPr>
            </w:pPr>
          </w:p>
        </w:tc>
        <w:tc>
          <w:tcPr>
            <w:tcW w:w="5" w:type="pct"/>
            <w:vAlign w:val="center"/>
            <w:hideMark/>
          </w:tcPr>
          <w:p w14:paraId="3D20C7B7" w14:textId="77777777" w:rsidR="00000000" w:rsidRDefault="00EE5306">
            <w:pPr>
              <w:spacing w:after="100"/>
              <w:rPr>
                <w:rFonts w:eastAsia="Times New Roman"/>
                <w:sz w:val="20"/>
                <w:szCs w:val="20"/>
              </w:rPr>
            </w:pPr>
          </w:p>
        </w:tc>
        <w:tc>
          <w:tcPr>
            <w:tcW w:w="28" w:type="pct"/>
            <w:vAlign w:val="center"/>
            <w:hideMark/>
          </w:tcPr>
          <w:p w14:paraId="2D9A8688" w14:textId="77777777" w:rsidR="00000000" w:rsidRDefault="00EE5306">
            <w:pPr>
              <w:spacing w:after="100"/>
              <w:rPr>
                <w:rFonts w:eastAsia="Times New Roman"/>
                <w:sz w:val="20"/>
                <w:szCs w:val="20"/>
              </w:rPr>
            </w:pPr>
          </w:p>
        </w:tc>
        <w:tc>
          <w:tcPr>
            <w:tcW w:w="5" w:type="pct"/>
            <w:vAlign w:val="center"/>
            <w:hideMark/>
          </w:tcPr>
          <w:p w14:paraId="1C27DB16" w14:textId="77777777" w:rsidR="00000000" w:rsidRDefault="00EE5306">
            <w:pPr>
              <w:spacing w:after="100"/>
              <w:rPr>
                <w:rFonts w:eastAsia="Times New Roman"/>
                <w:sz w:val="20"/>
                <w:szCs w:val="20"/>
              </w:rPr>
            </w:pPr>
          </w:p>
        </w:tc>
        <w:tc>
          <w:tcPr>
            <w:tcW w:w="50" w:type="pct"/>
            <w:vAlign w:val="center"/>
            <w:hideMark/>
          </w:tcPr>
          <w:p w14:paraId="400CA000" w14:textId="77777777" w:rsidR="00000000" w:rsidRDefault="00EE5306">
            <w:pPr>
              <w:spacing w:after="100"/>
              <w:rPr>
                <w:rFonts w:eastAsia="Times New Roman"/>
                <w:sz w:val="20"/>
                <w:szCs w:val="20"/>
              </w:rPr>
            </w:pPr>
          </w:p>
        </w:tc>
        <w:tc>
          <w:tcPr>
            <w:tcW w:w="585" w:type="pct"/>
            <w:vAlign w:val="center"/>
            <w:hideMark/>
          </w:tcPr>
          <w:p w14:paraId="3F630501" w14:textId="77777777" w:rsidR="00000000" w:rsidRDefault="00EE5306">
            <w:pPr>
              <w:spacing w:after="100"/>
              <w:rPr>
                <w:rFonts w:eastAsia="Times New Roman"/>
                <w:sz w:val="20"/>
                <w:szCs w:val="20"/>
              </w:rPr>
            </w:pPr>
          </w:p>
        </w:tc>
        <w:tc>
          <w:tcPr>
            <w:tcW w:w="5" w:type="pct"/>
            <w:vAlign w:val="center"/>
            <w:hideMark/>
          </w:tcPr>
          <w:p w14:paraId="54C3CB82" w14:textId="77777777" w:rsidR="00000000" w:rsidRDefault="00EE5306">
            <w:pPr>
              <w:spacing w:after="100"/>
              <w:rPr>
                <w:rFonts w:eastAsia="Times New Roman"/>
                <w:sz w:val="20"/>
                <w:szCs w:val="20"/>
              </w:rPr>
            </w:pPr>
          </w:p>
        </w:tc>
        <w:tc>
          <w:tcPr>
            <w:tcW w:w="5" w:type="pct"/>
            <w:vAlign w:val="center"/>
            <w:hideMark/>
          </w:tcPr>
          <w:p w14:paraId="76631363" w14:textId="77777777" w:rsidR="00000000" w:rsidRDefault="00EE5306">
            <w:pPr>
              <w:spacing w:after="100"/>
              <w:rPr>
                <w:rFonts w:eastAsia="Times New Roman"/>
                <w:sz w:val="20"/>
                <w:szCs w:val="20"/>
              </w:rPr>
            </w:pPr>
          </w:p>
        </w:tc>
        <w:tc>
          <w:tcPr>
            <w:tcW w:w="28" w:type="pct"/>
            <w:vAlign w:val="center"/>
            <w:hideMark/>
          </w:tcPr>
          <w:p w14:paraId="51EBC303" w14:textId="77777777" w:rsidR="00000000" w:rsidRDefault="00EE5306">
            <w:pPr>
              <w:spacing w:after="100"/>
              <w:rPr>
                <w:rFonts w:eastAsia="Times New Roman"/>
                <w:sz w:val="20"/>
                <w:szCs w:val="20"/>
              </w:rPr>
            </w:pPr>
          </w:p>
        </w:tc>
        <w:tc>
          <w:tcPr>
            <w:tcW w:w="5" w:type="pct"/>
            <w:vAlign w:val="center"/>
            <w:hideMark/>
          </w:tcPr>
          <w:p w14:paraId="5CA52247" w14:textId="77777777" w:rsidR="00000000" w:rsidRDefault="00EE5306">
            <w:pPr>
              <w:spacing w:after="100"/>
              <w:rPr>
                <w:rFonts w:eastAsia="Times New Roman"/>
                <w:sz w:val="20"/>
                <w:szCs w:val="20"/>
              </w:rPr>
            </w:pPr>
          </w:p>
        </w:tc>
        <w:tc>
          <w:tcPr>
            <w:tcW w:w="50" w:type="pct"/>
            <w:vAlign w:val="center"/>
            <w:hideMark/>
          </w:tcPr>
          <w:p w14:paraId="4620F5FA" w14:textId="77777777" w:rsidR="00000000" w:rsidRDefault="00EE5306">
            <w:pPr>
              <w:spacing w:after="100"/>
              <w:rPr>
                <w:rFonts w:eastAsia="Times New Roman"/>
                <w:sz w:val="20"/>
                <w:szCs w:val="20"/>
              </w:rPr>
            </w:pPr>
          </w:p>
        </w:tc>
        <w:tc>
          <w:tcPr>
            <w:tcW w:w="1897" w:type="pct"/>
            <w:vAlign w:val="center"/>
            <w:hideMark/>
          </w:tcPr>
          <w:p w14:paraId="79895F25" w14:textId="77777777" w:rsidR="00000000" w:rsidRDefault="00EE5306">
            <w:pPr>
              <w:spacing w:after="100"/>
              <w:rPr>
                <w:rFonts w:eastAsia="Times New Roman"/>
                <w:sz w:val="20"/>
                <w:szCs w:val="20"/>
              </w:rPr>
            </w:pPr>
          </w:p>
        </w:tc>
        <w:tc>
          <w:tcPr>
            <w:tcW w:w="5" w:type="pct"/>
            <w:vAlign w:val="center"/>
            <w:hideMark/>
          </w:tcPr>
          <w:p w14:paraId="2613FACA" w14:textId="77777777" w:rsidR="00000000" w:rsidRDefault="00EE5306">
            <w:pPr>
              <w:spacing w:after="100"/>
              <w:rPr>
                <w:rFonts w:eastAsia="Times New Roman"/>
                <w:sz w:val="20"/>
                <w:szCs w:val="20"/>
              </w:rPr>
            </w:pPr>
          </w:p>
        </w:tc>
      </w:tr>
      <w:tr w:rsidR="00000000" w14:paraId="2E4307BD" w14:textId="77777777">
        <w:trPr>
          <w:divId w:val="681317358"/>
        </w:trPr>
        <w:tc>
          <w:tcPr>
            <w:tcW w:w="0" w:type="auto"/>
            <w:gridSpan w:val="3"/>
            <w:tcMar>
              <w:top w:w="0" w:type="dxa"/>
              <w:left w:w="20" w:type="dxa"/>
              <w:bottom w:w="0" w:type="dxa"/>
              <w:right w:w="20" w:type="dxa"/>
            </w:tcMar>
            <w:vAlign w:val="center"/>
            <w:hideMark/>
          </w:tcPr>
          <w:p w14:paraId="09A10025"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8F3AE0"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1D25608"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4D3B1C4A"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FB92EBD" w14:textId="77777777" w:rsidR="00000000" w:rsidRDefault="00EE5306">
            <w:pPr>
              <w:spacing w:after="100"/>
              <w:rPr>
                <w:rFonts w:eastAsia="Times New Roman"/>
                <w:sz w:val="20"/>
                <w:szCs w:val="20"/>
              </w:rPr>
            </w:pPr>
          </w:p>
        </w:tc>
      </w:tr>
      <w:tr w:rsidR="00000000" w14:paraId="00115873" w14:textId="77777777">
        <w:trPr>
          <w:divId w:val="681317358"/>
        </w:trPr>
        <w:tc>
          <w:tcPr>
            <w:tcW w:w="0" w:type="auto"/>
            <w:gridSpan w:val="3"/>
            <w:tcMar>
              <w:top w:w="0" w:type="dxa"/>
              <w:left w:w="20" w:type="dxa"/>
              <w:bottom w:w="0" w:type="dxa"/>
              <w:right w:w="20" w:type="dxa"/>
            </w:tcMar>
            <w:vAlign w:val="center"/>
            <w:hideMark/>
          </w:tcPr>
          <w:p w14:paraId="5C8CB9E5"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C47709"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5175CE1"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C52D797"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258A01"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282C3383"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C0F8B0" w14:textId="77777777" w:rsidR="00000000" w:rsidRDefault="00EE5306">
            <w:pPr>
              <w:spacing w:after="100"/>
              <w:jc w:val="center"/>
              <w:rPr>
                <w:rFonts w:eastAsia="Times New Roman"/>
              </w:rPr>
            </w:pPr>
            <w:r>
              <w:rPr>
                <w:rFonts w:eastAsia="Times New Roman"/>
                <w:b/>
                <w:bCs/>
                <w:color w:val="000000"/>
                <w:sz w:val="16"/>
                <w:szCs w:val="16"/>
              </w:rPr>
              <w:t>Location Recorded in Earnings</w:t>
            </w:r>
          </w:p>
        </w:tc>
      </w:tr>
      <w:tr w:rsidR="00000000" w14:paraId="72D08754" w14:textId="77777777">
        <w:trPr>
          <w:divId w:val="681317358"/>
        </w:trPr>
        <w:tc>
          <w:tcPr>
            <w:tcW w:w="0" w:type="auto"/>
            <w:gridSpan w:val="3"/>
            <w:tcMar>
              <w:top w:w="0" w:type="dxa"/>
              <w:left w:w="20" w:type="dxa"/>
              <w:bottom w:w="0" w:type="dxa"/>
              <w:right w:w="20" w:type="dxa"/>
            </w:tcMar>
            <w:vAlign w:val="center"/>
            <w:hideMark/>
          </w:tcPr>
          <w:p w14:paraId="347AE575"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9C17D63" w14:textId="77777777" w:rsidR="00000000" w:rsidRDefault="00EE530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EF43C2C"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3AB52B77"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3515902" w14:textId="77777777" w:rsidR="00000000" w:rsidRDefault="00EE5306">
            <w:pPr>
              <w:spacing w:after="100"/>
              <w:rPr>
                <w:rFonts w:eastAsia="Times New Roman"/>
                <w:sz w:val="20"/>
                <w:szCs w:val="20"/>
              </w:rPr>
            </w:pPr>
          </w:p>
        </w:tc>
      </w:tr>
      <w:tr w:rsidR="00000000" w14:paraId="24B5EC35" w14:textId="77777777">
        <w:trPr>
          <w:divId w:val="681317358"/>
        </w:trPr>
        <w:tc>
          <w:tcPr>
            <w:tcW w:w="0" w:type="auto"/>
            <w:gridSpan w:val="3"/>
            <w:shd w:val="clear" w:color="auto" w:fill="CCEEFF"/>
            <w:tcMar>
              <w:top w:w="30" w:type="dxa"/>
              <w:left w:w="20" w:type="dxa"/>
              <w:bottom w:w="30" w:type="dxa"/>
              <w:right w:w="20" w:type="dxa"/>
            </w:tcMar>
            <w:vAlign w:val="bottom"/>
            <w:hideMark/>
          </w:tcPr>
          <w:p w14:paraId="44E4870B" w14:textId="77777777" w:rsidR="00000000" w:rsidRDefault="00EE5306">
            <w:pPr>
              <w:spacing w:after="100"/>
              <w:rPr>
                <w:rFonts w:eastAsia="Times New Roman"/>
              </w:rPr>
            </w:pPr>
            <w:r>
              <w:rPr>
                <w:rFonts w:eastAsia="Times New Roman"/>
                <w:color w:val="000000"/>
                <w:sz w:val="20"/>
                <w:szCs w:val="20"/>
              </w:rPr>
              <w:t>Operating lease cost</w:t>
            </w:r>
          </w:p>
        </w:tc>
        <w:tc>
          <w:tcPr>
            <w:tcW w:w="0" w:type="auto"/>
            <w:gridSpan w:val="3"/>
            <w:shd w:val="clear" w:color="auto" w:fill="CCEEFF"/>
            <w:tcMar>
              <w:top w:w="0" w:type="dxa"/>
              <w:left w:w="20" w:type="dxa"/>
              <w:bottom w:w="0" w:type="dxa"/>
              <w:right w:w="20" w:type="dxa"/>
            </w:tcMar>
            <w:vAlign w:val="center"/>
            <w:hideMark/>
          </w:tcPr>
          <w:p w14:paraId="0E1D8FA2"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F1BFD2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CB05E7" w14:textId="77777777" w:rsidR="00000000" w:rsidRDefault="00EE5306">
            <w:pPr>
              <w:spacing w:after="100"/>
              <w:jc w:val="right"/>
              <w:rPr>
                <w:rFonts w:eastAsia="Times New Roman"/>
              </w:rPr>
            </w:pPr>
            <w:r>
              <w:rPr>
                <w:rFonts w:eastAsia="Times New Roman"/>
                <w:color w:val="000000"/>
                <w:sz w:val="20"/>
                <w:szCs w:val="20"/>
              </w:rPr>
              <w:t>323.5 </w:t>
            </w:r>
          </w:p>
        </w:tc>
        <w:tc>
          <w:tcPr>
            <w:tcW w:w="0" w:type="auto"/>
            <w:shd w:val="clear" w:color="auto" w:fill="CCEEFF"/>
            <w:tcMar>
              <w:top w:w="30" w:type="dxa"/>
              <w:left w:w="0" w:type="dxa"/>
              <w:bottom w:w="30" w:type="dxa"/>
              <w:right w:w="20" w:type="dxa"/>
            </w:tcMar>
            <w:vAlign w:val="bottom"/>
            <w:hideMark/>
          </w:tcPr>
          <w:p w14:paraId="7AAE2EC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49907"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AF5F3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BE460E6" w14:textId="77777777" w:rsidR="00000000" w:rsidRDefault="00EE5306">
            <w:pPr>
              <w:spacing w:after="100"/>
              <w:jc w:val="right"/>
              <w:rPr>
                <w:rFonts w:eastAsia="Times New Roman"/>
              </w:rPr>
            </w:pPr>
            <w:r>
              <w:rPr>
                <w:rFonts w:eastAsia="Times New Roman"/>
                <w:color w:val="000000"/>
                <w:sz w:val="20"/>
                <w:szCs w:val="20"/>
              </w:rPr>
              <w:t>322.0 </w:t>
            </w:r>
          </w:p>
        </w:tc>
        <w:tc>
          <w:tcPr>
            <w:tcW w:w="0" w:type="auto"/>
            <w:shd w:val="clear" w:color="auto" w:fill="CCEEFF"/>
            <w:tcMar>
              <w:top w:w="30" w:type="dxa"/>
              <w:left w:w="0" w:type="dxa"/>
              <w:bottom w:w="30" w:type="dxa"/>
              <w:right w:w="20" w:type="dxa"/>
            </w:tcMar>
            <w:vAlign w:val="bottom"/>
            <w:hideMark/>
          </w:tcPr>
          <w:p w14:paraId="0366401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52818"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4CFD89E" w14:textId="77777777" w:rsidR="00000000" w:rsidRDefault="00EE5306">
            <w:pPr>
              <w:spacing w:after="100"/>
              <w:divId w:val="1626619129"/>
              <w:rPr>
                <w:rFonts w:eastAsia="Times New Roman"/>
              </w:rPr>
            </w:pPr>
            <w:r>
              <w:rPr>
                <w:rFonts w:eastAsia="Times New Roman"/>
                <w:b/>
                <w:bCs/>
                <w:color w:val="000000"/>
                <w:sz w:val="13"/>
                <w:szCs w:val="13"/>
              </w:rPr>
              <w:t>(a</w:t>
            </w:r>
            <w:r>
              <w:rPr>
                <w:rFonts w:eastAsia="Times New Roman"/>
                <w:b/>
                <w:bCs/>
                <w:color w:val="000000"/>
                <w:sz w:val="13"/>
                <w:szCs w:val="13"/>
              </w:rPr>
              <w:t>)</w:t>
            </w:r>
          </w:p>
        </w:tc>
      </w:tr>
      <w:tr w:rsidR="00000000" w14:paraId="3D916DF0" w14:textId="77777777">
        <w:trPr>
          <w:divId w:val="681317358"/>
        </w:trPr>
        <w:tc>
          <w:tcPr>
            <w:tcW w:w="0" w:type="auto"/>
            <w:gridSpan w:val="3"/>
            <w:shd w:val="clear" w:color="auto" w:fill="FFFFFF"/>
            <w:tcMar>
              <w:top w:w="30" w:type="dxa"/>
              <w:left w:w="20" w:type="dxa"/>
              <w:bottom w:w="30" w:type="dxa"/>
              <w:right w:w="20" w:type="dxa"/>
            </w:tcMar>
            <w:vAlign w:val="bottom"/>
            <w:hideMark/>
          </w:tcPr>
          <w:p w14:paraId="723379AE" w14:textId="77777777" w:rsidR="00000000" w:rsidRDefault="00EE5306">
            <w:pPr>
              <w:spacing w:after="100"/>
              <w:divId w:val="857890056"/>
              <w:rPr>
                <w:rFonts w:eastAsia="Times New Roman"/>
              </w:rPr>
            </w:pPr>
            <w:r>
              <w:rPr>
                <w:rFonts w:eastAsia="Times New Roman"/>
                <w:color w:val="000000"/>
                <w:sz w:val="20"/>
                <w:szCs w:val="20"/>
                <w:u w:val="single"/>
              </w:rPr>
              <w:t>Finance lease costs</w:t>
            </w: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BCFEC8A"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24C5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286AA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901423"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612E40"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38152E" w14:textId="77777777" w:rsidR="00000000" w:rsidRDefault="00EE5306">
            <w:pPr>
              <w:spacing w:after="100"/>
              <w:rPr>
                <w:rFonts w:eastAsia="Times New Roman"/>
                <w:sz w:val="20"/>
                <w:szCs w:val="20"/>
              </w:rPr>
            </w:pPr>
          </w:p>
        </w:tc>
      </w:tr>
      <w:tr w:rsidR="00000000" w14:paraId="2C0CE053" w14:textId="77777777">
        <w:trPr>
          <w:divId w:val="681317358"/>
        </w:trPr>
        <w:tc>
          <w:tcPr>
            <w:tcW w:w="0" w:type="auto"/>
            <w:gridSpan w:val="3"/>
            <w:shd w:val="clear" w:color="auto" w:fill="CCEEFF"/>
            <w:tcMar>
              <w:top w:w="30" w:type="dxa"/>
              <w:left w:w="155" w:type="dxa"/>
              <w:bottom w:w="30" w:type="dxa"/>
              <w:right w:w="20" w:type="dxa"/>
            </w:tcMar>
            <w:vAlign w:val="bottom"/>
            <w:hideMark/>
          </w:tcPr>
          <w:p w14:paraId="0F335D24" w14:textId="77777777" w:rsidR="00000000" w:rsidRDefault="00EE5306">
            <w:pPr>
              <w:spacing w:after="100"/>
              <w:rPr>
                <w:rFonts w:eastAsia="Times New Roman"/>
              </w:rPr>
            </w:pPr>
            <w:r>
              <w:rPr>
                <w:rFonts w:eastAsia="Times New Roman"/>
                <w:color w:val="000000"/>
                <w:sz w:val="20"/>
                <w:szCs w:val="20"/>
              </w:rPr>
              <w:t>Depreciation of leased assets</w:t>
            </w:r>
          </w:p>
        </w:tc>
        <w:tc>
          <w:tcPr>
            <w:tcW w:w="0" w:type="auto"/>
            <w:gridSpan w:val="3"/>
            <w:shd w:val="clear" w:color="auto" w:fill="CCEEFF"/>
            <w:tcMar>
              <w:top w:w="0" w:type="dxa"/>
              <w:left w:w="20" w:type="dxa"/>
              <w:bottom w:w="0" w:type="dxa"/>
              <w:right w:w="20" w:type="dxa"/>
            </w:tcMar>
            <w:vAlign w:val="center"/>
            <w:hideMark/>
          </w:tcPr>
          <w:p w14:paraId="4088F676"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63D22D" w14:textId="77777777" w:rsidR="00000000" w:rsidRDefault="00EE5306">
            <w:pPr>
              <w:spacing w:after="100"/>
              <w:jc w:val="right"/>
              <w:rPr>
                <w:rFonts w:eastAsia="Times New Roman"/>
              </w:rPr>
            </w:pPr>
            <w:r>
              <w:rPr>
                <w:rFonts w:eastAsia="Times New Roman"/>
                <w:color w:val="000000"/>
                <w:sz w:val="20"/>
                <w:szCs w:val="20"/>
              </w:rPr>
              <w:t>20.5 </w:t>
            </w:r>
          </w:p>
        </w:tc>
        <w:tc>
          <w:tcPr>
            <w:tcW w:w="0" w:type="auto"/>
            <w:shd w:val="clear" w:color="auto" w:fill="CCEEFF"/>
            <w:tcMar>
              <w:top w:w="30" w:type="dxa"/>
              <w:left w:w="0" w:type="dxa"/>
              <w:bottom w:w="30" w:type="dxa"/>
              <w:right w:w="20" w:type="dxa"/>
            </w:tcMar>
            <w:vAlign w:val="bottom"/>
            <w:hideMark/>
          </w:tcPr>
          <w:p w14:paraId="4D82E2D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5FBF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DF4D93" w14:textId="77777777" w:rsidR="00000000" w:rsidRDefault="00EE5306">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14:paraId="65AFF85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7DA35"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5DAF59A" w14:textId="77777777" w:rsidR="00000000" w:rsidRDefault="00EE5306">
            <w:pPr>
              <w:spacing w:after="100"/>
              <w:rPr>
                <w:rFonts w:eastAsia="Times New Roman"/>
              </w:rPr>
            </w:pPr>
            <w:r>
              <w:rPr>
                <w:rFonts w:eastAsia="Times New Roman"/>
                <w:color w:val="000000"/>
                <w:sz w:val="20"/>
                <w:szCs w:val="20"/>
              </w:rPr>
              <w:t>SG&amp;A expenses</w:t>
            </w:r>
          </w:p>
        </w:tc>
      </w:tr>
      <w:tr w:rsidR="00000000" w14:paraId="0B8535DC" w14:textId="77777777">
        <w:trPr>
          <w:divId w:val="681317358"/>
        </w:trPr>
        <w:tc>
          <w:tcPr>
            <w:tcW w:w="0" w:type="auto"/>
            <w:gridSpan w:val="3"/>
            <w:shd w:val="clear" w:color="auto" w:fill="FFFFFF"/>
            <w:tcMar>
              <w:top w:w="30" w:type="dxa"/>
              <w:left w:w="155" w:type="dxa"/>
              <w:bottom w:w="30" w:type="dxa"/>
              <w:right w:w="20" w:type="dxa"/>
            </w:tcMar>
            <w:vAlign w:val="bottom"/>
            <w:hideMark/>
          </w:tcPr>
          <w:p w14:paraId="05069FA8" w14:textId="77777777" w:rsidR="00000000" w:rsidRDefault="00EE5306">
            <w:pPr>
              <w:spacing w:after="100"/>
              <w:rPr>
                <w:rFonts w:eastAsia="Times New Roman"/>
              </w:rPr>
            </w:pPr>
            <w:r>
              <w:rPr>
                <w:rFonts w:eastAsia="Times New Roman"/>
                <w:color w:val="000000"/>
                <w:sz w:val="20"/>
                <w:szCs w:val="20"/>
              </w:rPr>
              <w:t>Accretion of lease liabilities</w:t>
            </w:r>
          </w:p>
        </w:tc>
        <w:tc>
          <w:tcPr>
            <w:tcW w:w="0" w:type="auto"/>
            <w:gridSpan w:val="3"/>
            <w:shd w:val="clear" w:color="auto" w:fill="FFFFFF"/>
            <w:tcMar>
              <w:top w:w="0" w:type="dxa"/>
              <w:left w:w="20" w:type="dxa"/>
              <w:bottom w:w="0" w:type="dxa"/>
              <w:right w:w="20" w:type="dxa"/>
            </w:tcMar>
            <w:vAlign w:val="center"/>
            <w:hideMark/>
          </w:tcPr>
          <w:p w14:paraId="6A2798C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1D7665" w14:textId="77777777" w:rsidR="00000000" w:rsidRDefault="00EE5306">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14:paraId="6153C19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6302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E1CC10" w14:textId="77777777" w:rsidR="00000000" w:rsidRDefault="00EE5306">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14:paraId="735E6CB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E49EF"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FE6FD02" w14:textId="77777777" w:rsidR="00000000" w:rsidRDefault="00EE5306">
            <w:pPr>
              <w:spacing w:after="100"/>
              <w:rPr>
                <w:rFonts w:eastAsia="Times New Roman"/>
              </w:rPr>
            </w:pPr>
            <w:r>
              <w:rPr>
                <w:rFonts w:eastAsia="Times New Roman"/>
                <w:color w:val="000000"/>
                <w:sz w:val="20"/>
                <w:szCs w:val="20"/>
              </w:rPr>
              <w:t>Interest expense</w:t>
            </w:r>
          </w:p>
        </w:tc>
      </w:tr>
      <w:tr w:rsidR="00000000" w14:paraId="504B9366" w14:textId="77777777">
        <w:trPr>
          <w:divId w:val="681317358"/>
        </w:trPr>
        <w:tc>
          <w:tcPr>
            <w:tcW w:w="0" w:type="auto"/>
            <w:gridSpan w:val="3"/>
            <w:shd w:val="clear" w:color="auto" w:fill="CCEEFF"/>
            <w:tcMar>
              <w:top w:w="30" w:type="dxa"/>
              <w:left w:w="20" w:type="dxa"/>
              <w:bottom w:w="30" w:type="dxa"/>
              <w:right w:w="20" w:type="dxa"/>
            </w:tcMar>
            <w:vAlign w:val="bottom"/>
            <w:hideMark/>
          </w:tcPr>
          <w:p w14:paraId="106FDD6A" w14:textId="77777777" w:rsidR="00000000" w:rsidRDefault="00EE5306">
            <w:pPr>
              <w:spacing w:after="100"/>
              <w:rPr>
                <w:rFonts w:eastAsia="Times New Roman"/>
              </w:rPr>
            </w:pPr>
            <w:r>
              <w:rPr>
                <w:rFonts w:eastAsia="Times New Roman"/>
                <w:color w:val="000000"/>
                <w:sz w:val="20"/>
                <w:szCs w:val="20"/>
              </w:rPr>
              <w:t>Variable lease cost</w:t>
            </w:r>
          </w:p>
        </w:tc>
        <w:tc>
          <w:tcPr>
            <w:tcW w:w="0" w:type="auto"/>
            <w:gridSpan w:val="3"/>
            <w:shd w:val="clear" w:color="auto" w:fill="CCEEFF"/>
            <w:tcMar>
              <w:top w:w="0" w:type="dxa"/>
              <w:left w:w="20" w:type="dxa"/>
              <w:bottom w:w="0" w:type="dxa"/>
              <w:right w:w="20" w:type="dxa"/>
            </w:tcMar>
            <w:vAlign w:val="center"/>
            <w:hideMark/>
          </w:tcPr>
          <w:p w14:paraId="2E8DF098"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53BCD4" w14:textId="77777777" w:rsidR="00000000" w:rsidRDefault="00EE5306">
            <w:pPr>
              <w:spacing w:after="100"/>
              <w:jc w:val="right"/>
              <w:rPr>
                <w:rFonts w:eastAsia="Times New Roman"/>
              </w:rPr>
            </w:pPr>
            <w:r>
              <w:rPr>
                <w:rFonts w:eastAsia="Times New Roman"/>
                <w:color w:val="000000"/>
                <w:sz w:val="20"/>
                <w:szCs w:val="20"/>
              </w:rPr>
              <w:t>224.7 </w:t>
            </w:r>
          </w:p>
        </w:tc>
        <w:tc>
          <w:tcPr>
            <w:tcW w:w="0" w:type="auto"/>
            <w:shd w:val="clear" w:color="auto" w:fill="CCEEFF"/>
            <w:tcMar>
              <w:top w:w="30" w:type="dxa"/>
              <w:left w:w="0" w:type="dxa"/>
              <w:bottom w:w="30" w:type="dxa"/>
              <w:right w:w="20" w:type="dxa"/>
            </w:tcMar>
            <w:vAlign w:val="bottom"/>
            <w:hideMark/>
          </w:tcPr>
          <w:p w14:paraId="257FE10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9162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047225" w14:textId="77777777" w:rsidR="00000000" w:rsidRDefault="00EE5306">
            <w:pPr>
              <w:spacing w:after="100"/>
              <w:jc w:val="right"/>
              <w:rPr>
                <w:rFonts w:eastAsia="Times New Roman"/>
              </w:rPr>
            </w:pPr>
            <w:r>
              <w:rPr>
                <w:rFonts w:eastAsia="Times New Roman"/>
                <w:color w:val="000000"/>
                <w:sz w:val="20"/>
                <w:szCs w:val="20"/>
              </w:rPr>
              <w:t>298.0 </w:t>
            </w:r>
          </w:p>
        </w:tc>
        <w:tc>
          <w:tcPr>
            <w:tcW w:w="0" w:type="auto"/>
            <w:shd w:val="clear" w:color="auto" w:fill="CCEEFF"/>
            <w:tcMar>
              <w:top w:w="30" w:type="dxa"/>
              <w:left w:w="0" w:type="dxa"/>
              <w:bottom w:w="30" w:type="dxa"/>
              <w:right w:w="20" w:type="dxa"/>
            </w:tcMar>
            <w:vAlign w:val="bottom"/>
            <w:hideMark/>
          </w:tcPr>
          <w:p w14:paraId="279BDF5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2F328"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4C6F902" w14:textId="77777777" w:rsidR="00000000" w:rsidRDefault="00EE5306">
            <w:pPr>
              <w:spacing w:after="100"/>
              <w:divId w:val="413862325"/>
              <w:rPr>
                <w:rFonts w:eastAsia="Times New Roman"/>
              </w:rPr>
            </w:pPr>
            <w:r>
              <w:rPr>
                <w:rFonts w:eastAsia="Times New Roman"/>
                <w:b/>
                <w:bCs/>
                <w:color w:val="000000"/>
                <w:sz w:val="13"/>
                <w:szCs w:val="13"/>
              </w:rPr>
              <w:t>(b</w:t>
            </w:r>
            <w:r>
              <w:rPr>
                <w:rFonts w:eastAsia="Times New Roman"/>
                <w:b/>
                <w:bCs/>
                <w:color w:val="000000"/>
                <w:sz w:val="13"/>
                <w:szCs w:val="13"/>
              </w:rPr>
              <w:t>)</w:t>
            </w:r>
          </w:p>
        </w:tc>
      </w:tr>
      <w:tr w:rsidR="00000000" w14:paraId="648BD6B6" w14:textId="77777777">
        <w:trPr>
          <w:divId w:val="681317358"/>
        </w:trPr>
        <w:tc>
          <w:tcPr>
            <w:tcW w:w="0" w:type="auto"/>
            <w:gridSpan w:val="3"/>
            <w:shd w:val="clear" w:color="auto" w:fill="FFFFFF"/>
            <w:tcMar>
              <w:top w:w="30" w:type="dxa"/>
              <w:left w:w="20" w:type="dxa"/>
              <w:bottom w:w="30" w:type="dxa"/>
              <w:right w:w="20" w:type="dxa"/>
            </w:tcMar>
            <w:vAlign w:val="bottom"/>
            <w:hideMark/>
          </w:tcPr>
          <w:p w14:paraId="7E628971" w14:textId="77777777" w:rsidR="00000000" w:rsidRDefault="00EE5306">
            <w:pPr>
              <w:spacing w:after="100"/>
              <w:rPr>
                <w:rFonts w:eastAsia="Times New Roman"/>
              </w:rPr>
            </w:pPr>
            <w:r>
              <w:rPr>
                <w:rFonts w:eastAsia="Times New Roman"/>
                <w:color w:val="000000"/>
                <w:sz w:val="20"/>
                <w:szCs w:val="20"/>
              </w:rPr>
              <w:t>Short-term lease cost</w:t>
            </w:r>
          </w:p>
        </w:tc>
        <w:tc>
          <w:tcPr>
            <w:tcW w:w="0" w:type="auto"/>
            <w:gridSpan w:val="3"/>
            <w:shd w:val="clear" w:color="auto" w:fill="FFFFFF"/>
            <w:tcMar>
              <w:top w:w="0" w:type="dxa"/>
              <w:left w:w="20" w:type="dxa"/>
              <w:bottom w:w="0" w:type="dxa"/>
              <w:right w:w="20" w:type="dxa"/>
            </w:tcMar>
            <w:vAlign w:val="center"/>
            <w:hideMark/>
          </w:tcPr>
          <w:p w14:paraId="253FA8A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356755" w14:textId="77777777" w:rsidR="00000000" w:rsidRDefault="00EE5306">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19C9F3D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CF97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1A3891" w14:textId="77777777" w:rsidR="00000000" w:rsidRDefault="00EE5306">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50F90EA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51AA6"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7CC52A9" w14:textId="77777777" w:rsidR="00000000" w:rsidRDefault="00EE5306">
            <w:pPr>
              <w:spacing w:after="100"/>
              <w:rPr>
                <w:rFonts w:eastAsia="Times New Roman"/>
              </w:rPr>
            </w:pPr>
            <w:r>
              <w:rPr>
                <w:rFonts w:eastAsia="Times New Roman"/>
                <w:color w:val="000000"/>
                <w:sz w:val="20"/>
                <w:szCs w:val="20"/>
              </w:rPr>
              <w:t>SG&amp;A expenses</w:t>
            </w:r>
          </w:p>
        </w:tc>
      </w:tr>
      <w:tr w:rsidR="00000000" w14:paraId="304CC1C8" w14:textId="77777777">
        <w:trPr>
          <w:divId w:val="681317358"/>
        </w:trPr>
        <w:tc>
          <w:tcPr>
            <w:tcW w:w="0" w:type="auto"/>
            <w:gridSpan w:val="3"/>
            <w:shd w:val="clear" w:color="auto" w:fill="CCEEFF"/>
            <w:tcMar>
              <w:top w:w="30" w:type="dxa"/>
              <w:left w:w="20" w:type="dxa"/>
              <w:bottom w:w="30" w:type="dxa"/>
              <w:right w:w="20" w:type="dxa"/>
            </w:tcMar>
            <w:vAlign w:val="bottom"/>
            <w:hideMark/>
          </w:tcPr>
          <w:p w14:paraId="63B90298" w14:textId="77777777" w:rsidR="00000000" w:rsidRDefault="00EE5306">
            <w:pPr>
              <w:spacing w:after="100"/>
              <w:rPr>
                <w:rFonts w:eastAsia="Times New Roman"/>
              </w:rPr>
            </w:pPr>
            <w:r>
              <w:rPr>
                <w:rFonts w:eastAsia="Times New Roman"/>
                <w:color w:val="000000"/>
                <w:sz w:val="20"/>
                <w:szCs w:val="20"/>
              </w:rPr>
              <w:t>Sublease income</w:t>
            </w:r>
          </w:p>
        </w:tc>
        <w:tc>
          <w:tcPr>
            <w:tcW w:w="0" w:type="auto"/>
            <w:gridSpan w:val="3"/>
            <w:shd w:val="clear" w:color="auto" w:fill="CCEEFF"/>
            <w:tcMar>
              <w:top w:w="0" w:type="dxa"/>
              <w:left w:w="20" w:type="dxa"/>
              <w:bottom w:w="0" w:type="dxa"/>
              <w:right w:w="20" w:type="dxa"/>
            </w:tcMar>
            <w:vAlign w:val="center"/>
            <w:hideMark/>
          </w:tcPr>
          <w:p w14:paraId="4BA5726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23F7C6" w14:textId="77777777" w:rsidR="00000000" w:rsidRDefault="00EE5306">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14:paraId="6FE52C8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A7A2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D2A12" w14:textId="77777777" w:rsidR="00000000" w:rsidRDefault="00EE5306">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4423D0B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0A4CE7"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F3506A4" w14:textId="77777777" w:rsidR="00000000" w:rsidRDefault="00EE5306">
            <w:pPr>
              <w:spacing w:after="100"/>
              <w:rPr>
                <w:rFonts w:eastAsia="Times New Roman"/>
              </w:rPr>
            </w:pPr>
            <w:r>
              <w:rPr>
                <w:rFonts w:eastAsia="Times New Roman"/>
                <w:color w:val="000000"/>
                <w:sz w:val="20"/>
                <w:szCs w:val="20"/>
              </w:rPr>
              <w:t>Restructuring and other charges</w:t>
            </w:r>
          </w:p>
        </w:tc>
      </w:tr>
      <w:tr w:rsidR="00000000" w14:paraId="3B106F04" w14:textId="77777777">
        <w:trPr>
          <w:divId w:val="681317358"/>
        </w:trPr>
        <w:tc>
          <w:tcPr>
            <w:tcW w:w="0" w:type="auto"/>
            <w:gridSpan w:val="3"/>
            <w:shd w:val="clear" w:color="auto" w:fill="FFFFFF"/>
            <w:tcMar>
              <w:top w:w="30" w:type="dxa"/>
              <w:left w:w="245" w:type="dxa"/>
              <w:bottom w:w="30" w:type="dxa"/>
              <w:right w:w="20" w:type="dxa"/>
            </w:tcMar>
            <w:vAlign w:val="bottom"/>
            <w:hideMark/>
          </w:tcPr>
          <w:p w14:paraId="0BB2E768" w14:textId="77777777" w:rsidR="00000000" w:rsidRDefault="00EE5306">
            <w:pPr>
              <w:spacing w:after="100"/>
              <w:rPr>
                <w:rFonts w:eastAsia="Times New Roman"/>
              </w:rPr>
            </w:pPr>
            <w:r>
              <w:rPr>
                <w:rFonts w:eastAsia="Times New Roman"/>
                <w:color w:val="000000"/>
                <w:sz w:val="20"/>
                <w:szCs w:val="20"/>
              </w:rPr>
              <w:t>Total lease cost</w:t>
            </w:r>
          </w:p>
        </w:tc>
        <w:tc>
          <w:tcPr>
            <w:tcW w:w="0" w:type="auto"/>
            <w:gridSpan w:val="3"/>
            <w:shd w:val="clear" w:color="auto" w:fill="FFFFFF"/>
            <w:tcMar>
              <w:top w:w="0" w:type="dxa"/>
              <w:left w:w="20" w:type="dxa"/>
              <w:bottom w:w="0" w:type="dxa"/>
              <w:right w:w="20" w:type="dxa"/>
            </w:tcMar>
            <w:vAlign w:val="center"/>
            <w:hideMark/>
          </w:tcPr>
          <w:p w14:paraId="69643AC6"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2FAE66"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424B2E" w14:textId="77777777" w:rsidR="00000000" w:rsidRDefault="00EE5306">
            <w:pPr>
              <w:spacing w:after="100"/>
              <w:jc w:val="right"/>
              <w:rPr>
                <w:rFonts w:eastAsia="Times New Roman"/>
              </w:rPr>
            </w:pPr>
            <w:r>
              <w:rPr>
                <w:rFonts w:eastAsia="Times New Roman"/>
                <w:color w:val="000000"/>
                <w:sz w:val="20"/>
                <w:szCs w:val="20"/>
              </w:rPr>
              <w:t>581.5 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4B128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2B7B0"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1D8B1D"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36ECFDE" w14:textId="77777777" w:rsidR="00000000" w:rsidRDefault="00EE5306">
            <w:pPr>
              <w:spacing w:after="100"/>
              <w:jc w:val="right"/>
              <w:rPr>
                <w:rFonts w:eastAsia="Times New Roman"/>
              </w:rPr>
            </w:pPr>
            <w:r>
              <w:rPr>
                <w:rFonts w:eastAsia="Times New Roman"/>
                <w:color w:val="000000"/>
                <w:sz w:val="20"/>
                <w:szCs w:val="20"/>
              </w:rPr>
              <w:t>648.8 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296CE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40AD3"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6014F3" w14:textId="77777777" w:rsidR="00000000" w:rsidRDefault="00EE5306">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744EB479" w14:textId="77777777">
        <w:tc>
          <w:tcPr>
            <w:tcW w:w="50" w:type="pct"/>
            <w:vAlign w:val="center"/>
            <w:hideMark/>
          </w:tcPr>
          <w:p w14:paraId="007FC3E7" w14:textId="77777777" w:rsidR="00000000" w:rsidRDefault="00EE5306">
            <w:pPr>
              <w:rPr>
                <w:rFonts w:eastAsia="Times New Roman"/>
              </w:rPr>
            </w:pPr>
          </w:p>
        </w:tc>
        <w:tc>
          <w:tcPr>
            <w:tcW w:w="4945" w:type="pct"/>
            <w:vAlign w:val="center"/>
            <w:hideMark/>
          </w:tcPr>
          <w:p w14:paraId="408B180F" w14:textId="77777777" w:rsidR="00000000" w:rsidRDefault="00EE5306">
            <w:pPr>
              <w:spacing w:after="100"/>
              <w:rPr>
                <w:rFonts w:eastAsia="Times New Roman"/>
                <w:sz w:val="20"/>
                <w:szCs w:val="20"/>
              </w:rPr>
            </w:pPr>
          </w:p>
        </w:tc>
        <w:tc>
          <w:tcPr>
            <w:tcW w:w="5" w:type="pct"/>
            <w:vAlign w:val="center"/>
            <w:hideMark/>
          </w:tcPr>
          <w:p w14:paraId="3326D88F" w14:textId="77777777" w:rsidR="00000000" w:rsidRDefault="00EE5306">
            <w:pPr>
              <w:spacing w:after="100"/>
              <w:rPr>
                <w:rFonts w:eastAsia="Times New Roman"/>
                <w:sz w:val="20"/>
                <w:szCs w:val="20"/>
              </w:rPr>
            </w:pPr>
          </w:p>
        </w:tc>
      </w:tr>
      <w:tr w:rsidR="00000000" w14:paraId="496ECF0F"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0A6E6D96" w14:textId="77777777" w:rsidR="00000000" w:rsidRDefault="00EE5306">
            <w:pPr>
              <w:spacing w:after="100"/>
              <w:rPr>
                <w:rFonts w:eastAsia="Times New Roman"/>
                <w:sz w:val="20"/>
                <w:szCs w:val="20"/>
              </w:rPr>
            </w:pPr>
          </w:p>
        </w:tc>
      </w:tr>
    </w:tbl>
    <w:p w14:paraId="3B0A5BCD" w14:textId="77777777" w:rsidR="00000000" w:rsidRDefault="00EE5306">
      <w:pPr>
        <w:rPr>
          <w:rFonts w:eastAsia="Times New Roman"/>
        </w:rPr>
      </w:pPr>
      <w:r>
        <w:rPr>
          <w:rFonts w:eastAsia="Times New Roman"/>
          <w:color w:val="000000"/>
          <w:sz w:val="20"/>
          <w:szCs w:val="20"/>
        </w:rPr>
        <w:t> </w:t>
      </w:r>
    </w:p>
    <w:p w14:paraId="177089C9" w14:textId="77777777" w:rsidR="00000000" w:rsidRDefault="00EE5306">
      <w:pPr>
        <w:ind w:hanging="360"/>
        <w:jc w:val="both"/>
        <w:divId w:val="1485973560"/>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During Fiscal 2021, $3.4 million was included within cost of goods sold, $307.0 million was included within SG&amp;A expenses, and $13.1 </w:t>
      </w:r>
      <w:r>
        <w:rPr>
          <w:rFonts w:eastAsia="Times New Roman"/>
          <w:color w:val="000000"/>
          <w:sz w:val="20"/>
          <w:szCs w:val="20"/>
        </w:rPr>
        <w:t>million was included within restructuring and other charges. During Fiscal 2020, $4.4 million was included within cost of goods sold, $307.3 million was included within SG&amp;A expenses, and $10.3 million was included within restructuring and other charges.</w:t>
      </w:r>
    </w:p>
    <w:p w14:paraId="5362B458" w14:textId="77777777" w:rsidR="00000000" w:rsidRDefault="00EE5306">
      <w:pPr>
        <w:ind w:hanging="360"/>
        <w:jc w:val="both"/>
        <w:divId w:val="1910118470"/>
        <w:rPr>
          <w:rFonts w:eastAsia="Times New Roman"/>
        </w:rPr>
      </w:pPr>
      <w:r>
        <w:rPr>
          <w:rFonts w:eastAsia="Times New Roman"/>
          <w:b/>
          <w:bCs/>
          <w:color w:val="000000"/>
          <w:sz w:val="13"/>
          <w:szCs w:val="13"/>
        </w:rPr>
        <w:t>(</w:t>
      </w: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During Fiscal 2021, $4.5 million was included within cost of goods sold and $220.2 million was included within SG&amp;A expenses. During Fiscal 2020, $4.7 million was included within cost of goods sold, $290.3 million was included within SG&amp;A expenses, and $</w:t>
      </w:r>
      <w:r>
        <w:rPr>
          <w:rFonts w:eastAsia="Times New Roman"/>
          <w:color w:val="000000"/>
          <w:sz w:val="20"/>
          <w:szCs w:val="20"/>
        </w:rPr>
        <w:t xml:space="preserve">3.0 million was included within restructuring and other charges. </w:t>
      </w:r>
    </w:p>
    <w:p w14:paraId="0CAD6306" w14:textId="77777777" w:rsidR="00000000" w:rsidRDefault="00EE5306">
      <w:pPr>
        <w:ind w:firstLine="540"/>
        <w:jc w:val="both"/>
        <w:divId w:val="1428379186"/>
        <w:rPr>
          <w:rFonts w:eastAsia="Times New Roman"/>
        </w:rPr>
      </w:pPr>
      <w:r>
        <w:rPr>
          <w:rFonts w:eastAsia="Times New Roman"/>
          <w:color w:val="000000"/>
          <w:sz w:val="20"/>
          <w:szCs w:val="20"/>
        </w:rPr>
        <w:t xml:space="preserve">During Fiscal 2019, in accordance with lease accounting guidance then in effect (prior to adoption of ASU 2016-02), the Company recognized rent expense of approximately $449.3 million, net of insignificant sublease income, related to its operating leases, </w:t>
      </w:r>
      <w:r>
        <w:rPr>
          <w:rFonts w:eastAsia="Times New Roman"/>
          <w:color w:val="000000"/>
          <w:sz w:val="20"/>
          <w:szCs w:val="20"/>
        </w:rPr>
        <w:t>which included contingent rental charges of approximately $192.0 million and does not include costs related to non-lease components.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19166DC8" w14:textId="77777777">
        <w:trPr>
          <w:divId w:val="1190028478"/>
          <w:jc w:val="center"/>
        </w:trPr>
        <w:tc>
          <w:tcPr>
            <w:tcW w:w="50" w:type="pct"/>
            <w:vAlign w:val="center"/>
            <w:hideMark/>
          </w:tcPr>
          <w:p w14:paraId="72BC827E" w14:textId="77777777" w:rsidR="00000000" w:rsidRDefault="00EE5306">
            <w:pPr>
              <w:ind w:firstLine="540"/>
              <w:jc w:val="both"/>
              <w:rPr>
                <w:rFonts w:eastAsia="Times New Roman"/>
              </w:rPr>
            </w:pPr>
          </w:p>
        </w:tc>
        <w:tc>
          <w:tcPr>
            <w:tcW w:w="1699" w:type="pct"/>
            <w:vAlign w:val="center"/>
            <w:hideMark/>
          </w:tcPr>
          <w:p w14:paraId="44E70725" w14:textId="77777777" w:rsidR="00000000" w:rsidRDefault="00EE5306">
            <w:pPr>
              <w:spacing w:after="100"/>
              <w:rPr>
                <w:rFonts w:eastAsia="Times New Roman"/>
                <w:sz w:val="20"/>
                <w:szCs w:val="20"/>
              </w:rPr>
            </w:pPr>
          </w:p>
        </w:tc>
        <w:tc>
          <w:tcPr>
            <w:tcW w:w="5" w:type="pct"/>
            <w:vAlign w:val="center"/>
            <w:hideMark/>
          </w:tcPr>
          <w:p w14:paraId="6E09FB84" w14:textId="77777777" w:rsidR="00000000" w:rsidRDefault="00EE5306">
            <w:pPr>
              <w:spacing w:after="100"/>
              <w:rPr>
                <w:rFonts w:eastAsia="Times New Roman"/>
                <w:sz w:val="20"/>
                <w:szCs w:val="20"/>
              </w:rPr>
            </w:pPr>
          </w:p>
        </w:tc>
        <w:tc>
          <w:tcPr>
            <w:tcW w:w="50" w:type="pct"/>
            <w:vAlign w:val="center"/>
            <w:hideMark/>
          </w:tcPr>
          <w:p w14:paraId="1002F86F" w14:textId="77777777" w:rsidR="00000000" w:rsidRDefault="00EE5306">
            <w:pPr>
              <w:spacing w:after="100"/>
              <w:rPr>
                <w:rFonts w:eastAsia="Times New Roman"/>
                <w:sz w:val="20"/>
                <w:szCs w:val="20"/>
              </w:rPr>
            </w:pPr>
          </w:p>
        </w:tc>
        <w:tc>
          <w:tcPr>
            <w:tcW w:w="1436" w:type="pct"/>
            <w:vAlign w:val="center"/>
            <w:hideMark/>
          </w:tcPr>
          <w:p w14:paraId="5D016901" w14:textId="77777777" w:rsidR="00000000" w:rsidRDefault="00EE5306">
            <w:pPr>
              <w:spacing w:after="100"/>
              <w:rPr>
                <w:rFonts w:eastAsia="Times New Roman"/>
                <w:sz w:val="20"/>
                <w:szCs w:val="20"/>
              </w:rPr>
            </w:pPr>
          </w:p>
        </w:tc>
        <w:tc>
          <w:tcPr>
            <w:tcW w:w="5" w:type="pct"/>
            <w:vAlign w:val="center"/>
            <w:hideMark/>
          </w:tcPr>
          <w:p w14:paraId="1A262B6D" w14:textId="77777777" w:rsidR="00000000" w:rsidRDefault="00EE5306">
            <w:pPr>
              <w:spacing w:after="100"/>
              <w:rPr>
                <w:rFonts w:eastAsia="Times New Roman"/>
                <w:sz w:val="20"/>
                <w:szCs w:val="20"/>
              </w:rPr>
            </w:pPr>
          </w:p>
        </w:tc>
        <w:tc>
          <w:tcPr>
            <w:tcW w:w="50" w:type="pct"/>
            <w:vAlign w:val="center"/>
            <w:hideMark/>
          </w:tcPr>
          <w:p w14:paraId="455CA2D4" w14:textId="77777777" w:rsidR="00000000" w:rsidRDefault="00EE5306">
            <w:pPr>
              <w:spacing w:after="100"/>
              <w:rPr>
                <w:rFonts w:eastAsia="Times New Roman"/>
                <w:sz w:val="20"/>
                <w:szCs w:val="20"/>
              </w:rPr>
            </w:pPr>
          </w:p>
        </w:tc>
        <w:tc>
          <w:tcPr>
            <w:tcW w:w="1699" w:type="pct"/>
            <w:vAlign w:val="center"/>
            <w:hideMark/>
          </w:tcPr>
          <w:p w14:paraId="0DDF7BA1" w14:textId="77777777" w:rsidR="00000000" w:rsidRDefault="00EE5306">
            <w:pPr>
              <w:spacing w:after="100"/>
              <w:rPr>
                <w:rFonts w:eastAsia="Times New Roman"/>
                <w:sz w:val="20"/>
                <w:szCs w:val="20"/>
              </w:rPr>
            </w:pPr>
          </w:p>
        </w:tc>
        <w:tc>
          <w:tcPr>
            <w:tcW w:w="5" w:type="pct"/>
            <w:vAlign w:val="center"/>
            <w:hideMark/>
          </w:tcPr>
          <w:p w14:paraId="51969672" w14:textId="77777777" w:rsidR="00000000" w:rsidRDefault="00EE5306">
            <w:pPr>
              <w:spacing w:after="100"/>
              <w:rPr>
                <w:rFonts w:eastAsia="Times New Roman"/>
                <w:sz w:val="20"/>
                <w:szCs w:val="20"/>
              </w:rPr>
            </w:pPr>
          </w:p>
        </w:tc>
      </w:tr>
      <w:tr w:rsidR="00000000" w14:paraId="309E8B59" w14:textId="77777777">
        <w:trPr>
          <w:divId w:val="1190028478"/>
          <w:jc w:val="center"/>
        </w:trPr>
        <w:tc>
          <w:tcPr>
            <w:tcW w:w="0" w:type="auto"/>
            <w:gridSpan w:val="3"/>
            <w:tcMar>
              <w:top w:w="0" w:type="dxa"/>
              <w:left w:w="20" w:type="dxa"/>
              <w:bottom w:w="0" w:type="dxa"/>
              <w:right w:w="20" w:type="dxa"/>
            </w:tcMar>
            <w:vAlign w:val="center"/>
            <w:hideMark/>
          </w:tcPr>
          <w:p w14:paraId="0C7E4762"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3853724" w14:textId="77777777" w:rsidR="00000000" w:rsidRDefault="00EE5306">
            <w:pPr>
              <w:spacing w:after="100"/>
              <w:jc w:val="center"/>
              <w:rPr>
                <w:rFonts w:eastAsia="Times New Roman"/>
              </w:rPr>
            </w:pPr>
            <w:r>
              <w:rPr>
                <w:rFonts w:eastAsia="Times New Roman"/>
                <w:color w:val="000000"/>
                <w:sz w:val="20"/>
                <w:szCs w:val="20"/>
              </w:rPr>
              <w:t>F-42</w:t>
            </w:r>
          </w:p>
        </w:tc>
        <w:tc>
          <w:tcPr>
            <w:tcW w:w="0" w:type="auto"/>
            <w:gridSpan w:val="3"/>
            <w:tcMar>
              <w:top w:w="0" w:type="dxa"/>
              <w:left w:w="20" w:type="dxa"/>
              <w:bottom w:w="0" w:type="dxa"/>
              <w:right w:w="20" w:type="dxa"/>
            </w:tcMar>
            <w:vAlign w:val="center"/>
            <w:hideMark/>
          </w:tcPr>
          <w:p w14:paraId="08A1574B" w14:textId="77777777" w:rsidR="00000000" w:rsidRDefault="00EE5306">
            <w:pPr>
              <w:spacing w:after="100"/>
              <w:jc w:val="center"/>
              <w:rPr>
                <w:rFonts w:eastAsia="Times New Roman"/>
              </w:rPr>
            </w:pPr>
          </w:p>
        </w:tc>
      </w:tr>
    </w:tbl>
    <w:p w14:paraId="4D54AA86" w14:textId="77777777" w:rsidR="00000000" w:rsidRDefault="00EE5306">
      <w:pPr>
        <w:rPr>
          <w:rFonts w:eastAsia="Times New Roman"/>
        </w:rPr>
      </w:pPr>
      <w:r>
        <w:rPr>
          <w:rFonts w:eastAsia="Times New Roman"/>
        </w:rPr>
        <w:pict w14:anchorId="7B86A011">
          <v:rect id="_x0000_i1152" style="width:0;height:1.5pt" o:hralign="center" o:hrstd="t" o:hr="t" fillcolor="#a0a0a0" stroked="f"/>
        </w:pict>
      </w:r>
    </w:p>
    <w:p w14:paraId="441EC4AD" w14:textId="77777777" w:rsidR="00000000" w:rsidRDefault="00EE5306">
      <w:pPr>
        <w:jc w:val="center"/>
        <w:divId w:val="503594832"/>
        <w:rPr>
          <w:rFonts w:eastAsia="Times New Roman"/>
        </w:rPr>
      </w:pPr>
    </w:p>
    <w:p w14:paraId="6B6BED32" w14:textId="77777777" w:rsidR="00000000" w:rsidRDefault="00EE5306">
      <w:pPr>
        <w:jc w:val="center"/>
        <w:divId w:val="503594832"/>
        <w:rPr>
          <w:rFonts w:eastAsia="Times New Roman"/>
        </w:rPr>
      </w:pPr>
      <w:r>
        <w:rPr>
          <w:rFonts w:eastAsia="Times New Roman"/>
          <w:b/>
          <w:bCs/>
          <w:color w:val="000000"/>
          <w:sz w:val="20"/>
          <w:szCs w:val="20"/>
        </w:rPr>
        <w:t>RALPH LAUREN CORPORATION</w:t>
      </w:r>
    </w:p>
    <w:p w14:paraId="26779AE4" w14:textId="77777777" w:rsidR="00000000" w:rsidRDefault="00EE5306">
      <w:pPr>
        <w:jc w:val="center"/>
        <w:divId w:val="1990162004"/>
        <w:rPr>
          <w:rFonts w:eastAsia="Times New Roman"/>
        </w:rPr>
      </w:pPr>
      <w:r>
        <w:rPr>
          <w:rFonts w:eastAsia="Times New Roman"/>
          <w:b/>
          <w:bCs/>
          <w:color w:val="000000"/>
          <w:sz w:val="20"/>
          <w:szCs w:val="20"/>
        </w:rPr>
        <w:t>NOTES TO CONSOLIDATED FINANCIAL STATEMENTS (Continued)</w:t>
      </w:r>
    </w:p>
    <w:p w14:paraId="557DDCE4" w14:textId="77777777" w:rsidR="00000000" w:rsidRDefault="00EE5306">
      <w:pPr>
        <w:ind w:firstLine="540"/>
        <w:jc w:val="both"/>
        <w:divId w:val="1743983530"/>
        <w:rPr>
          <w:rFonts w:eastAsia="Times New Roman"/>
        </w:rPr>
      </w:pPr>
      <w:r>
        <w:rPr>
          <w:rFonts w:eastAsia="Times New Roman"/>
          <w:color w:val="000000"/>
          <w:sz w:val="20"/>
          <w:szCs w:val="20"/>
        </w:rPr>
        <w:t>The following table summarizes certain cash flow information related to the Company's leases:</w:t>
      </w:r>
    </w:p>
    <w:tbl>
      <w:tblPr>
        <w:tblW w:w="4707" w:type="pct"/>
        <w:tblCellMar>
          <w:top w:w="15" w:type="dxa"/>
          <w:left w:w="15" w:type="dxa"/>
          <w:bottom w:w="15" w:type="dxa"/>
          <w:right w:w="15" w:type="dxa"/>
        </w:tblCellMar>
        <w:tblLook w:val="04A0" w:firstRow="1" w:lastRow="0" w:firstColumn="1" w:lastColumn="0" w:noHBand="0" w:noVBand="1"/>
      </w:tblPr>
      <w:tblGrid>
        <w:gridCol w:w="37"/>
        <w:gridCol w:w="5544"/>
        <w:gridCol w:w="36"/>
        <w:gridCol w:w="36"/>
        <w:gridCol w:w="70"/>
        <w:gridCol w:w="36"/>
        <w:gridCol w:w="120"/>
        <w:gridCol w:w="839"/>
        <w:gridCol w:w="36"/>
        <w:gridCol w:w="36"/>
        <w:gridCol w:w="36"/>
        <w:gridCol w:w="36"/>
        <w:gridCol w:w="120"/>
        <w:gridCol w:w="801"/>
        <w:gridCol w:w="36"/>
      </w:tblGrid>
      <w:tr w:rsidR="00000000" w14:paraId="6EDFB097" w14:textId="77777777">
        <w:trPr>
          <w:divId w:val="242186613"/>
        </w:trPr>
        <w:tc>
          <w:tcPr>
            <w:tcW w:w="50" w:type="pct"/>
            <w:vAlign w:val="center"/>
            <w:hideMark/>
          </w:tcPr>
          <w:p w14:paraId="588FFC48" w14:textId="77777777" w:rsidR="00000000" w:rsidRDefault="00EE5306">
            <w:pPr>
              <w:ind w:firstLine="540"/>
              <w:jc w:val="both"/>
              <w:rPr>
                <w:rFonts w:eastAsia="Times New Roman"/>
              </w:rPr>
            </w:pPr>
          </w:p>
        </w:tc>
        <w:tc>
          <w:tcPr>
            <w:tcW w:w="3578" w:type="pct"/>
            <w:vAlign w:val="center"/>
            <w:hideMark/>
          </w:tcPr>
          <w:p w14:paraId="26CE2DC0" w14:textId="77777777" w:rsidR="00000000" w:rsidRDefault="00EE5306">
            <w:pPr>
              <w:spacing w:after="100"/>
              <w:rPr>
                <w:rFonts w:eastAsia="Times New Roman"/>
                <w:sz w:val="20"/>
                <w:szCs w:val="20"/>
              </w:rPr>
            </w:pPr>
          </w:p>
        </w:tc>
        <w:tc>
          <w:tcPr>
            <w:tcW w:w="5" w:type="pct"/>
            <w:vAlign w:val="center"/>
            <w:hideMark/>
          </w:tcPr>
          <w:p w14:paraId="4EBDDF30" w14:textId="77777777" w:rsidR="00000000" w:rsidRDefault="00EE5306">
            <w:pPr>
              <w:spacing w:after="100"/>
              <w:rPr>
                <w:rFonts w:eastAsia="Times New Roman"/>
                <w:sz w:val="20"/>
                <w:szCs w:val="20"/>
              </w:rPr>
            </w:pPr>
          </w:p>
        </w:tc>
        <w:tc>
          <w:tcPr>
            <w:tcW w:w="5" w:type="pct"/>
            <w:vAlign w:val="center"/>
            <w:hideMark/>
          </w:tcPr>
          <w:p w14:paraId="6528165E" w14:textId="77777777" w:rsidR="00000000" w:rsidRDefault="00EE5306">
            <w:pPr>
              <w:spacing w:after="100"/>
              <w:rPr>
                <w:rFonts w:eastAsia="Times New Roman"/>
                <w:sz w:val="20"/>
                <w:szCs w:val="20"/>
              </w:rPr>
            </w:pPr>
          </w:p>
        </w:tc>
        <w:tc>
          <w:tcPr>
            <w:tcW w:w="75" w:type="pct"/>
            <w:vAlign w:val="center"/>
            <w:hideMark/>
          </w:tcPr>
          <w:p w14:paraId="4DEEFD7F" w14:textId="77777777" w:rsidR="00000000" w:rsidRDefault="00EE5306">
            <w:pPr>
              <w:spacing w:after="100"/>
              <w:rPr>
                <w:rFonts w:eastAsia="Times New Roman"/>
                <w:sz w:val="20"/>
                <w:szCs w:val="20"/>
              </w:rPr>
            </w:pPr>
          </w:p>
        </w:tc>
        <w:tc>
          <w:tcPr>
            <w:tcW w:w="5" w:type="pct"/>
            <w:vAlign w:val="center"/>
            <w:hideMark/>
          </w:tcPr>
          <w:p w14:paraId="647FD9CF" w14:textId="77777777" w:rsidR="00000000" w:rsidRDefault="00EE5306">
            <w:pPr>
              <w:spacing w:after="100"/>
              <w:rPr>
                <w:rFonts w:eastAsia="Times New Roman"/>
                <w:sz w:val="20"/>
                <w:szCs w:val="20"/>
              </w:rPr>
            </w:pPr>
          </w:p>
        </w:tc>
        <w:tc>
          <w:tcPr>
            <w:tcW w:w="50" w:type="pct"/>
            <w:vAlign w:val="center"/>
            <w:hideMark/>
          </w:tcPr>
          <w:p w14:paraId="17D3D0E3" w14:textId="77777777" w:rsidR="00000000" w:rsidRDefault="00EE5306">
            <w:pPr>
              <w:spacing w:after="100"/>
              <w:rPr>
                <w:rFonts w:eastAsia="Times New Roman"/>
                <w:sz w:val="20"/>
                <w:szCs w:val="20"/>
              </w:rPr>
            </w:pPr>
          </w:p>
        </w:tc>
        <w:tc>
          <w:tcPr>
            <w:tcW w:w="566" w:type="pct"/>
            <w:vAlign w:val="center"/>
            <w:hideMark/>
          </w:tcPr>
          <w:p w14:paraId="34016384" w14:textId="77777777" w:rsidR="00000000" w:rsidRDefault="00EE5306">
            <w:pPr>
              <w:spacing w:after="100"/>
              <w:rPr>
                <w:rFonts w:eastAsia="Times New Roman"/>
                <w:sz w:val="20"/>
                <w:szCs w:val="20"/>
              </w:rPr>
            </w:pPr>
          </w:p>
        </w:tc>
        <w:tc>
          <w:tcPr>
            <w:tcW w:w="5" w:type="pct"/>
            <w:vAlign w:val="center"/>
            <w:hideMark/>
          </w:tcPr>
          <w:p w14:paraId="34538AA2" w14:textId="77777777" w:rsidR="00000000" w:rsidRDefault="00EE5306">
            <w:pPr>
              <w:spacing w:after="100"/>
              <w:rPr>
                <w:rFonts w:eastAsia="Times New Roman"/>
                <w:sz w:val="20"/>
                <w:szCs w:val="20"/>
              </w:rPr>
            </w:pPr>
          </w:p>
        </w:tc>
        <w:tc>
          <w:tcPr>
            <w:tcW w:w="5" w:type="pct"/>
            <w:vAlign w:val="center"/>
            <w:hideMark/>
          </w:tcPr>
          <w:p w14:paraId="03FA2DDD" w14:textId="77777777" w:rsidR="00000000" w:rsidRDefault="00EE5306">
            <w:pPr>
              <w:spacing w:after="100"/>
              <w:rPr>
                <w:rFonts w:eastAsia="Times New Roman"/>
                <w:sz w:val="20"/>
                <w:szCs w:val="20"/>
              </w:rPr>
            </w:pPr>
          </w:p>
        </w:tc>
        <w:tc>
          <w:tcPr>
            <w:tcW w:w="28" w:type="pct"/>
            <w:vAlign w:val="center"/>
            <w:hideMark/>
          </w:tcPr>
          <w:p w14:paraId="2FBE35ED" w14:textId="77777777" w:rsidR="00000000" w:rsidRDefault="00EE5306">
            <w:pPr>
              <w:spacing w:after="100"/>
              <w:rPr>
                <w:rFonts w:eastAsia="Times New Roman"/>
                <w:sz w:val="20"/>
                <w:szCs w:val="20"/>
              </w:rPr>
            </w:pPr>
          </w:p>
        </w:tc>
        <w:tc>
          <w:tcPr>
            <w:tcW w:w="5" w:type="pct"/>
            <w:vAlign w:val="center"/>
            <w:hideMark/>
          </w:tcPr>
          <w:p w14:paraId="2F27993E" w14:textId="77777777" w:rsidR="00000000" w:rsidRDefault="00EE5306">
            <w:pPr>
              <w:spacing w:after="100"/>
              <w:rPr>
                <w:rFonts w:eastAsia="Times New Roman"/>
                <w:sz w:val="20"/>
                <w:szCs w:val="20"/>
              </w:rPr>
            </w:pPr>
          </w:p>
        </w:tc>
        <w:tc>
          <w:tcPr>
            <w:tcW w:w="50" w:type="pct"/>
            <w:vAlign w:val="center"/>
            <w:hideMark/>
          </w:tcPr>
          <w:p w14:paraId="1D2EB8B1" w14:textId="77777777" w:rsidR="00000000" w:rsidRDefault="00EE5306">
            <w:pPr>
              <w:spacing w:after="100"/>
              <w:rPr>
                <w:rFonts w:eastAsia="Times New Roman"/>
                <w:sz w:val="20"/>
                <w:szCs w:val="20"/>
              </w:rPr>
            </w:pPr>
          </w:p>
        </w:tc>
        <w:tc>
          <w:tcPr>
            <w:tcW w:w="566" w:type="pct"/>
            <w:vAlign w:val="center"/>
            <w:hideMark/>
          </w:tcPr>
          <w:p w14:paraId="2470179F" w14:textId="77777777" w:rsidR="00000000" w:rsidRDefault="00EE5306">
            <w:pPr>
              <w:spacing w:after="100"/>
              <w:rPr>
                <w:rFonts w:eastAsia="Times New Roman"/>
                <w:sz w:val="20"/>
                <w:szCs w:val="20"/>
              </w:rPr>
            </w:pPr>
          </w:p>
        </w:tc>
        <w:tc>
          <w:tcPr>
            <w:tcW w:w="5" w:type="pct"/>
            <w:vAlign w:val="center"/>
            <w:hideMark/>
          </w:tcPr>
          <w:p w14:paraId="7B4706E0" w14:textId="77777777" w:rsidR="00000000" w:rsidRDefault="00EE5306">
            <w:pPr>
              <w:spacing w:after="100"/>
              <w:rPr>
                <w:rFonts w:eastAsia="Times New Roman"/>
                <w:sz w:val="20"/>
                <w:szCs w:val="20"/>
              </w:rPr>
            </w:pPr>
          </w:p>
        </w:tc>
      </w:tr>
      <w:tr w:rsidR="00000000" w14:paraId="0B7EBAD3" w14:textId="77777777">
        <w:trPr>
          <w:divId w:val="242186613"/>
        </w:trPr>
        <w:tc>
          <w:tcPr>
            <w:tcW w:w="0" w:type="auto"/>
            <w:gridSpan w:val="3"/>
            <w:tcMar>
              <w:top w:w="0" w:type="dxa"/>
              <w:left w:w="20" w:type="dxa"/>
              <w:bottom w:w="0" w:type="dxa"/>
              <w:right w:w="20" w:type="dxa"/>
            </w:tcMar>
            <w:vAlign w:val="center"/>
            <w:hideMark/>
          </w:tcPr>
          <w:p w14:paraId="16867C61"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5E61E4"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FDE3AB2" w14:textId="77777777" w:rsidR="00000000" w:rsidRDefault="00EE5306">
            <w:pPr>
              <w:spacing w:after="100"/>
              <w:jc w:val="center"/>
              <w:rPr>
                <w:rFonts w:eastAsia="Times New Roman"/>
              </w:rPr>
            </w:pPr>
            <w:r>
              <w:rPr>
                <w:rFonts w:eastAsia="Times New Roman"/>
                <w:b/>
                <w:bCs/>
                <w:color w:val="000000"/>
                <w:sz w:val="16"/>
                <w:szCs w:val="16"/>
              </w:rPr>
              <w:t>Fiscal Year Ended</w:t>
            </w:r>
          </w:p>
        </w:tc>
      </w:tr>
      <w:tr w:rsidR="00000000" w14:paraId="29A3C67E" w14:textId="77777777">
        <w:trPr>
          <w:divId w:val="242186613"/>
        </w:trPr>
        <w:tc>
          <w:tcPr>
            <w:tcW w:w="0" w:type="auto"/>
            <w:gridSpan w:val="3"/>
            <w:tcMar>
              <w:top w:w="0" w:type="dxa"/>
              <w:left w:w="20" w:type="dxa"/>
              <w:bottom w:w="0" w:type="dxa"/>
              <w:right w:w="20" w:type="dxa"/>
            </w:tcMar>
            <w:vAlign w:val="center"/>
            <w:hideMark/>
          </w:tcPr>
          <w:p w14:paraId="17D1E362"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A0CD8F3"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9EBE4E2"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9B85638"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FD06AF2"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47A3541C" w14:textId="77777777">
        <w:trPr>
          <w:divId w:val="242186613"/>
        </w:trPr>
        <w:tc>
          <w:tcPr>
            <w:tcW w:w="0" w:type="auto"/>
            <w:gridSpan w:val="3"/>
            <w:tcMar>
              <w:top w:w="0" w:type="dxa"/>
              <w:left w:w="20" w:type="dxa"/>
              <w:bottom w:w="0" w:type="dxa"/>
              <w:right w:w="20" w:type="dxa"/>
            </w:tcMar>
            <w:vAlign w:val="center"/>
            <w:hideMark/>
          </w:tcPr>
          <w:p w14:paraId="0B029DED"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E7151E1" w14:textId="77777777" w:rsidR="00000000" w:rsidRDefault="00EE530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C5F1B33"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1550581C" w14:textId="77777777">
        <w:trPr>
          <w:divId w:val="242186613"/>
        </w:trPr>
        <w:tc>
          <w:tcPr>
            <w:tcW w:w="0" w:type="auto"/>
            <w:gridSpan w:val="3"/>
            <w:shd w:val="clear" w:color="auto" w:fill="CCEEFF"/>
            <w:tcMar>
              <w:top w:w="30" w:type="dxa"/>
              <w:left w:w="20" w:type="dxa"/>
              <w:bottom w:w="30" w:type="dxa"/>
              <w:right w:w="20" w:type="dxa"/>
            </w:tcMar>
            <w:vAlign w:val="bottom"/>
            <w:hideMark/>
          </w:tcPr>
          <w:p w14:paraId="5FDE952E" w14:textId="77777777" w:rsidR="00000000" w:rsidRDefault="00EE5306">
            <w:pPr>
              <w:spacing w:after="100"/>
              <w:rPr>
                <w:rFonts w:eastAsia="Times New Roman"/>
              </w:rPr>
            </w:pPr>
            <w:r>
              <w:rPr>
                <w:rFonts w:eastAsia="Times New Roman"/>
                <w:b/>
                <w:bCs/>
                <w:color w:val="000000"/>
                <w:sz w:val="20"/>
                <w:szCs w:val="20"/>
              </w:rPr>
              <w:t>Cash paid for amounts included in the measurement of lease liabilities:</w:t>
            </w:r>
          </w:p>
        </w:tc>
        <w:tc>
          <w:tcPr>
            <w:tcW w:w="0" w:type="auto"/>
            <w:gridSpan w:val="3"/>
            <w:shd w:val="clear" w:color="auto" w:fill="CCEEFF"/>
            <w:tcMar>
              <w:top w:w="0" w:type="dxa"/>
              <w:left w:w="20" w:type="dxa"/>
              <w:bottom w:w="0" w:type="dxa"/>
              <w:right w:w="20" w:type="dxa"/>
            </w:tcMar>
            <w:vAlign w:val="center"/>
            <w:hideMark/>
          </w:tcPr>
          <w:p w14:paraId="790DEBD6"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D60B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301C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38E25A" w14:textId="77777777" w:rsidR="00000000" w:rsidRDefault="00EE5306">
            <w:pPr>
              <w:spacing w:after="100"/>
              <w:rPr>
                <w:rFonts w:eastAsia="Times New Roman"/>
                <w:sz w:val="20"/>
                <w:szCs w:val="20"/>
              </w:rPr>
            </w:pPr>
          </w:p>
        </w:tc>
      </w:tr>
      <w:tr w:rsidR="00000000" w14:paraId="4DDA424F" w14:textId="77777777">
        <w:trPr>
          <w:divId w:val="242186613"/>
        </w:trPr>
        <w:tc>
          <w:tcPr>
            <w:tcW w:w="0" w:type="auto"/>
            <w:gridSpan w:val="3"/>
            <w:shd w:val="clear" w:color="auto" w:fill="FFFFFF"/>
            <w:tcMar>
              <w:top w:w="30" w:type="dxa"/>
              <w:left w:w="155" w:type="dxa"/>
              <w:bottom w:w="30" w:type="dxa"/>
              <w:right w:w="20" w:type="dxa"/>
            </w:tcMar>
            <w:vAlign w:val="bottom"/>
            <w:hideMark/>
          </w:tcPr>
          <w:p w14:paraId="4650F39A" w14:textId="77777777" w:rsidR="00000000" w:rsidRDefault="00EE5306">
            <w:pPr>
              <w:spacing w:after="100"/>
              <w:rPr>
                <w:rFonts w:eastAsia="Times New Roman"/>
              </w:rPr>
            </w:pPr>
            <w:r>
              <w:rPr>
                <w:rFonts w:eastAsia="Times New Roman"/>
                <w:color w:val="000000"/>
                <w:sz w:val="20"/>
                <w:szCs w:val="20"/>
              </w:rPr>
              <w:t>Operating cash flows from operating leases</w:t>
            </w:r>
          </w:p>
        </w:tc>
        <w:tc>
          <w:tcPr>
            <w:tcW w:w="0" w:type="auto"/>
            <w:gridSpan w:val="3"/>
            <w:shd w:val="clear" w:color="auto" w:fill="FFFFFF"/>
            <w:tcMar>
              <w:top w:w="0" w:type="dxa"/>
              <w:left w:w="20" w:type="dxa"/>
              <w:bottom w:w="0" w:type="dxa"/>
              <w:right w:w="20" w:type="dxa"/>
            </w:tcMar>
            <w:vAlign w:val="center"/>
            <w:hideMark/>
          </w:tcPr>
          <w:p w14:paraId="2A9E3516"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267542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150B41" w14:textId="77777777" w:rsidR="00000000" w:rsidRDefault="00EE5306">
            <w:pPr>
              <w:spacing w:after="100"/>
              <w:jc w:val="right"/>
              <w:rPr>
                <w:rFonts w:eastAsia="Times New Roman"/>
              </w:rPr>
            </w:pPr>
            <w:r>
              <w:rPr>
                <w:rFonts w:eastAsia="Times New Roman"/>
                <w:color w:val="000000"/>
                <w:sz w:val="20"/>
                <w:szCs w:val="20"/>
              </w:rPr>
              <w:t>360.6 </w:t>
            </w:r>
          </w:p>
        </w:tc>
        <w:tc>
          <w:tcPr>
            <w:tcW w:w="0" w:type="auto"/>
            <w:shd w:val="clear" w:color="auto" w:fill="FFFFFF"/>
            <w:tcMar>
              <w:top w:w="30" w:type="dxa"/>
              <w:left w:w="0" w:type="dxa"/>
              <w:bottom w:w="30" w:type="dxa"/>
              <w:right w:w="20" w:type="dxa"/>
            </w:tcMar>
            <w:vAlign w:val="bottom"/>
            <w:hideMark/>
          </w:tcPr>
          <w:p w14:paraId="3F5D8C5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DA347"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CD7AB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E9807E" w14:textId="77777777" w:rsidR="00000000" w:rsidRDefault="00EE5306">
            <w:pPr>
              <w:spacing w:after="100"/>
              <w:jc w:val="right"/>
              <w:rPr>
                <w:rFonts w:eastAsia="Times New Roman"/>
              </w:rPr>
            </w:pPr>
            <w:r>
              <w:rPr>
                <w:rFonts w:eastAsia="Times New Roman"/>
                <w:color w:val="000000"/>
                <w:sz w:val="20"/>
                <w:szCs w:val="20"/>
              </w:rPr>
              <w:t>383.9 </w:t>
            </w:r>
          </w:p>
        </w:tc>
        <w:tc>
          <w:tcPr>
            <w:tcW w:w="0" w:type="auto"/>
            <w:shd w:val="clear" w:color="auto" w:fill="FFFFFF"/>
            <w:tcMar>
              <w:top w:w="30" w:type="dxa"/>
              <w:left w:w="0" w:type="dxa"/>
              <w:bottom w:w="30" w:type="dxa"/>
              <w:right w:w="20" w:type="dxa"/>
            </w:tcMar>
            <w:vAlign w:val="bottom"/>
            <w:hideMark/>
          </w:tcPr>
          <w:p w14:paraId="6CF35394" w14:textId="77777777" w:rsidR="00000000" w:rsidRDefault="00EE5306">
            <w:pPr>
              <w:spacing w:after="100"/>
              <w:jc w:val="right"/>
              <w:rPr>
                <w:rFonts w:eastAsia="Times New Roman"/>
              </w:rPr>
            </w:pPr>
          </w:p>
        </w:tc>
      </w:tr>
      <w:tr w:rsidR="00000000" w14:paraId="004DB47A" w14:textId="77777777">
        <w:trPr>
          <w:divId w:val="242186613"/>
        </w:trPr>
        <w:tc>
          <w:tcPr>
            <w:tcW w:w="0" w:type="auto"/>
            <w:gridSpan w:val="3"/>
            <w:shd w:val="clear" w:color="auto" w:fill="CCEEFF"/>
            <w:tcMar>
              <w:top w:w="30" w:type="dxa"/>
              <w:left w:w="155" w:type="dxa"/>
              <w:bottom w:w="30" w:type="dxa"/>
              <w:right w:w="20" w:type="dxa"/>
            </w:tcMar>
            <w:vAlign w:val="bottom"/>
            <w:hideMark/>
          </w:tcPr>
          <w:p w14:paraId="492EC01E" w14:textId="77777777" w:rsidR="00000000" w:rsidRDefault="00EE5306">
            <w:pPr>
              <w:spacing w:after="100"/>
              <w:rPr>
                <w:rFonts w:eastAsia="Times New Roman"/>
              </w:rPr>
            </w:pPr>
            <w:r>
              <w:rPr>
                <w:rFonts w:eastAsia="Times New Roman"/>
                <w:color w:val="000000"/>
                <w:sz w:val="20"/>
                <w:szCs w:val="20"/>
              </w:rPr>
              <w:t>Operating cash flows from finance leases</w:t>
            </w:r>
          </w:p>
        </w:tc>
        <w:tc>
          <w:tcPr>
            <w:tcW w:w="0" w:type="auto"/>
            <w:gridSpan w:val="3"/>
            <w:shd w:val="clear" w:color="auto" w:fill="CCEEFF"/>
            <w:tcMar>
              <w:top w:w="0" w:type="dxa"/>
              <w:left w:w="20" w:type="dxa"/>
              <w:bottom w:w="0" w:type="dxa"/>
              <w:right w:w="20" w:type="dxa"/>
            </w:tcMar>
            <w:vAlign w:val="center"/>
            <w:hideMark/>
          </w:tcPr>
          <w:p w14:paraId="218D1C9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8D75BD" w14:textId="77777777" w:rsidR="00000000" w:rsidRDefault="00EE5306">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76EA9AB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D59A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A473E4" w14:textId="77777777" w:rsidR="00000000" w:rsidRDefault="00EE5306">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14:paraId="44FEDC14" w14:textId="77777777" w:rsidR="00000000" w:rsidRDefault="00EE5306">
            <w:pPr>
              <w:spacing w:after="100"/>
              <w:jc w:val="right"/>
              <w:rPr>
                <w:rFonts w:eastAsia="Times New Roman"/>
              </w:rPr>
            </w:pPr>
          </w:p>
        </w:tc>
      </w:tr>
      <w:tr w:rsidR="00000000" w14:paraId="455673BA" w14:textId="77777777">
        <w:trPr>
          <w:divId w:val="242186613"/>
        </w:trPr>
        <w:tc>
          <w:tcPr>
            <w:tcW w:w="0" w:type="auto"/>
            <w:gridSpan w:val="3"/>
            <w:shd w:val="clear" w:color="auto" w:fill="FFFFFF"/>
            <w:tcMar>
              <w:top w:w="30" w:type="dxa"/>
              <w:left w:w="155" w:type="dxa"/>
              <w:bottom w:w="30" w:type="dxa"/>
              <w:right w:w="20" w:type="dxa"/>
            </w:tcMar>
            <w:vAlign w:val="bottom"/>
            <w:hideMark/>
          </w:tcPr>
          <w:p w14:paraId="40114B31" w14:textId="77777777" w:rsidR="00000000" w:rsidRDefault="00EE5306">
            <w:pPr>
              <w:spacing w:after="100"/>
              <w:rPr>
                <w:rFonts w:eastAsia="Times New Roman"/>
              </w:rPr>
            </w:pPr>
            <w:r>
              <w:rPr>
                <w:rFonts w:eastAsia="Times New Roman"/>
                <w:color w:val="000000"/>
                <w:sz w:val="20"/>
                <w:szCs w:val="20"/>
              </w:rPr>
              <w:t>Financing cash flows from finance leases</w:t>
            </w:r>
          </w:p>
        </w:tc>
        <w:tc>
          <w:tcPr>
            <w:tcW w:w="0" w:type="auto"/>
            <w:gridSpan w:val="3"/>
            <w:shd w:val="clear" w:color="auto" w:fill="FFFFFF"/>
            <w:tcMar>
              <w:top w:w="0" w:type="dxa"/>
              <w:left w:w="20" w:type="dxa"/>
              <w:bottom w:w="0" w:type="dxa"/>
              <w:right w:w="20" w:type="dxa"/>
            </w:tcMar>
            <w:vAlign w:val="center"/>
            <w:hideMark/>
          </w:tcPr>
          <w:p w14:paraId="727E6A58"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C2AE7F" w14:textId="77777777" w:rsidR="00000000" w:rsidRDefault="00EE5306">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14:paraId="25AD3A2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C689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65702C" w14:textId="77777777" w:rsidR="00000000" w:rsidRDefault="00EE5306">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14:paraId="168D49D7" w14:textId="77777777" w:rsidR="00000000" w:rsidRDefault="00EE5306">
            <w:pPr>
              <w:spacing w:after="100"/>
              <w:jc w:val="right"/>
              <w:rPr>
                <w:rFonts w:eastAsia="Times New Roman"/>
              </w:rPr>
            </w:pPr>
          </w:p>
        </w:tc>
      </w:tr>
    </w:tbl>
    <w:p w14:paraId="20A2905F" w14:textId="77777777" w:rsidR="00000000" w:rsidRDefault="00EE5306">
      <w:pPr>
        <w:ind w:firstLine="540"/>
        <w:jc w:val="both"/>
        <w:divId w:val="932972907"/>
        <w:rPr>
          <w:rFonts w:eastAsia="Times New Roman"/>
        </w:rPr>
      </w:pPr>
      <w:r>
        <w:rPr>
          <w:rFonts w:eastAsia="Times New Roman"/>
          <w:color w:val="000000"/>
          <w:sz w:val="20"/>
          <w:szCs w:val="20"/>
        </w:rPr>
        <w:t>See Note 21 for supplemental non-cash information related to ROU assets recorded in connection with the recognition of new lease liabilities.</w:t>
      </w:r>
    </w:p>
    <w:p w14:paraId="17895246" w14:textId="77777777" w:rsidR="00000000" w:rsidRDefault="00EE5306">
      <w:pPr>
        <w:ind w:firstLine="540"/>
        <w:jc w:val="both"/>
        <w:divId w:val="1589459056"/>
        <w:rPr>
          <w:rFonts w:eastAsia="Times New Roman"/>
        </w:rPr>
      </w:pPr>
      <w:r>
        <w:rPr>
          <w:rFonts w:eastAsia="Times New Roman"/>
          <w:color w:val="000000"/>
          <w:sz w:val="20"/>
          <w:szCs w:val="20"/>
        </w:rPr>
        <w:t>The following table presents a maturity analysis summary of contractual cash payments for the Company's lease liab</w:t>
      </w:r>
      <w:r>
        <w:rPr>
          <w:rFonts w:eastAsia="Times New Roman"/>
          <w:color w:val="000000"/>
          <w:sz w:val="20"/>
          <w:szCs w:val="20"/>
        </w:rPr>
        <w:t>ilities recorded on the consolidated balance sheet as of March 27, 2021:</w:t>
      </w:r>
    </w:p>
    <w:tbl>
      <w:tblPr>
        <w:tblW w:w="4707" w:type="pct"/>
        <w:tblCellMar>
          <w:top w:w="15" w:type="dxa"/>
          <w:left w:w="15" w:type="dxa"/>
          <w:bottom w:w="15" w:type="dxa"/>
          <w:right w:w="15" w:type="dxa"/>
        </w:tblCellMar>
        <w:tblLook w:val="04A0" w:firstRow="1" w:lastRow="0" w:firstColumn="1" w:lastColumn="0" w:noHBand="0" w:noVBand="1"/>
      </w:tblPr>
      <w:tblGrid>
        <w:gridCol w:w="39"/>
        <w:gridCol w:w="5542"/>
        <w:gridCol w:w="38"/>
        <w:gridCol w:w="36"/>
        <w:gridCol w:w="70"/>
        <w:gridCol w:w="36"/>
        <w:gridCol w:w="120"/>
        <w:gridCol w:w="838"/>
        <w:gridCol w:w="36"/>
        <w:gridCol w:w="36"/>
        <w:gridCol w:w="36"/>
        <w:gridCol w:w="36"/>
        <w:gridCol w:w="120"/>
        <w:gridCol w:w="800"/>
        <w:gridCol w:w="36"/>
      </w:tblGrid>
      <w:tr w:rsidR="00000000" w14:paraId="1A48B965" w14:textId="77777777">
        <w:trPr>
          <w:divId w:val="1371803929"/>
        </w:trPr>
        <w:tc>
          <w:tcPr>
            <w:tcW w:w="50" w:type="pct"/>
            <w:vAlign w:val="center"/>
            <w:hideMark/>
          </w:tcPr>
          <w:p w14:paraId="0A25FF08" w14:textId="77777777" w:rsidR="00000000" w:rsidRDefault="00EE5306">
            <w:pPr>
              <w:ind w:firstLine="540"/>
              <w:jc w:val="both"/>
              <w:rPr>
                <w:rFonts w:eastAsia="Times New Roman"/>
              </w:rPr>
            </w:pPr>
          </w:p>
        </w:tc>
        <w:tc>
          <w:tcPr>
            <w:tcW w:w="3578" w:type="pct"/>
            <w:vAlign w:val="center"/>
            <w:hideMark/>
          </w:tcPr>
          <w:p w14:paraId="6EB580D6" w14:textId="77777777" w:rsidR="00000000" w:rsidRDefault="00EE5306">
            <w:pPr>
              <w:spacing w:after="100"/>
              <w:rPr>
                <w:rFonts w:eastAsia="Times New Roman"/>
                <w:sz w:val="20"/>
                <w:szCs w:val="20"/>
              </w:rPr>
            </w:pPr>
          </w:p>
        </w:tc>
        <w:tc>
          <w:tcPr>
            <w:tcW w:w="5" w:type="pct"/>
            <w:vAlign w:val="center"/>
            <w:hideMark/>
          </w:tcPr>
          <w:p w14:paraId="441C9504" w14:textId="77777777" w:rsidR="00000000" w:rsidRDefault="00EE5306">
            <w:pPr>
              <w:spacing w:after="100"/>
              <w:rPr>
                <w:rFonts w:eastAsia="Times New Roman"/>
                <w:sz w:val="20"/>
                <w:szCs w:val="20"/>
              </w:rPr>
            </w:pPr>
          </w:p>
        </w:tc>
        <w:tc>
          <w:tcPr>
            <w:tcW w:w="5" w:type="pct"/>
            <w:vAlign w:val="center"/>
            <w:hideMark/>
          </w:tcPr>
          <w:p w14:paraId="178D9D49" w14:textId="77777777" w:rsidR="00000000" w:rsidRDefault="00EE5306">
            <w:pPr>
              <w:spacing w:after="100"/>
              <w:rPr>
                <w:rFonts w:eastAsia="Times New Roman"/>
                <w:sz w:val="20"/>
                <w:szCs w:val="20"/>
              </w:rPr>
            </w:pPr>
          </w:p>
        </w:tc>
        <w:tc>
          <w:tcPr>
            <w:tcW w:w="75" w:type="pct"/>
            <w:vAlign w:val="center"/>
            <w:hideMark/>
          </w:tcPr>
          <w:p w14:paraId="2ED7C366" w14:textId="77777777" w:rsidR="00000000" w:rsidRDefault="00EE5306">
            <w:pPr>
              <w:spacing w:after="100"/>
              <w:rPr>
                <w:rFonts w:eastAsia="Times New Roman"/>
                <w:sz w:val="20"/>
                <w:szCs w:val="20"/>
              </w:rPr>
            </w:pPr>
          </w:p>
        </w:tc>
        <w:tc>
          <w:tcPr>
            <w:tcW w:w="5" w:type="pct"/>
            <w:vAlign w:val="center"/>
            <w:hideMark/>
          </w:tcPr>
          <w:p w14:paraId="266FFDA4" w14:textId="77777777" w:rsidR="00000000" w:rsidRDefault="00EE5306">
            <w:pPr>
              <w:spacing w:after="100"/>
              <w:rPr>
                <w:rFonts w:eastAsia="Times New Roman"/>
                <w:sz w:val="20"/>
                <w:szCs w:val="20"/>
              </w:rPr>
            </w:pPr>
          </w:p>
        </w:tc>
        <w:tc>
          <w:tcPr>
            <w:tcW w:w="50" w:type="pct"/>
            <w:vAlign w:val="center"/>
            <w:hideMark/>
          </w:tcPr>
          <w:p w14:paraId="31625166" w14:textId="77777777" w:rsidR="00000000" w:rsidRDefault="00EE5306">
            <w:pPr>
              <w:spacing w:after="100"/>
              <w:rPr>
                <w:rFonts w:eastAsia="Times New Roman"/>
                <w:sz w:val="20"/>
                <w:szCs w:val="20"/>
              </w:rPr>
            </w:pPr>
          </w:p>
        </w:tc>
        <w:tc>
          <w:tcPr>
            <w:tcW w:w="566" w:type="pct"/>
            <w:vAlign w:val="center"/>
            <w:hideMark/>
          </w:tcPr>
          <w:p w14:paraId="23D98136" w14:textId="77777777" w:rsidR="00000000" w:rsidRDefault="00EE5306">
            <w:pPr>
              <w:spacing w:after="100"/>
              <w:rPr>
                <w:rFonts w:eastAsia="Times New Roman"/>
                <w:sz w:val="20"/>
                <w:szCs w:val="20"/>
              </w:rPr>
            </w:pPr>
          </w:p>
        </w:tc>
        <w:tc>
          <w:tcPr>
            <w:tcW w:w="5" w:type="pct"/>
            <w:vAlign w:val="center"/>
            <w:hideMark/>
          </w:tcPr>
          <w:p w14:paraId="6A3EAF35" w14:textId="77777777" w:rsidR="00000000" w:rsidRDefault="00EE5306">
            <w:pPr>
              <w:spacing w:after="100"/>
              <w:rPr>
                <w:rFonts w:eastAsia="Times New Roman"/>
                <w:sz w:val="20"/>
                <w:szCs w:val="20"/>
              </w:rPr>
            </w:pPr>
          </w:p>
        </w:tc>
        <w:tc>
          <w:tcPr>
            <w:tcW w:w="5" w:type="pct"/>
            <w:vAlign w:val="center"/>
            <w:hideMark/>
          </w:tcPr>
          <w:p w14:paraId="01D4861C" w14:textId="77777777" w:rsidR="00000000" w:rsidRDefault="00EE5306">
            <w:pPr>
              <w:spacing w:after="100"/>
              <w:rPr>
                <w:rFonts w:eastAsia="Times New Roman"/>
                <w:sz w:val="20"/>
                <w:szCs w:val="20"/>
              </w:rPr>
            </w:pPr>
          </w:p>
        </w:tc>
        <w:tc>
          <w:tcPr>
            <w:tcW w:w="28" w:type="pct"/>
            <w:vAlign w:val="center"/>
            <w:hideMark/>
          </w:tcPr>
          <w:p w14:paraId="51298B54" w14:textId="77777777" w:rsidR="00000000" w:rsidRDefault="00EE5306">
            <w:pPr>
              <w:spacing w:after="100"/>
              <w:rPr>
                <w:rFonts w:eastAsia="Times New Roman"/>
                <w:sz w:val="20"/>
                <w:szCs w:val="20"/>
              </w:rPr>
            </w:pPr>
          </w:p>
        </w:tc>
        <w:tc>
          <w:tcPr>
            <w:tcW w:w="5" w:type="pct"/>
            <w:vAlign w:val="center"/>
            <w:hideMark/>
          </w:tcPr>
          <w:p w14:paraId="41D30756" w14:textId="77777777" w:rsidR="00000000" w:rsidRDefault="00EE5306">
            <w:pPr>
              <w:spacing w:after="100"/>
              <w:rPr>
                <w:rFonts w:eastAsia="Times New Roman"/>
                <w:sz w:val="20"/>
                <w:szCs w:val="20"/>
              </w:rPr>
            </w:pPr>
          </w:p>
        </w:tc>
        <w:tc>
          <w:tcPr>
            <w:tcW w:w="50" w:type="pct"/>
            <w:vAlign w:val="center"/>
            <w:hideMark/>
          </w:tcPr>
          <w:p w14:paraId="57CD3559" w14:textId="77777777" w:rsidR="00000000" w:rsidRDefault="00EE5306">
            <w:pPr>
              <w:spacing w:after="100"/>
              <w:rPr>
                <w:rFonts w:eastAsia="Times New Roman"/>
                <w:sz w:val="20"/>
                <w:szCs w:val="20"/>
              </w:rPr>
            </w:pPr>
          </w:p>
        </w:tc>
        <w:tc>
          <w:tcPr>
            <w:tcW w:w="566" w:type="pct"/>
            <w:vAlign w:val="center"/>
            <w:hideMark/>
          </w:tcPr>
          <w:p w14:paraId="76847FA1" w14:textId="77777777" w:rsidR="00000000" w:rsidRDefault="00EE5306">
            <w:pPr>
              <w:spacing w:after="100"/>
              <w:rPr>
                <w:rFonts w:eastAsia="Times New Roman"/>
                <w:sz w:val="20"/>
                <w:szCs w:val="20"/>
              </w:rPr>
            </w:pPr>
          </w:p>
        </w:tc>
        <w:tc>
          <w:tcPr>
            <w:tcW w:w="5" w:type="pct"/>
            <w:vAlign w:val="center"/>
            <w:hideMark/>
          </w:tcPr>
          <w:p w14:paraId="54213DB2" w14:textId="77777777" w:rsidR="00000000" w:rsidRDefault="00EE5306">
            <w:pPr>
              <w:spacing w:after="100"/>
              <w:rPr>
                <w:rFonts w:eastAsia="Times New Roman"/>
                <w:sz w:val="20"/>
                <w:szCs w:val="20"/>
              </w:rPr>
            </w:pPr>
          </w:p>
        </w:tc>
      </w:tr>
      <w:tr w:rsidR="00000000" w14:paraId="07DA6AAC" w14:textId="77777777">
        <w:trPr>
          <w:divId w:val="1371803929"/>
        </w:trPr>
        <w:tc>
          <w:tcPr>
            <w:tcW w:w="0" w:type="auto"/>
            <w:gridSpan w:val="3"/>
            <w:tcMar>
              <w:top w:w="0" w:type="dxa"/>
              <w:left w:w="20" w:type="dxa"/>
              <w:bottom w:w="0" w:type="dxa"/>
              <w:right w:w="20" w:type="dxa"/>
            </w:tcMar>
            <w:vAlign w:val="center"/>
            <w:hideMark/>
          </w:tcPr>
          <w:p w14:paraId="72FD2876"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062FB9"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961CBF7" w14:textId="77777777" w:rsidR="00000000" w:rsidRDefault="00EE5306">
            <w:pPr>
              <w:spacing w:after="100"/>
              <w:jc w:val="center"/>
              <w:rPr>
                <w:rFonts w:eastAsia="Times New Roman"/>
              </w:rPr>
            </w:pPr>
            <w:r>
              <w:rPr>
                <w:rFonts w:eastAsia="Times New Roman"/>
                <w:b/>
                <w:bCs/>
                <w:color w:val="000000"/>
                <w:sz w:val="16"/>
                <w:szCs w:val="16"/>
              </w:rPr>
              <w:t>March 27, 2021</w:t>
            </w:r>
          </w:p>
        </w:tc>
      </w:tr>
      <w:tr w:rsidR="00000000" w14:paraId="0B410BA3" w14:textId="77777777">
        <w:trPr>
          <w:divId w:val="1371803929"/>
        </w:trPr>
        <w:tc>
          <w:tcPr>
            <w:tcW w:w="0" w:type="auto"/>
            <w:gridSpan w:val="3"/>
            <w:tcMar>
              <w:top w:w="0" w:type="dxa"/>
              <w:left w:w="20" w:type="dxa"/>
              <w:bottom w:w="0" w:type="dxa"/>
              <w:right w:w="20" w:type="dxa"/>
            </w:tcMar>
            <w:vAlign w:val="center"/>
            <w:hideMark/>
          </w:tcPr>
          <w:p w14:paraId="613AF4D7"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DCFCA54"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791B369"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14:paraId="4B9C9424"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0EC107A" w14:textId="77777777" w:rsidR="00000000" w:rsidRDefault="00EE5306">
            <w:pPr>
              <w:spacing w:after="100"/>
              <w:jc w:val="center"/>
              <w:rPr>
                <w:rFonts w:eastAsia="Times New Roman"/>
              </w:rPr>
            </w:pPr>
            <w:r>
              <w:rPr>
                <w:rFonts w:eastAsia="Times New Roman"/>
                <w:b/>
                <w:bCs/>
                <w:color w:val="000000"/>
                <w:sz w:val="16"/>
                <w:szCs w:val="16"/>
              </w:rPr>
              <w:t>Finance</w:t>
            </w:r>
            <w:r>
              <w:rPr>
                <w:rFonts w:eastAsia="Times New Roman"/>
                <w:b/>
                <w:bCs/>
                <w:color w:val="000000"/>
                <w:sz w:val="16"/>
                <w:szCs w:val="16"/>
              </w:rPr>
              <w:br/>
              <w:t>Leases</w:t>
            </w:r>
          </w:p>
        </w:tc>
      </w:tr>
      <w:tr w:rsidR="00000000" w14:paraId="71068AA0" w14:textId="77777777">
        <w:trPr>
          <w:divId w:val="1371803929"/>
        </w:trPr>
        <w:tc>
          <w:tcPr>
            <w:tcW w:w="0" w:type="auto"/>
            <w:gridSpan w:val="3"/>
            <w:tcMar>
              <w:top w:w="0" w:type="dxa"/>
              <w:left w:w="20" w:type="dxa"/>
              <w:bottom w:w="0" w:type="dxa"/>
              <w:right w:w="20" w:type="dxa"/>
            </w:tcMar>
            <w:vAlign w:val="center"/>
            <w:hideMark/>
          </w:tcPr>
          <w:p w14:paraId="59683498"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DB696E5" w14:textId="77777777" w:rsidR="00000000" w:rsidRDefault="00EE530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0C78358"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4A6C1EFA" w14:textId="77777777">
        <w:trPr>
          <w:divId w:val="1371803929"/>
        </w:trPr>
        <w:tc>
          <w:tcPr>
            <w:tcW w:w="0" w:type="auto"/>
            <w:gridSpan w:val="3"/>
            <w:shd w:val="clear" w:color="auto" w:fill="CCEEFF"/>
            <w:tcMar>
              <w:top w:w="30" w:type="dxa"/>
              <w:left w:w="20" w:type="dxa"/>
              <w:bottom w:w="30" w:type="dxa"/>
              <w:right w:w="20" w:type="dxa"/>
            </w:tcMar>
            <w:vAlign w:val="bottom"/>
            <w:hideMark/>
          </w:tcPr>
          <w:p w14:paraId="23011D27" w14:textId="77777777" w:rsidR="00000000" w:rsidRDefault="00EE5306">
            <w:pPr>
              <w:spacing w:after="100"/>
              <w:rPr>
                <w:rFonts w:eastAsia="Times New Roman"/>
              </w:rPr>
            </w:pPr>
            <w:r>
              <w:rPr>
                <w:rFonts w:eastAsia="Times New Roman"/>
                <w:color w:val="000000"/>
                <w:sz w:val="20"/>
                <w:szCs w:val="20"/>
              </w:rPr>
              <w:t>Fiscal 2022</w:t>
            </w:r>
          </w:p>
        </w:tc>
        <w:tc>
          <w:tcPr>
            <w:tcW w:w="0" w:type="auto"/>
            <w:gridSpan w:val="3"/>
            <w:shd w:val="clear" w:color="auto" w:fill="CCEEFF"/>
            <w:tcMar>
              <w:top w:w="0" w:type="dxa"/>
              <w:left w:w="20" w:type="dxa"/>
              <w:bottom w:w="0" w:type="dxa"/>
              <w:right w:w="20" w:type="dxa"/>
            </w:tcMar>
            <w:vAlign w:val="center"/>
            <w:hideMark/>
          </w:tcPr>
          <w:p w14:paraId="7CC832E9"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7561B5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64AF67" w14:textId="77777777" w:rsidR="00000000" w:rsidRDefault="00EE5306">
            <w:pPr>
              <w:spacing w:after="100"/>
              <w:jc w:val="right"/>
              <w:rPr>
                <w:rFonts w:eastAsia="Times New Roman"/>
              </w:rPr>
            </w:pPr>
            <w:r>
              <w:rPr>
                <w:rFonts w:eastAsia="Times New Roman"/>
                <w:color w:val="000000"/>
                <w:sz w:val="20"/>
                <w:szCs w:val="20"/>
              </w:rPr>
              <w:t>332.7 </w:t>
            </w:r>
          </w:p>
        </w:tc>
        <w:tc>
          <w:tcPr>
            <w:tcW w:w="0" w:type="auto"/>
            <w:shd w:val="clear" w:color="auto" w:fill="CCEEFF"/>
            <w:tcMar>
              <w:top w:w="30" w:type="dxa"/>
              <w:left w:w="0" w:type="dxa"/>
              <w:bottom w:w="30" w:type="dxa"/>
              <w:right w:w="20" w:type="dxa"/>
            </w:tcMar>
            <w:vAlign w:val="bottom"/>
            <w:hideMark/>
          </w:tcPr>
          <w:p w14:paraId="0AA9DC7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C4143"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E0745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DD097F" w14:textId="77777777" w:rsidR="00000000" w:rsidRDefault="00EE5306">
            <w:pPr>
              <w:spacing w:after="100"/>
              <w:jc w:val="right"/>
              <w:rPr>
                <w:rFonts w:eastAsia="Times New Roman"/>
              </w:rPr>
            </w:pPr>
            <w:r>
              <w:rPr>
                <w:rFonts w:eastAsia="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14:paraId="19C234B1" w14:textId="77777777" w:rsidR="00000000" w:rsidRDefault="00EE5306">
            <w:pPr>
              <w:spacing w:after="100"/>
              <w:jc w:val="right"/>
              <w:rPr>
                <w:rFonts w:eastAsia="Times New Roman"/>
              </w:rPr>
            </w:pPr>
          </w:p>
        </w:tc>
      </w:tr>
      <w:tr w:rsidR="00000000" w14:paraId="6E29A336" w14:textId="77777777">
        <w:trPr>
          <w:divId w:val="1371803929"/>
        </w:trPr>
        <w:tc>
          <w:tcPr>
            <w:tcW w:w="0" w:type="auto"/>
            <w:gridSpan w:val="3"/>
            <w:shd w:val="clear" w:color="auto" w:fill="FFFFFF"/>
            <w:tcMar>
              <w:top w:w="30" w:type="dxa"/>
              <w:left w:w="20" w:type="dxa"/>
              <w:bottom w:w="30" w:type="dxa"/>
              <w:right w:w="20" w:type="dxa"/>
            </w:tcMar>
            <w:vAlign w:val="bottom"/>
            <w:hideMark/>
          </w:tcPr>
          <w:p w14:paraId="30ED2AE6" w14:textId="77777777" w:rsidR="00000000" w:rsidRDefault="00EE5306">
            <w:pPr>
              <w:spacing w:after="100"/>
              <w:rPr>
                <w:rFonts w:eastAsia="Times New Roman"/>
              </w:rPr>
            </w:pPr>
            <w:r>
              <w:rPr>
                <w:rFonts w:eastAsia="Times New Roman"/>
                <w:color w:val="000000"/>
                <w:sz w:val="20"/>
                <w:szCs w:val="20"/>
              </w:rPr>
              <w:t>Fiscal 2023</w:t>
            </w:r>
          </w:p>
        </w:tc>
        <w:tc>
          <w:tcPr>
            <w:tcW w:w="0" w:type="auto"/>
            <w:gridSpan w:val="3"/>
            <w:shd w:val="clear" w:color="auto" w:fill="FFFFFF"/>
            <w:tcMar>
              <w:top w:w="0" w:type="dxa"/>
              <w:left w:w="20" w:type="dxa"/>
              <w:bottom w:w="0" w:type="dxa"/>
              <w:right w:w="20" w:type="dxa"/>
            </w:tcMar>
            <w:vAlign w:val="center"/>
            <w:hideMark/>
          </w:tcPr>
          <w:p w14:paraId="15937760"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574BBB" w14:textId="77777777" w:rsidR="00000000" w:rsidRDefault="00EE5306">
            <w:pPr>
              <w:spacing w:after="100"/>
              <w:jc w:val="right"/>
              <w:rPr>
                <w:rFonts w:eastAsia="Times New Roman"/>
              </w:rPr>
            </w:pPr>
            <w:r>
              <w:rPr>
                <w:rFonts w:eastAsia="Times New Roman"/>
                <w:color w:val="000000"/>
                <w:sz w:val="20"/>
                <w:szCs w:val="20"/>
              </w:rPr>
              <w:t>303.5 </w:t>
            </w:r>
          </w:p>
        </w:tc>
        <w:tc>
          <w:tcPr>
            <w:tcW w:w="0" w:type="auto"/>
            <w:shd w:val="clear" w:color="auto" w:fill="FFFFFF"/>
            <w:tcMar>
              <w:top w:w="30" w:type="dxa"/>
              <w:left w:w="0" w:type="dxa"/>
              <w:bottom w:w="30" w:type="dxa"/>
              <w:right w:w="20" w:type="dxa"/>
            </w:tcMar>
            <w:vAlign w:val="bottom"/>
            <w:hideMark/>
          </w:tcPr>
          <w:p w14:paraId="1101251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7D8B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42A328" w14:textId="77777777" w:rsidR="00000000" w:rsidRDefault="00EE5306">
            <w:pPr>
              <w:spacing w:after="100"/>
              <w:jc w:val="right"/>
              <w:rPr>
                <w:rFonts w:eastAsia="Times New Roman"/>
              </w:rPr>
            </w:pPr>
            <w:r>
              <w:rPr>
                <w:rFonts w:eastAsia="Times New Roman"/>
                <w:color w:val="000000"/>
                <w:sz w:val="20"/>
                <w:szCs w:val="20"/>
              </w:rPr>
              <w:t>35.2 </w:t>
            </w:r>
          </w:p>
        </w:tc>
        <w:tc>
          <w:tcPr>
            <w:tcW w:w="0" w:type="auto"/>
            <w:shd w:val="clear" w:color="auto" w:fill="FFFFFF"/>
            <w:tcMar>
              <w:top w:w="30" w:type="dxa"/>
              <w:left w:w="0" w:type="dxa"/>
              <w:bottom w:w="30" w:type="dxa"/>
              <w:right w:w="20" w:type="dxa"/>
            </w:tcMar>
            <w:vAlign w:val="bottom"/>
            <w:hideMark/>
          </w:tcPr>
          <w:p w14:paraId="4579D693" w14:textId="77777777" w:rsidR="00000000" w:rsidRDefault="00EE5306">
            <w:pPr>
              <w:spacing w:after="100"/>
              <w:jc w:val="right"/>
              <w:rPr>
                <w:rFonts w:eastAsia="Times New Roman"/>
              </w:rPr>
            </w:pPr>
          </w:p>
        </w:tc>
      </w:tr>
      <w:tr w:rsidR="00000000" w14:paraId="39728DDB" w14:textId="77777777">
        <w:trPr>
          <w:divId w:val="1371803929"/>
        </w:trPr>
        <w:tc>
          <w:tcPr>
            <w:tcW w:w="0" w:type="auto"/>
            <w:gridSpan w:val="3"/>
            <w:shd w:val="clear" w:color="auto" w:fill="CCEEFF"/>
            <w:tcMar>
              <w:top w:w="30" w:type="dxa"/>
              <w:left w:w="20" w:type="dxa"/>
              <w:bottom w:w="30" w:type="dxa"/>
              <w:right w:w="20" w:type="dxa"/>
            </w:tcMar>
            <w:vAlign w:val="bottom"/>
            <w:hideMark/>
          </w:tcPr>
          <w:p w14:paraId="4E673857" w14:textId="77777777" w:rsidR="00000000" w:rsidRDefault="00EE5306">
            <w:pPr>
              <w:spacing w:after="100"/>
              <w:rPr>
                <w:rFonts w:eastAsia="Times New Roman"/>
              </w:rPr>
            </w:pPr>
            <w:r>
              <w:rPr>
                <w:rFonts w:eastAsia="Times New Roman"/>
                <w:color w:val="000000"/>
                <w:sz w:val="20"/>
                <w:szCs w:val="20"/>
              </w:rPr>
              <w:t>Fiscal 2024</w:t>
            </w:r>
          </w:p>
        </w:tc>
        <w:tc>
          <w:tcPr>
            <w:tcW w:w="0" w:type="auto"/>
            <w:gridSpan w:val="3"/>
            <w:shd w:val="clear" w:color="auto" w:fill="CCEEFF"/>
            <w:tcMar>
              <w:top w:w="0" w:type="dxa"/>
              <w:left w:w="20" w:type="dxa"/>
              <w:bottom w:w="0" w:type="dxa"/>
              <w:right w:w="20" w:type="dxa"/>
            </w:tcMar>
            <w:vAlign w:val="center"/>
            <w:hideMark/>
          </w:tcPr>
          <w:p w14:paraId="68E946D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4F426D" w14:textId="77777777" w:rsidR="00000000" w:rsidRDefault="00EE5306">
            <w:pPr>
              <w:spacing w:after="100"/>
              <w:jc w:val="right"/>
              <w:rPr>
                <w:rFonts w:eastAsia="Times New Roman"/>
              </w:rPr>
            </w:pPr>
            <w:r>
              <w:rPr>
                <w:rFonts w:eastAsia="Times New Roman"/>
                <w:color w:val="000000"/>
                <w:sz w:val="20"/>
                <w:szCs w:val="20"/>
              </w:rPr>
              <w:t>267.0 </w:t>
            </w:r>
          </w:p>
        </w:tc>
        <w:tc>
          <w:tcPr>
            <w:tcW w:w="0" w:type="auto"/>
            <w:shd w:val="clear" w:color="auto" w:fill="CCEEFF"/>
            <w:tcMar>
              <w:top w:w="30" w:type="dxa"/>
              <w:left w:w="0" w:type="dxa"/>
              <w:bottom w:w="30" w:type="dxa"/>
              <w:right w:w="20" w:type="dxa"/>
            </w:tcMar>
            <w:vAlign w:val="bottom"/>
            <w:hideMark/>
          </w:tcPr>
          <w:p w14:paraId="73B442C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213A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6894DB" w14:textId="77777777" w:rsidR="00000000" w:rsidRDefault="00EE5306">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14:paraId="1B236F53" w14:textId="77777777" w:rsidR="00000000" w:rsidRDefault="00EE5306">
            <w:pPr>
              <w:spacing w:after="100"/>
              <w:jc w:val="right"/>
              <w:rPr>
                <w:rFonts w:eastAsia="Times New Roman"/>
              </w:rPr>
            </w:pPr>
          </w:p>
        </w:tc>
      </w:tr>
      <w:tr w:rsidR="00000000" w14:paraId="28FCBFEA" w14:textId="77777777">
        <w:trPr>
          <w:divId w:val="1371803929"/>
        </w:trPr>
        <w:tc>
          <w:tcPr>
            <w:tcW w:w="0" w:type="auto"/>
            <w:gridSpan w:val="3"/>
            <w:shd w:val="clear" w:color="auto" w:fill="FFFFFF"/>
            <w:tcMar>
              <w:top w:w="30" w:type="dxa"/>
              <w:left w:w="20" w:type="dxa"/>
              <w:bottom w:w="30" w:type="dxa"/>
              <w:right w:w="20" w:type="dxa"/>
            </w:tcMar>
            <w:vAlign w:val="bottom"/>
            <w:hideMark/>
          </w:tcPr>
          <w:p w14:paraId="7AB8E811" w14:textId="77777777" w:rsidR="00000000" w:rsidRDefault="00EE5306">
            <w:pPr>
              <w:spacing w:after="100"/>
              <w:rPr>
                <w:rFonts w:eastAsia="Times New Roman"/>
              </w:rPr>
            </w:pPr>
            <w:r>
              <w:rPr>
                <w:rFonts w:eastAsia="Times New Roman"/>
                <w:color w:val="000000"/>
                <w:sz w:val="20"/>
                <w:szCs w:val="20"/>
              </w:rPr>
              <w:t>Fiscal 2025</w:t>
            </w:r>
          </w:p>
        </w:tc>
        <w:tc>
          <w:tcPr>
            <w:tcW w:w="0" w:type="auto"/>
            <w:gridSpan w:val="3"/>
            <w:shd w:val="clear" w:color="auto" w:fill="FFFFFF"/>
            <w:tcMar>
              <w:top w:w="0" w:type="dxa"/>
              <w:left w:w="20" w:type="dxa"/>
              <w:bottom w:w="0" w:type="dxa"/>
              <w:right w:w="20" w:type="dxa"/>
            </w:tcMar>
            <w:vAlign w:val="center"/>
            <w:hideMark/>
          </w:tcPr>
          <w:p w14:paraId="22ABC86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3373AE" w14:textId="77777777" w:rsidR="00000000" w:rsidRDefault="00EE5306">
            <w:pPr>
              <w:spacing w:after="100"/>
              <w:jc w:val="right"/>
              <w:rPr>
                <w:rFonts w:eastAsia="Times New Roman"/>
              </w:rPr>
            </w:pPr>
            <w:r>
              <w:rPr>
                <w:rFonts w:eastAsia="Times New Roman"/>
                <w:color w:val="000000"/>
                <w:sz w:val="20"/>
                <w:szCs w:val="20"/>
              </w:rPr>
              <w:t>212.2 </w:t>
            </w:r>
          </w:p>
        </w:tc>
        <w:tc>
          <w:tcPr>
            <w:tcW w:w="0" w:type="auto"/>
            <w:shd w:val="clear" w:color="auto" w:fill="FFFFFF"/>
            <w:tcMar>
              <w:top w:w="30" w:type="dxa"/>
              <w:left w:w="0" w:type="dxa"/>
              <w:bottom w:w="30" w:type="dxa"/>
              <w:right w:w="20" w:type="dxa"/>
            </w:tcMar>
            <w:vAlign w:val="bottom"/>
            <w:hideMark/>
          </w:tcPr>
          <w:p w14:paraId="57E99B6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B72F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756E0E" w14:textId="77777777" w:rsidR="00000000" w:rsidRDefault="00EE5306">
            <w:pPr>
              <w:spacing w:after="100"/>
              <w:jc w:val="right"/>
              <w:rPr>
                <w:rFonts w:eastAsia="Times New Roman"/>
              </w:rPr>
            </w:pPr>
            <w:r>
              <w:rPr>
                <w:rFonts w:eastAsia="Times New Roman"/>
                <w:color w:val="000000"/>
                <w:sz w:val="20"/>
                <w:szCs w:val="20"/>
              </w:rPr>
              <w:t>35.9 </w:t>
            </w:r>
          </w:p>
        </w:tc>
        <w:tc>
          <w:tcPr>
            <w:tcW w:w="0" w:type="auto"/>
            <w:shd w:val="clear" w:color="auto" w:fill="FFFFFF"/>
            <w:tcMar>
              <w:top w:w="30" w:type="dxa"/>
              <w:left w:w="0" w:type="dxa"/>
              <w:bottom w:w="30" w:type="dxa"/>
              <w:right w:w="20" w:type="dxa"/>
            </w:tcMar>
            <w:vAlign w:val="bottom"/>
            <w:hideMark/>
          </w:tcPr>
          <w:p w14:paraId="680BD524" w14:textId="77777777" w:rsidR="00000000" w:rsidRDefault="00EE5306">
            <w:pPr>
              <w:spacing w:after="100"/>
              <w:jc w:val="right"/>
              <w:rPr>
                <w:rFonts w:eastAsia="Times New Roman"/>
              </w:rPr>
            </w:pPr>
          </w:p>
        </w:tc>
      </w:tr>
      <w:tr w:rsidR="00000000" w14:paraId="0C7FEAE5" w14:textId="77777777">
        <w:trPr>
          <w:divId w:val="1371803929"/>
        </w:trPr>
        <w:tc>
          <w:tcPr>
            <w:tcW w:w="0" w:type="auto"/>
            <w:gridSpan w:val="3"/>
            <w:shd w:val="clear" w:color="auto" w:fill="CCEEFF"/>
            <w:tcMar>
              <w:top w:w="30" w:type="dxa"/>
              <w:left w:w="20" w:type="dxa"/>
              <w:bottom w:w="30" w:type="dxa"/>
              <w:right w:w="20" w:type="dxa"/>
            </w:tcMar>
            <w:vAlign w:val="bottom"/>
            <w:hideMark/>
          </w:tcPr>
          <w:p w14:paraId="035B34D3" w14:textId="77777777" w:rsidR="00000000" w:rsidRDefault="00EE5306">
            <w:pPr>
              <w:spacing w:after="100"/>
              <w:rPr>
                <w:rFonts w:eastAsia="Times New Roman"/>
              </w:rPr>
            </w:pPr>
            <w:r>
              <w:rPr>
                <w:rFonts w:eastAsia="Times New Roman"/>
                <w:color w:val="000000"/>
                <w:sz w:val="20"/>
                <w:szCs w:val="20"/>
              </w:rPr>
              <w:t>Fiscal 2026</w:t>
            </w:r>
          </w:p>
        </w:tc>
        <w:tc>
          <w:tcPr>
            <w:tcW w:w="0" w:type="auto"/>
            <w:gridSpan w:val="3"/>
            <w:shd w:val="clear" w:color="auto" w:fill="CCEEFF"/>
            <w:tcMar>
              <w:top w:w="0" w:type="dxa"/>
              <w:left w:w="20" w:type="dxa"/>
              <w:bottom w:w="0" w:type="dxa"/>
              <w:right w:w="20" w:type="dxa"/>
            </w:tcMar>
            <w:vAlign w:val="center"/>
            <w:hideMark/>
          </w:tcPr>
          <w:p w14:paraId="5D063AB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06B9C5" w14:textId="77777777" w:rsidR="00000000" w:rsidRDefault="00EE5306">
            <w:pPr>
              <w:spacing w:after="100"/>
              <w:jc w:val="right"/>
              <w:rPr>
                <w:rFonts w:eastAsia="Times New Roman"/>
              </w:rPr>
            </w:pPr>
            <w:r>
              <w:rPr>
                <w:rFonts w:eastAsia="Times New Roman"/>
                <w:color w:val="000000"/>
                <w:sz w:val="20"/>
                <w:szCs w:val="20"/>
              </w:rPr>
              <w:t>150.3 </w:t>
            </w:r>
          </w:p>
        </w:tc>
        <w:tc>
          <w:tcPr>
            <w:tcW w:w="0" w:type="auto"/>
            <w:shd w:val="clear" w:color="auto" w:fill="CCEEFF"/>
            <w:tcMar>
              <w:top w:w="30" w:type="dxa"/>
              <w:left w:w="0" w:type="dxa"/>
              <w:bottom w:w="30" w:type="dxa"/>
              <w:right w:w="20" w:type="dxa"/>
            </w:tcMar>
            <w:vAlign w:val="bottom"/>
            <w:hideMark/>
          </w:tcPr>
          <w:p w14:paraId="4411A51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82E9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211827" w14:textId="77777777" w:rsidR="00000000" w:rsidRDefault="00EE5306">
            <w:pPr>
              <w:spacing w:after="100"/>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14:paraId="77A83ED8" w14:textId="77777777" w:rsidR="00000000" w:rsidRDefault="00EE5306">
            <w:pPr>
              <w:spacing w:after="100"/>
              <w:jc w:val="right"/>
              <w:rPr>
                <w:rFonts w:eastAsia="Times New Roman"/>
              </w:rPr>
            </w:pPr>
          </w:p>
        </w:tc>
      </w:tr>
      <w:tr w:rsidR="00000000" w14:paraId="06E9E7D5" w14:textId="77777777">
        <w:trPr>
          <w:divId w:val="1371803929"/>
        </w:trPr>
        <w:tc>
          <w:tcPr>
            <w:tcW w:w="0" w:type="auto"/>
            <w:gridSpan w:val="3"/>
            <w:shd w:val="clear" w:color="auto" w:fill="FFFFFF"/>
            <w:tcMar>
              <w:top w:w="30" w:type="dxa"/>
              <w:left w:w="20" w:type="dxa"/>
              <w:bottom w:w="30" w:type="dxa"/>
              <w:right w:w="20" w:type="dxa"/>
            </w:tcMar>
            <w:vAlign w:val="bottom"/>
            <w:hideMark/>
          </w:tcPr>
          <w:p w14:paraId="22630193" w14:textId="77777777" w:rsidR="00000000" w:rsidRDefault="00EE5306">
            <w:pPr>
              <w:spacing w:after="100"/>
              <w:rPr>
                <w:rFonts w:eastAsia="Times New Roman"/>
              </w:rPr>
            </w:pPr>
            <w:r>
              <w:rPr>
                <w:rFonts w:eastAsia="Times New Roman"/>
                <w:color w:val="000000"/>
                <w:sz w:val="20"/>
                <w:szCs w:val="20"/>
              </w:rPr>
              <w:t>Fiscal 2027 and thereafter</w:t>
            </w:r>
          </w:p>
        </w:tc>
        <w:tc>
          <w:tcPr>
            <w:tcW w:w="0" w:type="auto"/>
            <w:gridSpan w:val="3"/>
            <w:shd w:val="clear" w:color="auto" w:fill="FFFFFF"/>
            <w:tcMar>
              <w:top w:w="0" w:type="dxa"/>
              <w:left w:w="20" w:type="dxa"/>
              <w:bottom w:w="0" w:type="dxa"/>
              <w:right w:w="20" w:type="dxa"/>
            </w:tcMar>
            <w:vAlign w:val="center"/>
            <w:hideMark/>
          </w:tcPr>
          <w:p w14:paraId="4B40289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61E791" w14:textId="77777777" w:rsidR="00000000" w:rsidRDefault="00EE5306">
            <w:pPr>
              <w:spacing w:after="100"/>
              <w:jc w:val="right"/>
              <w:rPr>
                <w:rFonts w:eastAsia="Times New Roman"/>
              </w:rPr>
            </w:pPr>
            <w:r>
              <w:rPr>
                <w:rFonts w:eastAsia="Times New Roman"/>
                <w:color w:val="000000"/>
                <w:sz w:val="20"/>
                <w:szCs w:val="20"/>
              </w:rPr>
              <w:t>458.4 </w:t>
            </w:r>
          </w:p>
        </w:tc>
        <w:tc>
          <w:tcPr>
            <w:tcW w:w="0" w:type="auto"/>
            <w:shd w:val="clear" w:color="auto" w:fill="FFFFFF"/>
            <w:tcMar>
              <w:top w:w="30" w:type="dxa"/>
              <w:left w:w="0" w:type="dxa"/>
              <w:bottom w:w="30" w:type="dxa"/>
              <w:right w:w="20" w:type="dxa"/>
            </w:tcMar>
            <w:vAlign w:val="bottom"/>
            <w:hideMark/>
          </w:tcPr>
          <w:p w14:paraId="01FDA72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02583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FEEFAE" w14:textId="77777777" w:rsidR="00000000" w:rsidRDefault="00EE5306">
            <w:pPr>
              <w:spacing w:after="100"/>
              <w:jc w:val="right"/>
              <w:rPr>
                <w:rFonts w:eastAsia="Times New Roman"/>
              </w:rPr>
            </w:pPr>
            <w:r>
              <w:rPr>
                <w:rFonts w:eastAsia="Times New Roman"/>
                <w:color w:val="000000"/>
                <w:sz w:val="20"/>
                <w:szCs w:val="20"/>
              </w:rPr>
              <w:t>312.7 </w:t>
            </w:r>
          </w:p>
        </w:tc>
        <w:tc>
          <w:tcPr>
            <w:tcW w:w="0" w:type="auto"/>
            <w:shd w:val="clear" w:color="auto" w:fill="FFFFFF"/>
            <w:tcMar>
              <w:top w:w="30" w:type="dxa"/>
              <w:left w:w="0" w:type="dxa"/>
              <w:bottom w:w="30" w:type="dxa"/>
              <w:right w:w="20" w:type="dxa"/>
            </w:tcMar>
            <w:vAlign w:val="bottom"/>
            <w:hideMark/>
          </w:tcPr>
          <w:p w14:paraId="063DAB86" w14:textId="77777777" w:rsidR="00000000" w:rsidRDefault="00EE5306">
            <w:pPr>
              <w:spacing w:after="100"/>
              <w:jc w:val="right"/>
              <w:rPr>
                <w:rFonts w:eastAsia="Times New Roman"/>
              </w:rPr>
            </w:pPr>
          </w:p>
        </w:tc>
      </w:tr>
      <w:tr w:rsidR="00000000" w14:paraId="325AF8C3" w14:textId="77777777">
        <w:trPr>
          <w:divId w:val="1371803929"/>
        </w:trPr>
        <w:tc>
          <w:tcPr>
            <w:tcW w:w="0" w:type="auto"/>
            <w:gridSpan w:val="3"/>
            <w:shd w:val="clear" w:color="auto" w:fill="CCEEFF"/>
            <w:tcMar>
              <w:top w:w="30" w:type="dxa"/>
              <w:left w:w="155" w:type="dxa"/>
              <w:bottom w:w="30" w:type="dxa"/>
              <w:right w:w="20" w:type="dxa"/>
            </w:tcMar>
            <w:vAlign w:val="bottom"/>
            <w:hideMark/>
          </w:tcPr>
          <w:p w14:paraId="566F9A0A" w14:textId="77777777" w:rsidR="00000000" w:rsidRDefault="00EE5306">
            <w:pPr>
              <w:spacing w:after="100"/>
              <w:rPr>
                <w:rFonts w:eastAsia="Times New Roman"/>
              </w:rPr>
            </w:pPr>
            <w:r>
              <w:rPr>
                <w:rFonts w:eastAsia="Times New Roman"/>
                <w:color w:val="000000"/>
                <w:sz w:val="20"/>
                <w:szCs w:val="20"/>
              </w:rPr>
              <w:t>Total lease payments</w:t>
            </w:r>
          </w:p>
        </w:tc>
        <w:tc>
          <w:tcPr>
            <w:tcW w:w="0" w:type="auto"/>
            <w:gridSpan w:val="3"/>
            <w:shd w:val="clear" w:color="auto" w:fill="CCEEFF"/>
            <w:tcMar>
              <w:top w:w="0" w:type="dxa"/>
              <w:left w:w="20" w:type="dxa"/>
              <w:bottom w:w="0" w:type="dxa"/>
              <w:right w:w="20" w:type="dxa"/>
            </w:tcMar>
            <w:vAlign w:val="center"/>
            <w:hideMark/>
          </w:tcPr>
          <w:p w14:paraId="12754C4D"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FCD135" w14:textId="77777777" w:rsidR="00000000" w:rsidRDefault="00EE5306">
            <w:pPr>
              <w:spacing w:after="100"/>
              <w:jc w:val="right"/>
              <w:rPr>
                <w:rFonts w:eastAsia="Times New Roman"/>
              </w:rPr>
            </w:pPr>
            <w:r>
              <w:rPr>
                <w:rFonts w:eastAsia="Times New Roman"/>
                <w:color w:val="000000"/>
                <w:sz w:val="20"/>
                <w:szCs w:val="20"/>
              </w:rPr>
              <w:t>1,724.1 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F2B0A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0AF31"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FDDC8B" w14:textId="77777777" w:rsidR="00000000" w:rsidRDefault="00EE5306">
            <w:pPr>
              <w:spacing w:after="100"/>
              <w:jc w:val="right"/>
              <w:rPr>
                <w:rFonts w:eastAsia="Times New Roman"/>
              </w:rPr>
            </w:pPr>
            <w:r>
              <w:rPr>
                <w:rFonts w:eastAsia="Times New Roman"/>
                <w:color w:val="000000"/>
                <w:sz w:val="20"/>
                <w:szCs w:val="20"/>
              </w:rPr>
              <w:t>489.2 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028FFF" w14:textId="77777777" w:rsidR="00000000" w:rsidRDefault="00EE5306">
            <w:pPr>
              <w:spacing w:after="100"/>
              <w:jc w:val="right"/>
              <w:rPr>
                <w:rFonts w:eastAsia="Times New Roman"/>
              </w:rPr>
            </w:pPr>
          </w:p>
        </w:tc>
      </w:tr>
      <w:tr w:rsidR="00000000" w14:paraId="4A5D5E6E" w14:textId="77777777">
        <w:trPr>
          <w:divId w:val="1371803929"/>
        </w:trPr>
        <w:tc>
          <w:tcPr>
            <w:tcW w:w="0" w:type="auto"/>
            <w:gridSpan w:val="3"/>
            <w:shd w:val="clear" w:color="auto" w:fill="FFFFFF"/>
            <w:tcMar>
              <w:top w:w="30" w:type="dxa"/>
              <w:left w:w="20" w:type="dxa"/>
              <w:bottom w:w="30" w:type="dxa"/>
              <w:right w:w="20" w:type="dxa"/>
            </w:tcMar>
            <w:vAlign w:val="bottom"/>
            <w:hideMark/>
          </w:tcPr>
          <w:p w14:paraId="6706237C" w14:textId="77777777" w:rsidR="00000000" w:rsidRDefault="00EE5306">
            <w:pPr>
              <w:spacing w:after="100"/>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14:paraId="718C334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98CFFD" w14:textId="77777777" w:rsidR="00000000" w:rsidRDefault="00EE5306">
            <w:pPr>
              <w:spacing w:after="100"/>
              <w:jc w:val="right"/>
              <w:rPr>
                <w:rFonts w:eastAsia="Times New Roman"/>
              </w:rPr>
            </w:pPr>
            <w:r>
              <w:rPr>
                <w:rFonts w:eastAsia="Times New Roman"/>
                <w:color w:val="000000"/>
                <w:sz w:val="20"/>
                <w:szCs w:val="20"/>
              </w:rPr>
              <w:t>(126.7)</w:t>
            </w:r>
          </w:p>
        </w:tc>
        <w:tc>
          <w:tcPr>
            <w:tcW w:w="0" w:type="auto"/>
            <w:shd w:val="clear" w:color="auto" w:fill="FFFFFF"/>
            <w:tcMar>
              <w:top w:w="30" w:type="dxa"/>
              <w:left w:w="0" w:type="dxa"/>
              <w:bottom w:w="30" w:type="dxa"/>
              <w:right w:w="20" w:type="dxa"/>
            </w:tcMar>
            <w:vAlign w:val="bottom"/>
            <w:hideMark/>
          </w:tcPr>
          <w:p w14:paraId="436FED9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B453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A92F7" w14:textId="77777777" w:rsidR="00000000" w:rsidRDefault="00EE5306">
            <w:pPr>
              <w:spacing w:after="100"/>
              <w:jc w:val="right"/>
              <w:rPr>
                <w:rFonts w:eastAsia="Times New Roman"/>
              </w:rPr>
            </w:pPr>
            <w:r>
              <w:rPr>
                <w:rFonts w:eastAsia="Times New Roman"/>
                <w:color w:val="000000"/>
                <w:sz w:val="20"/>
                <w:szCs w:val="20"/>
              </w:rPr>
              <w:t>(99.0)</w:t>
            </w:r>
          </w:p>
        </w:tc>
        <w:tc>
          <w:tcPr>
            <w:tcW w:w="0" w:type="auto"/>
            <w:shd w:val="clear" w:color="auto" w:fill="FFFFFF"/>
            <w:tcMar>
              <w:top w:w="30" w:type="dxa"/>
              <w:left w:w="0" w:type="dxa"/>
              <w:bottom w:w="30" w:type="dxa"/>
              <w:right w:w="20" w:type="dxa"/>
            </w:tcMar>
            <w:vAlign w:val="bottom"/>
            <w:hideMark/>
          </w:tcPr>
          <w:p w14:paraId="6E04D49C" w14:textId="77777777" w:rsidR="00000000" w:rsidRDefault="00EE5306">
            <w:pPr>
              <w:spacing w:after="100"/>
              <w:jc w:val="right"/>
              <w:rPr>
                <w:rFonts w:eastAsia="Times New Roman"/>
              </w:rPr>
            </w:pPr>
          </w:p>
        </w:tc>
      </w:tr>
      <w:tr w:rsidR="00000000" w14:paraId="014E30AA" w14:textId="77777777">
        <w:trPr>
          <w:divId w:val="1371803929"/>
        </w:trPr>
        <w:tc>
          <w:tcPr>
            <w:tcW w:w="0" w:type="auto"/>
            <w:gridSpan w:val="3"/>
            <w:shd w:val="clear" w:color="auto" w:fill="CCEEFF"/>
            <w:tcMar>
              <w:top w:w="30" w:type="dxa"/>
              <w:left w:w="155" w:type="dxa"/>
              <w:bottom w:w="30" w:type="dxa"/>
              <w:right w:w="20" w:type="dxa"/>
            </w:tcMar>
            <w:vAlign w:val="bottom"/>
            <w:hideMark/>
          </w:tcPr>
          <w:p w14:paraId="7AFC823E" w14:textId="77777777" w:rsidR="00000000" w:rsidRDefault="00EE5306">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14:paraId="441D6E06"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12AC6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6DC00B" w14:textId="77777777" w:rsidR="00000000" w:rsidRDefault="00EE5306">
            <w:pPr>
              <w:spacing w:after="100"/>
              <w:jc w:val="right"/>
              <w:rPr>
                <w:rFonts w:eastAsia="Times New Roman"/>
              </w:rPr>
            </w:pPr>
            <w:r>
              <w:rPr>
                <w:rFonts w:eastAsia="Times New Roman"/>
                <w:color w:val="000000"/>
                <w:sz w:val="20"/>
                <w:szCs w:val="20"/>
              </w:rPr>
              <w:t>1,597.4 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6D35C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597BF"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8B3C8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9EAF9C" w14:textId="77777777" w:rsidR="00000000" w:rsidRDefault="00EE5306">
            <w:pPr>
              <w:spacing w:after="100"/>
              <w:jc w:val="right"/>
              <w:rPr>
                <w:rFonts w:eastAsia="Times New Roman"/>
              </w:rPr>
            </w:pPr>
            <w:r>
              <w:rPr>
                <w:rFonts w:eastAsia="Times New Roman"/>
                <w:color w:val="000000"/>
                <w:sz w:val="20"/>
                <w:szCs w:val="20"/>
              </w:rPr>
              <w:t>390.2 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C3CAF6" w14:textId="77777777" w:rsidR="00000000" w:rsidRDefault="00EE5306">
            <w:pPr>
              <w:spacing w:after="100"/>
              <w:jc w:val="right"/>
              <w:rPr>
                <w:rFonts w:eastAsia="Times New Roman"/>
              </w:rPr>
            </w:pPr>
          </w:p>
        </w:tc>
      </w:tr>
    </w:tbl>
    <w:p w14:paraId="2FAD8F73" w14:textId="77777777" w:rsidR="00000000" w:rsidRDefault="00EE5306">
      <w:pPr>
        <w:ind w:firstLine="540"/>
        <w:jc w:val="both"/>
        <w:divId w:val="1812861062"/>
        <w:rPr>
          <w:rFonts w:eastAsia="Times New Roman"/>
        </w:rPr>
      </w:pPr>
      <w:r>
        <w:rPr>
          <w:rFonts w:eastAsia="Times New Roman"/>
          <w:color w:val="000000"/>
          <w:sz w:val="20"/>
          <w:szCs w:val="20"/>
        </w:rPr>
        <w:t>Additionally, the Company has $107.4 million of future payment obligations relating to executed lease agreements for which the related lease terms had not yet commenced as of the end of Fiscal 2021, and, therefore, are not recorded on the consolidated bal</w:t>
      </w:r>
      <w:r>
        <w:rPr>
          <w:rFonts w:eastAsia="Times New Roman"/>
          <w:color w:val="000000"/>
          <w:sz w:val="20"/>
          <w:szCs w:val="20"/>
        </w:rPr>
        <w:t>ance sheet as of March 27, 2021.</w:t>
      </w:r>
    </w:p>
    <w:p w14:paraId="3064F044" w14:textId="77777777" w:rsidR="00000000" w:rsidRDefault="00EE5306">
      <w:pPr>
        <w:ind w:firstLine="540"/>
        <w:jc w:val="both"/>
        <w:divId w:val="1985427879"/>
        <w:rPr>
          <w:rFonts w:eastAsia="Times New Roman"/>
        </w:rPr>
      </w:pPr>
      <w:r>
        <w:rPr>
          <w:rFonts w:eastAsia="Times New Roman"/>
          <w:color w:val="000000"/>
          <w:sz w:val="20"/>
          <w:szCs w:val="20"/>
        </w:rPr>
        <w:t xml:space="preserve">The following table summarizes the weighted-average remaining lease terms and weighted-average discount rates related to the Company's operating and finance leases recorded on the consolidated balance sheet as of March 27, </w:t>
      </w:r>
      <w:r>
        <w:rPr>
          <w:rFonts w:eastAsia="Times New Roman"/>
          <w:color w:val="000000"/>
          <w:sz w:val="20"/>
          <w:szCs w:val="20"/>
        </w:rPr>
        <w:t>2021:</w:t>
      </w:r>
    </w:p>
    <w:tbl>
      <w:tblPr>
        <w:tblW w:w="4700" w:type="pct"/>
        <w:tblCellMar>
          <w:top w:w="15" w:type="dxa"/>
          <w:left w:w="15" w:type="dxa"/>
          <w:bottom w:w="15" w:type="dxa"/>
          <w:right w:w="15" w:type="dxa"/>
        </w:tblCellMar>
        <w:tblLook w:val="04A0" w:firstRow="1" w:lastRow="0" w:firstColumn="1" w:lastColumn="0" w:noHBand="0" w:noVBand="1"/>
      </w:tblPr>
      <w:tblGrid>
        <w:gridCol w:w="37"/>
        <w:gridCol w:w="3426"/>
        <w:gridCol w:w="36"/>
        <w:gridCol w:w="36"/>
        <w:gridCol w:w="48"/>
        <w:gridCol w:w="36"/>
        <w:gridCol w:w="60"/>
        <w:gridCol w:w="765"/>
        <w:gridCol w:w="187"/>
        <w:gridCol w:w="36"/>
        <w:gridCol w:w="36"/>
        <w:gridCol w:w="36"/>
        <w:gridCol w:w="47"/>
        <w:gridCol w:w="717"/>
        <w:gridCol w:w="187"/>
        <w:gridCol w:w="36"/>
        <w:gridCol w:w="36"/>
        <w:gridCol w:w="36"/>
        <w:gridCol w:w="60"/>
        <w:gridCol w:w="704"/>
        <w:gridCol w:w="187"/>
        <w:gridCol w:w="36"/>
        <w:gridCol w:w="36"/>
        <w:gridCol w:w="36"/>
        <w:gridCol w:w="47"/>
        <w:gridCol w:w="717"/>
        <w:gridCol w:w="187"/>
      </w:tblGrid>
      <w:tr w:rsidR="00000000" w14:paraId="606C08AF" w14:textId="77777777">
        <w:trPr>
          <w:divId w:val="1007633178"/>
        </w:trPr>
        <w:tc>
          <w:tcPr>
            <w:tcW w:w="50" w:type="pct"/>
            <w:vAlign w:val="center"/>
            <w:hideMark/>
          </w:tcPr>
          <w:p w14:paraId="2B623C9B" w14:textId="77777777" w:rsidR="00000000" w:rsidRDefault="00EE5306">
            <w:pPr>
              <w:ind w:firstLine="540"/>
              <w:jc w:val="both"/>
              <w:rPr>
                <w:rFonts w:eastAsia="Times New Roman"/>
              </w:rPr>
            </w:pPr>
          </w:p>
        </w:tc>
        <w:tc>
          <w:tcPr>
            <w:tcW w:w="2254" w:type="pct"/>
            <w:vAlign w:val="center"/>
            <w:hideMark/>
          </w:tcPr>
          <w:p w14:paraId="72BBC49C" w14:textId="77777777" w:rsidR="00000000" w:rsidRDefault="00EE5306">
            <w:pPr>
              <w:spacing w:after="100"/>
              <w:rPr>
                <w:rFonts w:eastAsia="Times New Roman"/>
                <w:sz w:val="20"/>
                <w:szCs w:val="20"/>
              </w:rPr>
            </w:pPr>
          </w:p>
        </w:tc>
        <w:tc>
          <w:tcPr>
            <w:tcW w:w="5" w:type="pct"/>
            <w:vAlign w:val="center"/>
            <w:hideMark/>
          </w:tcPr>
          <w:p w14:paraId="28728301" w14:textId="77777777" w:rsidR="00000000" w:rsidRDefault="00EE5306">
            <w:pPr>
              <w:spacing w:after="100"/>
              <w:rPr>
                <w:rFonts w:eastAsia="Times New Roman"/>
                <w:sz w:val="20"/>
                <w:szCs w:val="20"/>
              </w:rPr>
            </w:pPr>
          </w:p>
        </w:tc>
        <w:tc>
          <w:tcPr>
            <w:tcW w:w="5" w:type="pct"/>
            <w:vAlign w:val="center"/>
            <w:hideMark/>
          </w:tcPr>
          <w:p w14:paraId="4C189601" w14:textId="77777777" w:rsidR="00000000" w:rsidRDefault="00EE5306">
            <w:pPr>
              <w:spacing w:after="100"/>
              <w:rPr>
                <w:rFonts w:eastAsia="Times New Roman"/>
                <w:sz w:val="20"/>
                <w:szCs w:val="20"/>
              </w:rPr>
            </w:pPr>
          </w:p>
        </w:tc>
        <w:tc>
          <w:tcPr>
            <w:tcW w:w="75" w:type="pct"/>
            <w:vAlign w:val="center"/>
            <w:hideMark/>
          </w:tcPr>
          <w:p w14:paraId="663F79A1" w14:textId="77777777" w:rsidR="00000000" w:rsidRDefault="00EE5306">
            <w:pPr>
              <w:spacing w:after="100"/>
              <w:rPr>
                <w:rFonts w:eastAsia="Times New Roman"/>
                <w:sz w:val="20"/>
                <w:szCs w:val="20"/>
              </w:rPr>
            </w:pPr>
          </w:p>
        </w:tc>
        <w:tc>
          <w:tcPr>
            <w:tcW w:w="5" w:type="pct"/>
            <w:vAlign w:val="center"/>
            <w:hideMark/>
          </w:tcPr>
          <w:p w14:paraId="2C2A0A74" w14:textId="77777777" w:rsidR="00000000" w:rsidRDefault="00EE5306">
            <w:pPr>
              <w:spacing w:after="100"/>
              <w:rPr>
                <w:rFonts w:eastAsia="Times New Roman"/>
                <w:sz w:val="20"/>
                <w:szCs w:val="20"/>
              </w:rPr>
            </w:pPr>
          </w:p>
        </w:tc>
        <w:tc>
          <w:tcPr>
            <w:tcW w:w="50" w:type="pct"/>
            <w:vAlign w:val="center"/>
            <w:hideMark/>
          </w:tcPr>
          <w:p w14:paraId="63DFCC5F" w14:textId="77777777" w:rsidR="00000000" w:rsidRDefault="00EE5306">
            <w:pPr>
              <w:spacing w:after="100"/>
              <w:rPr>
                <w:rFonts w:eastAsia="Times New Roman"/>
                <w:sz w:val="20"/>
                <w:szCs w:val="20"/>
              </w:rPr>
            </w:pPr>
          </w:p>
        </w:tc>
        <w:tc>
          <w:tcPr>
            <w:tcW w:w="567" w:type="pct"/>
            <w:vAlign w:val="center"/>
            <w:hideMark/>
          </w:tcPr>
          <w:p w14:paraId="1BB03640" w14:textId="77777777" w:rsidR="00000000" w:rsidRDefault="00EE5306">
            <w:pPr>
              <w:spacing w:after="100"/>
              <w:rPr>
                <w:rFonts w:eastAsia="Times New Roman"/>
                <w:sz w:val="20"/>
                <w:szCs w:val="20"/>
              </w:rPr>
            </w:pPr>
          </w:p>
        </w:tc>
        <w:tc>
          <w:tcPr>
            <w:tcW w:w="5" w:type="pct"/>
            <w:vAlign w:val="center"/>
            <w:hideMark/>
          </w:tcPr>
          <w:p w14:paraId="521DF1A4" w14:textId="77777777" w:rsidR="00000000" w:rsidRDefault="00EE5306">
            <w:pPr>
              <w:spacing w:after="100"/>
              <w:rPr>
                <w:rFonts w:eastAsia="Times New Roman"/>
                <w:sz w:val="20"/>
                <w:szCs w:val="20"/>
              </w:rPr>
            </w:pPr>
          </w:p>
        </w:tc>
        <w:tc>
          <w:tcPr>
            <w:tcW w:w="5" w:type="pct"/>
            <w:vAlign w:val="center"/>
            <w:hideMark/>
          </w:tcPr>
          <w:p w14:paraId="61CC09DA" w14:textId="77777777" w:rsidR="00000000" w:rsidRDefault="00EE5306">
            <w:pPr>
              <w:spacing w:after="100"/>
              <w:rPr>
                <w:rFonts w:eastAsia="Times New Roman"/>
                <w:sz w:val="20"/>
                <w:szCs w:val="20"/>
              </w:rPr>
            </w:pPr>
          </w:p>
        </w:tc>
        <w:tc>
          <w:tcPr>
            <w:tcW w:w="28" w:type="pct"/>
            <w:vAlign w:val="center"/>
            <w:hideMark/>
          </w:tcPr>
          <w:p w14:paraId="6BA2D1E6" w14:textId="77777777" w:rsidR="00000000" w:rsidRDefault="00EE5306">
            <w:pPr>
              <w:spacing w:after="100"/>
              <w:rPr>
                <w:rFonts w:eastAsia="Times New Roman"/>
                <w:sz w:val="20"/>
                <w:szCs w:val="20"/>
              </w:rPr>
            </w:pPr>
          </w:p>
        </w:tc>
        <w:tc>
          <w:tcPr>
            <w:tcW w:w="5" w:type="pct"/>
            <w:vAlign w:val="center"/>
            <w:hideMark/>
          </w:tcPr>
          <w:p w14:paraId="605B5F5C" w14:textId="77777777" w:rsidR="00000000" w:rsidRDefault="00EE5306">
            <w:pPr>
              <w:spacing w:after="100"/>
              <w:rPr>
                <w:rFonts w:eastAsia="Times New Roman"/>
                <w:sz w:val="20"/>
                <w:szCs w:val="20"/>
              </w:rPr>
            </w:pPr>
          </w:p>
        </w:tc>
        <w:tc>
          <w:tcPr>
            <w:tcW w:w="50" w:type="pct"/>
            <w:vAlign w:val="center"/>
            <w:hideMark/>
          </w:tcPr>
          <w:p w14:paraId="2C664189" w14:textId="77777777" w:rsidR="00000000" w:rsidRDefault="00EE5306">
            <w:pPr>
              <w:spacing w:after="100"/>
              <w:rPr>
                <w:rFonts w:eastAsia="Times New Roman"/>
                <w:sz w:val="20"/>
                <w:szCs w:val="20"/>
              </w:rPr>
            </w:pPr>
          </w:p>
        </w:tc>
        <w:tc>
          <w:tcPr>
            <w:tcW w:w="567" w:type="pct"/>
            <w:vAlign w:val="center"/>
            <w:hideMark/>
          </w:tcPr>
          <w:p w14:paraId="69ECFAEF" w14:textId="77777777" w:rsidR="00000000" w:rsidRDefault="00EE5306">
            <w:pPr>
              <w:spacing w:after="100"/>
              <w:rPr>
                <w:rFonts w:eastAsia="Times New Roman"/>
                <w:sz w:val="20"/>
                <w:szCs w:val="20"/>
              </w:rPr>
            </w:pPr>
          </w:p>
        </w:tc>
        <w:tc>
          <w:tcPr>
            <w:tcW w:w="5" w:type="pct"/>
            <w:vAlign w:val="center"/>
            <w:hideMark/>
          </w:tcPr>
          <w:p w14:paraId="43639EAE" w14:textId="77777777" w:rsidR="00000000" w:rsidRDefault="00EE5306">
            <w:pPr>
              <w:spacing w:after="100"/>
              <w:rPr>
                <w:rFonts w:eastAsia="Times New Roman"/>
                <w:sz w:val="20"/>
                <w:szCs w:val="20"/>
              </w:rPr>
            </w:pPr>
          </w:p>
        </w:tc>
        <w:tc>
          <w:tcPr>
            <w:tcW w:w="5" w:type="pct"/>
            <w:vAlign w:val="center"/>
            <w:hideMark/>
          </w:tcPr>
          <w:p w14:paraId="5FCB5CB7" w14:textId="77777777" w:rsidR="00000000" w:rsidRDefault="00EE5306">
            <w:pPr>
              <w:spacing w:after="100"/>
              <w:rPr>
                <w:rFonts w:eastAsia="Times New Roman"/>
                <w:sz w:val="20"/>
                <w:szCs w:val="20"/>
              </w:rPr>
            </w:pPr>
          </w:p>
        </w:tc>
        <w:tc>
          <w:tcPr>
            <w:tcW w:w="28" w:type="pct"/>
            <w:vAlign w:val="center"/>
            <w:hideMark/>
          </w:tcPr>
          <w:p w14:paraId="17B0BAB7" w14:textId="77777777" w:rsidR="00000000" w:rsidRDefault="00EE5306">
            <w:pPr>
              <w:spacing w:after="100"/>
              <w:rPr>
                <w:rFonts w:eastAsia="Times New Roman"/>
                <w:sz w:val="20"/>
                <w:szCs w:val="20"/>
              </w:rPr>
            </w:pPr>
          </w:p>
        </w:tc>
        <w:tc>
          <w:tcPr>
            <w:tcW w:w="5" w:type="pct"/>
            <w:vAlign w:val="center"/>
            <w:hideMark/>
          </w:tcPr>
          <w:p w14:paraId="71F7B6F9" w14:textId="77777777" w:rsidR="00000000" w:rsidRDefault="00EE5306">
            <w:pPr>
              <w:spacing w:after="100"/>
              <w:rPr>
                <w:rFonts w:eastAsia="Times New Roman"/>
                <w:sz w:val="20"/>
                <w:szCs w:val="20"/>
              </w:rPr>
            </w:pPr>
          </w:p>
        </w:tc>
        <w:tc>
          <w:tcPr>
            <w:tcW w:w="50" w:type="pct"/>
            <w:vAlign w:val="center"/>
            <w:hideMark/>
          </w:tcPr>
          <w:p w14:paraId="47336D03" w14:textId="77777777" w:rsidR="00000000" w:rsidRDefault="00EE5306">
            <w:pPr>
              <w:spacing w:after="100"/>
              <w:rPr>
                <w:rFonts w:eastAsia="Times New Roman"/>
                <w:sz w:val="20"/>
                <w:szCs w:val="20"/>
              </w:rPr>
            </w:pPr>
          </w:p>
        </w:tc>
        <w:tc>
          <w:tcPr>
            <w:tcW w:w="567" w:type="pct"/>
            <w:vAlign w:val="center"/>
            <w:hideMark/>
          </w:tcPr>
          <w:p w14:paraId="1AE9DDFD" w14:textId="77777777" w:rsidR="00000000" w:rsidRDefault="00EE5306">
            <w:pPr>
              <w:spacing w:after="100"/>
              <w:rPr>
                <w:rFonts w:eastAsia="Times New Roman"/>
                <w:sz w:val="20"/>
                <w:szCs w:val="20"/>
              </w:rPr>
            </w:pPr>
          </w:p>
        </w:tc>
        <w:tc>
          <w:tcPr>
            <w:tcW w:w="5" w:type="pct"/>
            <w:vAlign w:val="center"/>
            <w:hideMark/>
          </w:tcPr>
          <w:p w14:paraId="18F5FAD8" w14:textId="77777777" w:rsidR="00000000" w:rsidRDefault="00EE5306">
            <w:pPr>
              <w:spacing w:after="100"/>
              <w:rPr>
                <w:rFonts w:eastAsia="Times New Roman"/>
                <w:sz w:val="20"/>
                <w:szCs w:val="20"/>
              </w:rPr>
            </w:pPr>
          </w:p>
        </w:tc>
        <w:tc>
          <w:tcPr>
            <w:tcW w:w="5" w:type="pct"/>
            <w:vAlign w:val="center"/>
            <w:hideMark/>
          </w:tcPr>
          <w:p w14:paraId="2FA4F255" w14:textId="77777777" w:rsidR="00000000" w:rsidRDefault="00EE5306">
            <w:pPr>
              <w:spacing w:after="100"/>
              <w:rPr>
                <w:rFonts w:eastAsia="Times New Roman"/>
                <w:sz w:val="20"/>
                <w:szCs w:val="20"/>
              </w:rPr>
            </w:pPr>
          </w:p>
        </w:tc>
        <w:tc>
          <w:tcPr>
            <w:tcW w:w="28" w:type="pct"/>
            <w:vAlign w:val="center"/>
            <w:hideMark/>
          </w:tcPr>
          <w:p w14:paraId="65F173C1" w14:textId="77777777" w:rsidR="00000000" w:rsidRDefault="00EE5306">
            <w:pPr>
              <w:spacing w:after="100"/>
              <w:rPr>
                <w:rFonts w:eastAsia="Times New Roman"/>
                <w:sz w:val="20"/>
                <w:szCs w:val="20"/>
              </w:rPr>
            </w:pPr>
          </w:p>
        </w:tc>
        <w:tc>
          <w:tcPr>
            <w:tcW w:w="5" w:type="pct"/>
            <w:vAlign w:val="center"/>
            <w:hideMark/>
          </w:tcPr>
          <w:p w14:paraId="7AF29AE3" w14:textId="77777777" w:rsidR="00000000" w:rsidRDefault="00EE5306">
            <w:pPr>
              <w:spacing w:after="100"/>
              <w:rPr>
                <w:rFonts w:eastAsia="Times New Roman"/>
                <w:sz w:val="20"/>
                <w:szCs w:val="20"/>
              </w:rPr>
            </w:pPr>
          </w:p>
        </w:tc>
        <w:tc>
          <w:tcPr>
            <w:tcW w:w="50" w:type="pct"/>
            <w:vAlign w:val="center"/>
            <w:hideMark/>
          </w:tcPr>
          <w:p w14:paraId="482CE642" w14:textId="77777777" w:rsidR="00000000" w:rsidRDefault="00EE5306">
            <w:pPr>
              <w:spacing w:after="100"/>
              <w:rPr>
                <w:rFonts w:eastAsia="Times New Roman"/>
                <w:sz w:val="20"/>
                <w:szCs w:val="20"/>
              </w:rPr>
            </w:pPr>
          </w:p>
        </w:tc>
        <w:tc>
          <w:tcPr>
            <w:tcW w:w="567" w:type="pct"/>
            <w:vAlign w:val="center"/>
            <w:hideMark/>
          </w:tcPr>
          <w:p w14:paraId="7D8A4C1D" w14:textId="77777777" w:rsidR="00000000" w:rsidRDefault="00EE5306">
            <w:pPr>
              <w:spacing w:after="100"/>
              <w:rPr>
                <w:rFonts w:eastAsia="Times New Roman"/>
                <w:sz w:val="20"/>
                <w:szCs w:val="20"/>
              </w:rPr>
            </w:pPr>
          </w:p>
        </w:tc>
        <w:tc>
          <w:tcPr>
            <w:tcW w:w="5" w:type="pct"/>
            <w:vAlign w:val="center"/>
            <w:hideMark/>
          </w:tcPr>
          <w:p w14:paraId="3D96E215" w14:textId="77777777" w:rsidR="00000000" w:rsidRDefault="00EE5306">
            <w:pPr>
              <w:spacing w:after="100"/>
              <w:rPr>
                <w:rFonts w:eastAsia="Times New Roman"/>
                <w:sz w:val="20"/>
                <w:szCs w:val="20"/>
              </w:rPr>
            </w:pPr>
          </w:p>
        </w:tc>
      </w:tr>
      <w:tr w:rsidR="00000000" w14:paraId="1442E25E" w14:textId="77777777">
        <w:trPr>
          <w:divId w:val="1007633178"/>
        </w:trPr>
        <w:tc>
          <w:tcPr>
            <w:tcW w:w="0" w:type="auto"/>
            <w:gridSpan w:val="3"/>
            <w:tcMar>
              <w:top w:w="0" w:type="dxa"/>
              <w:left w:w="20" w:type="dxa"/>
              <w:bottom w:w="0" w:type="dxa"/>
              <w:right w:w="20" w:type="dxa"/>
            </w:tcMar>
            <w:vAlign w:val="center"/>
            <w:hideMark/>
          </w:tcPr>
          <w:p w14:paraId="2B95FF3C"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6D7C96"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7514D86" w14:textId="77777777" w:rsidR="00000000" w:rsidRDefault="00EE5306">
            <w:pPr>
              <w:spacing w:after="100"/>
              <w:jc w:val="center"/>
              <w:rPr>
                <w:rFonts w:eastAsia="Times New Roman"/>
              </w:rPr>
            </w:pPr>
            <w:r>
              <w:rPr>
                <w:rFonts w:eastAsia="Times New Roman"/>
                <w:b/>
                <w:bCs/>
                <w:color w:val="000000"/>
                <w:sz w:val="16"/>
                <w:szCs w:val="16"/>
              </w:rPr>
              <w:t>March 27, 2021</w:t>
            </w:r>
          </w:p>
        </w:tc>
        <w:tc>
          <w:tcPr>
            <w:tcW w:w="0" w:type="auto"/>
            <w:gridSpan w:val="3"/>
            <w:tcMar>
              <w:top w:w="0" w:type="dxa"/>
              <w:left w:w="20" w:type="dxa"/>
              <w:bottom w:w="0" w:type="dxa"/>
              <w:right w:w="20" w:type="dxa"/>
            </w:tcMar>
            <w:vAlign w:val="center"/>
            <w:hideMark/>
          </w:tcPr>
          <w:p w14:paraId="3517EF03" w14:textId="77777777" w:rsidR="00000000" w:rsidRDefault="00EE530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2391E0E" w14:textId="77777777" w:rsidR="00000000" w:rsidRDefault="00EE5306">
            <w:pPr>
              <w:spacing w:after="100"/>
              <w:jc w:val="center"/>
              <w:rPr>
                <w:rFonts w:eastAsia="Times New Roman"/>
              </w:rPr>
            </w:pPr>
            <w:r>
              <w:rPr>
                <w:rFonts w:eastAsia="Times New Roman"/>
                <w:b/>
                <w:bCs/>
                <w:color w:val="000000"/>
                <w:sz w:val="16"/>
                <w:szCs w:val="16"/>
              </w:rPr>
              <w:t>March 28, 2020</w:t>
            </w:r>
          </w:p>
        </w:tc>
      </w:tr>
      <w:tr w:rsidR="00000000" w14:paraId="46D6961C" w14:textId="77777777">
        <w:trPr>
          <w:divId w:val="1007633178"/>
        </w:trPr>
        <w:tc>
          <w:tcPr>
            <w:tcW w:w="0" w:type="auto"/>
            <w:gridSpan w:val="3"/>
            <w:tcMar>
              <w:top w:w="0" w:type="dxa"/>
              <w:left w:w="20" w:type="dxa"/>
              <w:bottom w:w="0" w:type="dxa"/>
              <w:right w:w="20" w:type="dxa"/>
            </w:tcMar>
            <w:vAlign w:val="center"/>
            <w:hideMark/>
          </w:tcPr>
          <w:p w14:paraId="64F2FD8C"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8F5D60D"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A2183AB"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14:paraId="22C513E2"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9899FE" w14:textId="77777777" w:rsidR="00000000" w:rsidRDefault="00EE5306">
            <w:pPr>
              <w:spacing w:after="100"/>
              <w:jc w:val="center"/>
              <w:rPr>
                <w:rFonts w:eastAsia="Times New Roman"/>
              </w:rPr>
            </w:pPr>
            <w:r>
              <w:rPr>
                <w:rFonts w:eastAsia="Times New Roman"/>
                <w:b/>
                <w:bCs/>
                <w:color w:val="000000"/>
                <w:sz w:val="16"/>
                <w:szCs w:val="16"/>
              </w:rPr>
              <w:t>Finance</w:t>
            </w:r>
            <w:r>
              <w:rPr>
                <w:rFonts w:eastAsia="Times New Roman"/>
                <w:b/>
                <w:bCs/>
                <w:color w:val="000000"/>
                <w:sz w:val="16"/>
                <w:szCs w:val="16"/>
              </w:rPr>
              <w:br/>
              <w:t>Leases</w:t>
            </w:r>
          </w:p>
        </w:tc>
        <w:tc>
          <w:tcPr>
            <w:tcW w:w="0" w:type="auto"/>
            <w:gridSpan w:val="3"/>
            <w:tcMar>
              <w:top w:w="0" w:type="dxa"/>
              <w:left w:w="20" w:type="dxa"/>
              <w:bottom w:w="0" w:type="dxa"/>
              <w:right w:w="20" w:type="dxa"/>
            </w:tcMar>
            <w:vAlign w:val="center"/>
            <w:hideMark/>
          </w:tcPr>
          <w:p w14:paraId="62589DC2"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A8F84F" w14:textId="77777777" w:rsidR="00000000" w:rsidRDefault="00EE5306">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14:paraId="794AF0EC"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09823F" w14:textId="77777777" w:rsidR="00000000" w:rsidRDefault="00EE5306">
            <w:pPr>
              <w:spacing w:after="100"/>
              <w:jc w:val="center"/>
              <w:rPr>
                <w:rFonts w:eastAsia="Times New Roman"/>
              </w:rPr>
            </w:pPr>
            <w:r>
              <w:rPr>
                <w:rFonts w:eastAsia="Times New Roman"/>
                <w:b/>
                <w:bCs/>
                <w:color w:val="000000"/>
                <w:sz w:val="16"/>
                <w:szCs w:val="16"/>
              </w:rPr>
              <w:t>Finance</w:t>
            </w:r>
            <w:r>
              <w:rPr>
                <w:rFonts w:eastAsia="Times New Roman"/>
                <w:b/>
                <w:bCs/>
                <w:color w:val="000000"/>
                <w:sz w:val="16"/>
                <w:szCs w:val="16"/>
              </w:rPr>
              <w:br/>
              <w:t>Leases</w:t>
            </w:r>
          </w:p>
        </w:tc>
      </w:tr>
      <w:tr w:rsidR="00000000" w14:paraId="5594F28D" w14:textId="77777777">
        <w:trPr>
          <w:divId w:val="1007633178"/>
        </w:trPr>
        <w:tc>
          <w:tcPr>
            <w:tcW w:w="0" w:type="auto"/>
            <w:gridSpan w:val="3"/>
            <w:shd w:val="clear" w:color="auto" w:fill="CCEEFF"/>
            <w:tcMar>
              <w:top w:w="30" w:type="dxa"/>
              <w:left w:w="20" w:type="dxa"/>
              <w:bottom w:w="30" w:type="dxa"/>
              <w:right w:w="20" w:type="dxa"/>
            </w:tcMar>
            <w:vAlign w:val="bottom"/>
            <w:hideMark/>
          </w:tcPr>
          <w:p w14:paraId="3149873D" w14:textId="77777777" w:rsidR="00000000" w:rsidRDefault="00EE5306">
            <w:pPr>
              <w:spacing w:after="100"/>
              <w:rPr>
                <w:rFonts w:eastAsia="Times New Roman"/>
              </w:rPr>
            </w:pPr>
            <w:r>
              <w:rPr>
                <w:rFonts w:eastAsia="Times New Roman"/>
                <w:color w:val="000000"/>
                <w:sz w:val="20"/>
                <w:szCs w:val="20"/>
              </w:rPr>
              <w:t>Weighted-average remaining lease term (years)</w:t>
            </w:r>
          </w:p>
        </w:tc>
        <w:tc>
          <w:tcPr>
            <w:tcW w:w="0" w:type="auto"/>
            <w:gridSpan w:val="3"/>
            <w:shd w:val="clear" w:color="auto" w:fill="CCEEFF"/>
            <w:tcMar>
              <w:top w:w="0" w:type="dxa"/>
              <w:left w:w="20" w:type="dxa"/>
              <w:bottom w:w="0" w:type="dxa"/>
              <w:right w:w="20" w:type="dxa"/>
            </w:tcMar>
            <w:vAlign w:val="center"/>
            <w:hideMark/>
          </w:tcPr>
          <w:p w14:paraId="6CD60B8B"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A85D246" w14:textId="77777777" w:rsidR="00000000" w:rsidRDefault="00EE5306">
            <w:pPr>
              <w:spacing w:after="100"/>
              <w:jc w:val="right"/>
              <w:rPr>
                <w:rFonts w:eastAsia="Times New Roman"/>
              </w:rPr>
            </w:pPr>
            <w:r>
              <w:rPr>
                <w:rFonts w:eastAsia="Times New Roman"/>
                <w:color w:val="000000"/>
                <w:sz w:val="20"/>
                <w:szCs w:val="20"/>
              </w:rPr>
              <w:t>6.9</w:t>
            </w:r>
          </w:p>
        </w:tc>
        <w:tc>
          <w:tcPr>
            <w:tcW w:w="0" w:type="auto"/>
            <w:gridSpan w:val="3"/>
            <w:shd w:val="clear" w:color="auto" w:fill="CCEEFF"/>
            <w:tcMar>
              <w:top w:w="0" w:type="dxa"/>
              <w:left w:w="20" w:type="dxa"/>
              <w:bottom w:w="0" w:type="dxa"/>
              <w:right w:w="20" w:type="dxa"/>
            </w:tcMar>
            <w:vAlign w:val="center"/>
            <w:hideMark/>
          </w:tcPr>
          <w:p w14:paraId="2AE0AE28" w14:textId="77777777" w:rsidR="00000000" w:rsidRDefault="00EE530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860F7F" w14:textId="77777777" w:rsidR="00000000" w:rsidRDefault="00EE5306">
            <w:pPr>
              <w:spacing w:after="100"/>
              <w:jc w:val="right"/>
              <w:rPr>
                <w:rFonts w:eastAsia="Times New Roman"/>
              </w:rPr>
            </w:pPr>
            <w:r>
              <w:rPr>
                <w:rFonts w:eastAsia="Times New Roman"/>
                <w:color w:val="000000"/>
                <w:sz w:val="20"/>
                <w:szCs w:val="20"/>
              </w:rPr>
              <w:t>14.2</w:t>
            </w:r>
          </w:p>
        </w:tc>
        <w:tc>
          <w:tcPr>
            <w:tcW w:w="0" w:type="auto"/>
            <w:gridSpan w:val="3"/>
            <w:shd w:val="clear" w:color="auto" w:fill="CCEEFF"/>
            <w:tcMar>
              <w:top w:w="0" w:type="dxa"/>
              <w:left w:w="20" w:type="dxa"/>
              <w:bottom w:w="0" w:type="dxa"/>
              <w:right w:w="20" w:type="dxa"/>
            </w:tcMar>
            <w:vAlign w:val="center"/>
            <w:hideMark/>
          </w:tcPr>
          <w:p w14:paraId="1A0D423F" w14:textId="77777777" w:rsidR="00000000" w:rsidRDefault="00EE530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B32CD4" w14:textId="77777777" w:rsidR="00000000" w:rsidRDefault="00EE5306">
            <w:pPr>
              <w:spacing w:after="100"/>
              <w:jc w:val="right"/>
              <w:rPr>
                <w:rFonts w:eastAsia="Times New Roman"/>
              </w:rPr>
            </w:pPr>
            <w:r>
              <w:rPr>
                <w:rFonts w:eastAsia="Times New Roman"/>
                <w:color w:val="000000"/>
                <w:sz w:val="20"/>
                <w:szCs w:val="20"/>
              </w:rPr>
              <w:t>7.6</w:t>
            </w:r>
          </w:p>
        </w:tc>
        <w:tc>
          <w:tcPr>
            <w:tcW w:w="0" w:type="auto"/>
            <w:gridSpan w:val="3"/>
            <w:shd w:val="clear" w:color="auto" w:fill="CCEEFF"/>
            <w:tcMar>
              <w:top w:w="0" w:type="dxa"/>
              <w:left w:w="20" w:type="dxa"/>
              <w:bottom w:w="0" w:type="dxa"/>
              <w:right w:w="20" w:type="dxa"/>
            </w:tcMar>
            <w:vAlign w:val="center"/>
            <w:hideMark/>
          </w:tcPr>
          <w:p w14:paraId="39CB6E7F" w14:textId="77777777" w:rsidR="00000000" w:rsidRDefault="00EE530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5AE1CA" w14:textId="77777777" w:rsidR="00000000" w:rsidRDefault="00EE5306">
            <w:pPr>
              <w:spacing w:after="100"/>
              <w:jc w:val="right"/>
              <w:rPr>
                <w:rFonts w:eastAsia="Times New Roman"/>
              </w:rPr>
            </w:pPr>
            <w:r>
              <w:rPr>
                <w:rFonts w:eastAsia="Times New Roman"/>
                <w:color w:val="000000"/>
                <w:sz w:val="20"/>
                <w:szCs w:val="20"/>
              </w:rPr>
              <w:t>12.7</w:t>
            </w:r>
          </w:p>
        </w:tc>
      </w:tr>
      <w:tr w:rsidR="00000000" w14:paraId="04E6499A" w14:textId="77777777">
        <w:trPr>
          <w:divId w:val="1007633178"/>
        </w:trPr>
        <w:tc>
          <w:tcPr>
            <w:tcW w:w="0" w:type="auto"/>
            <w:gridSpan w:val="3"/>
            <w:shd w:val="clear" w:color="auto" w:fill="FFFFFF"/>
            <w:tcMar>
              <w:top w:w="30" w:type="dxa"/>
              <w:left w:w="20" w:type="dxa"/>
              <w:bottom w:w="30" w:type="dxa"/>
              <w:right w:w="20" w:type="dxa"/>
            </w:tcMar>
            <w:vAlign w:val="bottom"/>
            <w:hideMark/>
          </w:tcPr>
          <w:p w14:paraId="4E29E1D7" w14:textId="77777777" w:rsidR="00000000" w:rsidRDefault="00EE5306">
            <w:pPr>
              <w:spacing w:after="100"/>
              <w:rPr>
                <w:rFonts w:eastAsia="Times New Roman"/>
              </w:rPr>
            </w:pPr>
            <w:r>
              <w:rPr>
                <w:rFonts w:eastAsia="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14:paraId="37C9CE0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F26D23" w14:textId="77777777" w:rsidR="00000000" w:rsidRDefault="00EE5306">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1651BC32" w14:textId="77777777" w:rsidR="00000000" w:rsidRDefault="00EE5306">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8AD93E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0F87D8" w14:textId="77777777" w:rsidR="00000000" w:rsidRDefault="00EE5306">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6CDB202A" w14:textId="77777777" w:rsidR="00000000" w:rsidRDefault="00EE5306">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6DDC0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9EBA41" w14:textId="77777777" w:rsidR="00000000" w:rsidRDefault="00EE5306">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665C34EA" w14:textId="77777777" w:rsidR="00000000" w:rsidRDefault="00EE5306">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A66E50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6D0639" w14:textId="77777777" w:rsidR="00000000" w:rsidRDefault="00EE5306">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69949A09" w14:textId="77777777" w:rsidR="00000000" w:rsidRDefault="00EE5306">
            <w:pPr>
              <w:spacing w:after="100"/>
              <w:rPr>
                <w:rFonts w:eastAsia="Times New Roman"/>
              </w:rPr>
            </w:pPr>
            <w:r>
              <w:rPr>
                <w:rFonts w:eastAsia="Times New Roman"/>
                <w:color w:val="000000"/>
                <w:sz w:val="20"/>
                <w:szCs w:val="20"/>
              </w:rPr>
              <w:t>%</w:t>
            </w:r>
          </w:p>
        </w:tc>
      </w:tr>
    </w:tbl>
    <w:p w14:paraId="11A255DD" w14:textId="77777777" w:rsidR="00000000" w:rsidRDefault="00EE5306">
      <w:pPr>
        <w:ind w:firstLine="540"/>
        <w:jc w:val="both"/>
        <w:divId w:val="1257058002"/>
        <w:rPr>
          <w:rFonts w:eastAsia="Times New Roman"/>
        </w:rPr>
      </w:pPr>
      <w:r>
        <w:rPr>
          <w:rFonts w:eastAsia="Times New Roman"/>
          <w:color w:val="000000"/>
          <w:sz w:val="20"/>
          <w:szCs w:val="20"/>
        </w:rPr>
        <w:t>See Note 3 for discussion of the Company's accounting policies related to leases.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624F5E9" w14:textId="77777777">
        <w:trPr>
          <w:divId w:val="1674070913"/>
          <w:jc w:val="center"/>
        </w:trPr>
        <w:tc>
          <w:tcPr>
            <w:tcW w:w="50" w:type="pct"/>
            <w:vAlign w:val="center"/>
            <w:hideMark/>
          </w:tcPr>
          <w:p w14:paraId="1BC4CC9D" w14:textId="77777777" w:rsidR="00000000" w:rsidRDefault="00EE5306">
            <w:pPr>
              <w:ind w:firstLine="540"/>
              <w:jc w:val="both"/>
              <w:rPr>
                <w:rFonts w:eastAsia="Times New Roman"/>
              </w:rPr>
            </w:pPr>
          </w:p>
        </w:tc>
        <w:tc>
          <w:tcPr>
            <w:tcW w:w="1699" w:type="pct"/>
            <w:vAlign w:val="center"/>
            <w:hideMark/>
          </w:tcPr>
          <w:p w14:paraId="67EA67E4" w14:textId="77777777" w:rsidR="00000000" w:rsidRDefault="00EE5306">
            <w:pPr>
              <w:spacing w:after="100"/>
              <w:rPr>
                <w:rFonts w:eastAsia="Times New Roman"/>
                <w:sz w:val="20"/>
                <w:szCs w:val="20"/>
              </w:rPr>
            </w:pPr>
          </w:p>
        </w:tc>
        <w:tc>
          <w:tcPr>
            <w:tcW w:w="5" w:type="pct"/>
            <w:vAlign w:val="center"/>
            <w:hideMark/>
          </w:tcPr>
          <w:p w14:paraId="26A09343" w14:textId="77777777" w:rsidR="00000000" w:rsidRDefault="00EE5306">
            <w:pPr>
              <w:spacing w:after="100"/>
              <w:rPr>
                <w:rFonts w:eastAsia="Times New Roman"/>
                <w:sz w:val="20"/>
                <w:szCs w:val="20"/>
              </w:rPr>
            </w:pPr>
          </w:p>
        </w:tc>
        <w:tc>
          <w:tcPr>
            <w:tcW w:w="50" w:type="pct"/>
            <w:vAlign w:val="center"/>
            <w:hideMark/>
          </w:tcPr>
          <w:p w14:paraId="793E275C" w14:textId="77777777" w:rsidR="00000000" w:rsidRDefault="00EE5306">
            <w:pPr>
              <w:spacing w:after="100"/>
              <w:rPr>
                <w:rFonts w:eastAsia="Times New Roman"/>
                <w:sz w:val="20"/>
                <w:szCs w:val="20"/>
              </w:rPr>
            </w:pPr>
          </w:p>
        </w:tc>
        <w:tc>
          <w:tcPr>
            <w:tcW w:w="1436" w:type="pct"/>
            <w:vAlign w:val="center"/>
            <w:hideMark/>
          </w:tcPr>
          <w:p w14:paraId="6078F333" w14:textId="77777777" w:rsidR="00000000" w:rsidRDefault="00EE5306">
            <w:pPr>
              <w:spacing w:after="100"/>
              <w:rPr>
                <w:rFonts w:eastAsia="Times New Roman"/>
                <w:sz w:val="20"/>
                <w:szCs w:val="20"/>
              </w:rPr>
            </w:pPr>
          </w:p>
        </w:tc>
        <w:tc>
          <w:tcPr>
            <w:tcW w:w="5" w:type="pct"/>
            <w:vAlign w:val="center"/>
            <w:hideMark/>
          </w:tcPr>
          <w:p w14:paraId="1B16D242" w14:textId="77777777" w:rsidR="00000000" w:rsidRDefault="00EE5306">
            <w:pPr>
              <w:spacing w:after="100"/>
              <w:rPr>
                <w:rFonts w:eastAsia="Times New Roman"/>
                <w:sz w:val="20"/>
                <w:szCs w:val="20"/>
              </w:rPr>
            </w:pPr>
          </w:p>
        </w:tc>
        <w:tc>
          <w:tcPr>
            <w:tcW w:w="50" w:type="pct"/>
            <w:vAlign w:val="center"/>
            <w:hideMark/>
          </w:tcPr>
          <w:p w14:paraId="558CE293" w14:textId="77777777" w:rsidR="00000000" w:rsidRDefault="00EE5306">
            <w:pPr>
              <w:spacing w:after="100"/>
              <w:rPr>
                <w:rFonts w:eastAsia="Times New Roman"/>
                <w:sz w:val="20"/>
                <w:szCs w:val="20"/>
              </w:rPr>
            </w:pPr>
          </w:p>
        </w:tc>
        <w:tc>
          <w:tcPr>
            <w:tcW w:w="1699" w:type="pct"/>
            <w:vAlign w:val="center"/>
            <w:hideMark/>
          </w:tcPr>
          <w:p w14:paraId="18DD0EE0" w14:textId="77777777" w:rsidR="00000000" w:rsidRDefault="00EE5306">
            <w:pPr>
              <w:spacing w:after="100"/>
              <w:rPr>
                <w:rFonts w:eastAsia="Times New Roman"/>
                <w:sz w:val="20"/>
                <w:szCs w:val="20"/>
              </w:rPr>
            </w:pPr>
          </w:p>
        </w:tc>
        <w:tc>
          <w:tcPr>
            <w:tcW w:w="5" w:type="pct"/>
            <w:vAlign w:val="center"/>
            <w:hideMark/>
          </w:tcPr>
          <w:p w14:paraId="7390694F" w14:textId="77777777" w:rsidR="00000000" w:rsidRDefault="00EE5306">
            <w:pPr>
              <w:spacing w:after="100"/>
              <w:rPr>
                <w:rFonts w:eastAsia="Times New Roman"/>
                <w:sz w:val="20"/>
                <w:szCs w:val="20"/>
              </w:rPr>
            </w:pPr>
          </w:p>
        </w:tc>
      </w:tr>
      <w:tr w:rsidR="00000000" w14:paraId="0F48EA0D" w14:textId="77777777">
        <w:trPr>
          <w:divId w:val="1674070913"/>
          <w:jc w:val="center"/>
        </w:trPr>
        <w:tc>
          <w:tcPr>
            <w:tcW w:w="0" w:type="auto"/>
            <w:gridSpan w:val="3"/>
            <w:tcMar>
              <w:top w:w="0" w:type="dxa"/>
              <w:left w:w="20" w:type="dxa"/>
              <w:bottom w:w="0" w:type="dxa"/>
              <w:right w:w="20" w:type="dxa"/>
            </w:tcMar>
            <w:vAlign w:val="center"/>
            <w:hideMark/>
          </w:tcPr>
          <w:p w14:paraId="52FAA90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32A8DC" w14:textId="77777777" w:rsidR="00000000" w:rsidRDefault="00EE5306">
            <w:pPr>
              <w:spacing w:after="100"/>
              <w:jc w:val="center"/>
              <w:rPr>
                <w:rFonts w:eastAsia="Times New Roman"/>
              </w:rPr>
            </w:pPr>
            <w:r>
              <w:rPr>
                <w:rFonts w:eastAsia="Times New Roman"/>
                <w:color w:val="000000"/>
                <w:sz w:val="20"/>
                <w:szCs w:val="20"/>
              </w:rPr>
              <w:t>F-43</w:t>
            </w:r>
          </w:p>
        </w:tc>
        <w:tc>
          <w:tcPr>
            <w:tcW w:w="0" w:type="auto"/>
            <w:gridSpan w:val="3"/>
            <w:tcMar>
              <w:top w:w="0" w:type="dxa"/>
              <w:left w:w="20" w:type="dxa"/>
              <w:bottom w:w="0" w:type="dxa"/>
              <w:right w:w="20" w:type="dxa"/>
            </w:tcMar>
            <w:vAlign w:val="center"/>
            <w:hideMark/>
          </w:tcPr>
          <w:p w14:paraId="3384F8C8" w14:textId="77777777" w:rsidR="00000000" w:rsidRDefault="00EE5306">
            <w:pPr>
              <w:spacing w:after="100"/>
              <w:jc w:val="center"/>
              <w:rPr>
                <w:rFonts w:eastAsia="Times New Roman"/>
              </w:rPr>
            </w:pPr>
          </w:p>
        </w:tc>
      </w:tr>
    </w:tbl>
    <w:p w14:paraId="7B479C95" w14:textId="77777777" w:rsidR="00000000" w:rsidRDefault="00EE5306">
      <w:pPr>
        <w:rPr>
          <w:rFonts w:eastAsia="Times New Roman"/>
        </w:rPr>
      </w:pPr>
      <w:r>
        <w:rPr>
          <w:rFonts w:eastAsia="Times New Roman"/>
        </w:rPr>
        <w:pict w14:anchorId="76B7A482">
          <v:rect id="_x0000_i1153" style="width:0;height:1.5pt" o:hralign="center" o:hrstd="t" o:hr="t" fillcolor="#a0a0a0" stroked="f"/>
        </w:pict>
      </w:r>
    </w:p>
    <w:p w14:paraId="054EF240" w14:textId="77777777" w:rsidR="00000000" w:rsidRDefault="00EE5306">
      <w:pPr>
        <w:jc w:val="center"/>
        <w:divId w:val="1764911913"/>
        <w:rPr>
          <w:rFonts w:eastAsia="Times New Roman"/>
        </w:rPr>
      </w:pPr>
    </w:p>
    <w:p w14:paraId="40B026F0" w14:textId="77777777" w:rsidR="00000000" w:rsidRDefault="00EE5306">
      <w:pPr>
        <w:jc w:val="center"/>
        <w:divId w:val="1764911913"/>
        <w:rPr>
          <w:rFonts w:eastAsia="Times New Roman"/>
        </w:rPr>
      </w:pPr>
      <w:r>
        <w:rPr>
          <w:rFonts w:eastAsia="Times New Roman"/>
          <w:b/>
          <w:bCs/>
          <w:color w:val="000000"/>
          <w:sz w:val="20"/>
          <w:szCs w:val="20"/>
        </w:rPr>
        <w:t>RALPH LAUREN CORPORATION</w:t>
      </w:r>
    </w:p>
    <w:p w14:paraId="40D2AD0A" w14:textId="77777777" w:rsidR="00000000" w:rsidRDefault="00EE5306">
      <w:pPr>
        <w:jc w:val="center"/>
        <w:divId w:val="1406805721"/>
        <w:rPr>
          <w:rFonts w:eastAsia="Times New Roman"/>
        </w:rPr>
      </w:pPr>
      <w:r>
        <w:rPr>
          <w:rFonts w:eastAsia="Times New Roman"/>
          <w:b/>
          <w:bCs/>
          <w:color w:val="000000"/>
          <w:sz w:val="20"/>
          <w:szCs w:val="20"/>
        </w:rPr>
        <w:t>NOTES TO CONSOLIDATED FINANCIAL STATEMENTS (Continued)</w:t>
      </w:r>
    </w:p>
    <w:p w14:paraId="6D452907" w14:textId="77777777" w:rsidR="00000000" w:rsidRDefault="00EE5306">
      <w:pPr>
        <w:ind w:hanging="540"/>
        <w:divId w:val="1024399817"/>
        <w:rPr>
          <w:rFonts w:eastAsia="Times New Roman"/>
        </w:rPr>
      </w:pPr>
      <w:r>
        <w:rPr>
          <w:rFonts w:eastAsia="Times New Roman"/>
          <w:b/>
          <w:bCs/>
          <w:color w:val="000000"/>
          <w:sz w:val="20"/>
          <w:szCs w:val="20"/>
        </w:rPr>
        <w:t>15.    Commitments and Contingencies</w:t>
      </w:r>
    </w:p>
    <w:p w14:paraId="1143EDED" w14:textId="77777777" w:rsidR="00000000" w:rsidRDefault="00EE5306">
      <w:pPr>
        <w:ind w:firstLine="360"/>
        <w:divId w:val="1109467049"/>
        <w:rPr>
          <w:rFonts w:eastAsia="Times New Roman"/>
        </w:rPr>
      </w:pPr>
      <w:r>
        <w:rPr>
          <w:rFonts w:eastAsia="Times New Roman"/>
          <w:b/>
          <w:bCs/>
          <w:i/>
          <w:iCs/>
          <w:color w:val="000000"/>
          <w:sz w:val="20"/>
          <w:szCs w:val="20"/>
        </w:rPr>
        <w:t>U.S. Tax Reform</w:t>
      </w:r>
    </w:p>
    <w:p w14:paraId="760B64A7" w14:textId="77777777" w:rsidR="00000000" w:rsidRDefault="00EE5306">
      <w:pPr>
        <w:ind w:firstLine="540"/>
        <w:jc w:val="both"/>
        <w:divId w:val="573853023"/>
        <w:rPr>
          <w:rFonts w:eastAsia="Times New Roman"/>
        </w:rPr>
      </w:pPr>
      <w:r>
        <w:rPr>
          <w:rFonts w:eastAsia="Times New Roman"/>
          <w:color w:val="000000"/>
          <w:sz w:val="20"/>
          <w:szCs w:val="20"/>
        </w:rPr>
        <w:t>In connection with the TCJA's provision that subjects previously deferred foreign ear</w:t>
      </w:r>
      <w:r>
        <w:rPr>
          <w:rFonts w:eastAsia="Times New Roman"/>
          <w:color w:val="000000"/>
          <w:sz w:val="20"/>
          <w:szCs w:val="20"/>
        </w:rPr>
        <w:t>nings to a one-time mandatory transition tax, the Company recorded cumulative charges of approximately $241 million within its income tax provision in prior fiscal years (as described in Note 10). The remaining related income tax payable obligation of $132</w:t>
      </w:r>
      <w:r>
        <w:rPr>
          <w:rFonts w:eastAsia="Times New Roman"/>
          <w:color w:val="000000"/>
          <w:sz w:val="20"/>
          <w:szCs w:val="20"/>
        </w:rPr>
        <w:t>.7 million as of March 27, 2021, which was reduced by foreign tax credits and other federal income tax activity, is expected to be paid as follows:</w:t>
      </w:r>
    </w:p>
    <w:tbl>
      <w:tblPr>
        <w:tblW w:w="4736" w:type="pct"/>
        <w:tblCellMar>
          <w:top w:w="15" w:type="dxa"/>
          <w:left w:w="15" w:type="dxa"/>
          <w:bottom w:w="15" w:type="dxa"/>
          <w:right w:w="15" w:type="dxa"/>
        </w:tblCellMar>
        <w:tblLook w:val="04A0" w:firstRow="1" w:lastRow="0" w:firstColumn="1" w:lastColumn="0" w:noHBand="0" w:noVBand="1"/>
      </w:tblPr>
      <w:tblGrid>
        <w:gridCol w:w="40"/>
        <w:gridCol w:w="6273"/>
        <w:gridCol w:w="36"/>
        <w:gridCol w:w="36"/>
        <w:gridCol w:w="36"/>
        <w:gridCol w:w="36"/>
        <w:gridCol w:w="121"/>
        <w:gridCol w:w="1253"/>
        <w:gridCol w:w="36"/>
      </w:tblGrid>
      <w:tr w:rsidR="00000000" w14:paraId="2B85E4E9" w14:textId="77777777">
        <w:trPr>
          <w:divId w:val="493644950"/>
        </w:trPr>
        <w:tc>
          <w:tcPr>
            <w:tcW w:w="50" w:type="pct"/>
            <w:vAlign w:val="center"/>
            <w:hideMark/>
          </w:tcPr>
          <w:p w14:paraId="2E21466B" w14:textId="77777777" w:rsidR="00000000" w:rsidRDefault="00EE5306">
            <w:pPr>
              <w:ind w:firstLine="540"/>
              <w:jc w:val="both"/>
              <w:rPr>
                <w:rFonts w:eastAsia="Times New Roman"/>
              </w:rPr>
            </w:pPr>
          </w:p>
        </w:tc>
        <w:tc>
          <w:tcPr>
            <w:tcW w:w="4011" w:type="pct"/>
            <w:vAlign w:val="center"/>
            <w:hideMark/>
          </w:tcPr>
          <w:p w14:paraId="4D973224" w14:textId="77777777" w:rsidR="00000000" w:rsidRDefault="00EE5306">
            <w:pPr>
              <w:spacing w:after="100"/>
              <w:rPr>
                <w:rFonts w:eastAsia="Times New Roman"/>
                <w:sz w:val="20"/>
                <w:szCs w:val="20"/>
              </w:rPr>
            </w:pPr>
          </w:p>
        </w:tc>
        <w:tc>
          <w:tcPr>
            <w:tcW w:w="5" w:type="pct"/>
            <w:vAlign w:val="center"/>
            <w:hideMark/>
          </w:tcPr>
          <w:p w14:paraId="3C6B5C8E" w14:textId="77777777" w:rsidR="00000000" w:rsidRDefault="00EE5306">
            <w:pPr>
              <w:spacing w:after="100"/>
              <w:rPr>
                <w:rFonts w:eastAsia="Times New Roman"/>
                <w:sz w:val="20"/>
                <w:szCs w:val="20"/>
              </w:rPr>
            </w:pPr>
          </w:p>
        </w:tc>
        <w:tc>
          <w:tcPr>
            <w:tcW w:w="5" w:type="pct"/>
            <w:vAlign w:val="center"/>
            <w:hideMark/>
          </w:tcPr>
          <w:p w14:paraId="7DCA8661" w14:textId="77777777" w:rsidR="00000000" w:rsidRDefault="00EE5306">
            <w:pPr>
              <w:spacing w:after="100"/>
              <w:rPr>
                <w:rFonts w:eastAsia="Times New Roman"/>
                <w:sz w:val="20"/>
                <w:szCs w:val="20"/>
              </w:rPr>
            </w:pPr>
          </w:p>
        </w:tc>
        <w:tc>
          <w:tcPr>
            <w:tcW w:w="28" w:type="pct"/>
            <w:vAlign w:val="center"/>
            <w:hideMark/>
          </w:tcPr>
          <w:p w14:paraId="5D922C6D" w14:textId="77777777" w:rsidR="00000000" w:rsidRDefault="00EE5306">
            <w:pPr>
              <w:spacing w:after="100"/>
              <w:rPr>
                <w:rFonts w:eastAsia="Times New Roman"/>
                <w:sz w:val="20"/>
                <w:szCs w:val="20"/>
              </w:rPr>
            </w:pPr>
          </w:p>
        </w:tc>
        <w:tc>
          <w:tcPr>
            <w:tcW w:w="5" w:type="pct"/>
            <w:vAlign w:val="center"/>
            <w:hideMark/>
          </w:tcPr>
          <w:p w14:paraId="4BBF2EBC" w14:textId="77777777" w:rsidR="00000000" w:rsidRDefault="00EE5306">
            <w:pPr>
              <w:spacing w:after="100"/>
              <w:rPr>
                <w:rFonts w:eastAsia="Times New Roman"/>
                <w:sz w:val="20"/>
                <w:szCs w:val="20"/>
              </w:rPr>
            </w:pPr>
          </w:p>
        </w:tc>
        <w:tc>
          <w:tcPr>
            <w:tcW w:w="50" w:type="pct"/>
            <w:vAlign w:val="center"/>
            <w:hideMark/>
          </w:tcPr>
          <w:p w14:paraId="0070B3AC" w14:textId="77777777" w:rsidR="00000000" w:rsidRDefault="00EE5306">
            <w:pPr>
              <w:spacing w:after="100"/>
              <w:rPr>
                <w:rFonts w:eastAsia="Times New Roman"/>
                <w:sz w:val="20"/>
                <w:szCs w:val="20"/>
              </w:rPr>
            </w:pPr>
          </w:p>
        </w:tc>
        <w:tc>
          <w:tcPr>
            <w:tcW w:w="840" w:type="pct"/>
            <w:vAlign w:val="center"/>
            <w:hideMark/>
          </w:tcPr>
          <w:p w14:paraId="7EA98AFF" w14:textId="77777777" w:rsidR="00000000" w:rsidRDefault="00EE5306">
            <w:pPr>
              <w:spacing w:after="100"/>
              <w:rPr>
                <w:rFonts w:eastAsia="Times New Roman"/>
                <w:sz w:val="20"/>
                <w:szCs w:val="20"/>
              </w:rPr>
            </w:pPr>
          </w:p>
        </w:tc>
        <w:tc>
          <w:tcPr>
            <w:tcW w:w="5" w:type="pct"/>
            <w:vAlign w:val="center"/>
            <w:hideMark/>
          </w:tcPr>
          <w:p w14:paraId="49465DB6" w14:textId="77777777" w:rsidR="00000000" w:rsidRDefault="00EE5306">
            <w:pPr>
              <w:spacing w:after="100"/>
              <w:rPr>
                <w:rFonts w:eastAsia="Times New Roman"/>
                <w:sz w:val="20"/>
                <w:szCs w:val="20"/>
              </w:rPr>
            </w:pPr>
          </w:p>
        </w:tc>
      </w:tr>
      <w:tr w:rsidR="00000000" w14:paraId="455C6EE0" w14:textId="77777777">
        <w:trPr>
          <w:divId w:val="493644950"/>
        </w:trPr>
        <w:tc>
          <w:tcPr>
            <w:tcW w:w="0" w:type="auto"/>
            <w:gridSpan w:val="3"/>
            <w:tcMar>
              <w:top w:w="0" w:type="dxa"/>
              <w:left w:w="20" w:type="dxa"/>
              <w:bottom w:w="0" w:type="dxa"/>
              <w:right w:w="20" w:type="dxa"/>
            </w:tcMar>
            <w:vAlign w:val="center"/>
            <w:hideMark/>
          </w:tcPr>
          <w:p w14:paraId="4AAB97A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E6002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9A04570" w14:textId="77777777" w:rsidR="00000000" w:rsidRDefault="00EE5306">
            <w:pPr>
              <w:spacing w:after="100"/>
              <w:jc w:val="center"/>
              <w:rPr>
                <w:rFonts w:eastAsia="Times New Roman"/>
              </w:rPr>
            </w:pPr>
            <w:r>
              <w:rPr>
                <w:rFonts w:eastAsia="Times New Roman"/>
                <w:b/>
                <w:bCs/>
                <w:color w:val="000000"/>
                <w:sz w:val="16"/>
                <w:szCs w:val="16"/>
              </w:rPr>
              <w:t>Mandatory Transition</w:t>
            </w:r>
          </w:p>
          <w:p w14:paraId="3494A3CB" w14:textId="77777777" w:rsidR="00000000" w:rsidRDefault="00EE5306">
            <w:pPr>
              <w:spacing w:after="100"/>
              <w:jc w:val="center"/>
              <w:rPr>
                <w:rFonts w:eastAsia="Times New Roman"/>
              </w:rPr>
            </w:pPr>
            <w:r>
              <w:rPr>
                <w:rFonts w:eastAsia="Times New Roman"/>
                <w:b/>
                <w:bCs/>
                <w:color w:val="000000"/>
                <w:sz w:val="16"/>
                <w:szCs w:val="16"/>
              </w:rPr>
              <w:t>Tax Payment</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r>
      <w:tr w:rsidR="00000000" w14:paraId="27BC6AA2" w14:textId="77777777">
        <w:trPr>
          <w:divId w:val="493644950"/>
        </w:trPr>
        <w:tc>
          <w:tcPr>
            <w:tcW w:w="0" w:type="auto"/>
            <w:gridSpan w:val="3"/>
            <w:tcMar>
              <w:top w:w="0" w:type="dxa"/>
              <w:left w:w="20" w:type="dxa"/>
              <w:bottom w:w="0" w:type="dxa"/>
              <w:right w:w="20" w:type="dxa"/>
            </w:tcMar>
            <w:vAlign w:val="center"/>
            <w:hideMark/>
          </w:tcPr>
          <w:p w14:paraId="06164FD6"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1016AA8"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E65856C"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05A122AC" w14:textId="77777777">
        <w:trPr>
          <w:divId w:val="493644950"/>
        </w:trPr>
        <w:tc>
          <w:tcPr>
            <w:tcW w:w="0" w:type="auto"/>
            <w:gridSpan w:val="3"/>
            <w:shd w:val="clear" w:color="auto" w:fill="CCEEFF"/>
            <w:tcMar>
              <w:top w:w="30" w:type="dxa"/>
              <w:left w:w="20" w:type="dxa"/>
              <w:bottom w:w="30" w:type="dxa"/>
              <w:right w:w="20" w:type="dxa"/>
            </w:tcMar>
            <w:vAlign w:val="bottom"/>
            <w:hideMark/>
          </w:tcPr>
          <w:p w14:paraId="02539FFF" w14:textId="77777777" w:rsidR="00000000" w:rsidRDefault="00EE5306">
            <w:pPr>
              <w:spacing w:after="100"/>
              <w:rPr>
                <w:rFonts w:eastAsia="Times New Roman"/>
              </w:rPr>
            </w:pPr>
            <w:r>
              <w:rPr>
                <w:rFonts w:eastAsia="Times New Roman"/>
                <w:color w:val="000000"/>
                <w:sz w:val="20"/>
                <w:szCs w:val="20"/>
              </w:rPr>
              <w:t>Fiscal 2022</w:t>
            </w:r>
          </w:p>
        </w:tc>
        <w:tc>
          <w:tcPr>
            <w:tcW w:w="0" w:type="auto"/>
            <w:gridSpan w:val="3"/>
            <w:shd w:val="clear" w:color="auto" w:fill="CCEEFF"/>
            <w:tcMar>
              <w:top w:w="0" w:type="dxa"/>
              <w:left w:w="20" w:type="dxa"/>
              <w:bottom w:w="0" w:type="dxa"/>
              <w:right w:w="20" w:type="dxa"/>
            </w:tcMar>
            <w:vAlign w:val="center"/>
            <w:hideMark/>
          </w:tcPr>
          <w:p w14:paraId="5D2DB6A0"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DC412C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1180C3" w14:textId="77777777" w:rsidR="00000000" w:rsidRDefault="00EE5306">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14:paraId="08858738" w14:textId="77777777" w:rsidR="00000000" w:rsidRDefault="00EE5306">
            <w:pPr>
              <w:spacing w:after="100"/>
              <w:jc w:val="right"/>
              <w:rPr>
                <w:rFonts w:eastAsia="Times New Roman"/>
              </w:rPr>
            </w:pPr>
          </w:p>
        </w:tc>
      </w:tr>
      <w:tr w:rsidR="00000000" w14:paraId="5510A359" w14:textId="77777777">
        <w:trPr>
          <w:divId w:val="493644950"/>
        </w:trPr>
        <w:tc>
          <w:tcPr>
            <w:tcW w:w="0" w:type="auto"/>
            <w:gridSpan w:val="3"/>
            <w:shd w:val="clear" w:color="auto" w:fill="FFFFFF"/>
            <w:tcMar>
              <w:top w:w="30" w:type="dxa"/>
              <w:left w:w="20" w:type="dxa"/>
              <w:bottom w:w="30" w:type="dxa"/>
              <w:right w:w="20" w:type="dxa"/>
            </w:tcMar>
            <w:vAlign w:val="bottom"/>
            <w:hideMark/>
          </w:tcPr>
          <w:p w14:paraId="11BBE439" w14:textId="77777777" w:rsidR="00000000" w:rsidRDefault="00EE5306">
            <w:pPr>
              <w:spacing w:after="100"/>
              <w:rPr>
                <w:rFonts w:eastAsia="Times New Roman"/>
              </w:rPr>
            </w:pPr>
            <w:r>
              <w:rPr>
                <w:rFonts w:eastAsia="Times New Roman"/>
                <w:color w:val="000000"/>
                <w:sz w:val="20"/>
                <w:szCs w:val="20"/>
              </w:rPr>
              <w:t>Fiscal 2023</w:t>
            </w:r>
          </w:p>
        </w:tc>
        <w:tc>
          <w:tcPr>
            <w:tcW w:w="0" w:type="auto"/>
            <w:gridSpan w:val="3"/>
            <w:shd w:val="clear" w:color="auto" w:fill="FFFFFF"/>
            <w:tcMar>
              <w:top w:w="0" w:type="dxa"/>
              <w:left w:w="20" w:type="dxa"/>
              <w:bottom w:w="0" w:type="dxa"/>
              <w:right w:w="20" w:type="dxa"/>
            </w:tcMar>
            <w:vAlign w:val="center"/>
            <w:hideMark/>
          </w:tcPr>
          <w:p w14:paraId="702F19F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04594B" w14:textId="77777777" w:rsidR="00000000" w:rsidRDefault="00EE5306">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14:paraId="73E28B8D" w14:textId="77777777" w:rsidR="00000000" w:rsidRDefault="00EE5306">
            <w:pPr>
              <w:spacing w:after="100"/>
              <w:jc w:val="right"/>
              <w:rPr>
                <w:rFonts w:eastAsia="Times New Roman"/>
              </w:rPr>
            </w:pPr>
          </w:p>
        </w:tc>
      </w:tr>
      <w:tr w:rsidR="00000000" w14:paraId="7C0939C8" w14:textId="77777777">
        <w:trPr>
          <w:divId w:val="493644950"/>
        </w:trPr>
        <w:tc>
          <w:tcPr>
            <w:tcW w:w="0" w:type="auto"/>
            <w:gridSpan w:val="3"/>
            <w:shd w:val="clear" w:color="auto" w:fill="CCEEFF"/>
            <w:tcMar>
              <w:top w:w="30" w:type="dxa"/>
              <w:left w:w="20" w:type="dxa"/>
              <w:bottom w:w="30" w:type="dxa"/>
              <w:right w:w="20" w:type="dxa"/>
            </w:tcMar>
            <w:vAlign w:val="bottom"/>
            <w:hideMark/>
          </w:tcPr>
          <w:p w14:paraId="7A57625F" w14:textId="77777777" w:rsidR="00000000" w:rsidRDefault="00EE5306">
            <w:pPr>
              <w:spacing w:after="100"/>
              <w:rPr>
                <w:rFonts w:eastAsia="Times New Roman"/>
              </w:rPr>
            </w:pPr>
            <w:r>
              <w:rPr>
                <w:rFonts w:eastAsia="Times New Roman"/>
                <w:color w:val="000000"/>
                <w:sz w:val="20"/>
                <w:szCs w:val="20"/>
              </w:rPr>
              <w:t>Fiscal 2024</w:t>
            </w:r>
          </w:p>
        </w:tc>
        <w:tc>
          <w:tcPr>
            <w:tcW w:w="0" w:type="auto"/>
            <w:gridSpan w:val="3"/>
            <w:shd w:val="clear" w:color="auto" w:fill="CCEEFF"/>
            <w:tcMar>
              <w:top w:w="0" w:type="dxa"/>
              <w:left w:w="20" w:type="dxa"/>
              <w:bottom w:w="0" w:type="dxa"/>
              <w:right w:w="20" w:type="dxa"/>
            </w:tcMar>
            <w:vAlign w:val="center"/>
            <w:hideMark/>
          </w:tcPr>
          <w:p w14:paraId="0565DCF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D99192" w14:textId="77777777" w:rsidR="00000000" w:rsidRDefault="00EE5306">
            <w:pPr>
              <w:spacing w:after="100"/>
              <w:jc w:val="right"/>
              <w:rPr>
                <w:rFonts w:eastAsia="Times New Roman"/>
              </w:rPr>
            </w:pPr>
            <w:r>
              <w:rPr>
                <w:rFonts w:eastAsia="Times New Roman"/>
                <w:color w:val="000000"/>
                <w:sz w:val="20"/>
                <w:szCs w:val="20"/>
              </w:rPr>
              <w:t>26.2 </w:t>
            </w:r>
          </w:p>
        </w:tc>
        <w:tc>
          <w:tcPr>
            <w:tcW w:w="0" w:type="auto"/>
            <w:shd w:val="clear" w:color="auto" w:fill="CCEEFF"/>
            <w:tcMar>
              <w:top w:w="30" w:type="dxa"/>
              <w:left w:w="0" w:type="dxa"/>
              <w:bottom w:w="30" w:type="dxa"/>
              <w:right w:w="20" w:type="dxa"/>
            </w:tcMar>
            <w:vAlign w:val="bottom"/>
            <w:hideMark/>
          </w:tcPr>
          <w:p w14:paraId="48B25239" w14:textId="77777777" w:rsidR="00000000" w:rsidRDefault="00EE5306">
            <w:pPr>
              <w:spacing w:after="100"/>
              <w:jc w:val="right"/>
              <w:rPr>
                <w:rFonts w:eastAsia="Times New Roman"/>
              </w:rPr>
            </w:pPr>
          </w:p>
        </w:tc>
      </w:tr>
      <w:tr w:rsidR="00000000" w14:paraId="0B1E1095" w14:textId="77777777">
        <w:trPr>
          <w:divId w:val="493644950"/>
        </w:trPr>
        <w:tc>
          <w:tcPr>
            <w:tcW w:w="0" w:type="auto"/>
            <w:gridSpan w:val="3"/>
            <w:shd w:val="clear" w:color="auto" w:fill="FFFFFF"/>
            <w:tcMar>
              <w:top w:w="30" w:type="dxa"/>
              <w:left w:w="20" w:type="dxa"/>
              <w:bottom w:w="30" w:type="dxa"/>
              <w:right w:w="20" w:type="dxa"/>
            </w:tcMar>
            <w:vAlign w:val="bottom"/>
            <w:hideMark/>
          </w:tcPr>
          <w:p w14:paraId="08FAAF23" w14:textId="77777777" w:rsidR="00000000" w:rsidRDefault="00EE5306">
            <w:pPr>
              <w:spacing w:after="100"/>
              <w:rPr>
                <w:rFonts w:eastAsia="Times New Roman"/>
              </w:rPr>
            </w:pPr>
            <w:r>
              <w:rPr>
                <w:rFonts w:eastAsia="Times New Roman"/>
                <w:color w:val="000000"/>
                <w:sz w:val="20"/>
                <w:szCs w:val="20"/>
              </w:rPr>
              <w:t>Fiscal 2025</w:t>
            </w:r>
          </w:p>
        </w:tc>
        <w:tc>
          <w:tcPr>
            <w:tcW w:w="0" w:type="auto"/>
            <w:gridSpan w:val="3"/>
            <w:shd w:val="clear" w:color="auto" w:fill="FFFFFF"/>
            <w:tcMar>
              <w:top w:w="0" w:type="dxa"/>
              <w:left w:w="20" w:type="dxa"/>
              <w:bottom w:w="0" w:type="dxa"/>
              <w:right w:w="20" w:type="dxa"/>
            </w:tcMar>
            <w:vAlign w:val="center"/>
            <w:hideMark/>
          </w:tcPr>
          <w:p w14:paraId="141D806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D382C0" w14:textId="77777777" w:rsidR="00000000" w:rsidRDefault="00EE5306">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14:paraId="2F4BD458" w14:textId="77777777" w:rsidR="00000000" w:rsidRDefault="00EE5306">
            <w:pPr>
              <w:spacing w:after="100"/>
              <w:jc w:val="right"/>
              <w:rPr>
                <w:rFonts w:eastAsia="Times New Roman"/>
              </w:rPr>
            </w:pPr>
          </w:p>
        </w:tc>
      </w:tr>
      <w:tr w:rsidR="00000000" w14:paraId="22CC6D2F" w14:textId="77777777">
        <w:trPr>
          <w:divId w:val="493644950"/>
        </w:trPr>
        <w:tc>
          <w:tcPr>
            <w:tcW w:w="0" w:type="auto"/>
            <w:gridSpan w:val="3"/>
            <w:shd w:val="clear" w:color="auto" w:fill="CCEEFF"/>
            <w:tcMar>
              <w:top w:w="30" w:type="dxa"/>
              <w:left w:w="20" w:type="dxa"/>
              <w:bottom w:w="30" w:type="dxa"/>
              <w:right w:w="20" w:type="dxa"/>
            </w:tcMar>
            <w:vAlign w:val="bottom"/>
            <w:hideMark/>
          </w:tcPr>
          <w:p w14:paraId="1B6EEB17" w14:textId="77777777" w:rsidR="00000000" w:rsidRDefault="00EE5306">
            <w:pPr>
              <w:spacing w:after="100"/>
              <w:rPr>
                <w:rFonts w:eastAsia="Times New Roman"/>
              </w:rPr>
            </w:pPr>
            <w:r>
              <w:rPr>
                <w:rFonts w:eastAsia="Times New Roman"/>
                <w:color w:val="000000"/>
                <w:sz w:val="20"/>
                <w:szCs w:val="20"/>
              </w:rPr>
              <w:t>Fiscal 2026</w:t>
            </w:r>
          </w:p>
        </w:tc>
        <w:tc>
          <w:tcPr>
            <w:tcW w:w="0" w:type="auto"/>
            <w:gridSpan w:val="3"/>
            <w:shd w:val="clear" w:color="auto" w:fill="CCEEFF"/>
            <w:tcMar>
              <w:top w:w="0" w:type="dxa"/>
              <w:left w:w="20" w:type="dxa"/>
              <w:bottom w:w="0" w:type="dxa"/>
              <w:right w:w="20" w:type="dxa"/>
            </w:tcMar>
            <w:vAlign w:val="center"/>
            <w:hideMark/>
          </w:tcPr>
          <w:p w14:paraId="093D855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31D026" w14:textId="77777777" w:rsidR="00000000" w:rsidRDefault="00EE5306">
            <w:pPr>
              <w:spacing w:after="100"/>
              <w:jc w:val="right"/>
              <w:rPr>
                <w:rFonts w:eastAsia="Times New Roman"/>
              </w:rPr>
            </w:pPr>
            <w:r>
              <w:rPr>
                <w:rFonts w:eastAsia="Times New Roman"/>
                <w:color w:val="000000"/>
                <w:sz w:val="20"/>
                <w:szCs w:val="20"/>
              </w:rPr>
              <w:t>43.6 </w:t>
            </w:r>
          </w:p>
        </w:tc>
        <w:tc>
          <w:tcPr>
            <w:tcW w:w="0" w:type="auto"/>
            <w:shd w:val="clear" w:color="auto" w:fill="CCEEFF"/>
            <w:tcMar>
              <w:top w:w="30" w:type="dxa"/>
              <w:left w:w="0" w:type="dxa"/>
              <w:bottom w:w="30" w:type="dxa"/>
              <w:right w:w="20" w:type="dxa"/>
            </w:tcMar>
            <w:vAlign w:val="bottom"/>
            <w:hideMark/>
          </w:tcPr>
          <w:p w14:paraId="4A0AFE59" w14:textId="77777777" w:rsidR="00000000" w:rsidRDefault="00EE5306">
            <w:pPr>
              <w:spacing w:after="100"/>
              <w:jc w:val="right"/>
              <w:rPr>
                <w:rFonts w:eastAsia="Times New Roman"/>
              </w:rPr>
            </w:pPr>
          </w:p>
        </w:tc>
      </w:tr>
      <w:tr w:rsidR="00000000" w14:paraId="2CE78857" w14:textId="77777777">
        <w:trPr>
          <w:divId w:val="493644950"/>
        </w:trPr>
        <w:tc>
          <w:tcPr>
            <w:tcW w:w="0" w:type="auto"/>
            <w:gridSpan w:val="3"/>
            <w:vAlign w:val="center"/>
            <w:hideMark/>
          </w:tcPr>
          <w:p w14:paraId="1785572E" w14:textId="77777777" w:rsidR="00000000" w:rsidRDefault="00EE5306">
            <w:pPr>
              <w:spacing w:after="100"/>
              <w:jc w:val="right"/>
              <w:rPr>
                <w:rFonts w:eastAsia="Times New Roman"/>
                <w:sz w:val="20"/>
                <w:szCs w:val="20"/>
              </w:rPr>
            </w:pPr>
          </w:p>
        </w:tc>
        <w:tc>
          <w:tcPr>
            <w:tcW w:w="0" w:type="auto"/>
            <w:gridSpan w:val="3"/>
            <w:vAlign w:val="center"/>
            <w:hideMark/>
          </w:tcPr>
          <w:p w14:paraId="716E2E8A" w14:textId="77777777" w:rsidR="00000000" w:rsidRDefault="00EE5306">
            <w:pPr>
              <w:spacing w:after="100"/>
              <w:rPr>
                <w:rFonts w:eastAsia="Times New Roman"/>
                <w:sz w:val="20"/>
                <w:szCs w:val="20"/>
              </w:rPr>
            </w:pPr>
          </w:p>
        </w:tc>
        <w:tc>
          <w:tcPr>
            <w:tcW w:w="0" w:type="auto"/>
            <w:gridSpan w:val="3"/>
            <w:vAlign w:val="center"/>
            <w:hideMark/>
          </w:tcPr>
          <w:p w14:paraId="2AFC5221" w14:textId="77777777" w:rsidR="00000000" w:rsidRDefault="00EE5306">
            <w:pPr>
              <w:spacing w:after="100"/>
              <w:rPr>
                <w:rFonts w:eastAsia="Times New Roman"/>
                <w:sz w:val="20"/>
                <w:szCs w:val="20"/>
              </w:rPr>
            </w:pPr>
          </w:p>
        </w:tc>
      </w:tr>
      <w:tr w:rsidR="00000000" w14:paraId="74B9CE25" w14:textId="77777777">
        <w:trPr>
          <w:divId w:val="493644950"/>
        </w:trPr>
        <w:tc>
          <w:tcPr>
            <w:tcW w:w="0" w:type="auto"/>
            <w:gridSpan w:val="3"/>
            <w:shd w:val="clear" w:color="auto" w:fill="FFFFFF"/>
            <w:tcMar>
              <w:top w:w="30" w:type="dxa"/>
              <w:left w:w="155" w:type="dxa"/>
              <w:bottom w:w="30" w:type="dxa"/>
              <w:right w:w="20" w:type="dxa"/>
            </w:tcMar>
            <w:vAlign w:val="bottom"/>
            <w:hideMark/>
          </w:tcPr>
          <w:p w14:paraId="49664EF7" w14:textId="77777777" w:rsidR="00000000" w:rsidRDefault="00EE5306">
            <w:pPr>
              <w:spacing w:after="100"/>
              <w:rPr>
                <w:rFonts w:eastAsia="Times New Roman"/>
              </w:rPr>
            </w:pPr>
            <w:r>
              <w:rPr>
                <w:rFonts w:eastAsia="Times New Roman"/>
                <w:color w:val="000000"/>
                <w:sz w:val="20"/>
                <w:szCs w:val="20"/>
              </w:rPr>
              <w:t>Total mandatory transition tax payments</w:t>
            </w:r>
          </w:p>
        </w:tc>
        <w:tc>
          <w:tcPr>
            <w:tcW w:w="0" w:type="auto"/>
            <w:gridSpan w:val="3"/>
            <w:shd w:val="clear" w:color="auto" w:fill="FFFFFF"/>
            <w:tcMar>
              <w:top w:w="0" w:type="dxa"/>
              <w:left w:w="20" w:type="dxa"/>
              <w:bottom w:w="0" w:type="dxa"/>
              <w:right w:w="20" w:type="dxa"/>
            </w:tcMar>
            <w:vAlign w:val="center"/>
            <w:hideMark/>
          </w:tcPr>
          <w:p w14:paraId="74F04001"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D4643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2167E5B" w14:textId="77777777" w:rsidR="00000000" w:rsidRDefault="00EE5306">
            <w:pPr>
              <w:spacing w:after="100"/>
              <w:jc w:val="right"/>
              <w:rPr>
                <w:rFonts w:eastAsia="Times New Roman"/>
              </w:rPr>
            </w:pPr>
            <w:r>
              <w:rPr>
                <w:rFonts w:eastAsia="Times New Roman"/>
                <w:color w:val="000000"/>
                <w:sz w:val="20"/>
                <w:szCs w:val="20"/>
              </w:rPr>
              <w:t>132.7 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FA4F1C"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0C9D65B0" w14:textId="77777777">
        <w:tc>
          <w:tcPr>
            <w:tcW w:w="50" w:type="pct"/>
            <w:vAlign w:val="center"/>
            <w:hideMark/>
          </w:tcPr>
          <w:p w14:paraId="17264DA4" w14:textId="77777777" w:rsidR="00000000" w:rsidRDefault="00EE5306">
            <w:pPr>
              <w:rPr>
                <w:rFonts w:eastAsia="Times New Roman"/>
              </w:rPr>
            </w:pPr>
          </w:p>
        </w:tc>
        <w:tc>
          <w:tcPr>
            <w:tcW w:w="4945" w:type="pct"/>
            <w:vAlign w:val="center"/>
            <w:hideMark/>
          </w:tcPr>
          <w:p w14:paraId="337D4B25" w14:textId="77777777" w:rsidR="00000000" w:rsidRDefault="00EE5306">
            <w:pPr>
              <w:spacing w:after="100"/>
              <w:rPr>
                <w:rFonts w:eastAsia="Times New Roman"/>
                <w:sz w:val="20"/>
                <w:szCs w:val="20"/>
              </w:rPr>
            </w:pPr>
          </w:p>
        </w:tc>
        <w:tc>
          <w:tcPr>
            <w:tcW w:w="5" w:type="pct"/>
            <w:vAlign w:val="center"/>
            <w:hideMark/>
          </w:tcPr>
          <w:p w14:paraId="68B8979E" w14:textId="77777777" w:rsidR="00000000" w:rsidRDefault="00EE5306">
            <w:pPr>
              <w:spacing w:after="100"/>
              <w:rPr>
                <w:rFonts w:eastAsia="Times New Roman"/>
                <w:sz w:val="20"/>
                <w:szCs w:val="20"/>
              </w:rPr>
            </w:pPr>
          </w:p>
        </w:tc>
      </w:tr>
      <w:tr w:rsidR="00000000" w14:paraId="3C17BEBD"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0D52C9E3" w14:textId="77777777" w:rsidR="00000000" w:rsidRDefault="00EE5306">
            <w:pPr>
              <w:spacing w:after="100"/>
              <w:rPr>
                <w:rFonts w:eastAsia="Times New Roman"/>
                <w:sz w:val="20"/>
                <w:szCs w:val="20"/>
              </w:rPr>
            </w:pPr>
          </w:p>
        </w:tc>
      </w:tr>
    </w:tbl>
    <w:p w14:paraId="75FD381E" w14:textId="77777777" w:rsidR="00000000" w:rsidRDefault="00EE5306">
      <w:pPr>
        <w:ind w:hanging="360"/>
        <w:jc w:val="both"/>
        <w:divId w:val="1220822669"/>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Included within current and non-current income tax payable in the consolidated balance sheets based upon the estimated timing of payments.</w:t>
      </w:r>
    </w:p>
    <w:p w14:paraId="0E5EC07A" w14:textId="77777777" w:rsidR="00000000" w:rsidRDefault="00EE5306">
      <w:pPr>
        <w:ind w:firstLine="540"/>
        <w:jc w:val="both"/>
        <w:divId w:val="711658891"/>
        <w:rPr>
          <w:rFonts w:eastAsia="Times New Roman"/>
        </w:rPr>
      </w:pPr>
      <w:r>
        <w:rPr>
          <w:rFonts w:eastAsia="Times New Roman"/>
          <w:color w:val="000000"/>
          <w:sz w:val="20"/>
          <w:szCs w:val="20"/>
        </w:rPr>
        <w:t>See Note 10 for further discussion of the TCJA and its enactment-related impacts on the Company's consolidated financ</w:t>
      </w:r>
      <w:r>
        <w:rPr>
          <w:rFonts w:eastAsia="Times New Roman"/>
          <w:color w:val="000000"/>
          <w:sz w:val="20"/>
          <w:szCs w:val="20"/>
        </w:rPr>
        <w:t>ial statements.</w:t>
      </w:r>
    </w:p>
    <w:p w14:paraId="640AB93F" w14:textId="77777777" w:rsidR="00000000" w:rsidRDefault="00EE5306">
      <w:pPr>
        <w:ind w:firstLine="360"/>
        <w:divId w:val="338198405"/>
        <w:rPr>
          <w:rFonts w:eastAsia="Times New Roman"/>
        </w:rPr>
      </w:pPr>
      <w:r>
        <w:rPr>
          <w:rFonts w:eastAsia="Times New Roman"/>
          <w:b/>
          <w:bCs/>
          <w:i/>
          <w:iCs/>
          <w:color w:val="000000"/>
          <w:sz w:val="20"/>
          <w:szCs w:val="20"/>
        </w:rPr>
        <w:t>Employee Agreements</w:t>
      </w:r>
    </w:p>
    <w:p w14:paraId="0A71972F" w14:textId="77777777" w:rsidR="00000000" w:rsidRDefault="00EE5306">
      <w:pPr>
        <w:ind w:firstLine="540"/>
        <w:jc w:val="both"/>
        <w:divId w:val="764617033"/>
        <w:rPr>
          <w:rFonts w:eastAsia="Times New Roman"/>
        </w:rPr>
      </w:pPr>
      <w:r>
        <w:rPr>
          <w:rFonts w:eastAsia="Times New Roman"/>
          <w:color w:val="000000"/>
          <w:sz w:val="20"/>
          <w:szCs w:val="20"/>
        </w:rPr>
        <w:t>The Company has employment agreements with certain executives in the normal course of business which provide for compensation and certain other benefits. These agreements also provide for severance payments under certain</w:t>
      </w:r>
      <w:r>
        <w:rPr>
          <w:rFonts w:eastAsia="Times New Roman"/>
          <w:color w:val="000000"/>
          <w:sz w:val="20"/>
          <w:szCs w:val="20"/>
        </w:rPr>
        <w:t xml:space="preserve"> circumstances.</w:t>
      </w:r>
    </w:p>
    <w:p w14:paraId="42C18BC3" w14:textId="77777777" w:rsidR="00000000" w:rsidRDefault="00EE5306">
      <w:pPr>
        <w:ind w:firstLine="360"/>
        <w:divId w:val="2019965069"/>
        <w:rPr>
          <w:rFonts w:eastAsia="Times New Roman"/>
        </w:rPr>
      </w:pPr>
      <w:r>
        <w:rPr>
          <w:rFonts w:eastAsia="Times New Roman"/>
          <w:b/>
          <w:bCs/>
          <w:i/>
          <w:iCs/>
          <w:color w:val="000000"/>
          <w:sz w:val="20"/>
          <w:szCs w:val="20"/>
        </w:rPr>
        <w:t>Other Commitments</w:t>
      </w:r>
    </w:p>
    <w:p w14:paraId="161B9FB1" w14:textId="77777777" w:rsidR="00000000" w:rsidRDefault="00EE5306">
      <w:pPr>
        <w:ind w:firstLine="540"/>
        <w:jc w:val="both"/>
        <w:divId w:val="107818834"/>
        <w:rPr>
          <w:rFonts w:eastAsia="Times New Roman"/>
        </w:rPr>
      </w:pPr>
      <w:r>
        <w:rPr>
          <w:rFonts w:eastAsia="Times New Roman"/>
          <w:color w:val="000000"/>
          <w:sz w:val="20"/>
          <w:szCs w:val="20"/>
        </w:rPr>
        <w:t xml:space="preserve">Other off-balance sheet firm commitments amounted to $1.190 billion as of March 27, 2021, including inventory purchase commitments of $713.7 </w:t>
      </w:r>
      <w:r>
        <w:rPr>
          <w:rFonts w:eastAsia="Times New Roman"/>
          <w:color w:val="000000"/>
          <w:sz w:val="20"/>
          <w:szCs w:val="20"/>
        </w:rPr>
        <w:t>million, lease commitments related to lease agreements for which the related lease terms have not yet commenced of $107.4 million, outstanding letters of credit of $8.9 million, interest payments related to the Company's debt of $282.4 million, and other c</w:t>
      </w:r>
      <w:r>
        <w:rPr>
          <w:rFonts w:eastAsia="Times New Roman"/>
          <w:color w:val="000000"/>
          <w:sz w:val="20"/>
          <w:szCs w:val="20"/>
        </w:rPr>
        <w:t>ommitments of $77.2 million, comprised of the Company's legally-binding obligations under sponsorship, licensing, and other marketing and advertising agreements, information technology-related service agreements, and pension-related obligations.</w:t>
      </w:r>
    </w:p>
    <w:p w14:paraId="3CCA19B3" w14:textId="77777777" w:rsidR="00000000" w:rsidRDefault="00EE5306">
      <w:pPr>
        <w:ind w:firstLine="360"/>
        <w:jc w:val="both"/>
        <w:divId w:val="34359046"/>
        <w:rPr>
          <w:rFonts w:eastAsia="Times New Roman"/>
        </w:rPr>
      </w:pPr>
      <w:r>
        <w:rPr>
          <w:rFonts w:eastAsia="Times New Roman"/>
          <w:b/>
          <w:bCs/>
          <w:i/>
          <w:iCs/>
          <w:color w:val="000000"/>
          <w:sz w:val="20"/>
          <w:szCs w:val="20"/>
        </w:rPr>
        <w:t>Other Matt</w:t>
      </w:r>
      <w:r>
        <w:rPr>
          <w:rFonts w:eastAsia="Times New Roman"/>
          <w:b/>
          <w:bCs/>
          <w:i/>
          <w:iCs/>
          <w:color w:val="000000"/>
          <w:sz w:val="20"/>
          <w:szCs w:val="20"/>
        </w:rPr>
        <w:t>ers</w:t>
      </w:r>
    </w:p>
    <w:p w14:paraId="3048BE0C" w14:textId="77777777" w:rsidR="00000000" w:rsidRDefault="00EE5306">
      <w:pPr>
        <w:ind w:firstLine="540"/>
        <w:jc w:val="both"/>
        <w:divId w:val="1532960281"/>
        <w:rPr>
          <w:rFonts w:eastAsia="Times New Roman"/>
        </w:rPr>
      </w:pPr>
      <w:r>
        <w:rPr>
          <w:rFonts w:eastAsia="Times New Roman"/>
          <w:color w:val="000000"/>
          <w:sz w:val="20"/>
          <w:szCs w:val="20"/>
        </w:rPr>
        <w:t>The Company is involved, from time to time, in litigation, other legal claims, and proceedings involving matters associated with or incidental to its business, including, among other things, matters involving credit card fraud, trademark and other inte</w:t>
      </w:r>
      <w:r>
        <w:rPr>
          <w:rFonts w:eastAsia="Times New Roman"/>
          <w:color w:val="000000"/>
          <w:sz w:val="20"/>
          <w:szCs w:val="20"/>
        </w:rPr>
        <w:t>llectual property, licensing, importation and exportation of its products, taxation, unclaimed property, and employee relations. The Company believes at present that the resolution of currently pending matters will not individually or in the aggregate have</w:t>
      </w:r>
      <w:r>
        <w:rPr>
          <w:rFonts w:eastAsia="Times New Roman"/>
          <w:color w:val="000000"/>
          <w:sz w:val="20"/>
          <w:szCs w:val="20"/>
        </w:rPr>
        <w:t xml:space="preserve"> a material adverse effect on its consolidated financial statements. However, the Company's assessment of any current litigation or other legal claims could potentially change in light of the discovery of facts not presently known or determinations by judg</w:t>
      </w:r>
      <w:r>
        <w:rPr>
          <w:rFonts w:eastAsia="Times New Roman"/>
          <w:color w:val="000000"/>
          <w:sz w:val="20"/>
          <w:szCs w:val="20"/>
        </w:rPr>
        <w:t>es, juries, or other finders of fact which are not in accord with management's evaluation of the possible liability or outcome of such litigation or claims.</w:t>
      </w:r>
    </w:p>
    <w:p w14:paraId="71AF99EA" w14:textId="77777777" w:rsidR="00000000" w:rsidRDefault="00EE5306">
      <w:pPr>
        <w:ind w:firstLine="540"/>
        <w:jc w:val="both"/>
        <w:divId w:val="751851020"/>
        <w:rPr>
          <w:rFonts w:eastAsia="Times New Roman"/>
        </w:rPr>
      </w:pPr>
      <w:r>
        <w:rPr>
          <w:rFonts w:eastAsia="Times New Roman"/>
          <w:color w:val="000000"/>
          <w:sz w:val="20"/>
          <w:szCs w:val="20"/>
        </w:rPr>
        <w:t>In the normal course of business, the Company enters into agreements that provide general indemnifi</w:t>
      </w:r>
      <w:r>
        <w:rPr>
          <w:rFonts w:eastAsia="Times New Roman"/>
          <w:color w:val="000000"/>
          <w:sz w:val="20"/>
          <w:szCs w:val="20"/>
        </w:rPr>
        <w:t xml:space="preserve">cations. The Company has not made any significant indemnification payments under such agreements in the past and does not currently anticipate incurring any material indemnification payments.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1127D97" w14:textId="77777777">
        <w:trPr>
          <w:divId w:val="211960966"/>
          <w:jc w:val="center"/>
        </w:trPr>
        <w:tc>
          <w:tcPr>
            <w:tcW w:w="50" w:type="pct"/>
            <w:vAlign w:val="center"/>
            <w:hideMark/>
          </w:tcPr>
          <w:p w14:paraId="78B091C0" w14:textId="77777777" w:rsidR="00000000" w:rsidRDefault="00EE5306">
            <w:pPr>
              <w:ind w:firstLine="540"/>
              <w:jc w:val="both"/>
              <w:rPr>
                <w:rFonts w:eastAsia="Times New Roman"/>
              </w:rPr>
            </w:pPr>
          </w:p>
        </w:tc>
        <w:tc>
          <w:tcPr>
            <w:tcW w:w="1699" w:type="pct"/>
            <w:vAlign w:val="center"/>
            <w:hideMark/>
          </w:tcPr>
          <w:p w14:paraId="28D47ABF" w14:textId="77777777" w:rsidR="00000000" w:rsidRDefault="00EE5306">
            <w:pPr>
              <w:spacing w:after="100"/>
              <w:rPr>
                <w:rFonts w:eastAsia="Times New Roman"/>
                <w:sz w:val="20"/>
                <w:szCs w:val="20"/>
              </w:rPr>
            </w:pPr>
          </w:p>
        </w:tc>
        <w:tc>
          <w:tcPr>
            <w:tcW w:w="5" w:type="pct"/>
            <w:vAlign w:val="center"/>
            <w:hideMark/>
          </w:tcPr>
          <w:p w14:paraId="7A75BEEF" w14:textId="77777777" w:rsidR="00000000" w:rsidRDefault="00EE5306">
            <w:pPr>
              <w:spacing w:after="100"/>
              <w:rPr>
                <w:rFonts w:eastAsia="Times New Roman"/>
                <w:sz w:val="20"/>
                <w:szCs w:val="20"/>
              </w:rPr>
            </w:pPr>
          </w:p>
        </w:tc>
        <w:tc>
          <w:tcPr>
            <w:tcW w:w="50" w:type="pct"/>
            <w:vAlign w:val="center"/>
            <w:hideMark/>
          </w:tcPr>
          <w:p w14:paraId="122AD6F4" w14:textId="77777777" w:rsidR="00000000" w:rsidRDefault="00EE5306">
            <w:pPr>
              <w:spacing w:after="100"/>
              <w:rPr>
                <w:rFonts w:eastAsia="Times New Roman"/>
                <w:sz w:val="20"/>
                <w:szCs w:val="20"/>
              </w:rPr>
            </w:pPr>
          </w:p>
        </w:tc>
        <w:tc>
          <w:tcPr>
            <w:tcW w:w="1436" w:type="pct"/>
            <w:vAlign w:val="center"/>
            <w:hideMark/>
          </w:tcPr>
          <w:p w14:paraId="1085197F" w14:textId="77777777" w:rsidR="00000000" w:rsidRDefault="00EE5306">
            <w:pPr>
              <w:spacing w:after="100"/>
              <w:rPr>
                <w:rFonts w:eastAsia="Times New Roman"/>
                <w:sz w:val="20"/>
                <w:szCs w:val="20"/>
              </w:rPr>
            </w:pPr>
          </w:p>
        </w:tc>
        <w:tc>
          <w:tcPr>
            <w:tcW w:w="5" w:type="pct"/>
            <w:vAlign w:val="center"/>
            <w:hideMark/>
          </w:tcPr>
          <w:p w14:paraId="5D2FE238" w14:textId="77777777" w:rsidR="00000000" w:rsidRDefault="00EE5306">
            <w:pPr>
              <w:spacing w:after="100"/>
              <w:rPr>
                <w:rFonts w:eastAsia="Times New Roman"/>
                <w:sz w:val="20"/>
                <w:szCs w:val="20"/>
              </w:rPr>
            </w:pPr>
          </w:p>
        </w:tc>
        <w:tc>
          <w:tcPr>
            <w:tcW w:w="50" w:type="pct"/>
            <w:vAlign w:val="center"/>
            <w:hideMark/>
          </w:tcPr>
          <w:p w14:paraId="11066A52" w14:textId="77777777" w:rsidR="00000000" w:rsidRDefault="00EE5306">
            <w:pPr>
              <w:spacing w:after="100"/>
              <w:rPr>
                <w:rFonts w:eastAsia="Times New Roman"/>
                <w:sz w:val="20"/>
                <w:szCs w:val="20"/>
              </w:rPr>
            </w:pPr>
          </w:p>
        </w:tc>
        <w:tc>
          <w:tcPr>
            <w:tcW w:w="1699" w:type="pct"/>
            <w:vAlign w:val="center"/>
            <w:hideMark/>
          </w:tcPr>
          <w:p w14:paraId="3E297573" w14:textId="77777777" w:rsidR="00000000" w:rsidRDefault="00EE5306">
            <w:pPr>
              <w:spacing w:after="100"/>
              <w:rPr>
                <w:rFonts w:eastAsia="Times New Roman"/>
                <w:sz w:val="20"/>
                <w:szCs w:val="20"/>
              </w:rPr>
            </w:pPr>
          </w:p>
        </w:tc>
        <w:tc>
          <w:tcPr>
            <w:tcW w:w="5" w:type="pct"/>
            <w:vAlign w:val="center"/>
            <w:hideMark/>
          </w:tcPr>
          <w:p w14:paraId="578B9651" w14:textId="77777777" w:rsidR="00000000" w:rsidRDefault="00EE5306">
            <w:pPr>
              <w:spacing w:after="100"/>
              <w:rPr>
                <w:rFonts w:eastAsia="Times New Roman"/>
                <w:sz w:val="20"/>
                <w:szCs w:val="20"/>
              </w:rPr>
            </w:pPr>
          </w:p>
        </w:tc>
      </w:tr>
      <w:tr w:rsidR="00000000" w14:paraId="47FD61A7" w14:textId="77777777">
        <w:trPr>
          <w:divId w:val="211960966"/>
          <w:jc w:val="center"/>
        </w:trPr>
        <w:tc>
          <w:tcPr>
            <w:tcW w:w="0" w:type="auto"/>
            <w:gridSpan w:val="3"/>
            <w:tcMar>
              <w:top w:w="0" w:type="dxa"/>
              <w:left w:w="20" w:type="dxa"/>
              <w:bottom w:w="0" w:type="dxa"/>
              <w:right w:w="20" w:type="dxa"/>
            </w:tcMar>
            <w:vAlign w:val="center"/>
            <w:hideMark/>
          </w:tcPr>
          <w:p w14:paraId="5D68CD5D"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89B5BE1" w14:textId="77777777" w:rsidR="00000000" w:rsidRDefault="00EE5306">
            <w:pPr>
              <w:spacing w:after="100"/>
              <w:jc w:val="center"/>
              <w:rPr>
                <w:rFonts w:eastAsia="Times New Roman"/>
              </w:rPr>
            </w:pPr>
            <w:r>
              <w:rPr>
                <w:rFonts w:eastAsia="Times New Roman"/>
                <w:color w:val="000000"/>
                <w:sz w:val="20"/>
                <w:szCs w:val="20"/>
              </w:rPr>
              <w:t>F-44</w:t>
            </w:r>
          </w:p>
        </w:tc>
        <w:tc>
          <w:tcPr>
            <w:tcW w:w="0" w:type="auto"/>
            <w:gridSpan w:val="3"/>
            <w:tcMar>
              <w:top w:w="0" w:type="dxa"/>
              <w:left w:w="20" w:type="dxa"/>
              <w:bottom w:w="0" w:type="dxa"/>
              <w:right w:w="20" w:type="dxa"/>
            </w:tcMar>
            <w:vAlign w:val="center"/>
            <w:hideMark/>
          </w:tcPr>
          <w:p w14:paraId="1B207A37" w14:textId="77777777" w:rsidR="00000000" w:rsidRDefault="00EE5306">
            <w:pPr>
              <w:spacing w:after="100"/>
              <w:jc w:val="center"/>
              <w:rPr>
                <w:rFonts w:eastAsia="Times New Roman"/>
              </w:rPr>
            </w:pPr>
          </w:p>
        </w:tc>
      </w:tr>
    </w:tbl>
    <w:p w14:paraId="5E981D0E" w14:textId="77777777" w:rsidR="00000000" w:rsidRDefault="00EE5306">
      <w:pPr>
        <w:rPr>
          <w:rFonts w:eastAsia="Times New Roman"/>
        </w:rPr>
      </w:pPr>
      <w:r>
        <w:rPr>
          <w:rFonts w:eastAsia="Times New Roman"/>
        </w:rPr>
        <w:pict w14:anchorId="7E2F04A3">
          <v:rect id="_x0000_i1154" style="width:0;height:1.5pt" o:hralign="center" o:hrstd="t" o:hr="t" fillcolor="#a0a0a0" stroked="f"/>
        </w:pict>
      </w:r>
    </w:p>
    <w:p w14:paraId="0C9F96AE" w14:textId="77777777" w:rsidR="00000000" w:rsidRDefault="00EE5306">
      <w:pPr>
        <w:jc w:val="center"/>
        <w:divId w:val="1593469113"/>
        <w:rPr>
          <w:rFonts w:eastAsia="Times New Roman"/>
        </w:rPr>
      </w:pPr>
    </w:p>
    <w:p w14:paraId="61643699" w14:textId="77777777" w:rsidR="00000000" w:rsidRDefault="00EE5306">
      <w:pPr>
        <w:jc w:val="center"/>
        <w:divId w:val="1593469113"/>
        <w:rPr>
          <w:rFonts w:eastAsia="Times New Roman"/>
        </w:rPr>
      </w:pPr>
      <w:r>
        <w:rPr>
          <w:rFonts w:eastAsia="Times New Roman"/>
          <w:b/>
          <w:bCs/>
          <w:color w:val="000000"/>
          <w:sz w:val="20"/>
          <w:szCs w:val="20"/>
        </w:rPr>
        <w:t>RALPH LAUREN CORPORATION</w:t>
      </w:r>
    </w:p>
    <w:p w14:paraId="5C8F7DEC" w14:textId="77777777" w:rsidR="00000000" w:rsidRDefault="00EE5306">
      <w:pPr>
        <w:jc w:val="center"/>
        <w:divId w:val="1098059352"/>
        <w:rPr>
          <w:rFonts w:eastAsia="Times New Roman"/>
        </w:rPr>
      </w:pPr>
      <w:r>
        <w:rPr>
          <w:rFonts w:eastAsia="Times New Roman"/>
          <w:b/>
          <w:bCs/>
          <w:color w:val="000000"/>
          <w:sz w:val="20"/>
          <w:szCs w:val="20"/>
        </w:rPr>
        <w:t>NOTES TO CONSOLIDATED FINANCIAL STATEMENTS (Continued)</w:t>
      </w:r>
    </w:p>
    <w:p w14:paraId="07DEA79F" w14:textId="77777777" w:rsidR="00000000" w:rsidRDefault="00EE5306">
      <w:pPr>
        <w:ind w:hanging="540"/>
        <w:divId w:val="384303374"/>
        <w:rPr>
          <w:rFonts w:eastAsia="Times New Roman"/>
        </w:rPr>
      </w:pPr>
      <w:r>
        <w:rPr>
          <w:rFonts w:eastAsia="Times New Roman"/>
          <w:b/>
          <w:bCs/>
          <w:color w:val="000000"/>
          <w:sz w:val="20"/>
          <w:szCs w:val="20"/>
        </w:rPr>
        <w:t>16.    Equity</w:t>
      </w:r>
    </w:p>
    <w:p w14:paraId="03D12CEC" w14:textId="77777777" w:rsidR="00000000" w:rsidRDefault="00EE5306">
      <w:pPr>
        <w:ind w:firstLine="270"/>
        <w:jc w:val="both"/>
        <w:divId w:val="1868173897"/>
        <w:rPr>
          <w:rFonts w:eastAsia="Times New Roman"/>
        </w:rPr>
      </w:pPr>
      <w:r>
        <w:rPr>
          <w:rFonts w:eastAsia="Times New Roman"/>
          <w:b/>
          <w:bCs/>
          <w:i/>
          <w:iCs/>
          <w:color w:val="000000"/>
          <w:sz w:val="20"/>
          <w:szCs w:val="20"/>
        </w:rPr>
        <w:t>Capital Stock</w:t>
      </w:r>
    </w:p>
    <w:p w14:paraId="0AB50905" w14:textId="77777777" w:rsidR="00000000" w:rsidRDefault="00EE5306">
      <w:pPr>
        <w:ind w:firstLine="540"/>
        <w:jc w:val="both"/>
        <w:divId w:val="2005740390"/>
        <w:rPr>
          <w:rFonts w:eastAsia="Times New Roman"/>
        </w:rPr>
      </w:pPr>
      <w:r>
        <w:rPr>
          <w:rFonts w:eastAsia="Times New Roman"/>
          <w:color w:val="000000"/>
          <w:sz w:val="20"/>
          <w:szCs w:val="20"/>
        </w:rPr>
        <w:t>The Company's capital stock consists of two classes of common stock. There are 500 million shares of Class A c</w:t>
      </w:r>
      <w:r>
        <w:rPr>
          <w:rFonts w:eastAsia="Times New Roman"/>
          <w:color w:val="000000"/>
          <w:sz w:val="20"/>
          <w:szCs w:val="20"/>
        </w:rPr>
        <w:t>ommon stock and 100 million shares of Class B common stock authorized to be issued. Shares of Class A and Class B common stock have substantially identical rights, except with respect to voting rights. Holders of Class A common stock are entitled to one vo</w:t>
      </w:r>
      <w:r>
        <w:rPr>
          <w:rFonts w:eastAsia="Times New Roman"/>
          <w:color w:val="000000"/>
          <w:sz w:val="20"/>
          <w:szCs w:val="20"/>
        </w:rPr>
        <w:t xml:space="preserve">te per share and holders of Class B common stock are entitled to ten votes per share. Holders of both classes of stock vote together as a single class on all matters presented to the stockholders for their approval, except with respect to the election and </w:t>
      </w:r>
      <w:r>
        <w:rPr>
          <w:rFonts w:eastAsia="Times New Roman"/>
          <w:color w:val="000000"/>
          <w:sz w:val="20"/>
          <w:szCs w:val="20"/>
        </w:rPr>
        <w:t>removal of directors or as otherwise required by applicable law. All outstanding shares of Class B common stock are owned by Mr. Ralph Lauren, the Company's Executive Chairman and Chief Creative Officer, and entities controlled by the Lauren family, and ar</w:t>
      </w:r>
      <w:r>
        <w:rPr>
          <w:rFonts w:eastAsia="Times New Roman"/>
          <w:color w:val="000000"/>
          <w:sz w:val="20"/>
          <w:szCs w:val="20"/>
        </w:rPr>
        <w:t>e convertible at any time into shares of Class A common stock on a one-for-one basis.</w:t>
      </w:r>
    </w:p>
    <w:p w14:paraId="5E27A988" w14:textId="77777777" w:rsidR="00000000" w:rsidRDefault="00EE5306">
      <w:pPr>
        <w:ind w:firstLine="360"/>
        <w:jc w:val="both"/>
        <w:divId w:val="239799578"/>
        <w:rPr>
          <w:rFonts w:eastAsia="Times New Roman"/>
        </w:rPr>
      </w:pPr>
      <w:r>
        <w:rPr>
          <w:rFonts w:eastAsia="Times New Roman"/>
          <w:b/>
          <w:bCs/>
          <w:i/>
          <w:iCs/>
          <w:color w:val="000000"/>
          <w:sz w:val="20"/>
          <w:szCs w:val="20"/>
        </w:rPr>
        <w:t>Class B Common Stock Conversions</w:t>
      </w:r>
    </w:p>
    <w:p w14:paraId="329FA065" w14:textId="77777777" w:rsidR="00000000" w:rsidRDefault="00EE5306">
      <w:pPr>
        <w:ind w:firstLine="540"/>
        <w:jc w:val="both"/>
        <w:divId w:val="627661099"/>
        <w:rPr>
          <w:rFonts w:eastAsia="Times New Roman"/>
        </w:rPr>
      </w:pPr>
      <w:r>
        <w:rPr>
          <w:rFonts w:eastAsia="Times New Roman"/>
          <w:color w:val="000000"/>
          <w:sz w:val="20"/>
          <w:szCs w:val="20"/>
        </w:rPr>
        <w:t>During Fiscal 2020, the Lauren Family, L.L.C., a limited liability company managed by the children of Mr. Ralph Lauren, converted 1.0 million shares of Class B common stock into an equal number of shares of Class A common stock pursuant to the terms of the</w:t>
      </w:r>
      <w:r>
        <w:rPr>
          <w:rFonts w:eastAsia="Times New Roman"/>
          <w:color w:val="000000"/>
          <w:sz w:val="20"/>
          <w:szCs w:val="20"/>
        </w:rPr>
        <w:t xml:space="preserve"> security. These conversions occurred in advance of a sales plan providing for the sale of such shares of Class A common stock pursuant to Rule 10b5-1 subject to the conditions set forth therein. These transactions resulted in a reclassification within equ</w:t>
      </w:r>
      <w:r>
        <w:rPr>
          <w:rFonts w:eastAsia="Times New Roman"/>
          <w:color w:val="000000"/>
          <w:sz w:val="20"/>
          <w:szCs w:val="20"/>
        </w:rPr>
        <w:t>ity and had no effect on the Company's consolidated balance sheet.</w:t>
      </w:r>
    </w:p>
    <w:p w14:paraId="30D9224D" w14:textId="77777777" w:rsidR="00000000" w:rsidRDefault="00EE5306">
      <w:pPr>
        <w:ind w:firstLine="360"/>
        <w:jc w:val="both"/>
        <w:divId w:val="1746150769"/>
        <w:rPr>
          <w:rFonts w:eastAsia="Times New Roman"/>
        </w:rPr>
      </w:pPr>
      <w:r>
        <w:rPr>
          <w:rFonts w:eastAsia="Times New Roman"/>
          <w:b/>
          <w:bCs/>
          <w:i/>
          <w:iCs/>
          <w:color w:val="000000"/>
          <w:sz w:val="20"/>
          <w:szCs w:val="20"/>
        </w:rPr>
        <w:t>Common Stock Repurchase Program</w:t>
      </w:r>
    </w:p>
    <w:p w14:paraId="1505B51F" w14:textId="77777777" w:rsidR="00000000" w:rsidRDefault="00EE5306">
      <w:pPr>
        <w:ind w:firstLine="540"/>
        <w:jc w:val="both"/>
        <w:divId w:val="2039818580"/>
        <w:rPr>
          <w:rFonts w:eastAsia="Times New Roman"/>
        </w:rPr>
      </w:pPr>
      <w:r>
        <w:rPr>
          <w:rFonts w:eastAsia="Times New Roman"/>
          <w:color w:val="000000"/>
          <w:sz w:val="20"/>
          <w:szCs w:val="20"/>
        </w:rPr>
        <w:t>A summary of the Company's repurchases of Class A common stock under its common stock repurchase program is as follows:</w:t>
      </w:r>
    </w:p>
    <w:tbl>
      <w:tblPr>
        <w:tblW w:w="4780" w:type="pct"/>
        <w:tblCellMar>
          <w:top w:w="15" w:type="dxa"/>
          <w:left w:w="15" w:type="dxa"/>
          <w:bottom w:w="15" w:type="dxa"/>
          <w:right w:w="15" w:type="dxa"/>
        </w:tblCellMar>
        <w:tblLook w:val="04A0" w:firstRow="1" w:lastRow="0" w:firstColumn="1" w:lastColumn="0" w:noHBand="0" w:noVBand="1"/>
      </w:tblPr>
      <w:tblGrid>
        <w:gridCol w:w="37"/>
        <w:gridCol w:w="3925"/>
        <w:gridCol w:w="36"/>
        <w:gridCol w:w="36"/>
        <w:gridCol w:w="42"/>
        <w:gridCol w:w="36"/>
        <w:gridCol w:w="121"/>
        <w:gridCol w:w="1076"/>
        <w:gridCol w:w="36"/>
        <w:gridCol w:w="36"/>
        <w:gridCol w:w="36"/>
        <w:gridCol w:w="36"/>
        <w:gridCol w:w="120"/>
        <w:gridCol w:w="1034"/>
        <w:gridCol w:w="36"/>
        <w:gridCol w:w="36"/>
        <w:gridCol w:w="36"/>
        <w:gridCol w:w="36"/>
        <w:gridCol w:w="120"/>
        <w:gridCol w:w="1034"/>
        <w:gridCol w:w="36"/>
      </w:tblGrid>
      <w:tr w:rsidR="00000000" w14:paraId="7B3D9956" w14:textId="77777777">
        <w:trPr>
          <w:divId w:val="203375012"/>
        </w:trPr>
        <w:tc>
          <w:tcPr>
            <w:tcW w:w="50" w:type="pct"/>
            <w:vAlign w:val="center"/>
            <w:hideMark/>
          </w:tcPr>
          <w:p w14:paraId="1702353D" w14:textId="77777777" w:rsidR="00000000" w:rsidRDefault="00EE5306">
            <w:pPr>
              <w:ind w:firstLine="540"/>
              <w:jc w:val="both"/>
              <w:rPr>
                <w:rFonts w:eastAsia="Times New Roman"/>
              </w:rPr>
            </w:pPr>
          </w:p>
        </w:tc>
        <w:tc>
          <w:tcPr>
            <w:tcW w:w="2506" w:type="pct"/>
            <w:vAlign w:val="center"/>
            <w:hideMark/>
          </w:tcPr>
          <w:p w14:paraId="4AC129DE" w14:textId="77777777" w:rsidR="00000000" w:rsidRDefault="00EE5306">
            <w:pPr>
              <w:spacing w:after="100"/>
              <w:rPr>
                <w:rFonts w:eastAsia="Times New Roman"/>
                <w:sz w:val="20"/>
                <w:szCs w:val="20"/>
              </w:rPr>
            </w:pPr>
          </w:p>
        </w:tc>
        <w:tc>
          <w:tcPr>
            <w:tcW w:w="5" w:type="pct"/>
            <w:vAlign w:val="center"/>
            <w:hideMark/>
          </w:tcPr>
          <w:p w14:paraId="6F701924" w14:textId="77777777" w:rsidR="00000000" w:rsidRDefault="00EE5306">
            <w:pPr>
              <w:spacing w:after="100"/>
              <w:rPr>
                <w:rFonts w:eastAsia="Times New Roman"/>
                <w:sz w:val="20"/>
                <w:szCs w:val="20"/>
              </w:rPr>
            </w:pPr>
          </w:p>
        </w:tc>
        <w:tc>
          <w:tcPr>
            <w:tcW w:w="5" w:type="pct"/>
            <w:vAlign w:val="center"/>
            <w:hideMark/>
          </w:tcPr>
          <w:p w14:paraId="3A815EB5" w14:textId="77777777" w:rsidR="00000000" w:rsidRDefault="00EE5306">
            <w:pPr>
              <w:spacing w:after="100"/>
              <w:rPr>
                <w:rFonts w:eastAsia="Times New Roman"/>
                <w:sz w:val="20"/>
                <w:szCs w:val="20"/>
              </w:rPr>
            </w:pPr>
          </w:p>
        </w:tc>
        <w:tc>
          <w:tcPr>
            <w:tcW w:w="58" w:type="pct"/>
            <w:vAlign w:val="center"/>
            <w:hideMark/>
          </w:tcPr>
          <w:p w14:paraId="101B1D80" w14:textId="77777777" w:rsidR="00000000" w:rsidRDefault="00EE5306">
            <w:pPr>
              <w:spacing w:after="100"/>
              <w:rPr>
                <w:rFonts w:eastAsia="Times New Roman"/>
                <w:sz w:val="20"/>
                <w:szCs w:val="20"/>
              </w:rPr>
            </w:pPr>
          </w:p>
        </w:tc>
        <w:tc>
          <w:tcPr>
            <w:tcW w:w="5" w:type="pct"/>
            <w:vAlign w:val="center"/>
            <w:hideMark/>
          </w:tcPr>
          <w:p w14:paraId="7B475F82" w14:textId="77777777" w:rsidR="00000000" w:rsidRDefault="00EE5306">
            <w:pPr>
              <w:spacing w:after="100"/>
              <w:rPr>
                <w:rFonts w:eastAsia="Times New Roman"/>
                <w:sz w:val="20"/>
                <w:szCs w:val="20"/>
              </w:rPr>
            </w:pPr>
          </w:p>
        </w:tc>
        <w:tc>
          <w:tcPr>
            <w:tcW w:w="50" w:type="pct"/>
            <w:vAlign w:val="center"/>
            <w:hideMark/>
          </w:tcPr>
          <w:p w14:paraId="7C27FE47" w14:textId="77777777" w:rsidR="00000000" w:rsidRDefault="00EE5306">
            <w:pPr>
              <w:spacing w:after="100"/>
              <w:rPr>
                <w:rFonts w:eastAsia="Times New Roman"/>
                <w:sz w:val="20"/>
                <w:szCs w:val="20"/>
              </w:rPr>
            </w:pPr>
          </w:p>
        </w:tc>
        <w:tc>
          <w:tcPr>
            <w:tcW w:w="709" w:type="pct"/>
            <w:vAlign w:val="center"/>
            <w:hideMark/>
          </w:tcPr>
          <w:p w14:paraId="2552D3F8" w14:textId="77777777" w:rsidR="00000000" w:rsidRDefault="00EE5306">
            <w:pPr>
              <w:spacing w:after="100"/>
              <w:rPr>
                <w:rFonts w:eastAsia="Times New Roman"/>
                <w:sz w:val="20"/>
                <w:szCs w:val="20"/>
              </w:rPr>
            </w:pPr>
          </w:p>
        </w:tc>
        <w:tc>
          <w:tcPr>
            <w:tcW w:w="5" w:type="pct"/>
            <w:vAlign w:val="center"/>
            <w:hideMark/>
          </w:tcPr>
          <w:p w14:paraId="759A9367" w14:textId="77777777" w:rsidR="00000000" w:rsidRDefault="00EE5306">
            <w:pPr>
              <w:spacing w:after="100"/>
              <w:rPr>
                <w:rFonts w:eastAsia="Times New Roman"/>
                <w:sz w:val="20"/>
                <w:szCs w:val="20"/>
              </w:rPr>
            </w:pPr>
          </w:p>
        </w:tc>
        <w:tc>
          <w:tcPr>
            <w:tcW w:w="5" w:type="pct"/>
            <w:vAlign w:val="center"/>
            <w:hideMark/>
          </w:tcPr>
          <w:p w14:paraId="4615CD1B" w14:textId="77777777" w:rsidR="00000000" w:rsidRDefault="00EE5306">
            <w:pPr>
              <w:spacing w:after="100"/>
              <w:rPr>
                <w:rFonts w:eastAsia="Times New Roman"/>
                <w:sz w:val="20"/>
                <w:szCs w:val="20"/>
              </w:rPr>
            </w:pPr>
          </w:p>
        </w:tc>
        <w:tc>
          <w:tcPr>
            <w:tcW w:w="28" w:type="pct"/>
            <w:vAlign w:val="center"/>
            <w:hideMark/>
          </w:tcPr>
          <w:p w14:paraId="4D6A53DC" w14:textId="77777777" w:rsidR="00000000" w:rsidRDefault="00EE5306">
            <w:pPr>
              <w:spacing w:after="100"/>
              <w:rPr>
                <w:rFonts w:eastAsia="Times New Roman"/>
                <w:sz w:val="20"/>
                <w:szCs w:val="20"/>
              </w:rPr>
            </w:pPr>
          </w:p>
        </w:tc>
        <w:tc>
          <w:tcPr>
            <w:tcW w:w="5" w:type="pct"/>
            <w:vAlign w:val="center"/>
            <w:hideMark/>
          </w:tcPr>
          <w:p w14:paraId="031FEA9A" w14:textId="77777777" w:rsidR="00000000" w:rsidRDefault="00EE5306">
            <w:pPr>
              <w:spacing w:after="100"/>
              <w:rPr>
                <w:rFonts w:eastAsia="Times New Roman"/>
                <w:sz w:val="20"/>
                <w:szCs w:val="20"/>
              </w:rPr>
            </w:pPr>
          </w:p>
        </w:tc>
        <w:tc>
          <w:tcPr>
            <w:tcW w:w="50" w:type="pct"/>
            <w:vAlign w:val="center"/>
            <w:hideMark/>
          </w:tcPr>
          <w:p w14:paraId="7A77DAF3" w14:textId="77777777" w:rsidR="00000000" w:rsidRDefault="00EE5306">
            <w:pPr>
              <w:spacing w:after="100"/>
              <w:rPr>
                <w:rFonts w:eastAsia="Times New Roman"/>
                <w:sz w:val="20"/>
                <w:szCs w:val="20"/>
              </w:rPr>
            </w:pPr>
          </w:p>
        </w:tc>
        <w:tc>
          <w:tcPr>
            <w:tcW w:w="709" w:type="pct"/>
            <w:vAlign w:val="center"/>
            <w:hideMark/>
          </w:tcPr>
          <w:p w14:paraId="6317A7A5" w14:textId="77777777" w:rsidR="00000000" w:rsidRDefault="00EE5306">
            <w:pPr>
              <w:spacing w:after="100"/>
              <w:rPr>
                <w:rFonts w:eastAsia="Times New Roman"/>
                <w:sz w:val="20"/>
                <w:szCs w:val="20"/>
              </w:rPr>
            </w:pPr>
          </w:p>
        </w:tc>
        <w:tc>
          <w:tcPr>
            <w:tcW w:w="5" w:type="pct"/>
            <w:vAlign w:val="center"/>
            <w:hideMark/>
          </w:tcPr>
          <w:p w14:paraId="1D87502B" w14:textId="77777777" w:rsidR="00000000" w:rsidRDefault="00EE5306">
            <w:pPr>
              <w:spacing w:after="100"/>
              <w:rPr>
                <w:rFonts w:eastAsia="Times New Roman"/>
                <w:sz w:val="20"/>
                <w:szCs w:val="20"/>
              </w:rPr>
            </w:pPr>
          </w:p>
        </w:tc>
        <w:tc>
          <w:tcPr>
            <w:tcW w:w="5" w:type="pct"/>
            <w:vAlign w:val="center"/>
            <w:hideMark/>
          </w:tcPr>
          <w:p w14:paraId="6B1B3252" w14:textId="77777777" w:rsidR="00000000" w:rsidRDefault="00EE5306">
            <w:pPr>
              <w:spacing w:after="100"/>
              <w:rPr>
                <w:rFonts w:eastAsia="Times New Roman"/>
                <w:sz w:val="20"/>
                <w:szCs w:val="20"/>
              </w:rPr>
            </w:pPr>
          </w:p>
        </w:tc>
        <w:tc>
          <w:tcPr>
            <w:tcW w:w="28" w:type="pct"/>
            <w:vAlign w:val="center"/>
            <w:hideMark/>
          </w:tcPr>
          <w:p w14:paraId="0D66768B" w14:textId="77777777" w:rsidR="00000000" w:rsidRDefault="00EE5306">
            <w:pPr>
              <w:spacing w:after="100"/>
              <w:rPr>
                <w:rFonts w:eastAsia="Times New Roman"/>
                <w:sz w:val="20"/>
                <w:szCs w:val="20"/>
              </w:rPr>
            </w:pPr>
          </w:p>
        </w:tc>
        <w:tc>
          <w:tcPr>
            <w:tcW w:w="5" w:type="pct"/>
            <w:vAlign w:val="center"/>
            <w:hideMark/>
          </w:tcPr>
          <w:p w14:paraId="2EDE64A0" w14:textId="77777777" w:rsidR="00000000" w:rsidRDefault="00EE5306">
            <w:pPr>
              <w:spacing w:after="100"/>
              <w:rPr>
                <w:rFonts w:eastAsia="Times New Roman"/>
                <w:sz w:val="20"/>
                <w:szCs w:val="20"/>
              </w:rPr>
            </w:pPr>
          </w:p>
        </w:tc>
        <w:tc>
          <w:tcPr>
            <w:tcW w:w="50" w:type="pct"/>
            <w:vAlign w:val="center"/>
            <w:hideMark/>
          </w:tcPr>
          <w:p w14:paraId="24C71575" w14:textId="77777777" w:rsidR="00000000" w:rsidRDefault="00EE5306">
            <w:pPr>
              <w:spacing w:after="100"/>
              <w:rPr>
                <w:rFonts w:eastAsia="Times New Roman"/>
                <w:sz w:val="20"/>
                <w:szCs w:val="20"/>
              </w:rPr>
            </w:pPr>
          </w:p>
        </w:tc>
        <w:tc>
          <w:tcPr>
            <w:tcW w:w="709" w:type="pct"/>
            <w:vAlign w:val="center"/>
            <w:hideMark/>
          </w:tcPr>
          <w:p w14:paraId="048F005A" w14:textId="77777777" w:rsidR="00000000" w:rsidRDefault="00EE5306">
            <w:pPr>
              <w:spacing w:after="100"/>
              <w:rPr>
                <w:rFonts w:eastAsia="Times New Roman"/>
                <w:sz w:val="20"/>
                <w:szCs w:val="20"/>
              </w:rPr>
            </w:pPr>
          </w:p>
        </w:tc>
        <w:tc>
          <w:tcPr>
            <w:tcW w:w="5" w:type="pct"/>
            <w:vAlign w:val="center"/>
            <w:hideMark/>
          </w:tcPr>
          <w:p w14:paraId="7D0D1DCF" w14:textId="77777777" w:rsidR="00000000" w:rsidRDefault="00EE5306">
            <w:pPr>
              <w:spacing w:after="100"/>
              <w:rPr>
                <w:rFonts w:eastAsia="Times New Roman"/>
                <w:sz w:val="20"/>
                <w:szCs w:val="20"/>
              </w:rPr>
            </w:pPr>
          </w:p>
        </w:tc>
      </w:tr>
      <w:tr w:rsidR="00000000" w14:paraId="638E8FC1" w14:textId="77777777">
        <w:trPr>
          <w:divId w:val="203375012"/>
        </w:trPr>
        <w:tc>
          <w:tcPr>
            <w:tcW w:w="0" w:type="auto"/>
            <w:gridSpan w:val="3"/>
            <w:tcMar>
              <w:top w:w="0" w:type="dxa"/>
              <w:left w:w="20" w:type="dxa"/>
              <w:bottom w:w="0" w:type="dxa"/>
              <w:right w:w="20" w:type="dxa"/>
            </w:tcMar>
            <w:vAlign w:val="center"/>
            <w:hideMark/>
          </w:tcPr>
          <w:p w14:paraId="05308449"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4FAABB" w14:textId="77777777" w:rsidR="00000000" w:rsidRDefault="00EE530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85582FA"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3C82DDDE" w14:textId="77777777">
        <w:trPr>
          <w:divId w:val="203375012"/>
        </w:trPr>
        <w:tc>
          <w:tcPr>
            <w:tcW w:w="0" w:type="auto"/>
            <w:gridSpan w:val="3"/>
            <w:tcMar>
              <w:top w:w="0" w:type="dxa"/>
              <w:left w:w="20" w:type="dxa"/>
              <w:bottom w:w="0" w:type="dxa"/>
              <w:right w:w="20" w:type="dxa"/>
            </w:tcMar>
            <w:vAlign w:val="center"/>
            <w:hideMark/>
          </w:tcPr>
          <w:p w14:paraId="6F2DBE45"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8E95121"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9DA46C4"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5D996A3"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7749EFE"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0043D75"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DB67A68"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5138849E" w14:textId="77777777">
        <w:trPr>
          <w:divId w:val="203375012"/>
        </w:trPr>
        <w:tc>
          <w:tcPr>
            <w:tcW w:w="0" w:type="auto"/>
            <w:gridSpan w:val="3"/>
            <w:tcMar>
              <w:top w:w="0" w:type="dxa"/>
              <w:left w:w="20" w:type="dxa"/>
              <w:bottom w:w="0" w:type="dxa"/>
              <w:right w:w="20" w:type="dxa"/>
            </w:tcMar>
            <w:vAlign w:val="center"/>
            <w:hideMark/>
          </w:tcPr>
          <w:p w14:paraId="038671AF"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7C3E67E" w14:textId="77777777" w:rsidR="00000000" w:rsidRDefault="00EE530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116E5827" w14:textId="77777777" w:rsidR="00000000" w:rsidRDefault="00EE5306">
            <w:pPr>
              <w:spacing w:after="100"/>
              <w:jc w:val="center"/>
              <w:rPr>
                <w:rFonts w:eastAsia="Times New Roman"/>
              </w:rPr>
            </w:pPr>
            <w:r>
              <w:rPr>
                <w:rFonts w:eastAsia="Times New Roman"/>
                <w:b/>
                <w:bCs/>
                <w:color w:val="000000"/>
                <w:sz w:val="16"/>
                <w:szCs w:val="16"/>
              </w:rPr>
              <w:t>(in millions)</w:t>
            </w:r>
          </w:p>
        </w:tc>
      </w:tr>
      <w:tr w:rsidR="00000000" w14:paraId="50A70C7E" w14:textId="77777777">
        <w:trPr>
          <w:divId w:val="203375012"/>
        </w:trPr>
        <w:tc>
          <w:tcPr>
            <w:tcW w:w="0" w:type="auto"/>
            <w:gridSpan w:val="3"/>
            <w:shd w:val="clear" w:color="auto" w:fill="CCEEFF"/>
            <w:tcMar>
              <w:top w:w="30" w:type="dxa"/>
              <w:left w:w="20" w:type="dxa"/>
              <w:bottom w:w="30" w:type="dxa"/>
              <w:right w:w="20" w:type="dxa"/>
            </w:tcMar>
            <w:vAlign w:val="bottom"/>
            <w:hideMark/>
          </w:tcPr>
          <w:p w14:paraId="004480F0" w14:textId="77777777" w:rsidR="00000000" w:rsidRDefault="00EE5306">
            <w:pPr>
              <w:spacing w:after="100"/>
              <w:rPr>
                <w:rFonts w:eastAsia="Times New Roman"/>
              </w:rPr>
            </w:pPr>
            <w:r>
              <w:rPr>
                <w:rFonts w:eastAsia="Times New Roman"/>
                <w:color w:val="000000"/>
                <w:sz w:val="20"/>
                <w:szCs w:val="20"/>
              </w:rPr>
              <w:t>Cost of shares repurchased</w:t>
            </w:r>
          </w:p>
        </w:tc>
        <w:tc>
          <w:tcPr>
            <w:tcW w:w="0" w:type="auto"/>
            <w:gridSpan w:val="3"/>
            <w:shd w:val="clear" w:color="auto" w:fill="CCEEFF"/>
            <w:tcMar>
              <w:top w:w="0" w:type="dxa"/>
              <w:left w:w="20" w:type="dxa"/>
              <w:bottom w:w="0" w:type="dxa"/>
              <w:right w:w="20" w:type="dxa"/>
            </w:tcMar>
            <w:vAlign w:val="center"/>
            <w:hideMark/>
          </w:tcPr>
          <w:p w14:paraId="5F131B00"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AFFC87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BA2997"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DA4DB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4205F"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BAD3D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5EF96A" w14:textId="77777777" w:rsidR="00000000" w:rsidRDefault="00EE5306">
            <w:pPr>
              <w:spacing w:after="100"/>
              <w:jc w:val="right"/>
              <w:rPr>
                <w:rFonts w:eastAsia="Times New Roman"/>
              </w:rPr>
            </w:pPr>
            <w:r>
              <w:rPr>
                <w:rFonts w:eastAsia="Times New Roman"/>
                <w:color w:val="000000"/>
                <w:sz w:val="20"/>
                <w:szCs w:val="20"/>
              </w:rPr>
              <w:t>650.3 </w:t>
            </w:r>
          </w:p>
        </w:tc>
        <w:tc>
          <w:tcPr>
            <w:tcW w:w="0" w:type="auto"/>
            <w:shd w:val="clear" w:color="auto" w:fill="CCEEFF"/>
            <w:tcMar>
              <w:top w:w="30" w:type="dxa"/>
              <w:left w:w="0" w:type="dxa"/>
              <w:bottom w:w="30" w:type="dxa"/>
              <w:right w:w="20" w:type="dxa"/>
            </w:tcMar>
            <w:vAlign w:val="bottom"/>
            <w:hideMark/>
          </w:tcPr>
          <w:p w14:paraId="2493247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A8B40"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ECDB8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AFD777" w14:textId="77777777" w:rsidR="00000000" w:rsidRDefault="00EE5306">
            <w:pPr>
              <w:spacing w:after="100"/>
              <w:jc w:val="right"/>
              <w:rPr>
                <w:rFonts w:eastAsia="Times New Roman"/>
              </w:rPr>
            </w:pPr>
            <w:r>
              <w:rPr>
                <w:rFonts w:eastAsia="Times New Roman"/>
                <w:color w:val="000000"/>
                <w:sz w:val="20"/>
                <w:szCs w:val="20"/>
              </w:rPr>
              <w:t>470.0 </w:t>
            </w:r>
          </w:p>
        </w:tc>
        <w:tc>
          <w:tcPr>
            <w:tcW w:w="0" w:type="auto"/>
            <w:shd w:val="clear" w:color="auto" w:fill="CCEEFF"/>
            <w:tcMar>
              <w:top w:w="30" w:type="dxa"/>
              <w:left w:w="0" w:type="dxa"/>
              <w:bottom w:w="30" w:type="dxa"/>
              <w:right w:w="20" w:type="dxa"/>
            </w:tcMar>
            <w:vAlign w:val="bottom"/>
            <w:hideMark/>
          </w:tcPr>
          <w:p w14:paraId="70E9B3E3" w14:textId="77777777" w:rsidR="00000000" w:rsidRDefault="00EE5306">
            <w:pPr>
              <w:spacing w:after="100"/>
              <w:jc w:val="right"/>
              <w:rPr>
                <w:rFonts w:eastAsia="Times New Roman"/>
              </w:rPr>
            </w:pPr>
          </w:p>
        </w:tc>
      </w:tr>
      <w:tr w:rsidR="00000000" w14:paraId="192A0E89" w14:textId="77777777">
        <w:trPr>
          <w:divId w:val="203375012"/>
        </w:trPr>
        <w:tc>
          <w:tcPr>
            <w:tcW w:w="0" w:type="auto"/>
            <w:gridSpan w:val="3"/>
            <w:shd w:val="clear" w:color="auto" w:fill="FFFFFF"/>
            <w:tcMar>
              <w:top w:w="30" w:type="dxa"/>
              <w:left w:w="20" w:type="dxa"/>
              <w:bottom w:w="30" w:type="dxa"/>
              <w:right w:w="20" w:type="dxa"/>
            </w:tcMar>
            <w:vAlign w:val="bottom"/>
            <w:hideMark/>
          </w:tcPr>
          <w:p w14:paraId="33970F85" w14:textId="77777777" w:rsidR="00000000" w:rsidRDefault="00EE5306">
            <w:pPr>
              <w:spacing w:after="100"/>
              <w:rPr>
                <w:rFonts w:eastAsia="Times New Roman"/>
              </w:rPr>
            </w:pPr>
            <w:r>
              <w:rPr>
                <w:rFonts w:eastAsia="Times New Roman"/>
                <w:color w:val="000000"/>
                <w:sz w:val="20"/>
                <w:szCs w:val="20"/>
              </w:rPr>
              <w:t>Number of shares repurchased</w:t>
            </w:r>
          </w:p>
        </w:tc>
        <w:tc>
          <w:tcPr>
            <w:tcW w:w="0" w:type="auto"/>
            <w:gridSpan w:val="3"/>
            <w:shd w:val="clear" w:color="auto" w:fill="FFFFFF"/>
            <w:tcMar>
              <w:top w:w="0" w:type="dxa"/>
              <w:left w:w="20" w:type="dxa"/>
              <w:bottom w:w="0" w:type="dxa"/>
              <w:right w:w="20" w:type="dxa"/>
            </w:tcMar>
            <w:vAlign w:val="center"/>
            <w:hideMark/>
          </w:tcPr>
          <w:p w14:paraId="453B41A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5353F5"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C883C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73E50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25E374" w14:textId="77777777" w:rsidR="00000000" w:rsidRDefault="00EE5306">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14:paraId="6C93D5E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19CA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6403F1" w14:textId="77777777" w:rsidR="00000000" w:rsidRDefault="00EE5306">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10F81AD5" w14:textId="77777777" w:rsidR="00000000" w:rsidRDefault="00EE5306">
            <w:pPr>
              <w:spacing w:after="100"/>
              <w:jc w:val="right"/>
              <w:rPr>
                <w:rFonts w:eastAsia="Times New Roman"/>
              </w:rPr>
            </w:pPr>
          </w:p>
        </w:tc>
      </w:tr>
    </w:tbl>
    <w:p w14:paraId="7D7C573C" w14:textId="77777777" w:rsidR="00000000" w:rsidRDefault="00EE5306">
      <w:pPr>
        <w:ind w:firstLine="540"/>
        <w:jc w:val="both"/>
        <w:divId w:val="1352535612"/>
        <w:rPr>
          <w:rFonts w:eastAsia="Times New Roman"/>
        </w:rPr>
      </w:pPr>
      <w:r>
        <w:rPr>
          <w:rFonts w:eastAsia="Times New Roman"/>
          <w:color w:val="000000"/>
          <w:sz w:val="20"/>
          <w:szCs w:val="20"/>
        </w:rPr>
        <w:t xml:space="preserve">On May 13, 2019, the Company's Board of Directors approved an expansion of the Company's existing common stock repurchase program that allowed it to repurchase up to an additional $600 million of Class </w:t>
      </w:r>
      <w:r>
        <w:rPr>
          <w:rFonts w:eastAsia="Times New Roman"/>
          <w:color w:val="000000"/>
          <w:sz w:val="20"/>
          <w:szCs w:val="20"/>
        </w:rPr>
        <w:t>A common stock. As of March 27, 2021, the remaining availability under the Company's Class A common stock repurchase program was approximately $580 million. Repurchases of shares of Class A common stock are subject to certain restrictions under the Company</w:t>
      </w:r>
      <w:r>
        <w:rPr>
          <w:rFonts w:eastAsia="Times New Roman"/>
          <w:color w:val="000000"/>
          <w:sz w:val="20"/>
          <w:szCs w:val="20"/>
        </w:rPr>
        <w:t>'s Global Credit Facility and more generally overall business and market conditions. Accordingly, as a result of business disruptions related to the COVID-19 pandemic, effective beginning in the first quarter of Fiscal 2021 the Company temporarily suspende</w:t>
      </w:r>
      <w:r>
        <w:rPr>
          <w:rFonts w:eastAsia="Times New Roman"/>
          <w:color w:val="000000"/>
          <w:sz w:val="20"/>
          <w:szCs w:val="20"/>
        </w:rPr>
        <w:t xml:space="preserve">d its common stock repurchase program as a preemptive action to preserve cash and strengthen its liquidity position. </w:t>
      </w:r>
    </w:p>
    <w:p w14:paraId="262BA537" w14:textId="77777777" w:rsidR="00000000" w:rsidRDefault="00EE5306">
      <w:pPr>
        <w:ind w:firstLine="540"/>
        <w:jc w:val="both"/>
        <w:divId w:val="687489304"/>
        <w:rPr>
          <w:rFonts w:eastAsia="Times New Roman"/>
        </w:rPr>
      </w:pPr>
      <w:r>
        <w:rPr>
          <w:rFonts w:eastAsia="Times New Roman"/>
          <w:color w:val="000000"/>
          <w:sz w:val="20"/>
          <w:szCs w:val="20"/>
        </w:rPr>
        <w:t>In addition, during Fiscal 2021, Fiscal 2020, and Fiscal 2019, 0.5 million, 0.4 million, and 0.3 million shares of Class A common stock, r</w:t>
      </w:r>
      <w:r>
        <w:rPr>
          <w:rFonts w:eastAsia="Times New Roman"/>
          <w:color w:val="000000"/>
          <w:sz w:val="20"/>
          <w:szCs w:val="20"/>
        </w:rPr>
        <w:t>espectively, at a cost of $37.7 million, $44.5 million, and $32.6 million, respectively, were surrendered to or withheld by the Company in satisfaction of withholding taxes in connection with the vesting of awards under the Company's long-term stock incent</w:t>
      </w:r>
      <w:r>
        <w:rPr>
          <w:rFonts w:eastAsia="Times New Roman"/>
          <w:color w:val="000000"/>
          <w:sz w:val="20"/>
          <w:szCs w:val="20"/>
        </w:rPr>
        <w:t>ive plans.</w:t>
      </w:r>
    </w:p>
    <w:p w14:paraId="736DF1BD" w14:textId="77777777" w:rsidR="00000000" w:rsidRDefault="00EE5306">
      <w:pPr>
        <w:ind w:firstLine="540"/>
        <w:jc w:val="both"/>
        <w:divId w:val="1045639619"/>
        <w:rPr>
          <w:rFonts w:eastAsia="Times New Roman"/>
        </w:rPr>
      </w:pPr>
      <w:r>
        <w:rPr>
          <w:rFonts w:eastAsia="Times New Roman"/>
          <w:color w:val="000000"/>
          <w:sz w:val="20"/>
          <w:szCs w:val="20"/>
        </w:rPr>
        <w:t>Repurchased and surrendered shares are accounted for as treasury stock at cost and held in treasury for future use.</w:t>
      </w:r>
    </w:p>
    <w:p w14:paraId="5BDFD9CB" w14:textId="77777777" w:rsidR="00000000" w:rsidRDefault="00EE5306">
      <w:pPr>
        <w:ind w:firstLine="360"/>
        <w:jc w:val="both"/>
        <w:divId w:val="260846335"/>
        <w:rPr>
          <w:rFonts w:eastAsia="Times New Roman"/>
        </w:rPr>
      </w:pPr>
      <w:r>
        <w:rPr>
          <w:rFonts w:eastAsia="Times New Roman"/>
          <w:b/>
          <w:bCs/>
          <w:i/>
          <w:iCs/>
          <w:color w:val="000000"/>
          <w:sz w:val="20"/>
          <w:szCs w:val="20"/>
        </w:rPr>
        <w:t>Dividends</w:t>
      </w:r>
    </w:p>
    <w:p w14:paraId="35B31D95" w14:textId="77777777" w:rsidR="00000000" w:rsidRDefault="00EE5306">
      <w:pPr>
        <w:ind w:firstLine="540"/>
        <w:jc w:val="both"/>
        <w:divId w:val="16851767"/>
        <w:rPr>
          <w:rFonts w:eastAsia="Times New Roman"/>
        </w:rPr>
      </w:pPr>
      <w:r>
        <w:rPr>
          <w:rFonts w:eastAsia="Times New Roman"/>
          <w:color w:val="000000"/>
          <w:sz w:val="20"/>
          <w:szCs w:val="20"/>
        </w:rPr>
        <w:t>Except as discussed below, the Company has maintained a regular quarterly cash dividend program on its common stock sin</w:t>
      </w:r>
      <w:r>
        <w:rPr>
          <w:rFonts w:eastAsia="Times New Roman"/>
          <w:color w:val="000000"/>
          <w:sz w:val="20"/>
          <w:szCs w:val="20"/>
        </w:rPr>
        <w:t>ce 2003. On May 13, 2019, the Company's Board of Directors approved an increase to the Company's quarterly cash dividend on its common stock from $0.625 to $0.6875 per share.</w:t>
      </w:r>
    </w:p>
    <w:p w14:paraId="3382B8FE" w14:textId="77777777" w:rsidR="00000000" w:rsidRDefault="00EE5306">
      <w:pPr>
        <w:ind w:firstLine="540"/>
        <w:jc w:val="both"/>
        <w:divId w:val="312221093"/>
        <w:rPr>
          <w:rFonts w:eastAsia="Times New Roman"/>
        </w:rPr>
      </w:pPr>
      <w:r>
        <w:rPr>
          <w:rFonts w:eastAsia="Times New Roman"/>
          <w:color w:val="000000"/>
          <w:sz w:val="20"/>
          <w:szCs w:val="20"/>
        </w:rPr>
        <w:t>As a result of business disruptions related to the COVID-19 pandemic, effective b</w:t>
      </w:r>
      <w:r>
        <w:rPr>
          <w:rFonts w:eastAsia="Times New Roman"/>
          <w:color w:val="000000"/>
          <w:sz w:val="20"/>
          <w:szCs w:val="20"/>
        </w:rPr>
        <w:t>eginning in the first quarter of Fiscal 2021 the Company temporarily suspended its quarterly cash dividend program as a preemptive action to preserve cash and strengthen its liquidity position. On May 19, 2021, the Company's Board of Directors approved the</w:t>
      </w:r>
      <w:r>
        <w:rPr>
          <w:rFonts w:eastAsia="Times New Roman"/>
          <w:color w:val="000000"/>
          <w:sz w:val="20"/>
          <w:szCs w:val="20"/>
        </w:rPr>
        <w:t xml:space="preserve"> reinstatement of its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D091E27" w14:textId="77777777">
        <w:trPr>
          <w:divId w:val="820082310"/>
          <w:jc w:val="center"/>
        </w:trPr>
        <w:tc>
          <w:tcPr>
            <w:tcW w:w="50" w:type="pct"/>
            <w:vAlign w:val="center"/>
            <w:hideMark/>
          </w:tcPr>
          <w:p w14:paraId="38FFB646" w14:textId="77777777" w:rsidR="00000000" w:rsidRDefault="00EE5306">
            <w:pPr>
              <w:ind w:firstLine="540"/>
              <w:jc w:val="both"/>
              <w:rPr>
                <w:rFonts w:eastAsia="Times New Roman"/>
              </w:rPr>
            </w:pPr>
          </w:p>
        </w:tc>
        <w:tc>
          <w:tcPr>
            <w:tcW w:w="1699" w:type="pct"/>
            <w:vAlign w:val="center"/>
            <w:hideMark/>
          </w:tcPr>
          <w:p w14:paraId="450078A4" w14:textId="77777777" w:rsidR="00000000" w:rsidRDefault="00EE5306">
            <w:pPr>
              <w:spacing w:after="100"/>
              <w:rPr>
                <w:rFonts w:eastAsia="Times New Roman"/>
                <w:sz w:val="20"/>
                <w:szCs w:val="20"/>
              </w:rPr>
            </w:pPr>
          </w:p>
        </w:tc>
        <w:tc>
          <w:tcPr>
            <w:tcW w:w="5" w:type="pct"/>
            <w:vAlign w:val="center"/>
            <w:hideMark/>
          </w:tcPr>
          <w:p w14:paraId="3E2103EB" w14:textId="77777777" w:rsidR="00000000" w:rsidRDefault="00EE5306">
            <w:pPr>
              <w:spacing w:after="100"/>
              <w:rPr>
                <w:rFonts w:eastAsia="Times New Roman"/>
                <w:sz w:val="20"/>
                <w:szCs w:val="20"/>
              </w:rPr>
            </w:pPr>
          </w:p>
        </w:tc>
        <w:tc>
          <w:tcPr>
            <w:tcW w:w="50" w:type="pct"/>
            <w:vAlign w:val="center"/>
            <w:hideMark/>
          </w:tcPr>
          <w:p w14:paraId="13A02E22" w14:textId="77777777" w:rsidR="00000000" w:rsidRDefault="00EE5306">
            <w:pPr>
              <w:spacing w:after="100"/>
              <w:rPr>
                <w:rFonts w:eastAsia="Times New Roman"/>
                <w:sz w:val="20"/>
                <w:szCs w:val="20"/>
              </w:rPr>
            </w:pPr>
          </w:p>
        </w:tc>
        <w:tc>
          <w:tcPr>
            <w:tcW w:w="1436" w:type="pct"/>
            <w:vAlign w:val="center"/>
            <w:hideMark/>
          </w:tcPr>
          <w:p w14:paraId="03168714" w14:textId="77777777" w:rsidR="00000000" w:rsidRDefault="00EE5306">
            <w:pPr>
              <w:spacing w:after="100"/>
              <w:rPr>
                <w:rFonts w:eastAsia="Times New Roman"/>
                <w:sz w:val="20"/>
                <w:szCs w:val="20"/>
              </w:rPr>
            </w:pPr>
          </w:p>
        </w:tc>
        <w:tc>
          <w:tcPr>
            <w:tcW w:w="5" w:type="pct"/>
            <w:vAlign w:val="center"/>
            <w:hideMark/>
          </w:tcPr>
          <w:p w14:paraId="1248AAA3" w14:textId="77777777" w:rsidR="00000000" w:rsidRDefault="00EE5306">
            <w:pPr>
              <w:spacing w:after="100"/>
              <w:rPr>
                <w:rFonts w:eastAsia="Times New Roman"/>
                <w:sz w:val="20"/>
                <w:szCs w:val="20"/>
              </w:rPr>
            </w:pPr>
          </w:p>
        </w:tc>
        <w:tc>
          <w:tcPr>
            <w:tcW w:w="50" w:type="pct"/>
            <w:vAlign w:val="center"/>
            <w:hideMark/>
          </w:tcPr>
          <w:p w14:paraId="08C6F4AE" w14:textId="77777777" w:rsidR="00000000" w:rsidRDefault="00EE5306">
            <w:pPr>
              <w:spacing w:after="100"/>
              <w:rPr>
                <w:rFonts w:eastAsia="Times New Roman"/>
                <w:sz w:val="20"/>
                <w:szCs w:val="20"/>
              </w:rPr>
            </w:pPr>
          </w:p>
        </w:tc>
        <w:tc>
          <w:tcPr>
            <w:tcW w:w="1699" w:type="pct"/>
            <w:vAlign w:val="center"/>
            <w:hideMark/>
          </w:tcPr>
          <w:p w14:paraId="53A569F0" w14:textId="77777777" w:rsidR="00000000" w:rsidRDefault="00EE5306">
            <w:pPr>
              <w:spacing w:after="100"/>
              <w:rPr>
                <w:rFonts w:eastAsia="Times New Roman"/>
                <w:sz w:val="20"/>
                <w:szCs w:val="20"/>
              </w:rPr>
            </w:pPr>
          </w:p>
        </w:tc>
        <w:tc>
          <w:tcPr>
            <w:tcW w:w="5" w:type="pct"/>
            <w:vAlign w:val="center"/>
            <w:hideMark/>
          </w:tcPr>
          <w:p w14:paraId="0BDDF4E8" w14:textId="77777777" w:rsidR="00000000" w:rsidRDefault="00EE5306">
            <w:pPr>
              <w:spacing w:after="100"/>
              <w:rPr>
                <w:rFonts w:eastAsia="Times New Roman"/>
                <w:sz w:val="20"/>
                <w:szCs w:val="20"/>
              </w:rPr>
            </w:pPr>
          </w:p>
        </w:tc>
      </w:tr>
      <w:tr w:rsidR="00000000" w14:paraId="1C49F1E4" w14:textId="77777777">
        <w:trPr>
          <w:divId w:val="820082310"/>
          <w:jc w:val="center"/>
        </w:trPr>
        <w:tc>
          <w:tcPr>
            <w:tcW w:w="0" w:type="auto"/>
            <w:gridSpan w:val="3"/>
            <w:tcMar>
              <w:top w:w="0" w:type="dxa"/>
              <w:left w:w="20" w:type="dxa"/>
              <w:bottom w:w="0" w:type="dxa"/>
              <w:right w:w="20" w:type="dxa"/>
            </w:tcMar>
            <w:vAlign w:val="center"/>
            <w:hideMark/>
          </w:tcPr>
          <w:p w14:paraId="41D6AF0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04CEB2" w14:textId="77777777" w:rsidR="00000000" w:rsidRDefault="00EE5306">
            <w:pPr>
              <w:spacing w:after="100"/>
              <w:jc w:val="center"/>
              <w:rPr>
                <w:rFonts w:eastAsia="Times New Roman"/>
              </w:rPr>
            </w:pPr>
            <w:r>
              <w:rPr>
                <w:rFonts w:eastAsia="Times New Roman"/>
                <w:color w:val="000000"/>
                <w:sz w:val="20"/>
                <w:szCs w:val="20"/>
              </w:rPr>
              <w:t>F-45</w:t>
            </w:r>
          </w:p>
        </w:tc>
        <w:tc>
          <w:tcPr>
            <w:tcW w:w="0" w:type="auto"/>
            <w:gridSpan w:val="3"/>
            <w:tcMar>
              <w:top w:w="0" w:type="dxa"/>
              <w:left w:w="20" w:type="dxa"/>
              <w:bottom w:w="0" w:type="dxa"/>
              <w:right w:w="20" w:type="dxa"/>
            </w:tcMar>
            <w:vAlign w:val="center"/>
            <w:hideMark/>
          </w:tcPr>
          <w:p w14:paraId="277A5CE1" w14:textId="77777777" w:rsidR="00000000" w:rsidRDefault="00EE5306">
            <w:pPr>
              <w:spacing w:after="100"/>
              <w:jc w:val="center"/>
              <w:rPr>
                <w:rFonts w:eastAsia="Times New Roman"/>
              </w:rPr>
            </w:pPr>
          </w:p>
        </w:tc>
      </w:tr>
    </w:tbl>
    <w:p w14:paraId="5BD17C9C" w14:textId="77777777" w:rsidR="00000000" w:rsidRDefault="00EE5306">
      <w:pPr>
        <w:rPr>
          <w:rFonts w:eastAsia="Times New Roman"/>
        </w:rPr>
      </w:pPr>
      <w:r>
        <w:rPr>
          <w:rFonts w:eastAsia="Times New Roman"/>
        </w:rPr>
        <w:pict w14:anchorId="6CD1D354">
          <v:rect id="_x0000_i1155" style="width:0;height:1.5pt" o:hralign="center" o:hrstd="t" o:hr="t" fillcolor="#a0a0a0" stroked="f"/>
        </w:pict>
      </w:r>
    </w:p>
    <w:p w14:paraId="0EA66323" w14:textId="77777777" w:rsidR="00000000" w:rsidRDefault="00EE5306">
      <w:pPr>
        <w:jc w:val="center"/>
        <w:divId w:val="571887691"/>
        <w:rPr>
          <w:rFonts w:eastAsia="Times New Roman"/>
        </w:rPr>
      </w:pPr>
    </w:p>
    <w:p w14:paraId="2035EFDD" w14:textId="77777777" w:rsidR="00000000" w:rsidRDefault="00EE5306">
      <w:pPr>
        <w:jc w:val="center"/>
        <w:divId w:val="571887691"/>
        <w:rPr>
          <w:rFonts w:eastAsia="Times New Roman"/>
        </w:rPr>
      </w:pPr>
      <w:r>
        <w:rPr>
          <w:rFonts w:eastAsia="Times New Roman"/>
          <w:b/>
          <w:bCs/>
          <w:color w:val="000000"/>
          <w:sz w:val="20"/>
          <w:szCs w:val="20"/>
        </w:rPr>
        <w:t>RALPH LAUREN CORPORATION</w:t>
      </w:r>
    </w:p>
    <w:p w14:paraId="503FA2F6" w14:textId="77777777" w:rsidR="00000000" w:rsidRDefault="00EE5306">
      <w:pPr>
        <w:jc w:val="center"/>
        <w:divId w:val="235554808"/>
        <w:rPr>
          <w:rFonts w:eastAsia="Times New Roman"/>
        </w:rPr>
      </w:pPr>
      <w:r>
        <w:rPr>
          <w:rFonts w:eastAsia="Times New Roman"/>
          <w:b/>
          <w:bCs/>
          <w:color w:val="000000"/>
          <w:sz w:val="20"/>
          <w:szCs w:val="20"/>
        </w:rPr>
        <w:t>NOTES TO CONSOLIDATED FINANCIAL STATEMENTS (Continued)</w:t>
      </w:r>
    </w:p>
    <w:p w14:paraId="345BA19E" w14:textId="77777777" w:rsidR="00000000" w:rsidRDefault="00EE5306">
      <w:pPr>
        <w:jc w:val="both"/>
        <w:divId w:val="1946158111"/>
        <w:rPr>
          <w:rFonts w:eastAsia="Times New Roman"/>
        </w:rPr>
      </w:pPr>
      <w:r>
        <w:rPr>
          <w:rFonts w:eastAsia="Times New Roman"/>
          <w:color w:val="000000"/>
          <w:sz w:val="20"/>
          <w:szCs w:val="20"/>
        </w:rPr>
        <w:t xml:space="preserve">quarterly cash dividend program at the pre-pandemic amount of $0.6875 </w:t>
      </w:r>
      <w:r>
        <w:rPr>
          <w:rFonts w:eastAsia="Times New Roman"/>
          <w:color w:val="000000"/>
          <w:sz w:val="20"/>
          <w:szCs w:val="20"/>
        </w:rPr>
        <w:t>per share. The first quarterly dividend since such reinstatement will be payable to shareholders of record at the close of business on June 25, 2021, and will be paid on July 9, 2021.</w:t>
      </w:r>
    </w:p>
    <w:p w14:paraId="3A53F39B" w14:textId="77777777" w:rsidR="00000000" w:rsidRDefault="00EE5306">
      <w:pPr>
        <w:ind w:firstLine="540"/>
        <w:jc w:val="both"/>
        <w:divId w:val="265238511"/>
        <w:rPr>
          <w:rFonts w:eastAsia="Times New Roman"/>
        </w:rPr>
      </w:pPr>
      <w:r>
        <w:rPr>
          <w:rFonts w:eastAsia="Times New Roman"/>
          <w:color w:val="000000"/>
          <w:sz w:val="20"/>
          <w:szCs w:val="20"/>
        </w:rPr>
        <w:t>The Company intends to pay regular dividends on its outstanding common s</w:t>
      </w:r>
      <w:r>
        <w:rPr>
          <w:rFonts w:eastAsia="Times New Roman"/>
          <w:color w:val="000000"/>
          <w:sz w:val="20"/>
          <w:szCs w:val="20"/>
        </w:rPr>
        <w:t>tock. However, any decision to declare and pay dividends in the future will be made at the discretion of the Company's Board of Directors and will depend on the Company's results of operations, cash requirements, financial condition, and other factors that</w:t>
      </w:r>
      <w:r>
        <w:rPr>
          <w:rFonts w:eastAsia="Times New Roman"/>
          <w:color w:val="000000"/>
          <w:sz w:val="20"/>
          <w:szCs w:val="20"/>
        </w:rPr>
        <w:t xml:space="preserve"> the Board of Directors may deem relevant, including economic and market conditions.</w:t>
      </w:r>
    </w:p>
    <w:p w14:paraId="41B5468B" w14:textId="77777777" w:rsidR="00000000" w:rsidRDefault="00EE5306">
      <w:pPr>
        <w:ind w:hanging="540"/>
        <w:jc w:val="both"/>
        <w:divId w:val="1493374107"/>
        <w:rPr>
          <w:rFonts w:eastAsia="Times New Roman"/>
        </w:rPr>
      </w:pPr>
      <w:r>
        <w:rPr>
          <w:rFonts w:eastAsia="Times New Roman"/>
          <w:b/>
          <w:bCs/>
          <w:color w:val="000000"/>
          <w:sz w:val="20"/>
          <w:szCs w:val="20"/>
        </w:rPr>
        <w:t>17.    Accumulated Other Comprehensive Income (Loss)</w:t>
      </w:r>
    </w:p>
    <w:p w14:paraId="6260160A" w14:textId="77777777" w:rsidR="00000000" w:rsidRDefault="00EE5306">
      <w:pPr>
        <w:ind w:firstLine="540"/>
        <w:jc w:val="both"/>
        <w:divId w:val="389890730"/>
        <w:rPr>
          <w:rFonts w:eastAsia="Times New Roman"/>
        </w:rPr>
      </w:pPr>
      <w:r>
        <w:rPr>
          <w:rFonts w:eastAsia="Times New Roman"/>
          <w:color w:val="000000"/>
          <w:sz w:val="20"/>
          <w:szCs w:val="20"/>
        </w:rPr>
        <w:t>The following table presents OCI activity, net of tax, accumulated in equity:</w:t>
      </w:r>
    </w:p>
    <w:tbl>
      <w:tblPr>
        <w:tblW w:w="4773" w:type="pct"/>
        <w:tblCellMar>
          <w:top w:w="15" w:type="dxa"/>
          <w:left w:w="15" w:type="dxa"/>
          <w:bottom w:w="15" w:type="dxa"/>
          <w:right w:w="15" w:type="dxa"/>
        </w:tblCellMar>
        <w:tblLook w:val="04A0" w:firstRow="1" w:lastRow="0" w:firstColumn="1" w:lastColumn="0" w:noHBand="0" w:noVBand="1"/>
      </w:tblPr>
      <w:tblGrid>
        <w:gridCol w:w="40"/>
        <w:gridCol w:w="3417"/>
        <w:gridCol w:w="39"/>
        <w:gridCol w:w="36"/>
        <w:gridCol w:w="36"/>
        <w:gridCol w:w="36"/>
        <w:gridCol w:w="111"/>
        <w:gridCol w:w="800"/>
        <w:gridCol w:w="36"/>
        <w:gridCol w:w="36"/>
        <w:gridCol w:w="36"/>
        <w:gridCol w:w="36"/>
        <w:gridCol w:w="111"/>
        <w:gridCol w:w="800"/>
        <w:gridCol w:w="36"/>
        <w:gridCol w:w="36"/>
        <w:gridCol w:w="36"/>
        <w:gridCol w:w="36"/>
        <w:gridCol w:w="111"/>
        <w:gridCol w:w="801"/>
        <w:gridCol w:w="36"/>
        <w:gridCol w:w="36"/>
        <w:gridCol w:w="36"/>
        <w:gridCol w:w="36"/>
        <w:gridCol w:w="111"/>
        <w:gridCol w:w="1012"/>
        <w:gridCol w:w="36"/>
      </w:tblGrid>
      <w:tr w:rsidR="00000000" w14:paraId="19781461" w14:textId="77777777">
        <w:trPr>
          <w:divId w:val="1804812490"/>
        </w:trPr>
        <w:tc>
          <w:tcPr>
            <w:tcW w:w="50" w:type="pct"/>
            <w:vAlign w:val="center"/>
            <w:hideMark/>
          </w:tcPr>
          <w:p w14:paraId="1B3A6BC8" w14:textId="77777777" w:rsidR="00000000" w:rsidRDefault="00EE5306">
            <w:pPr>
              <w:ind w:firstLine="540"/>
              <w:jc w:val="both"/>
              <w:rPr>
                <w:rFonts w:eastAsia="Times New Roman"/>
              </w:rPr>
            </w:pPr>
          </w:p>
        </w:tc>
        <w:tc>
          <w:tcPr>
            <w:tcW w:w="2219" w:type="pct"/>
            <w:vAlign w:val="center"/>
            <w:hideMark/>
          </w:tcPr>
          <w:p w14:paraId="2B458B95" w14:textId="77777777" w:rsidR="00000000" w:rsidRDefault="00EE5306">
            <w:pPr>
              <w:spacing w:after="100"/>
              <w:rPr>
                <w:rFonts w:eastAsia="Times New Roman"/>
                <w:sz w:val="20"/>
                <w:szCs w:val="20"/>
              </w:rPr>
            </w:pPr>
          </w:p>
        </w:tc>
        <w:tc>
          <w:tcPr>
            <w:tcW w:w="5" w:type="pct"/>
            <w:vAlign w:val="center"/>
            <w:hideMark/>
          </w:tcPr>
          <w:p w14:paraId="2608A840" w14:textId="77777777" w:rsidR="00000000" w:rsidRDefault="00EE5306">
            <w:pPr>
              <w:spacing w:after="100"/>
              <w:rPr>
                <w:rFonts w:eastAsia="Times New Roman"/>
                <w:sz w:val="20"/>
                <w:szCs w:val="20"/>
              </w:rPr>
            </w:pPr>
          </w:p>
        </w:tc>
        <w:tc>
          <w:tcPr>
            <w:tcW w:w="5" w:type="pct"/>
            <w:vAlign w:val="center"/>
            <w:hideMark/>
          </w:tcPr>
          <w:p w14:paraId="352B5FEA" w14:textId="77777777" w:rsidR="00000000" w:rsidRDefault="00EE5306">
            <w:pPr>
              <w:spacing w:after="100"/>
              <w:rPr>
                <w:rFonts w:eastAsia="Times New Roman"/>
                <w:sz w:val="20"/>
                <w:szCs w:val="20"/>
              </w:rPr>
            </w:pPr>
          </w:p>
        </w:tc>
        <w:tc>
          <w:tcPr>
            <w:tcW w:w="28" w:type="pct"/>
            <w:vAlign w:val="center"/>
            <w:hideMark/>
          </w:tcPr>
          <w:p w14:paraId="5C0B647B" w14:textId="77777777" w:rsidR="00000000" w:rsidRDefault="00EE5306">
            <w:pPr>
              <w:spacing w:after="100"/>
              <w:rPr>
                <w:rFonts w:eastAsia="Times New Roman"/>
                <w:sz w:val="20"/>
                <w:szCs w:val="20"/>
              </w:rPr>
            </w:pPr>
          </w:p>
        </w:tc>
        <w:tc>
          <w:tcPr>
            <w:tcW w:w="5" w:type="pct"/>
            <w:vAlign w:val="center"/>
            <w:hideMark/>
          </w:tcPr>
          <w:p w14:paraId="3C1A9FAC" w14:textId="77777777" w:rsidR="00000000" w:rsidRDefault="00EE5306">
            <w:pPr>
              <w:spacing w:after="100"/>
              <w:rPr>
                <w:rFonts w:eastAsia="Times New Roman"/>
                <w:sz w:val="20"/>
                <w:szCs w:val="20"/>
              </w:rPr>
            </w:pPr>
          </w:p>
        </w:tc>
        <w:tc>
          <w:tcPr>
            <w:tcW w:w="50" w:type="pct"/>
            <w:vAlign w:val="center"/>
            <w:hideMark/>
          </w:tcPr>
          <w:p w14:paraId="646C4CEB" w14:textId="77777777" w:rsidR="00000000" w:rsidRDefault="00EE5306">
            <w:pPr>
              <w:spacing w:after="100"/>
              <w:rPr>
                <w:rFonts w:eastAsia="Times New Roman"/>
                <w:sz w:val="20"/>
                <w:szCs w:val="20"/>
              </w:rPr>
            </w:pPr>
          </w:p>
        </w:tc>
        <w:tc>
          <w:tcPr>
            <w:tcW w:w="588" w:type="pct"/>
            <w:vAlign w:val="center"/>
            <w:hideMark/>
          </w:tcPr>
          <w:p w14:paraId="29CFBF7F" w14:textId="77777777" w:rsidR="00000000" w:rsidRDefault="00EE5306">
            <w:pPr>
              <w:spacing w:after="100"/>
              <w:rPr>
                <w:rFonts w:eastAsia="Times New Roman"/>
                <w:sz w:val="20"/>
                <w:szCs w:val="20"/>
              </w:rPr>
            </w:pPr>
          </w:p>
        </w:tc>
        <w:tc>
          <w:tcPr>
            <w:tcW w:w="5" w:type="pct"/>
            <w:vAlign w:val="center"/>
            <w:hideMark/>
          </w:tcPr>
          <w:p w14:paraId="21F222BC" w14:textId="77777777" w:rsidR="00000000" w:rsidRDefault="00EE5306">
            <w:pPr>
              <w:spacing w:after="100"/>
              <w:rPr>
                <w:rFonts w:eastAsia="Times New Roman"/>
                <w:sz w:val="20"/>
                <w:szCs w:val="20"/>
              </w:rPr>
            </w:pPr>
          </w:p>
        </w:tc>
        <w:tc>
          <w:tcPr>
            <w:tcW w:w="5" w:type="pct"/>
            <w:vAlign w:val="center"/>
            <w:hideMark/>
          </w:tcPr>
          <w:p w14:paraId="612B5798" w14:textId="77777777" w:rsidR="00000000" w:rsidRDefault="00EE5306">
            <w:pPr>
              <w:spacing w:after="100"/>
              <w:rPr>
                <w:rFonts w:eastAsia="Times New Roman"/>
                <w:sz w:val="20"/>
                <w:szCs w:val="20"/>
              </w:rPr>
            </w:pPr>
          </w:p>
        </w:tc>
        <w:tc>
          <w:tcPr>
            <w:tcW w:w="28" w:type="pct"/>
            <w:vAlign w:val="center"/>
            <w:hideMark/>
          </w:tcPr>
          <w:p w14:paraId="56CC3F21" w14:textId="77777777" w:rsidR="00000000" w:rsidRDefault="00EE5306">
            <w:pPr>
              <w:spacing w:after="100"/>
              <w:rPr>
                <w:rFonts w:eastAsia="Times New Roman"/>
                <w:sz w:val="20"/>
                <w:szCs w:val="20"/>
              </w:rPr>
            </w:pPr>
          </w:p>
        </w:tc>
        <w:tc>
          <w:tcPr>
            <w:tcW w:w="5" w:type="pct"/>
            <w:vAlign w:val="center"/>
            <w:hideMark/>
          </w:tcPr>
          <w:p w14:paraId="749EB7D1" w14:textId="77777777" w:rsidR="00000000" w:rsidRDefault="00EE5306">
            <w:pPr>
              <w:spacing w:after="100"/>
              <w:rPr>
                <w:rFonts w:eastAsia="Times New Roman"/>
                <w:sz w:val="20"/>
                <w:szCs w:val="20"/>
              </w:rPr>
            </w:pPr>
          </w:p>
        </w:tc>
        <w:tc>
          <w:tcPr>
            <w:tcW w:w="50" w:type="pct"/>
            <w:vAlign w:val="center"/>
            <w:hideMark/>
          </w:tcPr>
          <w:p w14:paraId="07FEBD2C" w14:textId="77777777" w:rsidR="00000000" w:rsidRDefault="00EE5306">
            <w:pPr>
              <w:spacing w:after="100"/>
              <w:rPr>
                <w:rFonts w:eastAsia="Times New Roman"/>
                <w:sz w:val="20"/>
                <w:szCs w:val="20"/>
              </w:rPr>
            </w:pPr>
          </w:p>
        </w:tc>
        <w:tc>
          <w:tcPr>
            <w:tcW w:w="588" w:type="pct"/>
            <w:vAlign w:val="center"/>
            <w:hideMark/>
          </w:tcPr>
          <w:p w14:paraId="52ABF85B" w14:textId="77777777" w:rsidR="00000000" w:rsidRDefault="00EE5306">
            <w:pPr>
              <w:spacing w:after="100"/>
              <w:rPr>
                <w:rFonts w:eastAsia="Times New Roman"/>
                <w:sz w:val="20"/>
                <w:szCs w:val="20"/>
              </w:rPr>
            </w:pPr>
          </w:p>
        </w:tc>
        <w:tc>
          <w:tcPr>
            <w:tcW w:w="5" w:type="pct"/>
            <w:vAlign w:val="center"/>
            <w:hideMark/>
          </w:tcPr>
          <w:p w14:paraId="2A639DD1" w14:textId="77777777" w:rsidR="00000000" w:rsidRDefault="00EE5306">
            <w:pPr>
              <w:spacing w:after="100"/>
              <w:rPr>
                <w:rFonts w:eastAsia="Times New Roman"/>
                <w:sz w:val="20"/>
                <w:szCs w:val="20"/>
              </w:rPr>
            </w:pPr>
          </w:p>
        </w:tc>
        <w:tc>
          <w:tcPr>
            <w:tcW w:w="5" w:type="pct"/>
            <w:vAlign w:val="center"/>
            <w:hideMark/>
          </w:tcPr>
          <w:p w14:paraId="4AAA1DD6" w14:textId="77777777" w:rsidR="00000000" w:rsidRDefault="00EE5306">
            <w:pPr>
              <w:spacing w:after="100"/>
              <w:rPr>
                <w:rFonts w:eastAsia="Times New Roman"/>
                <w:sz w:val="20"/>
                <w:szCs w:val="20"/>
              </w:rPr>
            </w:pPr>
          </w:p>
        </w:tc>
        <w:tc>
          <w:tcPr>
            <w:tcW w:w="28" w:type="pct"/>
            <w:vAlign w:val="center"/>
            <w:hideMark/>
          </w:tcPr>
          <w:p w14:paraId="7B477C72" w14:textId="77777777" w:rsidR="00000000" w:rsidRDefault="00EE5306">
            <w:pPr>
              <w:spacing w:after="100"/>
              <w:rPr>
                <w:rFonts w:eastAsia="Times New Roman"/>
                <w:sz w:val="20"/>
                <w:szCs w:val="20"/>
              </w:rPr>
            </w:pPr>
          </w:p>
        </w:tc>
        <w:tc>
          <w:tcPr>
            <w:tcW w:w="5" w:type="pct"/>
            <w:vAlign w:val="center"/>
            <w:hideMark/>
          </w:tcPr>
          <w:p w14:paraId="007E1C3A" w14:textId="77777777" w:rsidR="00000000" w:rsidRDefault="00EE5306">
            <w:pPr>
              <w:spacing w:after="100"/>
              <w:rPr>
                <w:rFonts w:eastAsia="Times New Roman"/>
                <w:sz w:val="20"/>
                <w:szCs w:val="20"/>
              </w:rPr>
            </w:pPr>
          </w:p>
        </w:tc>
        <w:tc>
          <w:tcPr>
            <w:tcW w:w="50" w:type="pct"/>
            <w:vAlign w:val="center"/>
            <w:hideMark/>
          </w:tcPr>
          <w:p w14:paraId="010D8576" w14:textId="77777777" w:rsidR="00000000" w:rsidRDefault="00EE5306">
            <w:pPr>
              <w:spacing w:after="100"/>
              <w:rPr>
                <w:rFonts w:eastAsia="Times New Roman"/>
                <w:sz w:val="20"/>
                <w:szCs w:val="20"/>
              </w:rPr>
            </w:pPr>
          </w:p>
        </w:tc>
        <w:tc>
          <w:tcPr>
            <w:tcW w:w="588" w:type="pct"/>
            <w:vAlign w:val="center"/>
            <w:hideMark/>
          </w:tcPr>
          <w:p w14:paraId="7EC5AFAB" w14:textId="77777777" w:rsidR="00000000" w:rsidRDefault="00EE5306">
            <w:pPr>
              <w:spacing w:after="100"/>
              <w:rPr>
                <w:rFonts w:eastAsia="Times New Roman"/>
                <w:sz w:val="20"/>
                <w:szCs w:val="20"/>
              </w:rPr>
            </w:pPr>
          </w:p>
        </w:tc>
        <w:tc>
          <w:tcPr>
            <w:tcW w:w="5" w:type="pct"/>
            <w:vAlign w:val="center"/>
            <w:hideMark/>
          </w:tcPr>
          <w:p w14:paraId="00F13A7B" w14:textId="77777777" w:rsidR="00000000" w:rsidRDefault="00EE5306">
            <w:pPr>
              <w:spacing w:after="100"/>
              <w:rPr>
                <w:rFonts w:eastAsia="Times New Roman"/>
                <w:sz w:val="20"/>
                <w:szCs w:val="20"/>
              </w:rPr>
            </w:pPr>
          </w:p>
        </w:tc>
        <w:tc>
          <w:tcPr>
            <w:tcW w:w="5" w:type="pct"/>
            <w:vAlign w:val="center"/>
            <w:hideMark/>
          </w:tcPr>
          <w:p w14:paraId="415D3582" w14:textId="77777777" w:rsidR="00000000" w:rsidRDefault="00EE5306">
            <w:pPr>
              <w:spacing w:after="100"/>
              <w:rPr>
                <w:rFonts w:eastAsia="Times New Roman"/>
                <w:sz w:val="20"/>
                <w:szCs w:val="20"/>
              </w:rPr>
            </w:pPr>
          </w:p>
        </w:tc>
        <w:tc>
          <w:tcPr>
            <w:tcW w:w="28" w:type="pct"/>
            <w:vAlign w:val="center"/>
            <w:hideMark/>
          </w:tcPr>
          <w:p w14:paraId="2FDA983E" w14:textId="77777777" w:rsidR="00000000" w:rsidRDefault="00EE5306">
            <w:pPr>
              <w:spacing w:after="100"/>
              <w:rPr>
                <w:rFonts w:eastAsia="Times New Roman"/>
                <w:sz w:val="20"/>
                <w:szCs w:val="20"/>
              </w:rPr>
            </w:pPr>
          </w:p>
        </w:tc>
        <w:tc>
          <w:tcPr>
            <w:tcW w:w="5" w:type="pct"/>
            <w:vAlign w:val="center"/>
            <w:hideMark/>
          </w:tcPr>
          <w:p w14:paraId="700F438F" w14:textId="77777777" w:rsidR="00000000" w:rsidRDefault="00EE5306">
            <w:pPr>
              <w:spacing w:after="100"/>
              <w:rPr>
                <w:rFonts w:eastAsia="Times New Roman"/>
                <w:sz w:val="20"/>
                <w:szCs w:val="20"/>
              </w:rPr>
            </w:pPr>
          </w:p>
        </w:tc>
        <w:tc>
          <w:tcPr>
            <w:tcW w:w="50" w:type="pct"/>
            <w:vAlign w:val="center"/>
            <w:hideMark/>
          </w:tcPr>
          <w:p w14:paraId="149FB844" w14:textId="77777777" w:rsidR="00000000" w:rsidRDefault="00EE5306">
            <w:pPr>
              <w:spacing w:after="100"/>
              <w:rPr>
                <w:rFonts w:eastAsia="Times New Roman"/>
                <w:sz w:val="20"/>
                <w:szCs w:val="20"/>
              </w:rPr>
            </w:pPr>
          </w:p>
        </w:tc>
        <w:tc>
          <w:tcPr>
            <w:tcW w:w="588" w:type="pct"/>
            <w:vAlign w:val="center"/>
            <w:hideMark/>
          </w:tcPr>
          <w:p w14:paraId="4E6CD129" w14:textId="77777777" w:rsidR="00000000" w:rsidRDefault="00EE5306">
            <w:pPr>
              <w:spacing w:after="100"/>
              <w:rPr>
                <w:rFonts w:eastAsia="Times New Roman"/>
                <w:sz w:val="20"/>
                <w:szCs w:val="20"/>
              </w:rPr>
            </w:pPr>
          </w:p>
        </w:tc>
        <w:tc>
          <w:tcPr>
            <w:tcW w:w="5" w:type="pct"/>
            <w:vAlign w:val="center"/>
            <w:hideMark/>
          </w:tcPr>
          <w:p w14:paraId="3FA0DE2C" w14:textId="77777777" w:rsidR="00000000" w:rsidRDefault="00EE5306">
            <w:pPr>
              <w:spacing w:after="100"/>
              <w:rPr>
                <w:rFonts w:eastAsia="Times New Roman"/>
                <w:sz w:val="20"/>
                <w:szCs w:val="20"/>
              </w:rPr>
            </w:pPr>
          </w:p>
        </w:tc>
      </w:tr>
      <w:tr w:rsidR="00000000" w14:paraId="3C905B19" w14:textId="77777777">
        <w:trPr>
          <w:divId w:val="1804812490"/>
        </w:trPr>
        <w:tc>
          <w:tcPr>
            <w:tcW w:w="0" w:type="auto"/>
            <w:gridSpan w:val="3"/>
            <w:tcMar>
              <w:top w:w="0" w:type="dxa"/>
              <w:left w:w="20" w:type="dxa"/>
              <w:bottom w:w="0" w:type="dxa"/>
              <w:right w:w="20" w:type="dxa"/>
            </w:tcMar>
            <w:vAlign w:val="center"/>
            <w:hideMark/>
          </w:tcPr>
          <w:p w14:paraId="2EB29146"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7C019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7552166" w14:textId="77777777" w:rsidR="00000000" w:rsidRDefault="00EE5306">
            <w:pPr>
              <w:spacing w:after="100"/>
              <w:jc w:val="center"/>
              <w:rPr>
                <w:rFonts w:eastAsia="Times New Roman"/>
              </w:rPr>
            </w:pPr>
            <w:r>
              <w:rPr>
                <w:rFonts w:eastAsia="Times New Roman"/>
                <w:b/>
                <w:bCs/>
                <w:color w:val="000000"/>
                <w:sz w:val="16"/>
                <w:szCs w:val="16"/>
              </w:rPr>
              <w:t>Foreign Currency Translation Gains (Losses</w:t>
            </w:r>
            <w:r>
              <w:rPr>
                <w:rFonts w:eastAsia="Times New Roman"/>
                <w:b/>
                <w:bCs/>
                <w:color w:val="000000"/>
                <w:sz w:val="16"/>
                <w:szCs w:val="16"/>
              </w:rPr>
              <w:t>)</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37EEF3FD"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512F1A5" w14:textId="77777777" w:rsidR="00000000" w:rsidRDefault="00EE5306">
            <w:pPr>
              <w:spacing w:after="100"/>
              <w:jc w:val="center"/>
              <w:rPr>
                <w:rFonts w:eastAsia="Times New Roman"/>
              </w:rPr>
            </w:pPr>
            <w:r>
              <w:rPr>
                <w:rFonts w:eastAsia="Times New Roman"/>
                <w:b/>
                <w:bCs/>
                <w:color w:val="000000"/>
                <w:sz w:val="16"/>
                <w:szCs w:val="16"/>
              </w:rPr>
              <w:t>Net Unrealized Gains (Losses) on Cash Flow Hedge</w:t>
            </w:r>
            <w:r>
              <w:rPr>
                <w:rFonts w:eastAsia="Times New Roman"/>
                <w:b/>
                <w:bCs/>
                <w:color w:val="000000"/>
                <w:sz w:val="16"/>
                <w:szCs w:val="16"/>
              </w:rPr>
              <w:t>s</w:t>
            </w:r>
            <w:r>
              <w:rPr>
                <w:rFonts w:eastAsia="Times New Roman"/>
                <w:b/>
                <w:bCs/>
                <w:color w:val="000000"/>
                <w:sz w:val="10"/>
                <w:szCs w:val="10"/>
              </w:rPr>
              <w:t>(b</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22CD44C0"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7D32C41" w14:textId="77777777" w:rsidR="00000000" w:rsidRDefault="00EE5306">
            <w:pPr>
              <w:spacing w:after="100"/>
              <w:jc w:val="center"/>
              <w:rPr>
                <w:rFonts w:eastAsia="Times New Roman"/>
              </w:rPr>
            </w:pPr>
            <w:r>
              <w:rPr>
                <w:rFonts w:eastAsia="Times New Roman"/>
                <w:b/>
                <w:bCs/>
                <w:color w:val="000000"/>
                <w:sz w:val="16"/>
                <w:szCs w:val="16"/>
              </w:rPr>
              <w:t>Net Unrealized Gains (Losses) on Defined Benefit Plan</w:t>
            </w:r>
            <w:r>
              <w:rPr>
                <w:rFonts w:eastAsia="Times New Roman"/>
                <w:b/>
                <w:bCs/>
                <w:color w:val="000000"/>
                <w:sz w:val="16"/>
                <w:szCs w:val="16"/>
              </w:rPr>
              <w:t>s</w:t>
            </w:r>
            <w:r>
              <w:rPr>
                <w:rFonts w:eastAsia="Times New Roman"/>
                <w:b/>
                <w:bCs/>
                <w:color w:val="000000"/>
                <w:sz w:val="10"/>
                <w:szCs w:val="10"/>
              </w:rPr>
              <w:t>(c</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3B557D6D"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9B980D5" w14:textId="77777777" w:rsidR="00000000" w:rsidRDefault="00EE5306">
            <w:pPr>
              <w:spacing w:after="100"/>
              <w:jc w:val="center"/>
              <w:rPr>
                <w:rFonts w:eastAsia="Times New Roman"/>
              </w:rPr>
            </w:pPr>
            <w:r>
              <w:rPr>
                <w:rFonts w:eastAsia="Times New Roman"/>
                <w:b/>
                <w:bCs/>
                <w:color w:val="000000"/>
                <w:sz w:val="16"/>
                <w:szCs w:val="16"/>
              </w:rPr>
              <w:t>Total Accumulated Other Comprehensive Income (Loss)</w:t>
            </w:r>
          </w:p>
        </w:tc>
      </w:tr>
      <w:tr w:rsidR="00000000" w14:paraId="306C012A" w14:textId="77777777">
        <w:trPr>
          <w:divId w:val="1804812490"/>
        </w:trPr>
        <w:tc>
          <w:tcPr>
            <w:tcW w:w="0" w:type="auto"/>
            <w:gridSpan w:val="3"/>
            <w:tcMar>
              <w:top w:w="0" w:type="dxa"/>
              <w:left w:w="20" w:type="dxa"/>
              <w:bottom w:w="0" w:type="dxa"/>
              <w:right w:w="20" w:type="dxa"/>
            </w:tcMar>
            <w:vAlign w:val="center"/>
            <w:hideMark/>
          </w:tcPr>
          <w:p w14:paraId="0903A142"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B4E05EA" w14:textId="77777777" w:rsidR="00000000" w:rsidRDefault="00EE5306">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14:paraId="2B45D0E7"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2DB06CD0" w14:textId="77777777">
        <w:trPr>
          <w:divId w:val="1804812490"/>
        </w:trPr>
        <w:tc>
          <w:tcPr>
            <w:tcW w:w="0" w:type="auto"/>
            <w:gridSpan w:val="3"/>
            <w:shd w:val="clear" w:color="auto" w:fill="CCEEFF"/>
            <w:tcMar>
              <w:top w:w="30" w:type="dxa"/>
              <w:left w:w="20" w:type="dxa"/>
              <w:bottom w:w="30" w:type="dxa"/>
              <w:right w:w="20" w:type="dxa"/>
            </w:tcMar>
            <w:vAlign w:val="bottom"/>
            <w:hideMark/>
          </w:tcPr>
          <w:p w14:paraId="3A757A88" w14:textId="77777777" w:rsidR="00000000" w:rsidRDefault="00EE5306">
            <w:pPr>
              <w:spacing w:after="100"/>
              <w:rPr>
                <w:rFonts w:eastAsia="Times New Roman"/>
              </w:rPr>
            </w:pPr>
            <w:r>
              <w:rPr>
                <w:rFonts w:eastAsia="Times New Roman"/>
                <w:color w:val="000000"/>
                <w:sz w:val="18"/>
                <w:szCs w:val="18"/>
              </w:rPr>
              <w:t>Balance at March 31, 2018</w:t>
            </w:r>
          </w:p>
        </w:tc>
        <w:tc>
          <w:tcPr>
            <w:tcW w:w="0" w:type="auto"/>
            <w:gridSpan w:val="3"/>
            <w:shd w:val="clear" w:color="auto" w:fill="CCEEFF"/>
            <w:tcMar>
              <w:top w:w="0" w:type="dxa"/>
              <w:left w:w="20" w:type="dxa"/>
              <w:bottom w:w="0" w:type="dxa"/>
              <w:right w:w="20" w:type="dxa"/>
            </w:tcMar>
            <w:vAlign w:val="center"/>
            <w:hideMark/>
          </w:tcPr>
          <w:p w14:paraId="47EA77D1"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903608D"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19BA99B" w14:textId="77777777" w:rsidR="00000000" w:rsidRDefault="00EE5306">
            <w:pPr>
              <w:spacing w:after="100"/>
              <w:jc w:val="right"/>
              <w:rPr>
                <w:rFonts w:eastAsia="Times New Roman"/>
              </w:rPr>
            </w:pPr>
            <w:r>
              <w:rPr>
                <w:rFonts w:eastAsia="Times New Roman"/>
                <w:color w:val="000000"/>
                <w:sz w:val="18"/>
                <w:szCs w:val="18"/>
              </w:rPr>
              <w:t>(79.3)</w:t>
            </w:r>
          </w:p>
        </w:tc>
        <w:tc>
          <w:tcPr>
            <w:tcW w:w="0" w:type="auto"/>
            <w:shd w:val="clear" w:color="auto" w:fill="CCEEFF"/>
            <w:tcMar>
              <w:top w:w="30" w:type="dxa"/>
              <w:left w:w="0" w:type="dxa"/>
              <w:bottom w:w="30" w:type="dxa"/>
              <w:right w:w="20" w:type="dxa"/>
            </w:tcMar>
            <w:vAlign w:val="bottom"/>
            <w:hideMark/>
          </w:tcPr>
          <w:p w14:paraId="2BC69BD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55C98"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CE3D16"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90A5739" w14:textId="77777777" w:rsidR="00000000" w:rsidRDefault="00EE5306">
            <w:pPr>
              <w:spacing w:after="100"/>
              <w:jc w:val="right"/>
              <w:rPr>
                <w:rFonts w:eastAsia="Times New Roman"/>
              </w:rPr>
            </w:pPr>
            <w:r>
              <w:rPr>
                <w:rFonts w:eastAsia="Times New Roman"/>
                <w:color w:val="000000"/>
                <w:sz w:val="18"/>
                <w:szCs w:val="18"/>
              </w:rPr>
              <w:t>(16.0)</w:t>
            </w:r>
          </w:p>
        </w:tc>
        <w:tc>
          <w:tcPr>
            <w:tcW w:w="0" w:type="auto"/>
            <w:shd w:val="clear" w:color="auto" w:fill="CCEEFF"/>
            <w:tcMar>
              <w:top w:w="30" w:type="dxa"/>
              <w:left w:w="0" w:type="dxa"/>
              <w:bottom w:w="30" w:type="dxa"/>
              <w:right w:w="20" w:type="dxa"/>
            </w:tcMar>
            <w:vAlign w:val="bottom"/>
            <w:hideMark/>
          </w:tcPr>
          <w:p w14:paraId="7CC1049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906DF"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E9448C"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AF776CB" w14:textId="77777777" w:rsidR="00000000" w:rsidRDefault="00EE5306">
            <w:pPr>
              <w:spacing w:after="100"/>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bottom"/>
            <w:hideMark/>
          </w:tcPr>
          <w:p w14:paraId="22950B9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B2C8C"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18DEA3" w14:textId="77777777" w:rsidR="00000000" w:rsidRDefault="00EE530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421DCA5" w14:textId="77777777" w:rsidR="00000000" w:rsidRDefault="00EE5306">
            <w:pPr>
              <w:spacing w:after="100"/>
              <w:jc w:val="right"/>
              <w:rPr>
                <w:rFonts w:eastAsia="Times New Roman"/>
              </w:rPr>
            </w:pPr>
            <w:r>
              <w:rPr>
                <w:rFonts w:eastAsia="Times New Roman"/>
                <w:color w:val="000000"/>
                <w:sz w:val="18"/>
                <w:szCs w:val="18"/>
              </w:rPr>
              <w:t>(98.5)</w:t>
            </w:r>
          </w:p>
        </w:tc>
        <w:tc>
          <w:tcPr>
            <w:tcW w:w="0" w:type="auto"/>
            <w:shd w:val="clear" w:color="auto" w:fill="CCEEFF"/>
            <w:tcMar>
              <w:top w:w="30" w:type="dxa"/>
              <w:left w:w="0" w:type="dxa"/>
              <w:bottom w:w="30" w:type="dxa"/>
              <w:right w:w="20" w:type="dxa"/>
            </w:tcMar>
            <w:vAlign w:val="bottom"/>
            <w:hideMark/>
          </w:tcPr>
          <w:p w14:paraId="621A8014" w14:textId="77777777" w:rsidR="00000000" w:rsidRDefault="00EE5306">
            <w:pPr>
              <w:spacing w:after="100"/>
              <w:jc w:val="right"/>
              <w:rPr>
                <w:rFonts w:eastAsia="Times New Roman"/>
              </w:rPr>
            </w:pPr>
          </w:p>
        </w:tc>
      </w:tr>
      <w:tr w:rsidR="00000000" w14:paraId="7954FF87" w14:textId="77777777">
        <w:trPr>
          <w:divId w:val="1804812490"/>
        </w:trPr>
        <w:tc>
          <w:tcPr>
            <w:tcW w:w="0" w:type="auto"/>
            <w:gridSpan w:val="3"/>
            <w:shd w:val="clear" w:color="auto" w:fill="FFFFFF"/>
            <w:tcMar>
              <w:top w:w="30" w:type="dxa"/>
              <w:left w:w="20" w:type="dxa"/>
              <w:bottom w:w="30" w:type="dxa"/>
              <w:right w:w="20" w:type="dxa"/>
            </w:tcMar>
            <w:vAlign w:val="bottom"/>
            <w:hideMark/>
          </w:tcPr>
          <w:p w14:paraId="644B3077" w14:textId="77777777" w:rsidR="00000000" w:rsidRDefault="00EE5306">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338F3B52"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37675"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442CC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77036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CA148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81786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F4AB3C"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59EFE5" w14:textId="77777777" w:rsidR="00000000" w:rsidRDefault="00EE5306">
            <w:pPr>
              <w:spacing w:after="100"/>
              <w:rPr>
                <w:rFonts w:eastAsia="Times New Roman"/>
                <w:sz w:val="20"/>
                <w:szCs w:val="20"/>
              </w:rPr>
            </w:pPr>
          </w:p>
        </w:tc>
      </w:tr>
      <w:tr w:rsidR="00000000" w14:paraId="7A08A626" w14:textId="77777777">
        <w:trPr>
          <w:divId w:val="1804812490"/>
        </w:trPr>
        <w:tc>
          <w:tcPr>
            <w:tcW w:w="0" w:type="auto"/>
            <w:gridSpan w:val="3"/>
            <w:shd w:val="clear" w:color="auto" w:fill="CCEEFF"/>
            <w:tcMar>
              <w:top w:w="30" w:type="dxa"/>
              <w:left w:w="20" w:type="dxa"/>
              <w:bottom w:w="30" w:type="dxa"/>
              <w:right w:w="20" w:type="dxa"/>
            </w:tcMar>
            <w:vAlign w:val="bottom"/>
            <w:hideMark/>
          </w:tcPr>
          <w:p w14:paraId="4CDBC7FE" w14:textId="77777777" w:rsidR="00000000" w:rsidRDefault="00EE5306">
            <w:pPr>
              <w:spacing w:after="100"/>
              <w:ind w:hanging="180"/>
              <w:divId w:val="92871190"/>
              <w:rPr>
                <w:rFonts w:eastAsia="Times New Roman"/>
              </w:rPr>
            </w:pPr>
            <w:r>
              <w:rPr>
                <w:rFonts w:eastAsia="Times New Roman"/>
                <w:color w:val="000000"/>
                <w:sz w:val="18"/>
                <w:szCs w:val="18"/>
              </w:rPr>
              <w:t>OCI before reclassifications</w:t>
            </w:r>
          </w:p>
        </w:tc>
        <w:tc>
          <w:tcPr>
            <w:tcW w:w="0" w:type="auto"/>
            <w:gridSpan w:val="3"/>
            <w:shd w:val="clear" w:color="auto" w:fill="CCEEFF"/>
            <w:tcMar>
              <w:top w:w="0" w:type="dxa"/>
              <w:left w:w="20" w:type="dxa"/>
              <w:bottom w:w="0" w:type="dxa"/>
              <w:right w:w="20" w:type="dxa"/>
            </w:tcMar>
            <w:vAlign w:val="center"/>
            <w:hideMark/>
          </w:tcPr>
          <w:p w14:paraId="26942F1F"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E0758E" w14:textId="77777777" w:rsidR="00000000" w:rsidRDefault="00EE5306">
            <w:pPr>
              <w:spacing w:after="100"/>
              <w:jc w:val="right"/>
              <w:rPr>
                <w:rFonts w:eastAsia="Times New Roman"/>
              </w:rPr>
            </w:pPr>
            <w:r>
              <w:rPr>
                <w:rFonts w:eastAsia="Times New Roman"/>
                <w:color w:val="000000"/>
                <w:sz w:val="18"/>
                <w:szCs w:val="18"/>
              </w:rPr>
              <w:t>(39.2)</w:t>
            </w:r>
          </w:p>
        </w:tc>
        <w:tc>
          <w:tcPr>
            <w:tcW w:w="0" w:type="auto"/>
            <w:shd w:val="clear" w:color="auto" w:fill="CCEEFF"/>
            <w:tcMar>
              <w:top w:w="30" w:type="dxa"/>
              <w:left w:w="0" w:type="dxa"/>
              <w:bottom w:w="30" w:type="dxa"/>
              <w:right w:w="20" w:type="dxa"/>
            </w:tcMar>
            <w:vAlign w:val="bottom"/>
            <w:hideMark/>
          </w:tcPr>
          <w:p w14:paraId="470A926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9EDCF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F08DB" w14:textId="77777777" w:rsidR="00000000" w:rsidRDefault="00EE5306">
            <w:pPr>
              <w:spacing w:after="100"/>
              <w:jc w:val="right"/>
              <w:rPr>
                <w:rFonts w:eastAsia="Times New Roman"/>
              </w:rPr>
            </w:pPr>
            <w:r>
              <w:rPr>
                <w:rFonts w:eastAsia="Times New Roman"/>
                <w:color w:val="000000"/>
                <w:sz w:val="18"/>
                <w:szCs w:val="18"/>
              </w:rPr>
              <w:t>42.2 </w:t>
            </w:r>
          </w:p>
        </w:tc>
        <w:tc>
          <w:tcPr>
            <w:tcW w:w="0" w:type="auto"/>
            <w:shd w:val="clear" w:color="auto" w:fill="CCEEFF"/>
            <w:tcMar>
              <w:top w:w="30" w:type="dxa"/>
              <w:left w:w="0" w:type="dxa"/>
              <w:bottom w:w="30" w:type="dxa"/>
              <w:right w:w="20" w:type="dxa"/>
            </w:tcMar>
            <w:vAlign w:val="bottom"/>
            <w:hideMark/>
          </w:tcPr>
          <w:p w14:paraId="4253846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B9B9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5CDBD3" w14:textId="77777777" w:rsidR="00000000" w:rsidRDefault="00EE5306">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14:paraId="1E6A240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56D2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6A0D26" w14:textId="77777777" w:rsidR="00000000" w:rsidRDefault="00EE5306">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41872E51" w14:textId="77777777" w:rsidR="00000000" w:rsidRDefault="00EE5306">
            <w:pPr>
              <w:spacing w:after="100"/>
              <w:jc w:val="right"/>
              <w:rPr>
                <w:rFonts w:eastAsia="Times New Roman"/>
              </w:rPr>
            </w:pPr>
          </w:p>
        </w:tc>
      </w:tr>
      <w:tr w:rsidR="00000000" w14:paraId="5B45CA05" w14:textId="77777777">
        <w:trPr>
          <w:divId w:val="1804812490"/>
        </w:trPr>
        <w:tc>
          <w:tcPr>
            <w:tcW w:w="0" w:type="auto"/>
            <w:gridSpan w:val="3"/>
            <w:shd w:val="clear" w:color="auto" w:fill="FFFFFF"/>
            <w:tcMar>
              <w:top w:w="30" w:type="dxa"/>
              <w:left w:w="20" w:type="dxa"/>
              <w:bottom w:w="30" w:type="dxa"/>
              <w:right w:w="20" w:type="dxa"/>
            </w:tcMar>
            <w:vAlign w:val="bottom"/>
            <w:hideMark/>
          </w:tcPr>
          <w:p w14:paraId="38DB0002" w14:textId="77777777" w:rsidR="00000000" w:rsidRDefault="00EE5306">
            <w:pPr>
              <w:spacing w:after="100"/>
              <w:ind w:hanging="180"/>
              <w:divId w:val="1432163389"/>
              <w:rPr>
                <w:rFonts w:eastAsia="Times New Roman"/>
              </w:rPr>
            </w:pPr>
            <w:r>
              <w:rPr>
                <w:rFonts w:eastAsia="Times New Roman"/>
                <w:color w:val="000000"/>
                <w:sz w:val="18"/>
                <w:szCs w:val="18"/>
              </w:rPr>
              <w:t>Amounts reclassified from AOCI to earnings</w:t>
            </w:r>
          </w:p>
        </w:tc>
        <w:tc>
          <w:tcPr>
            <w:tcW w:w="0" w:type="auto"/>
            <w:gridSpan w:val="3"/>
            <w:shd w:val="clear" w:color="auto" w:fill="FFFFFF"/>
            <w:tcMar>
              <w:top w:w="0" w:type="dxa"/>
              <w:left w:w="20" w:type="dxa"/>
              <w:bottom w:w="0" w:type="dxa"/>
              <w:right w:w="20" w:type="dxa"/>
            </w:tcMar>
            <w:vAlign w:val="center"/>
            <w:hideMark/>
          </w:tcPr>
          <w:p w14:paraId="449C1E79"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49E851" w14:textId="77777777" w:rsidR="00000000" w:rsidRDefault="00EE530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62358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AC6E8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194639" w14:textId="77777777" w:rsidR="00000000" w:rsidRDefault="00EE5306">
            <w:pPr>
              <w:spacing w:after="100"/>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bottom"/>
            <w:hideMark/>
          </w:tcPr>
          <w:p w14:paraId="0AA7EB5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C8BB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89229C" w14:textId="77777777" w:rsidR="00000000" w:rsidRDefault="00EE5306">
            <w:pPr>
              <w:spacing w:after="100"/>
              <w:jc w:val="right"/>
              <w:rPr>
                <w:rFonts w:eastAsia="Times New Roman"/>
              </w:rPr>
            </w:pPr>
            <w:r>
              <w:rPr>
                <w:rFonts w:eastAsia="Times New Roman"/>
                <w:color w:val="000000"/>
                <w:sz w:val="18"/>
                <w:szCs w:val="18"/>
              </w:rPr>
              <w:t>0.1 </w:t>
            </w:r>
          </w:p>
        </w:tc>
        <w:tc>
          <w:tcPr>
            <w:tcW w:w="0" w:type="auto"/>
            <w:shd w:val="clear" w:color="auto" w:fill="FFFFFF"/>
            <w:tcMar>
              <w:top w:w="30" w:type="dxa"/>
              <w:left w:w="0" w:type="dxa"/>
              <w:bottom w:w="30" w:type="dxa"/>
              <w:right w:w="20" w:type="dxa"/>
            </w:tcMar>
            <w:vAlign w:val="bottom"/>
            <w:hideMark/>
          </w:tcPr>
          <w:p w14:paraId="05016B7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3FE2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93E25" w14:textId="77777777" w:rsidR="00000000" w:rsidRDefault="00EE5306">
            <w:pPr>
              <w:spacing w:after="100"/>
              <w:jc w:val="right"/>
              <w:rPr>
                <w:rFonts w:eastAsia="Times New Roman"/>
              </w:rPr>
            </w:pPr>
            <w:r>
              <w:rPr>
                <w:rFonts w:eastAsia="Times New Roman"/>
                <w:color w:val="000000"/>
                <w:sz w:val="18"/>
                <w:szCs w:val="18"/>
              </w:rPr>
              <w:t>(5.9)</w:t>
            </w:r>
          </w:p>
        </w:tc>
        <w:tc>
          <w:tcPr>
            <w:tcW w:w="0" w:type="auto"/>
            <w:shd w:val="clear" w:color="auto" w:fill="FFFFFF"/>
            <w:tcMar>
              <w:top w:w="30" w:type="dxa"/>
              <w:left w:w="0" w:type="dxa"/>
              <w:bottom w:w="30" w:type="dxa"/>
              <w:right w:w="20" w:type="dxa"/>
            </w:tcMar>
            <w:vAlign w:val="bottom"/>
            <w:hideMark/>
          </w:tcPr>
          <w:p w14:paraId="2991D930" w14:textId="77777777" w:rsidR="00000000" w:rsidRDefault="00EE5306">
            <w:pPr>
              <w:spacing w:after="100"/>
              <w:jc w:val="right"/>
              <w:rPr>
                <w:rFonts w:eastAsia="Times New Roman"/>
              </w:rPr>
            </w:pPr>
          </w:p>
        </w:tc>
      </w:tr>
      <w:tr w:rsidR="00000000" w14:paraId="688FE786" w14:textId="77777777">
        <w:trPr>
          <w:divId w:val="1804812490"/>
        </w:trPr>
        <w:tc>
          <w:tcPr>
            <w:tcW w:w="0" w:type="auto"/>
            <w:gridSpan w:val="3"/>
            <w:shd w:val="clear" w:color="auto" w:fill="CCEEFF"/>
            <w:tcMar>
              <w:top w:w="30" w:type="dxa"/>
              <w:left w:w="20" w:type="dxa"/>
              <w:bottom w:w="30" w:type="dxa"/>
              <w:right w:w="20" w:type="dxa"/>
            </w:tcMar>
            <w:vAlign w:val="bottom"/>
            <w:hideMark/>
          </w:tcPr>
          <w:p w14:paraId="1F641BE0" w14:textId="77777777" w:rsidR="00000000" w:rsidRDefault="00EE5306">
            <w:pPr>
              <w:spacing w:after="100"/>
              <w:ind w:hanging="180"/>
              <w:divId w:val="10572768"/>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14:paraId="5E8E3617" w14:textId="77777777" w:rsidR="00000000" w:rsidRDefault="00EE5306">
            <w:pPr>
              <w:spacing w:after="100"/>
              <w:ind w:hanging="18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BE08C5" w14:textId="77777777" w:rsidR="00000000" w:rsidRDefault="00EE5306">
            <w:pPr>
              <w:spacing w:after="100"/>
              <w:jc w:val="right"/>
              <w:rPr>
                <w:rFonts w:eastAsia="Times New Roman"/>
              </w:rPr>
            </w:pPr>
            <w:r>
              <w:rPr>
                <w:rFonts w:eastAsia="Times New Roman"/>
                <w:color w:val="000000"/>
                <w:sz w:val="18"/>
                <w:szCs w:val="18"/>
              </w:rPr>
              <w:t>(39.2)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631D1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F1B86"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AFB14F" w14:textId="77777777" w:rsidR="00000000" w:rsidRDefault="00EE5306">
            <w:pPr>
              <w:spacing w:after="100"/>
              <w:jc w:val="right"/>
              <w:rPr>
                <w:rFonts w:eastAsia="Times New Roman"/>
              </w:rPr>
            </w:pPr>
            <w:r>
              <w:rPr>
                <w:rFonts w:eastAsia="Times New Roman"/>
                <w:color w:val="000000"/>
                <w:sz w:val="18"/>
                <w:szCs w:val="18"/>
              </w:rPr>
              <w:t>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31DE1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11F20"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B3C626" w14:textId="77777777" w:rsidR="00000000" w:rsidRDefault="00EE5306">
            <w:pPr>
              <w:spacing w:after="100"/>
              <w:jc w:val="right"/>
              <w:rPr>
                <w:rFonts w:eastAsia="Times New Roman"/>
              </w:rPr>
            </w:pPr>
            <w:r>
              <w:rPr>
                <w:rFonts w:eastAsia="Times New Roman"/>
                <w:color w:val="000000"/>
                <w:sz w:val="18"/>
                <w:szCs w:val="18"/>
              </w:rPr>
              <w:t>(1.9)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C56A2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57B63"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DB410F" w14:textId="77777777" w:rsidR="00000000" w:rsidRDefault="00EE5306">
            <w:pPr>
              <w:spacing w:after="100"/>
              <w:jc w:val="right"/>
              <w:rPr>
                <w:rFonts w:eastAsia="Times New Roman"/>
              </w:rPr>
            </w:pPr>
            <w:r>
              <w:rPr>
                <w:rFonts w:eastAsia="Times New Roman"/>
                <w:color w:val="000000"/>
                <w:sz w:val="18"/>
                <w:szCs w:val="18"/>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5BA9DA" w14:textId="77777777" w:rsidR="00000000" w:rsidRDefault="00EE5306">
            <w:pPr>
              <w:spacing w:after="100"/>
              <w:jc w:val="right"/>
              <w:rPr>
                <w:rFonts w:eastAsia="Times New Roman"/>
              </w:rPr>
            </w:pPr>
          </w:p>
        </w:tc>
      </w:tr>
      <w:tr w:rsidR="00000000" w14:paraId="5BF4C121" w14:textId="77777777">
        <w:trPr>
          <w:divId w:val="1804812490"/>
        </w:trPr>
        <w:tc>
          <w:tcPr>
            <w:tcW w:w="0" w:type="auto"/>
            <w:gridSpan w:val="3"/>
            <w:shd w:val="clear" w:color="auto" w:fill="FFFFFF"/>
            <w:tcMar>
              <w:top w:w="30" w:type="dxa"/>
              <w:left w:w="20" w:type="dxa"/>
              <w:bottom w:w="30" w:type="dxa"/>
              <w:right w:w="20" w:type="dxa"/>
            </w:tcMar>
            <w:vAlign w:val="bottom"/>
            <w:hideMark/>
          </w:tcPr>
          <w:p w14:paraId="73B1E13C" w14:textId="77777777" w:rsidR="00000000" w:rsidRDefault="00EE5306">
            <w:pPr>
              <w:spacing w:after="100"/>
              <w:rPr>
                <w:rFonts w:eastAsia="Times New Roman"/>
              </w:rPr>
            </w:pPr>
            <w:r>
              <w:rPr>
                <w:rFonts w:eastAsia="Times New Roman"/>
                <w:color w:val="000000"/>
                <w:sz w:val="18"/>
                <w:szCs w:val="18"/>
              </w:rPr>
              <w:t>Balance at March 30, 2019</w:t>
            </w:r>
          </w:p>
        </w:tc>
        <w:tc>
          <w:tcPr>
            <w:tcW w:w="0" w:type="auto"/>
            <w:gridSpan w:val="3"/>
            <w:shd w:val="clear" w:color="auto" w:fill="FFFFFF"/>
            <w:tcMar>
              <w:top w:w="0" w:type="dxa"/>
              <w:left w:w="20" w:type="dxa"/>
              <w:bottom w:w="0" w:type="dxa"/>
              <w:right w:w="20" w:type="dxa"/>
            </w:tcMar>
            <w:vAlign w:val="center"/>
            <w:hideMark/>
          </w:tcPr>
          <w:p w14:paraId="0A1AA7AC" w14:textId="77777777" w:rsidR="00000000" w:rsidRDefault="00EE530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9F221D" w14:textId="77777777" w:rsidR="00000000" w:rsidRDefault="00EE5306">
            <w:pPr>
              <w:spacing w:after="100"/>
              <w:jc w:val="right"/>
              <w:rPr>
                <w:rFonts w:eastAsia="Times New Roman"/>
              </w:rPr>
            </w:pPr>
            <w:r>
              <w:rPr>
                <w:rFonts w:eastAsia="Times New Roman"/>
                <w:color w:val="000000"/>
                <w:sz w:val="18"/>
                <w:szCs w:val="18"/>
              </w:rPr>
              <w:t>(118.5)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EC87F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28782E"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973CB3" w14:textId="77777777" w:rsidR="00000000" w:rsidRDefault="00EE5306">
            <w:pPr>
              <w:spacing w:after="100"/>
              <w:jc w:val="right"/>
              <w:rPr>
                <w:rFonts w:eastAsia="Times New Roman"/>
              </w:rPr>
            </w:pPr>
            <w:r>
              <w:rPr>
                <w:rFonts w:eastAsia="Times New Roman"/>
                <w:color w:val="000000"/>
                <w:sz w:val="18"/>
                <w:szCs w:val="18"/>
              </w:rPr>
              <w:t>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007D8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BE64D"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1EFE67" w14:textId="77777777" w:rsidR="00000000" w:rsidRDefault="00EE5306">
            <w:pPr>
              <w:spacing w:after="100"/>
              <w:jc w:val="right"/>
              <w:rPr>
                <w:rFonts w:eastAsia="Times New Roman"/>
              </w:rPr>
            </w:pPr>
            <w:r>
              <w:rPr>
                <w:rFonts w:eastAsia="Times New Roman"/>
                <w:color w:val="000000"/>
                <w:sz w:val="18"/>
                <w:szCs w:val="18"/>
              </w:rPr>
              <w:t>(5.1)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128B8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7EEF1D"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A81329" w14:textId="77777777" w:rsidR="00000000" w:rsidRDefault="00EE5306">
            <w:pPr>
              <w:spacing w:after="100"/>
              <w:jc w:val="right"/>
              <w:rPr>
                <w:rFonts w:eastAsia="Times New Roman"/>
              </w:rPr>
            </w:pPr>
            <w:r>
              <w:rPr>
                <w:rFonts w:eastAsia="Times New Roman"/>
                <w:color w:val="000000"/>
                <w:sz w:val="18"/>
                <w:szCs w:val="18"/>
              </w:rPr>
              <w:t>(</w:t>
            </w:r>
            <w:r>
              <w:rPr>
                <w:rFonts w:eastAsia="Times New Roman"/>
                <w:color w:val="000000"/>
                <w:sz w:val="18"/>
                <w:szCs w:val="18"/>
              </w:rPr>
              <w:t>103.4)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F3EDC0" w14:textId="77777777" w:rsidR="00000000" w:rsidRDefault="00EE5306">
            <w:pPr>
              <w:spacing w:after="100"/>
              <w:jc w:val="right"/>
              <w:rPr>
                <w:rFonts w:eastAsia="Times New Roman"/>
              </w:rPr>
            </w:pPr>
          </w:p>
        </w:tc>
      </w:tr>
      <w:tr w:rsidR="00000000" w14:paraId="47CBBF10" w14:textId="77777777">
        <w:trPr>
          <w:divId w:val="1804812490"/>
        </w:trPr>
        <w:tc>
          <w:tcPr>
            <w:tcW w:w="0" w:type="auto"/>
            <w:gridSpan w:val="3"/>
            <w:shd w:val="clear" w:color="auto" w:fill="CCEEFF"/>
            <w:tcMar>
              <w:top w:w="30" w:type="dxa"/>
              <w:left w:w="20" w:type="dxa"/>
              <w:bottom w:w="30" w:type="dxa"/>
              <w:right w:w="20" w:type="dxa"/>
            </w:tcMar>
            <w:vAlign w:val="bottom"/>
            <w:hideMark/>
          </w:tcPr>
          <w:p w14:paraId="57A1FBC8" w14:textId="77777777" w:rsidR="00000000" w:rsidRDefault="00EE5306">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14:paraId="7C451DF7"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9B85AB"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63AB31"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AB47E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F13B62"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8004B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424383"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24E0AA" w14:textId="77777777" w:rsidR="00000000" w:rsidRDefault="00EE5306">
            <w:pPr>
              <w:spacing w:after="100"/>
              <w:rPr>
                <w:rFonts w:eastAsia="Times New Roman"/>
                <w:sz w:val="20"/>
                <w:szCs w:val="20"/>
              </w:rPr>
            </w:pPr>
          </w:p>
        </w:tc>
      </w:tr>
      <w:tr w:rsidR="00000000" w14:paraId="1D8DB723" w14:textId="77777777">
        <w:trPr>
          <w:divId w:val="1804812490"/>
        </w:trPr>
        <w:tc>
          <w:tcPr>
            <w:tcW w:w="0" w:type="auto"/>
            <w:gridSpan w:val="3"/>
            <w:shd w:val="clear" w:color="auto" w:fill="FFFFFF"/>
            <w:tcMar>
              <w:top w:w="30" w:type="dxa"/>
              <w:left w:w="20" w:type="dxa"/>
              <w:bottom w:w="30" w:type="dxa"/>
              <w:right w:w="20" w:type="dxa"/>
            </w:tcMar>
            <w:vAlign w:val="bottom"/>
            <w:hideMark/>
          </w:tcPr>
          <w:p w14:paraId="6E6D9277" w14:textId="77777777" w:rsidR="00000000" w:rsidRDefault="00EE5306">
            <w:pPr>
              <w:spacing w:after="100"/>
              <w:ind w:hanging="180"/>
              <w:divId w:val="1657537628"/>
              <w:rPr>
                <w:rFonts w:eastAsia="Times New Roman"/>
              </w:rPr>
            </w:pPr>
            <w:r>
              <w:rPr>
                <w:rFonts w:eastAsia="Times New Roman"/>
                <w:color w:val="000000"/>
                <w:sz w:val="18"/>
                <w:szCs w:val="18"/>
              </w:rPr>
              <w:t>OCI before reclassifications</w:t>
            </w:r>
          </w:p>
        </w:tc>
        <w:tc>
          <w:tcPr>
            <w:tcW w:w="0" w:type="auto"/>
            <w:gridSpan w:val="3"/>
            <w:shd w:val="clear" w:color="auto" w:fill="FFFFFF"/>
            <w:tcMar>
              <w:top w:w="0" w:type="dxa"/>
              <w:left w:w="20" w:type="dxa"/>
              <w:bottom w:w="0" w:type="dxa"/>
              <w:right w:w="20" w:type="dxa"/>
            </w:tcMar>
            <w:vAlign w:val="center"/>
            <w:hideMark/>
          </w:tcPr>
          <w:p w14:paraId="7C98CE45"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2E34C4" w14:textId="77777777" w:rsidR="00000000" w:rsidRDefault="00EE5306">
            <w:pPr>
              <w:spacing w:after="100"/>
              <w:jc w:val="right"/>
              <w:rPr>
                <w:rFonts w:eastAsia="Times New Roman"/>
              </w:rPr>
            </w:pPr>
            <w:r>
              <w:rPr>
                <w:rFonts w:eastAsia="Times New Roman"/>
                <w:color w:val="000000"/>
                <w:sz w:val="18"/>
                <w:szCs w:val="18"/>
              </w:rPr>
              <w:t>(7.0)</w:t>
            </w:r>
          </w:p>
        </w:tc>
        <w:tc>
          <w:tcPr>
            <w:tcW w:w="0" w:type="auto"/>
            <w:shd w:val="clear" w:color="auto" w:fill="FFFFFF"/>
            <w:tcMar>
              <w:top w:w="30" w:type="dxa"/>
              <w:left w:w="0" w:type="dxa"/>
              <w:bottom w:w="30" w:type="dxa"/>
              <w:right w:w="20" w:type="dxa"/>
            </w:tcMar>
            <w:vAlign w:val="bottom"/>
            <w:hideMark/>
          </w:tcPr>
          <w:p w14:paraId="40AAF4E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145F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66C41D" w14:textId="77777777" w:rsidR="00000000" w:rsidRDefault="00EE5306">
            <w:pPr>
              <w:spacing w:after="100"/>
              <w:jc w:val="right"/>
              <w:rPr>
                <w:rFonts w:eastAsia="Times New Roman"/>
              </w:rPr>
            </w:pPr>
            <w:r>
              <w:rPr>
                <w:rFonts w:eastAsia="Times New Roman"/>
                <w:color w:val="000000"/>
                <w:sz w:val="18"/>
                <w:szCs w:val="18"/>
              </w:rPr>
              <w:t>21.2 </w:t>
            </w:r>
          </w:p>
        </w:tc>
        <w:tc>
          <w:tcPr>
            <w:tcW w:w="0" w:type="auto"/>
            <w:shd w:val="clear" w:color="auto" w:fill="FFFFFF"/>
            <w:tcMar>
              <w:top w:w="30" w:type="dxa"/>
              <w:left w:w="0" w:type="dxa"/>
              <w:bottom w:w="30" w:type="dxa"/>
              <w:right w:w="20" w:type="dxa"/>
            </w:tcMar>
            <w:vAlign w:val="bottom"/>
            <w:hideMark/>
          </w:tcPr>
          <w:p w14:paraId="547E783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663D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C12019" w14:textId="77777777" w:rsidR="00000000" w:rsidRDefault="00EE5306">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14:paraId="1CF935A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B0D1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8246FC" w14:textId="77777777" w:rsidR="00000000" w:rsidRDefault="00EE5306">
            <w:pPr>
              <w:spacing w:after="100"/>
              <w:jc w:val="right"/>
              <w:rPr>
                <w:rFonts w:eastAsia="Times New Roman"/>
              </w:rPr>
            </w:pPr>
            <w:r>
              <w:rPr>
                <w:rFonts w:eastAsia="Times New Roman"/>
                <w:color w:val="000000"/>
                <w:sz w:val="18"/>
                <w:szCs w:val="18"/>
              </w:rPr>
              <w:t>12.6 </w:t>
            </w:r>
          </w:p>
        </w:tc>
        <w:tc>
          <w:tcPr>
            <w:tcW w:w="0" w:type="auto"/>
            <w:shd w:val="clear" w:color="auto" w:fill="FFFFFF"/>
            <w:tcMar>
              <w:top w:w="30" w:type="dxa"/>
              <w:left w:w="0" w:type="dxa"/>
              <w:bottom w:w="30" w:type="dxa"/>
              <w:right w:w="20" w:type="dxa"/>
            </w:tcMar>
            <w:vAlign w:val="bottom"/>
            <w:hideMark/>
          </w:tcPr>
          <w:p w14:paraId="04E9EF4B" w14:textId="77777777" w:rsidR="00000000" w:rsidRDefault="00EE5306">
            <w:pPr>
              <w:spacing w:after="100"/>
              <w:jc w:val="right"/>
              <w:rPr>
                <w:rFonts w:eastAsia="Times New Roman"/>
              </w:rPr>
            </w:pPr>
          </w:p>
        </w:tc>
      </w:tr>
      <w:tr w:rsidR="00000000" w14:paraId="067CFD2A" w14:textId="77777777">
        <w:trPr>
          <w:divId w:val="1804812490"/>
        </w:trPr>
        <w:tc>
          <w:tcPr>
            <w:tcW w:w="0" w:type="auto"/>
            <w:gridSpan w:val="3"/>
            <w:shd w:val="clear" w:color="auto" w:fill="CCEEFF"/>
            <w:tcMar>
              <w:top w:w="30" w:type="dxa"/>
              <w:left w:w="20" w:type="dxa"/>
              <w:bottom w:w="30" w:type="dxa"/>
              <w:right w:w="20" w:type="dxa"/>
            </w:tcMar>
            <w:vAlign w:val="bottom"/>
            <w:hideMark/>
          </w:tcPr>
          <w:p w14:paraId="60B7779B" w14:textId="77777777" w:rsidR="00000000" w:rsidRDefault="00EE5306">
            <w:pPr>
              <w:spacing w:after="100"/>
              <w:ind w:hanging="180"/>
              <w:divId w:val="1395929258"/>
              <w:rPr>
                <w:rFonts w:eastAsia="Times New Roman"/>
              </w:rPr>
            </w:pPr>
            <w:r>
              <w:rPr>
                <w:rFonts w:eastAsia="Times New Roman"/>
                <w:color w:val="000000"/>
                <w:sz w:val="18"/>
                <w:szCs w:val="18"/>
              </w:rPr>
              <w:t>Amounts reclassified from AOCI to earnings</w:t>
            </w:r>
          </w:p>
        </w:tc>
        <w:tc>
          <w:tcPr>
            <w:tcW w:w="0" w:type="auto"/>
            <w:gridSpan w:val="3"/>
            <w:shd w:val="clear" w:color="auto" w:fill="CCEEFF"/>
            <w:tcMar>
              <w:top w:w="0" w:type="dxa"/>
              <w:left w:w="20" w:type="dxa"/>
              <w:bottom w:w="0" w:type="dxa"/>
              <w:right w:w="20" w:type="dxa"/>
            </w:tcMar>
            <w:vAlign w:val="center"/>
            <w:hideMark/>
          </w:tcPr>
          <w:p w14:paraId="7974507E"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40F425" w14:textId="77777777" w:rsidR="00000000" w:rsidRDefault="00EE5306">
            <w:pPr>
              <w:spacing w:after="100"/>
              <w:jc w:val="right"/>
              <w:rPr>
                <w:rFonts w:eastAsia="Times New Roman"/>
              </w:rPr>
            </w:pPr>
            <w:r>
              <w:rPr>
                <w:rFonts w:eastAsia="Times New Roman"/>
                <w:color w:val="000000"/>
                <w:sz w:val="18"/>
                <w:szCs w:val="18"/>
              </w:rPr>
              <w:t>(4.9)</w:t>
            </w:r>
          </w:p>
        </w:tc>
        <w:tc>
          <w:tcPr>
            <w:tcW w:w="0" w:type="auto"/>
            <w:shd w:val="clear" w:color="auto" w:fill="CCEEFF"/>
            <w:tcMar>
              <w:top w:w="30" w:type="dxa"/>
              <w:left w:w="0" w:type="dxa"/>
              <w:bottom w:w="30" w:type="dxa"/>
              <w:right w:w="20" w:type="dxa"/>
            </w:tcMar>
            <w:vAlign w:val="bottom"/>
            <w:hideMark/>
          </w:tcPr>
          <w:p w14:paraId="1CE331B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81B1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333B3D" w14:textId="77777777" w:rsidR="00000000" w:rsidRDefault="00EE5306">
            <w:pPr>
              <w:spacing w:after="100"/>
              <w:jc w:val="right"/>
              <w:rPr>
                <w:rFonts w:eastAsia="Times New Roman"/>
              </w:rPr>
            </w:pPr>
            <w:r>
              <w:rPr>
                <w:rFonts w:eastAsia="Times New Roman"/>
                <w:color w:val="000000"/>
                <w:sz w:val="18"/>
                <w:szCs w:val="18"/>
              </w:rPr>
              <w:t>(23.4)</w:t>
            </w:r>
          </w:p>
        </w:tc>
        <w:tc>
          <w:tcPr>
            <w:tcW w:w="0" w:type="auto"/>
            <w:shd w:val="clear" w:color="auto" w:fill="CCEEFF"/>
            <w:tcMar>
              <w:top w:w="30" w:type="dxa"/>
              <w:left w:w="0" w:type="dxa"/>
              <w:bottom w:w="30" w:type="dxa"/>
              <w:right w:w="20" w:type="dxa"/>
            </w:tcMar>
            <w:vAlign w:val="bottom"/>
            <w:hideMark/>
          </w:tcPr>
          <w:p w14:paraId="2F74416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FD75F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A26582" w14:textId="77777777" w:rsidR="00000000" w:rsidRDefault="00EE5306">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101D069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2AAF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B4C275" w14:textId="77777777" w:rsidR="00000000" w:rsidRDefault="00EE5306">
            <w:pPr>
              <w:spacing w:after="100"/>
              <w:jc w:val="right"/>
              <w:rPr>
                <w:rFonts w:eastAsia="Times New Roman"/>
              </w:rPr>
            </w:pPr>
            <w:r>
              <w:rPr>
                <w:rFonts w:eastAsia="Times New Roman"/>
                <w:color w:val="000000"/>
                <w:sz w:val="18"/>
                <w:szCs w:val="18"/>
              </w:rPr>
              <w:t>(27.4)</w:t>
            </w:r>
          </w:p>
        </w:tc>
        <w:tc>
          <w:tcPr>
            <w:tcW w:w="0" w:type="auto"/>
            <w:shd w:val="clear" w:color="auto" w:fill="CCEEFF"/>
            <w:tcMar>
              <w:top w:w="30" w:type="dxa"/>
              <w:left w:w="0" w:type="dxa"/>
              <w:bottom w:w="30" w:type="dxa"/>
              <w:right w:w="20" w:type="dxa"/>
            </w:tcMar>
            <w:vAlign w:val="bottom"/>
            <w:hideMark/>
          </w:tcPr>
          <w:p w14:paraId="3694D35A" w14:textId="77777777" w:rsidR="00000000" w:rsidRDefault="00EE5306">
            <w:pPr>
              <w:spacing w:after="100"/>
              <w:jc w:val="right"/>
              <w:rPr>
                <w:rFonts w:eastAsia="Times New Roman"/>
              </w:rPr>
            </w:pPr>
          </w:p>
        </w:tc>
      </w:tr>
      <w:tr w:rsidR="00000000" w14:paraId="7C55641B" w14:textId="77777777">
        <w:trPr>
          <w:divId w:val="1804812490"/>
        </w:trPr>
        <w:tc>
          <w:tcPr>
            <w:tcW w:w="0" w:type="auto"/>
            <w:gridSpan w:val="3"/>
            <w:shd w:val="clear" w:color="auto" w:fill="FFFFFF"/>
            <w:tcMar>
              <w:top w:w="30" w:type="dxa"/>
              <w:left w:w="290" w:type="dxa"/>
              <w:bottom w:w="30" w:type="dxa"/>
              <w:right w:w="20" w:type="dxa"/>
            </w:tcMar>
            <w:vAlign w:val="bottom"/>
            <w:hideMark/>
          </w:tcPr>
          <w:p w14:paraId="0408E318" w14:textId="77777777" w:rsidR="00000000" w:rsidRDefault="00EE5306">
            <w:pPr>
              <w:spacing w:after="100"/>
              <w:ind w:hanging="180"/>
              <w:rPr>
                <w:rFonts w:eastAsia="Times New Roman"/>
              </w:rPr>
            </w:pPr>
            <w:r>
              <w:rPr>
                <w:rFonts w:eastAsia="Times New Roman"/>
                <w:color w:val="000000"/>
                <w:sz w:val="18"/>
                <w:szCs w:val="18"/>
              </w:rPr>
              <w:t>Other comprehensive loss, net of tax</w:t>
            </w:r>
          </w:p>
        </w:tc>
        <w:tc>
          <w:tcPr>
            <w:tcW w:w="0" w:type="auto"/>
            <w:gridSpan w:val="3"/>
            <w:shd w:val="clear" w:color="auto" w:fill="FFFFFF"/>
            <w:tcMar>
              <w:top w:w="0" w:type="dxa"/>
              <w:left w:w="20" w:type="dxa"/>
              <w:bottom w:w="0" w:type="dxa"/>
              <w:right w:w="20" w:type="dxa"/>
            </w:tcMar>
            <w:vAlign w:val="center"/>
            <w:hideMark/>
          </w:tcPr>
          <w:p w14:paraId="63FCB0FC" w14:textId="77777777" w:rsidR="00000000" w:rsidRDefault="00EE5306">
            <w:pPr>
              <w:spacing w:after="100"/>
              <w:ind w:hanging="18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1EA642" w14:textId="77777777" w:rsidR="00000000" w:rsidRDefault="00EE5306">
            <w:pPr>
              <w:spacing w:after="100"/>
              <w:jc w:val="right"/>
              <w:rPr>
                <w:rFonts w:eastAsia="Times New Roman"/>
              </w:rPr>
            </w:pPr>
            <w:r>
              <w:rPr>
                <w:rFonts w:eastAsia="Times New Roman"/>
                <w:color w:val="000000"/>
                <w:sz w:val="18"/>
                <w:szCs w:val="18"/>
              </w:rPr>
              <w:t>(11.9)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DD35B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1FA74"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D21998" w14:textId="77777777" w:rsidR="00000000" w:rsidRDefault="00EE5306">
            <w:pPr>
              <w:spacing w:after="100"/>
              <w:jc w:val="right"/>
              <w:rPr>
                <w:rFonts w:eastAsia="Times New Roman"/>
              </w:rPr>
            </w:pPr>
            <w:r>
              <w:rPr>
                <w:rFonts w:eastAsia="Times New Roman"/>
                <w:color w:val="000000"/>
                <w:sz w:val="18"/>
                <w:szCs w:val="18"/>
              </w:rPr>
              <w:t>(2.2)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2CB3D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AF300"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4928EE" w14:textId="77777777" w:rsidR="00000000" w:rsidRDefault="00EE5306">
            <w:pPr>
              <w:spacing w:after="100"/>
              <w:jc w:val="right"/>
              <w:rPr>
                <w:rFonts w:eastAsia="Times New Roman"/>
              </w:rPr>
            </w:pPr>
            <w:r>
              <w:rPr>
                <w:rFonts w:eastAsia="Times New Roman"/>
                <w:color w:val="000000"/>
                <w:sz w:val="18"/>
                <w:szCs w:val="18"/>
              </w:rPr>
              <w:t>(0.7)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B41BC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BBD06"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AF6D84" w14:textId="77777777" w:rsidR="00000000" w:rsidRDefault="00EE5306">
            <w:pPr>
              <w:spacing w:after="100"/>
              <w:jc w:val="right"/>
              <w:rPr>
                <w:rFonts w:eastAsia="Times New Roman"/>
              </w:rPr>
            </w:pPr>
            <w:r>
              <w:rPr>
                <w:rFonts w:eastAsia="Times New Roman"/>
                <w:color w:val="000000"/>
                <w:sz w:val="18"/>
                <w:szCs w:val="18"/>
              </w:rPr>
              <w:t>(14.8)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092ECD" w14:textId="77777777" w:rsidR="00000000" w:rsidRDefault="00EE5306">
            <w:pPr>
              <w:spacing w:after="100"/>
              <w:jc w:val="right"/>
              <w:rPr>
                <w:rFonts w:eastAsia="Times New Roman"/>
              </w:rPr>
            </w:pPr>
          </w:p>
        </w:tc>
      </w:tr>
      <w:tr w:rsidR="00000000" w14:paraId="44733951" w14:textId="77777777">
        <w:trPr>
          <w:divId w:val="1804812490"/>
        </w:trPr>
        <w:tc>
          <w:tcPr>
            <w:tcW w:w="0" w:type="auto"/>
            <w:gridSpan w:val="3"/>
            <w:shd w:val="clear" w:color="auto" w:fill="CCEEFF"/>
            <w:tcMar>
              <w:top w:w="30" w:type="dxa"/>
              <w:left w:w="20" w:type="dxa"/>
              <w:bottom w:w="30" w:type="dxa"/>
              <w:right w:w="20" w:type="dxa"/>
            </w:tcMar>
            <w:vAlign w:val="bottom"/>
            <w:hideMark/>
          </w:tcPr>
          <w:p w14:paraId="72EE66E7" w14:textId="77777777" w:rsidR="00000000" w:rsidRDefault="00EE5306">
            <w:pPr>
              <w:spacing w:after="100"/>
              <w:rPr>
                <w:rFonts w:eastAsia="Times New Roman"/>
              </w:rPr>
            </w:pPr>
            <w:r>
              <w:rPr>
                <w:rFonts w:eastAsia="Times New Roman"/>
                <w:color w:val="000000"/>
                <w:sz w:val="18"/>
                <w:szCs w:val="18"/>
              </w:rPr>
              <w:t>Balance at March 28, 2020</w:t>
            </w:r>
          </w:p>
        </w:tc>
        <w:tc>
          <w:tcPr>
            <w:tcW w:w="0" w:type="auto"/>
            <w:gridSpan w:val="3"/>
            <w:shd w:val="clear" w:color="auto" w:fill="CCEEFF"/>
            <w:tcMar>
              <w:top w:w="0" w:type="dxa"/>
              <w:left w:w="20" w:type="dxa"/>
              <w:bottom w:w="0" w:type="dxa"/>
              <w:right w:w="20" w:type="dxa"/>
            </w:tcMar>
            <w:vAlign w:val="center"/>
            <w:hideMark/>
          </w:tcPr>
          <w:p w14:paraId="3EEE98F0"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6E141D" w14:textId="77777777" w:rsidR="00000000" w:rsidRDefault="00EE5306">
            <w:pPr>
              <w:spacing w:after="100"/>
              <w:jc w:val="right"/>
              <w:rPr>
                <w:rFonts w:eastAsia="Times New Roman"/>
              </w:rPr>
            </w:pPr>
            <w:r>
              <w:rPr>
                <w:rFonts w:eastAsia="Times New Roman"/>
                <w:color w:val="000000"/>
                <w:sz w:val="18"/>
                <w:szCs w:val="18"/>
              </w:rPr>
              <w:t>(130.4)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06901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2062F"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443EBF" w14:textId="77777777" w:rsidR="00000000" w:rsidRDefault="00EE5306">
            <w:pPr>
              <w:spacing w:after="100"/>
              <w:jc w:val="right"/>
              <w:rPr>
                <w:rFonts w:eastAsia="Times New Roman"/>
              </w:rPr>
            </w:pPr>
            <w:r>
              <w:rPr>
                <w:rFonts w:eastAsia="Times New Roman"/>
                <w:color w:val="000000"/>
                <w:sz w:val="18"/>
                <w:szCs w:val="18"/>
              </w:rPr>
              <w:t>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28010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C22A4"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89B0CB" w14:textId="77777777" w:rsidR="00000000" w:rsidRDefault="00EE5306">
            <w:pPr>
              <w:spacing w:after="100"/>
              <w:jc w:val="right"/>
              <w:rPr>
                <w:rFonts w:eastAsia="Times New Roman"/>
              </w:rPr>
            </w:pPr>
            <w:r>
              <w:rPr>
                <w:rFonts w:eastAsia="Times New Roman"/>
                <w:color w:val="000000"/>
                <w:sz w:val="18"/>
                <w:szCs w:val="18"/>
              </w:rPr>
              <w:t>(5.8)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500C9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033E8"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D41B75" w14:textId="77777777" w:rsidR="00000000" w:rsidRDefault="00EE5306">
            <w:pPr>
              <w:spacing w:after="100"/>
              <w:jc w:val="right"/>
              <w:rPr>
                <w:rFonts w:eastAsia="Times New Roman"/>
              </w:rPr>
            </w:pPr>
            <w:r>
              <w:rPr>
                <w:rFonts w:eastAsia="Times New Roman"/>
                <w:color w:val="000000"/>
                <w:sz w:val="18"/>
                <w:szCs w:val="18"/>
              </w:rPr>
              <w:t>(118.2)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2E189E" w14:textId="77777777" w:rsidR="00000000" w:rsidRDefault="00EE5306">
            <w:pPr>
              <w:spacing w:after="100"/>
              <w:jc w:val="right"/>
              <w:rPr>
                <w:rFonts w:eastAsia="Times New Roman"/>
              </w:rPr>
            </w:pPr>
          </w:p>
        </w:tc>
      </w:tr>
      <w:tr w:rsidR="00000000" w14:paraId="2783AE94" w14:textId="77777777">
        <w:trPr>
          <w:divId w:val="1804812490"/>
        </w:trPr>
        <w:tc>
          <w:tcPr>
            <w:tcW w:w="0" w:type="auto"/>
            <w:gridSpan w:val="3"/>
            <w:shd w:val="clear" w:color="auto" w:fill="FFFFFF"/>
            <w:tcMar>
              <w:top w:w="30" w:type="dxa"/>
              <w:left w:w="20" w:type="dxa"/>
              <w:bottom w:w="30" w:type="dxa"/>
              <w:right w:w="20" w:type="dxa"/>
            </w:tcMar>
            <w:vAlign w:val="bottom"/>
            <w:hideMark/>
          </w:tcPr>
          <w:p w14:paraId="136AC30D" w14:textId="77777777" w:rsidR="00000000" w:rsidRDefault="00EE5306">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01C98F69" w14:textId="77777777" w:rsidR="00000000" w:rsidRDefault="00EE530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8F5FC6"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5A045A"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65BDDE"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31F14B"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02CFF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F225F5"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A6E3F3" w14:textId="77777777" w:rsidR="00000000" w:rsidRDefault="00EE5306">
            <w:pPr>
              <w:spacing w:after="100"/>
              <w:rPr>
                <w:rFonts w:eastAsia="Times New Roman"/>
                <w:sz w:val="20"/>
                <w:szCs w:val="20"/>
              </w:rPr>
            </w:pPr>
          </w:p>
        </w:tc>
      </w:tr>
      <w:tr w:rsidR="00000000" w14:paraId="73810F42" w14:textId="77777777">
        <w:trPr>
          <w:divId w:val="1804812490"/>
        </w:trPr>
        <w:tc>
          <w:tcPr>
            <w:tcW w:w="0" w:type="auto"/>
            <w:gridSpan w:val="3"/>
            <w:shd w:val="clear" w:color="auto" w:fill="CCEEFF"/>
            <w:tcMar>
              <w:top w:w="30" w:type="dxa"/>
              <w:left w:w="20" w:type="dxa"/>
              <w:bottom w:w="30" w:type="dxa"/>
              <w:right w:w="20" w:type="dxa"/>
            </w:tcMar>
            <w:vAlign w:val="bottom"/>
            <w:hideMark/>
          </w:tcPr>
          <w:p w14:paraId="01CD2136" w14:textId="77777777" w:rsidR="00000000" w:rsidRDefault="00EE5306">
            <w:pPr>
              <w:spacing w:after="100"/>
              <w:ind w:hanging="180"/>
              <w:divId w:val="240456358"/>
              <w:rPr>
                <w:rFonts w:eastAsia="Times New Roman"/>
              </w:rPr>
            </w:pPr>
            <w:r>
              <w:rPr>
                <w:rFonts w:eastAsia="Times New Roman"/>
                <w:color w:val="000000"/>
                <w:sz w:val="18"/>
                <w:szCs w:val="18"/>
              </w:rPr>
              <w:t>OCI before reclassifications</w:t>
            </w:r>
          </w:p>
        </w:tc>
        <w:tc>
          <w:tcPr>
            <w:tcW w:w="0" w:type="auto"/>
            <w:gridSpan w:val="3"/>
            <w:shd w:val="clear" w:color="auto" w:fill="CCEEFF"/>
            <w:tcMar>
              <w:top w:w="0" w:type="dxa"/>
              <w:left w:w="20" w:type="dxa"/>
              <w:bottom w:w="0" w:type="dxa"/>
              <w:right w:w="20" w:type="dxa"/>
            </w:tcMar>
            <w:vAlign w:val="center"/>
            <w:hideMark/>
          </w:tcPr>
          <w:p w14:paraId="357FC5FF"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DB9605" w14:textId="77777777" w:rsidR="00000000" w:rsidRDefault="00EE5306">
            <w:pPr>
              <w:spacing w:after="100"/>
              <w:jc w:val="right"/>
              <w:rPr>
                <w:rFonts w:eastAsia="Times New Roman"/>
              </w:rPr>
            </w:pPr>
            <w:r>
              <w:rPr>
                <w:rFonts w:eastAsia="Times New Roman"/>
                <w:color w:val="000000"/>
                <w:sz w:val="18"/>
                <w:szCs w:val="18"/>
              </w:rPr>
              <w:t>7.2 </w:t>
            </w:r>
          </w:p>
        </w:tc>
        <w:tc>
          <w:tcPr>
            <w:tcW w:w="0" w:type="auto"/>
            <w:shd w:val="clear" w:color="auto" w:fill="CCEEFF"/>
            <w:tcMar>
              <w:top w:w="30" w:type="dxa"/>
              <w:left w:w="0" w:type="dxa"/>
              <w:bottom w:w="30" w:type="dxa"/>
              <w:right w:w="20" w:type="dxa"/>
            </w:tcMar>
            <w:vAlign w:val="bottom"/>
            <w:hideMark/>
          </w:tcPr>
          <w:p w14:paraId="6016E1C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096B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01D766" w14:textId="77777777" w:rsidR="00000000" w:rsidRDefault="00EE5306">
            <w:pPr>
              <w:spacing w:after="100"/>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bottom"/>
            <w:hideMark/>
          </w:tcPr>
          <w:p w14:paraId="60B1286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750F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A800E" w14:textId="77777777" w:rsidR="00000000" w:rsidRDefault="00EE5306">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14:paraId="3F2F6EE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D86C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E76BDD" w14:textId="77777777" w:rsidR="00000000" w:rsidRDefault="00EE5306">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14:paraId="4721B748" w14:textId="77777777" w:rsidR="00000000" w:rsidRDefault="00EE5306">
            <w:pPr>
              <w:spacing w:after="100"/>
              <w:jc w:val="right"/>
              <w:rPr>
                <w:rFonts w:eastAsia="Times New Roman"/>
              </w:rPr>
            </w:pPr>
          </w:p>
        </w:tc>
      </w:tr>
      <w:tr w:rsidR="00000000" w14:paraId="3CD183A8" w14:textId="77777777">
        <w:trPr>
          <w:divId w:val="1804812490"/>
        </w:trPr>
        <w:tc>
          <w:tcPr>
            <w:tcW w:w="0" w:type="auto"/>
            <w:gridSpan w:val="3"/>
            <w:shd w:val="clear" w:color="auto" w:fill="FFFFFF"/>
            <w:tcMar>
              <w:top w:w="30" w:type="dxa"/>
              <w:left w:w="20" w:type="dxa"/>
              <w:bottom w:w="30" w:type="dxa"/>
              <w:right w:w="20" w:type="dxa"/>
            </w:tcMar>
            <w:vAlign w:val="bottom"/>
            <w:hideMark/>
          </w:tcPr>
          <w:p w14:paraId="39334978" w14:textId="77777777" w:rsidR="00000000" w:rsidRDefault="00EE5306">
            <w:pPr>
              <w:spacing w:after="100"/>
              <w:ind w:hanging="180"/>
              <w:divId w:val="1985816917"/>
              <w:rPr>
                <w:rFonts w:eastAsia="Times New Roman"/>
              </w:rPr>
            </w:pPr>
            <w:r>
              <w:rPr>
                <w:rFonts w:eastAsia="Times New Roman"/>
                <w:color w:val="000000"/>
                <w:sz w:val="18"/>
                <w:szCs w:val="18"/>
              </w:rPr>
              <w:t>Amounts reclassified from AOCI to earnings</w:t>
            </w:r>
          </w:p>
        </w:tc>
        <w:tc>
          <w:tcPr>
            <w:tcW w:w="0" w:type="auto"/>
            <w:gridSpan w:val="3"/>
            <w:shd w:val="clear" w:color="auto" w:fill="FFFFFF"/>
            <w:tcMar>
              <w:top w:w="0" w:type="dxa"/>
              <w:left w:w="20" w:type="dxa"/>
              <w:bottom w:w="0" w:type="dxa"/>
              <w:right w:w="20" w:type="dxa"/>
            </w:tcMar>
            <w:vAlign w:val="center"/>
            <w:hideMark/>
          </w:tcPr>
          <w:p w14:paraId="7F96490C" w14:textId="77777777" w:rsidR="00000000" w:rsidRDefault="00EE530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7D4400" w14:textId="77777777" w:rsidR="00000000" w:rsidRDefault="00EE530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A68A8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DC87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A0727F" w14:textId="77777777" w:rsidR="00000000" w:rsidRDefault="00EE5306">
            <w:pPr>
              <w:spacing w:after="100"/>
              <w:jc w:val="right"/>
              <w:rPr>
                <w:rFonts w:eastAsia="Times New Roman"/>
              </w:rPr>
            </w:pPr>
            <w:r>
              <w:rPr>
                <w:rFonts w:eastAsia="Times New Roman"/>
                <w:color w:val="000000"/>
                <w:sz w:val="18"/>
                <w:szCs w:val="18"/>
              </w:rPr>
              <w:t>(10.4)</w:t>
            </w:r>
          </w:p>
        </w:tc>
        <w:tc>
          <w:tcPr>
            <w:tcW w:w="0" w:type="auto"/>
            <w:shd w:val="clear" w:color="auto" w:fill="FFFFFF"/>
            <w:tcMar>
              <w:top w:w="30" w:type="dxa"/>
              <w:left w:w="0" w:type="dxa"/>
              <w:bottom w:w="30" w:type="dxa"/>
              <w:right w:w="20" w:type="dxa"/>
            </w:tcMar>
            <w:vAlign w:val="bottom"/>
            <w:hideMark/>
          </w:tcPr>
          <w:p w14:paraId="76552FE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A97F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45A93D" w14:textId="77777777" w:rsidR="00000000" w:rsidRDefault="00EE5306">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4B7A6B5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3DA5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8B31BD" w14:textId="77777777" w:rsidR="00000000" w:rsidRDefault="00EE5306">
            <w:pPr>
              <w:spacing w:after="100"/>
              <w:jc w:val="right"/>
              <w:rPr>
                <w:rFonts w:eastAsia="Times New Roman"/>
              </w:rPr>
            </w:pPr>
            <w:r>
              <w:rPr>
                <w:rFonts w:eastAsia="Times New Roman"/>
                <w:color w:val="000000"/>
                <w:sz w:val="18"/>
                <w:szCs w:val="18"/>
              </w:rPr>
              <w:t>(10.1)</w:t>
            </w:r>
          </w:p>
        </w:tc>
        <w:tc>
          <w:tcPr>
            <w:tcW w:w="0" w:type="auto"/>
            <w:shd w:val="clear" w:color="auto" w:fill="FFFFFF"/>
            <w:tcMar>
              <w:top w:w="30" w:type="dxa"/>
              <w:left w:w="0" w:type="dxa"/>
              <w:bottom w:w="30" w:type="dxa"/>
              <w:right w:w="20" w:type="dxa"/>
            </w:tcMar>
            <w:vAlign w:val="bottom"/>
            <w:hideMark/>
          </w:tcPr>
          <w:p w14:paraId="73FFF11B" w14:textId="77777777" w:rsidR="00000000" w:rsidRDefault="00EE5306">
            <w:pPr>
              <w:spacing w:after="100"/>
              <w:jc w:val="right"/>
              <w:rPr>
                <w:rFonts w:eastAsia="Times New Roman"/>
              </w:rPr>
            </w:pPr>
          </w:p>
        </w:tc>
      </w:tr>
      <w:tr w:rsidR="00000000" w14:paraId="6A1B8092" w14:textId="77777777">
        <w:trPr>
          <w:divId w:val="1804812490"/>
        </w:trPr>
        <w:tc>
          <w:tcPr>
            <w:tcW w:w="0" w:type="auto"/>
            <w:gridSpan w:val="3"/>
            <w:shd w:val="clear" w:color="auto" w:fill="CCEEFF"/>
            <w:tcMar>
              <w:top w:w="30" w:type="dxa"/>
              <w:left w:w="290" w:type="dxa"/>
              <w:bottom w:w="30" w:type="dxa"/>
              <w:right w:w="20" w:type="dxa"/>
            </w:tcMar>
            <w:vAlign w:val="bottom"/>
            <w:hideMark/>
          </w:tcPr>
          <w:p w14:paraId="4CB49EC5" w14:textId="77777777" w:rsidR="00000000" w:rsidRDefault="00EE5306">
            <w:pPr>
              <w:spacing w:after="100"/>
              <w:ind w:hanging="18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14:paraId="483BC422" w14:textId="77777777" w:rsidR="00000000" w:rsidRDefault="00EE5306">
            <w:pPr>
              <w:spacing w:after="100"/>
              <w:ind w:hanging="18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E01AA7" w14:textId="77777777" w:rsidR="00000000" w:rsidRDefault="00EE5306">
            <w:pPr>
              <w:spacing w:after="100"/>
              <w:jc w:val="right"/>
              <w:rPr>
                <w:rFonts w:eastAsia="Times New Roman"/>
              </w:rPr>
            </w:pPr>
            <w:r>
              <w:rPr>
                <w:rFonts w:eastAsia="Times New Roman"/>
                <w:color w:val="000000"/>
                <w:sz w:val="18"/>
                <w:szCs w:val="18"/>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6B4B6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38032F"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DF0355" w14:textId="77777777" w:rsidR="00000000" w:rsidRDefault="00EE5306">
            <w:pPr>
              <w:spacing w:after="100"/>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8FA4E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50CC8"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B7FB3F" w14:textId="77777777" w:rsidR="00000000" w:rsidRDefault="00EE5306">
            <w:pPr>
              <w:spacing w:after="100"/>
              <w:jc w:val="right"/>
              <w:rPr>
                <w:rFonts w:eastAsia="Times New Roman"/>
              </w:rPr>
            </w:pPr>
            <w:r>
              <w:rPr>
                <w:rFonts w:eastAsia="Times New Roman"/>
                <w:color w:val="000000"/>
                <w:sz w:val="18"/>
                <w:szCs w:val="18"/>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2E684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2E460"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E01164" w14:textId="77777777" w:rsidR="00000000" w:rsidRDefault="00EE5306">
            <w:pPr>
              <w:spacing w:after="100"/>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07ECFD" w14:textId="77777777" w:rsidR="00000000" w:rsidRDefault="00EE5306">
            <w:pPr>
              <w:spacing w:after="100"/>
              <w:jc w:val="right"/>
              <w:rPr>
                <w:rFonts w:eastAsia="Times New Roman"/>
              </w:rPr>
            </w:pPr>
          </w:p>
        </w:tc>
      </w:tr>
      <w:tr w:rsidR="00000000" w14:paraId="4D3CFEDA" w14:textId="77777777">
        <w:trPr>
          <w:divId w:val="1804812490"/>
        </w:trPr>
        <w:tc>
          <w:tcPr>
            <w:tcW w:w="0" w:type="auto"/>
            <w:gridSpan w:val="3"/>
            <w:shd w:val="clear" w:color="auto" w:fill="FFFFFF"/>
            <w:tcMar>
              <w:top w:w="30" w:type="dxa"/>
              <w:left w:w="20" w:type="dxa"/>
              <w:bottom w:w="30" w:type="dxa"/>
              <w:right w:w="20" w:type="dxa"/>
            </w:tcMar>
            <w:vAlign w:val="bottom"/>
            <w:hideMark/>
          </w:tcPr>
          <w:p w14:paraId="3C205900" w14:textId="77777777" w:rsidR="00000000" w:rsidRDefault="00EE5306">
            <w:pPr>
              <w:spacing w:after="100"/>
              <w:rPr>
                <w:rFonts w:eastAsia="Times New Roman"/>
              </w:rPr>
            </w:pPr>
            <w:r>
              <w:rPr>
                <w:rFonts w:eastAsia="Times New Roman"/>
                <w:color w:val="000000"/>
                <w:sz w:val="18"/>
                <w:szCs w:val="18"/>
              </w:rPr>
              <w:t>Balance at March 27, 2021</w:t>
            </w:r>
          </w:p>
        </w:tc>
        <w:tc>
          <w:tcPr>
            <w:tcW w:w="0" w:type="auto"/>
            <w:gridSpan w:val="3"/>
            <w:shd w:val="clear" w:color="auto" w:fill="FFFFFF"/>
            <w:tcMar>
              <w:top w:w="0" w:type="dxa"/>
              <w:left w:w="20" w:type="dxa"/>
              <w:bottom w:w="0" w:type="dxa"/>
              <w:right w:w="20" w:type="dxa"/>
            </w:tcMar>
            <w:vAlign w:val="center"/>
            <w:hideMark/>
          </w:tcPr>
          <w:p w14:paraId="4003276C"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0C2C94"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171B81" w14:textId="77777777" w:rsidR="00000000" w:rsidRDefault="00EE5306">
            <w:pPr>
              <w:spacing w:after="100"/>
              <w:jc w:val="right"/>
              <w:rPr>
                <w:rFonts w:eastAsia="Times New Roman"/>
              </w:rPr>
            </w:pPr>
            <w:r>
              <w:rPr>
                <w:rFonts w:eastAsia="Times New Roman"/>
                <w:color w:val="000000"/>
                <w:sz w:val="18"/>
                <w:szCs w:val="18"/>
              </w:rPr>
              <w:t>(123.2)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8719B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2C3C6"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4D3641"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2745B7" w14:textId="77777777" w:rsidR="00000000" w:rsidRDefault="00EE5306">
            <w:pPr>
              <w:spacing w:after="100"/>
              <w:jc w:val="right"/>
              <w:rPr>
                <w:rFonts w:eastAsia="Times New Roman"/>
              </w:rPr>
            </w:pPr>
            <w:r>
              <w:rPr>
                <w:rFonts w:eastAsia="Times New Roman"/>
                <w:color w:val="000000"/>
                <w:sz w:val="18"/>
                <w:szCs w:val="18"/>
              </w:rPr>
              <w:t>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AA38B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FEB3A"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FFEE54"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66F9B0" w14:textId="77777777" w:rsidR="00000000" w:rsidRDefault="00EE5306">
            <w:pPr>
              <w:spacing w:after="100"/>
              <w:jc w:val="right"/>
              <w:rPr>
                <w:rFonts w:eastAsia="Times New Roman"/>
              </w:rPr>
            </w:pPr>
            <w:r>
              <w:rPr>
                <w:rFonts w:eastAsia="Times New Roman"/>
                <w:color w:val="000000"/>
                <w:sz w:val="18"/>
                <w:szCs w:val="18"/>
              </w:rPr>
              <w:t>(2.2)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85A15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C511E"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10A7B0" w14:textId="77777777" w:rsidR="00000000" w:rsidRDefault="00EE530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FE0931" w14:textId="77777777" w:rsidR="00000000" w:rsidRDefault="00EE5306">
            <w:pPr>
              <w:spacing w:after="100"/>
              <w:jc w:val="right"/>
              <w:rPr>
                <w:rFonts w:eastAsia="Times New Roman"/>
              </w:rPr>
            </w:pPr>
            <w:r>
              <w:rPr>
                <w:rFonts w:eastAsia="Times New Roman"/>
                <w:color w:val="000000"/>
                <w:sz w:val="18"/>
                <w:szCs w:val="18"/>
              </w:rPr>
              <w:t>(120.8)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B37930"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10AE1DBB" w14:textId="77777777">
        <w:tc>
          <w:tcPr>
            <w:tcW w:w="50" w:type="pct"/>
            <w:vAlign w:val="center"/>
            <w:hideMark/>
          </w:tcPr>
          <w:p w14:paraId="3809D7EC" w14:textId="77777777" w:rsidR="00000000" w:rsidRDefault="00EE5306">
            <w:pPr>
              <w:rPr>
                <w:rFonts w:eastAsia="Times New Roman"/>
              </w:rPr>
            </w:pPr>
          </w:p>
        </w:tc>
        <w:tc>
          <w:tcPr>
            <w:tcW w:w="4945" w:type="pct"/>
            <w:vAlign w:val="center"/>
            <w:hideMark/>
          </w:tcPr>
          <w:p w14:paraId="6CAD53B2" w14:textId="77777777" w:rsidR="00000000" w:rsidRDefault="00EE5306">
            <w:pPr>
              <w:spacing w:after="100"/>
              <w:rPr>
                <w:rFonts w:eastAsia="Times New Roman"/>
                <w:sz w:val="20"/>
                <w:szCs w:val="20"/>
              </w:rPr>
            </w:pPr>
          </w:p>
        </w:tc>
        <w:tc>
          <w:tcPr>
            <w:tcW w:w="5" w:type="pct"/>
            <w:vAlign w:val="center"/>
            <w:hideMark/>
          </w:tcPr>
          <w:p w14:paraId="5070C122" w14:textId="77777777" w:rsidR="00000000" w:rsidRDefault="00EE5306">
            <w:pPr>
              <w:spacing w:after="100"/>
              <w:rPr>
                <w:rFonts w:eastAsia="Times New Roman"/>
                <w:sz w:val="20"/>
                <w:szCs w:val="20"/>
              </w:rPr>
            </w:pPr>
          </w:p>
        </w:tc>
      </w:tr>
      <w:tr w:rsidR="00000000" w14:paraId="4BA0E622"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02B74363" w14:textId="77777777" w:rsidR="00000000" w:rsidRDefault="00EE5306">
            <w:pPr>
              <w:spacing w:after="100"/>
              <w:rPr>
                <w:rFonts w:eastAsia="Times New Roman"/>
                <w:sz w:val="20"/>
                <w:szCs w:val="20"/>
              </w:rPr>
            </w:pPr>
          </w:p>
        </w:tc>
      </w:tr>
    </w:tbl>
    <w:p w14:paraId="76A996E5" w14:textId="77777777" w:rsidR="00000000" w:rsidRDefault="00EE5306">
      <w:pPr>
        <w:ind w:hanging="360"/>
        <w:jc w:val="both"/>
        <w:divId w:val="716126784"/>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OCI before reclassifications to earnings related to foreign currency translation gains (losses) includes an income tax benefit of $22.1 million for Fiscal 2021 and includes income tax provisions of $9.2 million and $10.8 million for Fiscal 2020 and Fiscal </w:t>
      </w:r>
      <w:r>
        <w:rPr>
          <w:rFonts w:eastAsia="Times New Roman"/>
          <w:color w:val="000000"/>
          <w:sz w:val="20"/>
          <w:szCs w:val="20"/>
        </w:rPr>
        <w:t>2019, respectively. OCI before reclassifications to earnings includes a loss of $65.6 million (net of a $20.7 million income tax benefit) for Fiscal 2021 and includes gains of $29.0 million (net of a $9.4 million income tax provision) and $50.2 million (ne</w:t>
      </w:r>
      <w:r>
        <w:rPr>
          <w:rFonts w:eastAsia="Times New Roman"/>
          <w:color w:val="000000"/>
          <w:sz w:val="20"/>
          <w:szCs w:val="20"/>
        </w:rPr>
        <w:t xml:space="preserve">t of a $15.9 million income tax provision) for Fiscal 2020 and Fiscal 2019, respectively, related to the effective portion of changes in the fair values of instruments designated as hedges of the Company's net investment in certain foreign operations (see </w:t>
      </w:r>
      <w:r>
        <w:rPr>
          <w:rFonts w:eastAsia="Times New Roman"/>
          <w:color w:val="000000"/>
          <w:sz w:val="20"/>
          <w:szCs w:val="20"/>
        </w:rPr>
        <w:t>Note 13). Amounts reclassified from AOCI to earnings related to foreign currency translation gains (losses) during Fiscal 2020 relate to the reclassification to retained earnings of income tax effects stranded in AOCI.</w:t>
      </w:r>
    </w:p>
    <w:p w14:paraId="630EB94A" w14:textId="77777777" w:rsidR="00000000" w:rsidRDefault="00EE5306">
      <w:pPr>
        <w:ind w:hanging="360"/>
        <w:jc w:val="both"/>
        <w:divId w:val="1009336759"/>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OCI before reclassifications to ea</w:t>
      </w:r>
      <w:r>
        <w:rPr>
          <w:rFonts w:eastAsia="Times New Roman"/>
          <w:color w:val="000000"/>
          <w:sz w:val="20"/>
          <w:szCs w:val="20"/>
        </w:rPr>
        <w:t xml:space="preserve">rnings related to net unrealized gains (losses) on cash flow hedges are presented net of an income tax benefit of $0.5 million for Fiscal 2021 and are presented net of income tax provisions of $2.8 million and $5.3 million for Fiscal 2020 and Fiscal 2019, </w:t>
      </w:r>
      <w:r>
        <w:rPr>
          <w:rFonts w:eastAsia="Times New Roman"/>
          <w:color w:val="000000"/>
          <w:sz w:val="20"/>
          <w:szCs w:val="20"/>
        </w:rPr>
        <w:t>respectively. The tax effects on amounts reclassified from AOCI to earnings are presented in a table below.</w:t>
      </w:r>
    </w:p>
    <w:p w14:paraId="46E72D84" w14:textId="77777777" w:rsidR="00000000" w:rsidRDefault="00EE5306">
      <w:pPr>
        <w:ind w:hanging="360"/>
        <w:jc w:val="both"/>
        <w:divId w:val="801387734"/>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OCI before reclassifications to earnings related to net unrealized gains (losses) on defined benefit plans are presented net of an income tax pro</w:t>
      </w:r>
      <w:r>
        <w:rPr>
          <w:rFonts w:eastAsia="Times New Roman"/>
          <w:color w:val="000000"/>
          <w:sz w:val="20"/>
          <w:szCs w:val="20"/>
        </w:rPr>
        <w:t>vision of $1.2 million for Fiscal 2021. The tax effects on OCI before reclassifications to earnings were immaterial for the other periods presented, and were immaterial for amounts reclassified from AOCI to earnings for all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BF7674C" w14:textId="77777777">
        <w:trPr>
          <w:divId w:val="1025474272"/>
          <w:jc w:val="center"/>
        </w:trPr>
        <w:tc>
          <w:tcPr>
            <w:tcW w:w="50" w:type="pct"/>
            <w:vAlign w:val="center"/>
            <w:hideMark/>
          </w:tcPr>
          <w:p w14:paraId="2DC9EE6E" w14:textId="77777777" w:rsidR="00000000" w:rsidRDefault="00EE5306">
            <w:pPr>
              <w:ind w:hanging="360"/>
              <w:jc w:val="both"/>
              <w:rPr>
                <w:rFonts w:eastAsia="Times New Roman"/>
              </w:rPr>
            </w:pPr>
          </w:p>
        </w:tc>
        <w:tc>
          <w:tcPr>
            <w:tcW w:w="1699" w:type="pct"/>
            <w:vAlign w:val="center"/>
            <w:hideMark/>
          </w:tcPr>
          <w:p w14:paraId="36CCC4C2" w14:textId="77777777" w:rsidR="00000000" w:rsidRDefault="00EE5306">
            <w:pPr>
              <w:spacing w:after="100"/>
              <w:rPr>
                <w:rFonts w:eastAsia="Times New Roman"/>
                <w:sz w:val="20"/>
                <w:szCs w:val="20"/>
              </w:rPr>
            </w:pPr>
          </w:p>
        </w:tc>
        <w:tc>
          <w:tcPr>
            <w:tcW w:w="5" w:type="pct"/>
            <w:vAlign w:val="center"/>
            <w:hideMark/>
          </w:tcPr>
          <w:p w14:paraId="68A5154D" w14:textId="77777777" w:rsidR="00000000" w:rsidRDefault="00EE5306">
            <w:pPr>
              <w:spacing w:after="100"/>
              <w:rPr>
                <w:rFonts w:eastAsia="Times New Roman"/>
                <w:sz w:val="20"/>
                <w:szCs w:val="20"/>
              </w:rPr>
            </w:pPr>
          </w:p>
        </w:tc>
        <w:tc>
          <w:tcPr>
            <w:tcW w:w="50" w:type="pct"/>
            <w:vAlign w:val="center"/>
            <w:hideMark/>
          </w:tcPr>
          <w:p w14:paraId="202F081C" w14:textId="77777777" w:rsidR="00000000" w:rsidRDefault="00EE5306">
            <w:pPr>
              <w:spacing w:after="100"/>
              <w:rPr>
                <w:rFonts w:eastAsia="Times New Roman"/>
                <w:sz w:val="20"/>
                <w:szCs w:val="20"/>
              </w:rPr>
            </w:pPr>
          </w:p>
        </w:tc>
        <w:tc>
          <w:tcPr>
            <w:tcW w:w="1436" w:type="pct"/>
            <w:vAlign w:val="center"/>
            <w:hideMark/>
          </w:tcPr>
          <w:p w14:paraId="4756EB8B" w14:textId="77777777" w:rsidR="00000000" w:rsidRDefault="00EE5306">
            <w:pPr>
              <w:spacing w:after="100"/>
              <w:rPr>
                <w:rFonts w:eastAsia="Times New Roman"/>
                <w:sz w:val="20"/>
                <w:szCs w:val="20"/>
              </w:rPr>
            </w:pPr>
          </w:p>
        </w:tc>
        <w:tc>
          <w:tcPr>
            <w:tcW w:w="5" w:type="pct"/>
            <w:vAlign w:val="center"/>
            <w:hideMark/>
          </w:tcPr>
          <w:p w14:paraId="6C971760" w14:textId="77777777" w:rsidR="00000000" w:rsidRDefault="00EE5306">
            <w:pPr>
              <w:spacing w:after="100"/>
              <w:rPr>
                <w:rFonts w:eastAsia="Times New Roman"/>
                <w:sz w:val="20"/>
                <w:szCs w:val="20"/>
              </w:rPr>
            </w:pPr>
          </w:p>
        </w:tc>
        <w:tc>
          <w:tcPr>
            <w:tcW w:w="50" w:type="pct"/>
            <w:vAlign w:val="center"/>
            <w:hideMark/>
          </w:tcPr>
          <w:p w14:paraId="7B689C95" w14:textId="77777777" w:rsidR="00000000" w:rsidRDefault="00EE5306">
            <w:pPr>
              <w:spacing w:after="100"/>
              <w:rPr>
                <w:rFonts w:eastAsia="Times New Roman"/>
                <w:sz w:val="20"/>
                <w:szCs w:val="20"/>
              </w:rPr>
            </w:pPr>
          </w:p>
        </w:tc>
        <w:tc>
          <w:tcPr>
            <w:tcW w:w="1699" w:type="pct"/>
            <w:vAlign w:val="center"/>
            <w:hideMark/>
          </w:tcPr>
          <w:p w14:paraId="774BF0BE" w14:textId="77777777" w:rsidR="00000000" w:rsidRDefault="00EE5306">
            <w:pPr>
              <w:spacing w:after="100"/>
              <w:rPr>
                <w:rFonts w:eastAsia="Times New Roman"/>
                <w:sz w:val="20"/>
                <w:szCs w:val="20"/>
              </w:rPr>
            </w:pPr>
          </w:p>
        </w:tc>
        <w:tc>
          <w:tcPr>
            <w:tcW w:w="5" w:type="pct"/>
            <w:vAlign w:val="center"/>
            <w:hideMark/>
          </w:tcPr>
          <w:p w14:paraId="375FA987" w14:textId="77777777" w:rsidR="00000000" w:rsidRDefault="00EE5306">
            <w:pPr>
              <w:spacing w:after="100"/>
              <w:rPr>
                <w:rFonts w:eastAsia="Times New Roman"/>
                <w:sz w:val="20"/>
                <w:szCs w:val="20"/>
              </w:rPr>
            </w:pPr>
          </w:p>
        </w:tc>
      </w:tr>
      <w:tr w:rsidR="00000000" w14:paraId="2564EE7A" w14:textId="77777777">
        <w:trPr>
          <w:divId w:val="1025474272"/>
          <w:jc w:val="center"/>
        </w:trPr>
        <w:tc>
          <w:tcPr>
            <w:tcW w:w="0" w:type="auto"/>
            <w:gridSpan w:val="3"/>
            <w:tcMar>
              <w:top w:w="0" w:type="dxa"/>
              <w:left w:w="20" w:type="dxa"/>
              <w:bottom w:w="0" w:type="dxa"/>
              <w:right w:w="20" w:type="dxa"/>
            </w:tcMar>
            <w:vAlign w:val="center"/>
            <w:hideMark/>
          </w:tcPr>
          <w:p w14:paraId="0D42C4D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868495" w14:textId="77777777" w:rsidR="00000000" w:rsidRDefault="00EE5306">
            <w:pPr>
              <w:spacing w:after="100"/>
              <w:jc w:val="center"/>
              <w:rPr>
                <w:rFonts w:eastAsia="Times New Roman"/>
              </w:rPr>
            </w:pPr>
            <w:r>
              <w:rPr>
                <w:rFonts w:eastAsia="Times New Roman"/>
                <w:color w:val="000000"/>
                <w:sz w:val="20"/>
                <w:szCs w:val="20"/>
              </w:rPr>
              <w:t>F-46</w:t>
            </w:r>
          </w:p>
        </w:tc>
        <w:tc>
          <w:tcPr>
            <w:tcW w:w="0" w:type="auto"/>
            <w:gridSpan w:val="3"/>
            <w:tcMar>
              <w:top w:w="0" w:type="dxa"/>
              <w:left w:w="20" w:type="dxa"/>
              <w:bottom w:w="0" w:type="dxa"/>
              <w:right w:w="20" w:type="dxa"/>
            </w:tcMar>
            <w:vAlign w:val="center"/>
            <w:hideMark/>
          </w:tcPr>
          <w:p w14:paraId="24993A79" w14:textId="77777777" w:rsidR="00000000" w:rsidRDefault="00EE5306">
            <w:pPr>
              <w:spacing w:after="100"/>
              <w:jc w:val="center"/>
              <w:rPr>
                <w:rFonts w:eastAsia="Times New Roman"/>
              </w:rPr>
            </w:pPr>
          </w:p>
        </w:tc>
      </w:tr>
    </w:tbl>
    <w:p w14:paraId="2C1D92D7" w14:textId="77777777" w:rsidR="00000000" w:rsidRDefault="00EE5306">
      <w:pPr>
        <w:rPr>
          <w:rFonts w:eastAsia="Times New Roman"/>
        </w:rPr>
      </w:pPr>
      <w:r>
        <w:rPr>
          <w:rFonts w:eastAsia="Times New Roman"/>
        </w:rPr>
        <w:pict w14:anchorId="48A52FEE">
          <v:rect id="_x0000_i1156" style="width:0;height:1.5pt" o:hralign="center" o:hrstd="t" o:hr="t" fillcolor="#a0a0a0" stroked="f"/>
        </w:pict>
      </w:r>
    </w:p>
    <w:p w14:paraId="059717C1" w14:textId="77777777" w:rsidR="00000000" w:rsidRDefault="00EE5306">
      <w:pPr>
        <w:jc w:val="center"/>
        <w:divId w:val="1134787627"/>
        <w:rPr>
          <w:rFonts w:eastAsia="Times New Roman"/>
        </w:rPr>
      </w:pPr>
    </w:p>
    <w:p w14:paraId="1076EBD5" w14:textId="77777777" w:rsidR="00000000" w:rsidRDefault="00EE5306">
      <w:pPr>
        <w:jc w:val="center"/>
        <w:divId w:val="1134787627"/>
        <w:rPr>
          <w:rFonts w:eastAsia="Times New Roman"/>
        </w:rPr>
      </w:pPr>
      <w:r>
        <w:rPr>
          <w:rFonts w:eastAsia="Times New Roman"/>
          <w:b/>
          <w:bCs/>
          <w:color w:val="000000"/>
          <w:sz w:val="20"/>
          <w:szCs w:val="20"/>
        </w:rPr>
        <w:t>RALPH LAUREN CORPORATION</w:t>
      </w:r>
    </w:p>
    <w:p w14:paraId="3D41FE01" w14:textId="77777777" w:rsidR="00000000" w:rsidRDefault="00EE5306">
      <w:pPr>
        <w:jc w:val="center"/>
        <w:divId w:val="1141532708"/>
        <w:rPr>
          <w:rFonts w:eastAsia="Times New Roman"/>
        </w:rPr>
      </w:pPr>
      <w:r>
        <w:rPr>
          <w:rFonts w:eastAsia="Times New Roman"/>
          <w:b/>
          <w:bCs/>
          <w:color w:val="000000"/>
          <w:sz w:val="20"/>
          <w:szCs w:val="20"/>
        </w:rPr>
        <w:t>NOTES TO CONSOLIDATED FINANCIAL STATEMENTS (Continued)</w:t>
      </w:r>
    </w:p>
    <w:p w14:paraId="27BA4BF9" w14:textId="77777777" w:rsidR="00000000" w:rsidRDefault="00EE5306">
      <w:pPr>
        <w:ind w:firstLine="540"/>
        <w:jc w:val="both"/>
        <w:divId w:val="466747968"/>
        <w:rPr>
          <w:rFonts w:eastAsia="Times New Roman"/>
        </w:rPr>
      </w:pPr>
      <w:r>
        <w:rPr>
          <w:rFonts w:eastAsia="Times New Roman"/>
          <w:color w:val="000000"/>
          <w:sz w:val="20"/>
          <w:szCs w:val="20"/>
        </w:rPr>
        <w:t>The following table presents reclassifications from AOCI to earnings for cash flow hedges, by component:</w:t>
      </w:r>
    </w:p>
    <w:tbl>
      <w:tblPr>
        <w:tblW w:w="4722" w:type="pct"/>
        <w:tblCellMar>
          <w:top w:w="15" w:type="dxa"/>
          <w:left w:w="15" w:type="dxa"/>
          <w:bottom w:w="15" w:type="dxa"/>
          <w:right w:w="15" w:type="dxa"/>
        </w:tblCellMar>
        <w:tblLook w:val="04A0" w:firstRow="1" w:lastRow="0" w:firstColumn="1" w:lastColumn="0" w:noHBand="0" w:noVBand="1"/>
      </w:tblPr>
      <w:tblGrid>
        <w:gridCol w:w="37"/>
        <w:gridCol w:w="2963"/>
        <w:gridCol w:w="36"/>
        <w:gridCol w:w="36"/>
        <w:gridCol w:w="36"/>
        <w:gridCol w:w="36"/>
        <w:gridCol w:w="120"/>
        <w:gridCol w:w="646"/>
        <w:gridCol w:w="36"/>
        <w:gridCol w:w="36"/>
        <w:gridCol w:w="36"/>
        <w:gridCol w:w="36"/>
        <w:gridCol w:w="120"/>
        <w:gridCol w:w="646"/>
        <w:gridCol w:w="36"/>
        <w:gridCol w:w="36"/>
        <w:gridCol w:w="36"/>
        <w:gridCol w:w="36"/>
        <w:gridCol w:w="120"/>
        <w:gridCol w:w="623"/>
        <w:gridCol w:w="36"/>
        <w:gridCol w:w="36"/>
        <w:gridCol w:w="36"/>
        <w:gridCol w:w="36"/>
        <w:gridCol w:w="37"/>
        <w:gridCol w:w="1920"/>
        <w:gridCol w:w="36"/>
      </w:tblGrid>
      <w:tr w:rsidR="00000000" w14:paraId="29AACA28" w14:textId="77777777">
        <w:trPr>
          <w:divId w:val="2053579273"/>
        </w:trPr>
        <w:tc>
          <w:tcPr>
            <w:tcW w:w="50" w:type="pct"/>
            <w:vAlign w:val="center"/>
            <w:hideMark/>
          </w:tcPr>
          <w:p w14:paraId="3101609B" w14:textId="77777777" w:rsidR="00000000" w:rsidRDefault="00EE5306">
            <w:pPr>
              <w:ind w:firstLine="540"/>
              <w:jc w:val="both"/>
              <w:rPr>
                <w:rFonts w:eastAsia="Times New Roman"/>
              </w:rPr>
            </w:pPr>
          </w:p>
        </w:tc>
        <w:tc>
          <w:tcPr>
            <w:tcW w:w="1918" w:type="pct"/>
            <w:vAlign w:val="center"/>
            <w:hideMark/>
          </w:tcPr>
          <w:p w14:paraId="1CE3E949" w14:textId="77777777" w:rsidR="00000000" w:rsidRDefault="00EE5306">
            <w:pPr>
              <w:spacing w:after="100"/>
              <w:rPr>
                <w:rFonts w:eastAsia="Times New Roman"/>
                <w:sz w:val="20"/>
                <w:szCs w:val="20"/>
              </w:rPr>
            </w:pPr>
          </w:p>
        </w:tc>
        <w:tc>
          <w:tcPr>
            <w:tcW w:w="5" w:type="pct"/>
            <w:vAlign w:val="center"/>
            <w:hideMark/>
          </w:tcPr>
          <w:p w14:paraId="6E795A3A" w14:textId="77777777" w:rsidR="00000000" w:rsidRDefault="00EE5306">
            <w:pPr>
              <w:spacing w:after="100"/>
              <w:rPr>
                <w:rFonts w:eastAsia="Times New Roman"/>
                <w:sz w:val="20"/>
                <w:szCs w:val="20"/>
              </w:rPr>
            </w:pPr>
          </w:p>
        </w:tc>
        <w:tc>
          <w:tcPr>
            <w:tcW w:w="5" w:type="pct"/>
            <w:vAlign w:val="center"/>
            <w:hideMark/>
          </w:tcPr>
          <w:p w14:paraId="40875290" w14:textId="77777777" w:rsidR="00000000" w:rsidRDefault="00EE5306">
            <w:pPr>
              <w:spacing w:after="100"/>
              <w:rPr>
                <w:rFonts w:eastAsia="Times New Roman"/>
                <w:sz w:val="20"/>
                <w:szCs w:val="20"/>
              </w:rPr>
            </w:pPr>
          </w:p>
        </w:tc>
        <w:tc>
          <w:tcPr>
            <w:tcW w:w="28" w:type="pct"/>
            <w:vAlign w:val="center"/>
            <w:hideMark/>
          </w:tcPr>
          <w:p w14:paraId="227742F1" w14:textId="77777777" w:rsidR="00000000" w:rsidRDefault="00EE5306">
            <w:pPr>
              <w:spacing w:after="100"/>
              <w:rPr>
                <w:rFonts w:eastAsia="Times New Roman"/>
                <w:sz w:val="20"/>
                <w:szCs w:val="20"/>
              </w:rPr>
            </w:pPr>
          </w:p>
        </w:tc>
        <w:tc>
          <w:tcPr>
            <w:tcW w:w="5" w:type="pct"/>
            <w:vAlign w:val="center"/>
            <w:hideMark/>
          </w:tcPr>
          <w:p w14:paraId="544FEF37" w14:textId="77777777" w:rsidR="00000000" w:rsidRDefault="00EE5306">
            <w:pPr>
              <w:spacing w:after="100"/>
              <w:rPr>
                <w:rFonts w:eastAsia="Times New Roman"/>
                <w:sz w:val="20"/>
                <w:szCs w:val="20"/>
              </w:rPr>
            </w:pPr>
          </w:p>
        </w:tc>
        <w:tc>
          <w:tcPr>
            <w:tcW w:w="50" w:type="pct"/>
            <w:vAlign w:val="center"/>
            <w:hideMark/>
          </w:tcPr>
          <w:p w14:paraId="1998FEC1" w14:textId="77777777" w:rsidR="00000000" w:rsidRDefault="00EE5306">
            <w:pPr>
              <w:spacing w:after="100"/>
              <w:rPr>
                <w:rFonts w:eastAsia="Times New Roman"/>
                <w:sz w:val="20"/>
                <w:szCs w:val="20"/>
              </w:rPr>
            </w:pPr>
          </w:p>
        </w:tc>
        <w:tc>
          <w:tcPr>
            <w:tcW w:w="463" w:type="pct"/>
            <w:vAlign w:val="center"/>
            <w:hideMark/>
          </w:tcPr>
          <w:p w14:paraId="1D71E990" w14:textId="77777777" w:rsidR="00000000" w:rsidRDefault="00EE5306">
            <w:pPr>
              <w:spacing w:after="100"/>
              <w:rPr>
                <w:rFonts w:eastAsia="Times New Roman"/>
                <w:sz w:val="20"/>
                <w:szCs w:val="20"/>
              </w:rPr>
            </w:pPr>
          </w:p>
        </w:tc>
        <w:tc>
          <w:tcPr>
            <w:tcW w:w="5" w:type="pct"/>
            <w:vAlign w:val="center"/>
            <w:hideMark/>
          </w:tcPr>
          <w:p w14:paraId="3619FCAD" w14:textId="77777777" w:rsidR="00000000" w:rsidRDefault="00EE5306">
            <w:pPr>
              <w:spacing w:after="100"/>
              <w:rPr>
                <w:rFonts w:eastAsia="Times New Roman"/>
                <w:sz w:val="20"/>
                <w:szCs w:val="20"/>
              </w:rPr>
            </w:pPr>
          </w:p>
        </w:tc>
        <w:tc>
          <w:tcPr>
            <w:tcW w:w="5" w:type="pct"/>
            <w:vAlign w:val="center"/>
            <w:hideMark/>
          </w:tcPr>
          <w:p w14:paraId="1DFF37A4" w14:textId="77777777" w:rsidR="00000000" w:rsidRDefault="00EE5306">
            <w:pPr>
              <w:spacing w:after="100"/>
              <w:rPr>
                <w:rFonts w:eastAsia="Times New Roman"/>
                <w:sz w:val="20"/>
                <w:szCs w:val="20"/>
              </w:rPr>
            </w:pPr>
          </w:p>
        </w:tc>
        <w:tc>
          <w:tcPr>
            <w:tcW w:w="28" w:type="pct"/>
            <w:vAlign w:val="center"/>
            <w:hideMark/>
          </w:tcPr>
          <w:p w14:paraId="63064A4B" w14:textId="77777777" w:rsidR="00000000" w:rsidRDefault="00EE5306">
            <w:pPr>
              <w:spacing w:after="100"/>
              <w:rPr>
                <w:rFonts w:eastAsia="Times New Roman"/>
                <w:sz w:val="20"/>
                <w:szCs w:val="20"/>
              </w:rPr>
            </w:pPr>
          </w:p>
        </w:tc>
        <w:tc>
          <w:tcPr>
            <w:tcW w:w="5" w:type="pct"/>
            <w:vAlign w:val="center"/>
            <w:hideMark/>
          </w:tcPr>
          <w:p w14:paraId="035D1689" w14:textId="77777777" w:rsidR="00000000" w:rsidRDefault="00EE5306">
            <w:pPr>
              <w:spacing w:after="100"/>
              <w:rPr>
                <w:rFonts w:eastAsia="Times New Roman"/>
                <w:sz w:val="20"/>
                <w:szCs w:val="20"/>
              </w:rPr>
            </w:pPr>
          </w:p>
        </w:tc>
        <w:tc>
          <w:tcPr>
            <w:tcW w:w="50" w:type="pct"/>
            <w:vAlign w:val="center"/>
            <w:hideMark/>
          </w:tcPr>
          <w:p w14:paraId="25363FD7" w14:textId="77777777" w:rsidR="00000000" w:rsidRDefault="00EE5306">
            <w:pPr>
              <w:spacing w:after="100"/>
              <w:rPr>
                <w:rFonts w:eastAsia="Times New Roman"/>
                <w:sz w:val="20"/>
                <w:szCs w:val="20"/>
              </w:rPr>
            </w:pPr>
          </w:p>
        </w:tc>
        <w:tc>
          <w:tcPr>
            <w:tcW w:w="463" w:type="pct"/>
            <w:vAlign w:val="center"/>
            <w:hideMark/>
          </w:tcPr>
          <w:p w14:paraId="2D3BEC2E" w14:textId="77777777" w:rsidR="00000000" w:rsidRDefault="00EE5306">
            <w:pPr>
              <w:spacing w:after="100"/>
              <w:rPr>
                <w:rFonts w:eastAsia="Times New Roman"/>
                <w:sz w:val="20"/>
                <w:szCs w:val="20"/>
              </w:rPr>
            </w:pPr>
          </w:p>
        </w:tc>
        <w:tc>
          <w:tcPr>
            <w:tcW w:w="5" w:type="pct"/>
            <w:vAlign w:val="center"/>
            <w:hideMark/>
          </w:tcPr>
          <w:p w14:paraId="6EE068B7" w14:textId="77777777" w:rsidR="00000000" w:rsidRDefault="00EE5306">
            <w:pPr>
              <w:spacing w:after="100"/>
              <w:rPr>
                <w:rFonts w:eastAsia="Times New Roman"/>
                <w:sz w:val="20"/>
                <w:szCs w:val="20"/>
              </w:rPr>
            </w:pPr>
          </w:p>
        </w:tc>
        <w:tc>
          <w:tcPr>
            <w:tcW w:w="5" w:type="pct"/>
            <w:vAlign w:val="center"/>
            <w:hideMark/>
          </w:tcPr>
          <w:p w14:paraId="321E23AD" w14:textId="77777777" w:rsidR="00000000" w:rsidRDefault="00EE5306">
            <w:pPr>
              <w:spacing w:after="100"/>
              <w:rPr>
                <w:rFonts w:eastAsia="Times New Roman"/>
                <w:sz w:val="20"/>
                <w:szCs w:val="20"/>
              </w:rPr>
            </w:pPr>
          </w:p>
        </w:tc>
        <w:tc>
          <w:tcPr>
            <w:tcW w:w="28" w:type="pct"/>
            <w:vAlign w:val="center"/>
            <w:hideMark/>
          </w:tcPr>
          <w:p w14:paraId="494B6C9A" w14:textId="77777777" w:rsidR="00000000" w:rsidRDefault="00EE5306">
            <w:pPr>
              <w:spacing w:after="100"/>
              <w:rPr>
                <w:rFonts w:eastAsia="Times New Roman"/>
                <w:sz w:val="20"/>
                <w:szCs w:val="20"/>
              </w:rPr>
            </w:pPr>
          </w:p>
        </w:tc>
        <w:tc>
          <w:tcPr>
            <w:tcW w:w="5" w:type="pct"/>
            <w:vAlign w:val="center"/>
            <w:hideMark/>
          </w:tcPr>
          <w:p w14:paraId="6D923818" w14:textId="77777777" w:rsidR="00000000" w:rsidRDefault="00EE5306">
            <w:pPr>
              <w:spacing w:after="100"/>
              <w:rPr>
                <w:rFonts w:eastAsia="Times New Roman"/>
                <w:sz w:val="20"/>
                <w:szCs w:val="20"/>
              </w:rPr>
            </w:pPr>
          </w:p>
        </w:tc>
        <w:tc>
          <w:tcPr>
            <w:tcW w:w="50" w:type="pct"/>
            <w:vAlign w:val="center"/>
            <w:hideMark/>
          </w:tcPr>
          <w:p w14:paraId="1D7EDCFE" w14:textId="77777777" w:rsidR="00000000" w:rsidRDefault="00EE5306">
            <w:pPr>
              <w:spacing w:after="100"/>
              <w:rPr>
                <w:rFonts w:eastAsia="Times New Roman"/>
                <w:sz w:val="20"/>
                <w:szCs w:val="20"/>
              </w:rPr>
            </w:pPr>
          </w:p>
        </w:tc>
        <w:tc>
          <w:tcPr>
            <w:tcW w:w="448" w:type="pct"/>
            <w:vAlign w:val="center"/>
            <w:hideMark/>
          </w:tcPr>
          <w:p w14:paraId="26F0C1E2" w14:textId="77777777" w:rsidR="00000000" w:rsidRDefault="00EE5306">
            <w:pPr>
              <w:spacing w:after="100"/>
              <w:rPr>
                <w:rFonts w:eastAsia="Times New Roman"/>
                <w:sz w:val="20"/>
                <w:szCs w:val="20"/>
              </w:rPr>
            </w:pPr>
          </w:p>
        </w:tc>
        <w:tc>
          <w:tcPr>
            <w:tcW w:w="5" w:type="pct"/>
            <w:vAlign w:val="center"/>
            <w:hideMark/>
          </w:tcPr>
          <w:p w14:paraId="7D4ACB1F" w14:textId="77777777" w:rsidR="00000000" w:rsidRDefault="00EE5306">
            <w:pPr>
              <w:spacing w:after="100"/>
              <w:rPr>
                <w:rFonts w:eastAsia="Times New Roman"/>
                <w:sz w:val="20"/>
                <w:szCs w:val="20"/>
              </w:rPr>
            </w:pPr>
          </w:p>
        </w:tc>
        <w:tc>
          <w:tcPr>
            <w:tcW w:w="5" w:type="pct"/>
            <w:vAlign w:val="center"/>
            <w:hideMark/>
          </w:tcPr>
          <w:p w14:paraId="395F642A" w14:textId="77777777" w:rsidR="00000000" w:rsidRDefault="00EE5306">
            <w:pPr>
              <w:spacing w:after="100"/>
              <w:rPr>
                <w:rFonts w:eastAsia="Times New Roman"/>
                <w:sz w:val="20"/>
                <w:szCs w:val="20"/>
              </w:rPr>
            </w:pPr>
          </w:p>
        </w:tc>
        <w:tc>
          <w:tcPr>
            <w:tcW w:w="28" w:type="pct"/>
            <w:vAlign w:val="center"/>
            <w:hideMark/>
          </w:tcPr>
          <w:p w14:paraId="1B927B7F" w14:textId="77777777" w:rsidR="00000000" w:rsidRDefault="00EE5306">
            <w:pPr>
              <w:spacing w:after="100"/>
              <w:rPr>
                <w:rFonts w:eastAsia="Times New Roman"/>
                <w:sz w:val="20"/>
                <w:szCs w:val="20"/>
              </w:rPr>
            </w:pPr>
          </w:p>
        </w:tc>
        <w:tc>
          <w:tcPr>
            <w:tcW w:w="5" w:type="pct"/>
            <w:vAlign w:val="center"/>
            <w:hideMark/>
          </w:tcPr>
          <w:p w14:paraId="5D98819D" w14:textId="77777777" w:rsidR="00000000" w:rsidRDefault="00EE5306">
            <w:pPr>
              <w:spacing w:after="100"/>
              <w:rPr>
                <w:rFonts w:eastAsia="Times New Roman"/>
                <w:sz w:val="20"/>
                <w:szCs w:val="20"/>
              </w:rPr>
            </w:pPr>
          </w:p>
        </w:tc>
        <w:tc>
          <w:tcPr>
            <w:tcW w:w="50" w:type="pct"/>
            <w:vAlign w:val="center"/>
            <w:hideMark/>
          </w:tcPr>
          <w:p w14:paraId="3EB15301" w14:textId="77777777" w:rsidR="00000000" w:rsidRDefault="00EE5306">
            <w:pPr>
              <w:spacing w:after="100"/>
              <w:rPr>
                <w:rFonts w:eastAsia="Times New Roman"/>
                <w:sz w:val="20"/>
                <w:szCs w:val="20"/>
              </w:rPr>
            </w:pPr>
          </w:p>
        </w:tc>
        <w:tc>
          <w:tcPr>
            <w:tcW w:w="1276" w:type="pct"/>
            <w:vAlign w:val="center"/>
            <w:hideMark/>
          </w:tcPr>
          <w:p w14:paraId="33CA2794" w14:textId="77777777" w:rsidR="00000000" w:rsidRDefault="00EE5306">
            <w:pPr>
              <w:spacing w:after="100"/>
              <w:rPr>
                <w:rFonts w:eastAsia="Times New Roman"/>
                <w:sz w:val="20"/>
                <w:szCs w:val="20"/>
              </w:rPr>
            </w:pPr>
          </w:p>
        </w:tc>
        <w:tc>
          <w:tcPr>
            <w:tcW w:w="5" w:type="pct"/>
            <w:vAlign w:val="center"/>
            <w:hideMark/>
          </w:tcPr>
          <w:p w14:paraId="6D5D26EA" w14:textId="77777777" w:rsidR="00000000" w:rsidRDefault="00EE5306">
            <w:pPr>
              <w:spacing w:after="100"/>
              <w:rPr>
                <w:rFonts w:eastAsia="Times New Roman"/>
                <w:sz w:val="20"/>
                <w:szCs w:val="20"/>
              </w:rPr>
            </w:pPr>
          </w:p>
        </w:tc>
      </w:tr>
      <w:tr w:rsidR="00000000" w14:paraId="08F24EEF" w14:textId="77777777">
        <w:trPr>
          <w:divId w:val="2053579273"/>
        </w:trPr>
        <w:tc>
          <w:tcPr>
            <w:tcW w:w="0" w:type="auto"/>
            <w:gridSpan w:val="3"/>
            <w:tcMar>
              <w:top w:w="0" w:type="dxa"/>
              <w:left w:w="20" w:type="dxa"/>
              <w:bottom w:w="0" w:type="dxa"/>
              <w:right w:w="20" w:type="dxa"/>
            </w:tcMar>
            <w:vAlign w:val="center"/>
            <w:hideMark/>
          </w:tcPr>
          <w:p w14:paraId="181A30C8"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CE30BD" w14:textId="77777777" w:rsidR="00000000" w:rsidRDefault="00EE530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64309275" w14:textId="77777777" w:rsidR="00000000" w:rsidRDefault="00EE5306">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366F7D81"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E2E8006" w14:textId="77777777" w:rsidR="00000000" w:rsidRDefault="00EE5306">
            <w:pPr>
              <w:spacing w:after="100"/>
              <w:rPr>
                <w:rFonts w:eastAsia="Times New Roman"/>
                <w:sz w:val="20"/>
                <w:szCs w:val="20"/>
              </w:rPr>
            </w:pPr>
          </w:p>
        </w:tc>
      </w:tr>
      <w:tr w:rsidR="00000000" w14:paraId="215ACB39" w14:textId="77777777">
        <w:trPr>
          <w:divId w:val="2053579273"/>
        </w:trPr>
        <w:tc>
          <w:tcPr>
            <w:tcW w:w="0" w:type="auto"/>
            <w:gridSpan w:val="3"/>
            <w:tcMar>
              <w:top w:w="0" w:type="dxa"/>
              <w:left w:w="20" w:type="dxa"/>
              <w:bottom w:w="0" w:type="dxa"/>
              <w:right w:w="20" w:type="dxa"/>
            </w:tcMar>
            <w:vAlign w:val="center"/>
            <w:hideMark/>
          </w:tcPr>
          <w:p w14:paraId="52CAD7E7"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C991C8"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1EA8FD5"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E9CA09E"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9CA96C1"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C063D48"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69E4D2"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577C3B2F"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3F74D52" w14:textId="77777777" w:rsidR="00000000" w:rsidRDefault="00EE5306">
            <w:pPr>
              <w:spacing w:after="100"/>
              <w:jc w:val="center"/>
              <w:rPr>
                <w:rFonts w:eastAsia="Times New Roman"/>
              </w:rPr>
            </w:pPr>
            <w:r>
              <w:rPr>
                <w:rFonts w:eastAsia="Times New Roman"/>
                <w:b/>
                <w:bCs/>
                <w:color w:val="000000"/>
                <w:sz w:val="16"/>
                <w:szCs w:val="16"/>
              </w:rPr>
              <w:t>Location of Gains (Losses)</w:t>
            </w:r>
          </w:p>
          <w:p w14:paraId="515E150F" w14:textId="77777777" w:rsidR="00000000" w:rsidRDefault="00EE5306">
            <w:pPr>
              <w:spacing w:after="100"/>
              <w:jc w:val="center"/>
              <w:rPr>
                <w:rFonts w:eastAsia="Times New Roman"/>
              </w:rPr>
            </w:pPr>
            <w:r>
              <w:rPr>
                <w:rFonts w:eastAsia="Times New Roman"/>
                <w:b/>
                <w:bCs/>
                <w:color w:val="000000"/>
                <w:sz w:val="16"/>
                <w:szCs w:val="16"/>
              </w:rPr>
              <w:t>Reclassified from AOC</w:t>
            </w:r>
            <w:r>
              <w:rPr>
                <w:rFonts w:eastAsia="Times New Roman"/>
                <w:b/>
                <w:bCs/>
                <w:color w:val="000000"/>
                <w:sz w:val="16"/>
                <w:szCs w:val="16"/>
              </w:rPr>
              <w:t>I</w:t>
            </w:r>
            <w:r>
              <w:rPr>
                <w:rFonts w:eastAsia="Times New Roman"/>
                <w:b/>
                <w:bCs/>
                <w:color w:val="000000"/>
                <w:sz w:val="10"/>
                <w:szCs w:val="10"/>
              </w:rPr>
              <w:t xml:space="preserve"> </w:t>
            </w:r>
            <w:r>
              <w:rPr>
                <w:rFonts w:eastAsia="Times New Roman"/>
                <w:b/>
                <w:bCs/>
                <w:color w:val="000000"/>
                <w:sz w:val="16"/>
                <w:szCs w:val="16"/>
              </w:rPr>
              <w:t>to Earnings</w:t>
            </w:r>
          </w:p>
        </w:tc>
      </w:tr>
      <w:tr w:rsidR="00000000" w14:paraId="0DCEFC62" w14:textId="77777777">
        <w:trPr>
          <w:divId w:val="2053579273"/>
        </w:trPr>
        <w:tc>
          <w:tcPr>
            <w:tcW w:w="0" w:type="auto"/>
            <w:gridSpan w:val="3"/>
            <w:tcMar>
              <w:top w:w="0" w:type="dxa"/>
              <w:left w:w="20" w:type="dxa"/>
              <w:bottom w:w="0" w:type="dxa"/>
              <w:right w:w="20" w:type="dxa"/>
            </w:tcMar>
            <w:vAlign w:val="center"/>
            <w:hideMark/>
          </w:tcPr>
          <w:p w14:paraId="33331D54"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AF8EE44" w14:textId="77777777" w:rsidR="00000000" w:rsidRDefault="00EE530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4AD97CDF" w14:textId="77777777" w:rsidR="00000000" w:rsidRDefault="00EE5306">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14:paraId="14984C82"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1BBD45F" w14:textId="77777777" w:rsidR="00000000" w:rsidRDefault="00EE5306">
            <w:pPr>
              <w:spacing w:after="100"/>
              <w:rPr>
                <w:rFonts w:eastAsia="Times New Roman"/>
                <w:sz w:val="20"/>
                <w:szCs w:val="20"/>
              </w:rPr>
            </w:pPr>
          </w:p>
        </w:tc>
      </w:tr>
      <w:tr w:rsidR="00000000" w14:paraId="57CD754B" w14:textId="77777777">
        <w:trPr>
          <w:divId w:val="2053579273"/>
        </w:trPr>
        <w:tc>
          <w:tcPr>
            <w:tcW w:w="0" w:type="auto"/>
            <w:gridSpan w:val="3"/>
            <w:shd w:val="clear" w:color="auto" w:fill="CCEEFF"/>
            <w:tcMar>
              <w:top w:w="30" w:type="dxa"/>
              <w:left w:w="20" w:type="dxa"/>
              <w:bottom w:w="30" w:type="dxa"/>
              <w:right w:w="20" w:type="dxa"/>
            </w:tcMar>
            <w:vAlign w:val="bottom"/>
            <w:hideMark/>
          </w:tcPr>
          <w:p w14:paraId="58B4F419" w14:textId="77777777" w:rsidR="00000000" w:rsidRDefault="00EE5306">
            <w:pPr>
              <w:spacing w:after="100"/>
              <w:ind w:hanging="180"/>
              <w:divId w:val="1592081130"/>
              <w:rPr>
                <w:rFonts w:eastAsia="Times New Roman"/>
              </w:rPr>
            </w:pPr>
            <w:r>
              <w:rPr>
                <w:rFonts w:eastAsia="Times New Roman"/>
                <w:b/>
                <w:bCs/>
                <w:color w:val="000000"/>
                <w:sz w:val="19"/>
                <w:szCs w:val="19"/>
              </w:rPr>
              <w:t>Gains (losses) on cash flow hedge</w:t>
            </w:r>
            <w:r>
              <w:rPr>
                <w:rFonts w:eastAsia="Times New Roman"/>
                <w:b/>
                <w:bCs/>
                <w:color w:val="000000"/>
                <w:sz w:val="19"/>
                <w:szCs w:val="19"/>
              </w:rPr>
              <w:t>s</w:t>
            </w:r>
            <w:r>
              <w:rPr>
                <w:rFonts w:eastAsia="Times New Roman"/>
                <w:b/>
                <w:bCs/>
                <w:color w:val="000000"/>
                <w:sz w:val="12"/>
                <w:szCs w:val="12"/>
              </w:rPr>
              <w:t>(a</w:t>
            </w:r>
            <w:r>
              <w:rPr>
                <w:rFonts w:eastAsia="Times New Roman"/>
                <w:b/>
                <w:bCs/>
                <w:color w:val="000000"/>
                <w:sz w:val="12"/>
                <w:szCs w:val="12"/>
              </w:rPr>
              <w:t>)</w:t>
            </w:r>
            <w:r>
              <w:rPr>
                <w:rFonts w:eastAsia="Times New Roman"/>
                <w:b/>
                <w:bCs/>
                <w:color w:val="000000"/>
                <w:sz w:val="19"/>
                <w:szCs w:val="19"/>
              </w:rPr>
              <w:t>:</w:t>
            </w:r>
          </w:p>
        </w:tc>
        <w:tc>
          <w:tcPr>
            <w:tcW w:w="0" w:type="auto"/>
            <w:gridSpan w:val="3"/>
            <w:shd w:val="clear" w:color="auto" w:fill="CCEEFF"/>
            <w:tcMar>
              <w:top w:w="0" w:type="dxa"/>
              <w:left w:w="20" w:type="dxa"/>
              <w:bottom w:w="0" w:type="dxa"/>
              <w:right w:w="20" w:type="dxa"/>
            </w:tcMar>
            <w:vAlign w:val="center"/>
            <w:hideMark/>
          </w:tcPr>
          <w:p w14:paraId="31053B46" w14:textId="77777777" w:rsidR="00000000" w:rsidRDefault="00EE5306">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FBE4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F2849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D4E7B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CB7D4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90EB8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A937E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D22475" w14:textId="77777777" w:rsidR="00000000" w:rsidRDefault="00EE5306">
            <w:pPr>
              <w:spacing w:after="100"/>
              <w:rPr>
                <w:rFonts w:eastAsia="Times New Roman"/>
                <w:sz w:val="20"/>
                <w:szCs w:val="20"/>
              </w:rPr>
            </w:pPr>
          </w:p>
        </w:tc>
      </w:tr>
      <w:tr w:rsidR="00000000" w14:paraId="569887AC" w14:textId="77777777">
        <w:trPr>
          <w:divId w:val="2053579273"/>
        </w:trPr>
        <w:tc>
          <w:tcPr>
            <w:tcW w:w="0" w:type="auto"/>
            <w:gridSpan w:val="3"/>
            <w:shd w:val="clear" w:color="auto" w:fill="FFFFFF"/>
            <w:tcMar>
              <w:top w:w="30" w:type="dxa"/>
              <w:left w:w="20" w:type="dxa"/>
              <w:bottom w:w="30" w:type="dxa"/>
              <w:right w:w="20" w:type="dxa"/>
            </w:tcMar>
            <w:vAlign w:val="bottom"/>
            <w:hideMark/>
          </w:tcPr>
          <w:p w14:paraId="0019A175" w14:textId="77777777" w:rsidR="00000000" w:rsidRDefault="00EE5306">
            <w:pPr>
              <w:spacing w:after="100"/>
              <w:ind w:hanging="360"/>
              <w:divId w:val="734816112"/>
              <w:rPr>
                <w:rFonts w:eastAsia="Times New Roman"/>
              </w:rPr>
            </w:pPr>
            <w:r>
              <w:rPr>
                <w:rFonts w:eastAsia="Times New Roman"/>
                <w:color w:val="000000"/>
                <w:sz w:val="19"/>
                <w:szCs w:val="19"/>
              </w:rPr>
              <w:t>    FC — Cash flow hedges</w:t>
            </w:r>
          </w:p>
        </w:tc>
        <w:tc>
          <w:tcPr>
            <w:tcW w:w="0" w:type="auto"/>
            <w:gridSpan w:val="3"/>
            <w:shd w:val="clear" w:color="auto" w:fill="FFFFFF"/>
            <w:tcMar>
              <w:top w:w="0" w:type="dxa"/>
              <w:left w:w="20" w:type="dxa"/>
              <w:bottom w:w="0" w:type="dxa"/>
              <w:right w:w="20" w:type="dxa"/>
            </w:tcMar>
            <w:vAlign w:val="center"/>
            <w:hideMark/>
          </w:tcPr>
          <w:p w14:paraId="7253A57F" w14:textId="77777777" w:rsidR="00000000" w:rsidRDefault="00EE5306">
            <w:pPr>
              <w:spacing w:after="100"/>
              <w:ind w:hanging="360"/>
              <w:rPr>
                <w:rFonts w:eastAsia="Times New Roman"/>
              </w:rPr>
            </w:pPr>
          </w:p>
        </w:tc>
        <w:tc>
          <w:tcPr>
            <w:tcW w:w="0" w:type="auto"/>
            <w:shd w:val="clear" w:color="auto" w:fill="FFFFFF"/>
            <w:tcMar>
              <w:top w:w="30" w:type="dxa"/>
              <w:left w:w="20" w:type="dxa"/>
              <w:bottom w:w="30" w:type="dxa"/>
              <w:right w:w="0" w:type="dxa"/>
            </w:tcMar>
            <w:vAlign w:val="bottom"/>
            <w:hideMark/>
          </w:tcPr>
          <w:p w14:paraId="0E00E87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E39B29" w14:textId="77777777" w:rsidR="00000000" w:rsidRDefault="00EE5306">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14:paraId="5DC463F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CB08F"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4E3B0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3AAC7F" w14:textId="77777777" w:rsidR="00000000" w:rsidRDefault="00EE5306">
            <w:pPr>
              <w:spacing w:after="100"/>
              <w:jc w:val="right"/>
              <w:rPr>
                <w:rFonts w:eastAsia="Times New Roman"/>
              </w:rPr>
            </w:pPr>
            <w:r>
              <w:rPr>
                <w:rFonts w:eastAsia="Times New Roman"/>
                <w:color w:val="000000"/>
                <w:sz w:val="20"/>
                <w:szCs w:val="20"/>
              </w:rPr>
              <w:t>24.9 </w:t>
            </w:r>
          </w:p>
        </w:tc>
        <w:tc>
          <w:tcPr>
            <w:tcW w:w="0" w:type="auto"/>
            <w:shd w:val="clear" w:color="auto" w:fill="FFFFFF"/>
            <w:tcMar>
              <w:top w:w="30" w:type="dxa"/>
              <w:left w:w="0" w:type="dxa"/>
              <w:bottom w:w="30" w:type="dxa"/>
              <w:right w:w="20" w:type="dxa"/>
            </w:tcMar>
            <w:vAlign w:val="bottom"/>
            <w:hideMark/>
          </w:tcPr>
          <w:p w14:paraId="0EF845D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C7B22"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2CB75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838032" w14:textId="77777777" w:rsidR="00000000" w:rsidRDefault="00EE5306">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14:paraId="1CD9B8F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A6593"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937A3ED" w14:textId="77777777" w:rsidR="00000000" w:rsidRDefault="00EE5306">
            <w:pPr>
              <w:spacing w:after="100"/>
              <w:rPr>
                <w:rFonts w:eastAsia="Times New Roman"/>
              </w:rPr>
            </w:pPr>
            <w:r>
              <w:rPr>
                <w:rFonts w:eastAsia="Times New Roman"/>
                <w:color w:val="000000"/>
                <w:sz w:val="19"/>
                <w:szCs w:val="19"/>
              </w:rPr>
              <w:t>Cost of goods sold</w:t>
            </w:r>
          </w:p>
        </w:tc>
      </w:tr>
      <w:tr w:rsidR="00000000" w14:paraId="03381918" w14:textId="77777777">
        <w:trPr>
          <w:divId w:val="2053579273"/>
        </w:trPr>
        <w:tc>
          <w:tcPr>
            <w:tcW w:w="0" w:type="auto"/>
            <w:gridSpan w:val="3"/>
            <w:shd w:val="clear" w:color="auto" w:fill="CCEEFF"/>
            <w:tcMar>
              <w:top w:w="30" w:type="dxa"/>
              <w:left w:w="20" w:type="dxa"/>
              <w:bottom w:w="30" w:type="dxa"/>
              <w:right w:w="20" w:type="dxa"/>
            </w:tcMar>
            <w:vAlign w:val="bottom"/>
            <w:hideMark/>
          </w:tcPr>
          <w:p w14:paraId="3499C3C0" w14:textId="77777777" w:rsidR="00000000" w:rsidRDefault="00EE5306">
            <w:pPr>
              <w:spacing w:after="100"/>
              <w:ind w:hanging="360"/>
              <w:divId w:val="1265459210"/>
              <w:rPr>
                <w:rFonts w:eastAsia="Times New Roman"/>
              </w:rPr>
            </w:pPr>
            <w:r>
              <w:rPr>
                <w:rFonts w:eastAsia="Times New Roman"/>
                <w:color w:val="000000"/>
                <w:sz w:val="19"/>
                <w:szCs w:val="19"/>
              </w:rPr>
              <w:t>    FC — Cash flow hedges</w:t>
            </w:r>
          </w:p>
        </w:tc>
        <w:tc>
          <w:tcPr>
            <w:tcW w:w="0" w:type="auto"/>
            <w:gridSpan w:val="3"/>
            <w:shd w:val="clear" w:color="auto" w:fill="CCEEFF"/>
            <w:tcMar>
              <w:top w:w="0" w:type="dxa"/>
              <w:left w:w="20" w:type="dxa"/>
              <w:bottom w:w="0" w:type="dxa"/>
              <w:right w:w="20" w:type="dxa"/>
            </w:tcMar>
            <w:vAlign w:val="center"/>
            <w:hideMark/>
          </w:tcPr>
          <w:p w14:paraId="09F776AB" w14:textId="77777777" w:rsidR="00000000" w:rsidRDefault="00EE5306">
            <w:pPr>
              <w:spacing w:after="100"/>
              <w:ind w:hanging="36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903065" w14:textId="77777777" w:rsidR="00000000" w:rsidRDefault="00EE5306">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14:paraId="379D8E5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9D4E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197816" w14:textId="77777777" w:rsidR="00000000" w:rsidRDefault="00EE5306">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6920B97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8AD8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A6DC74" w14:textId="77777777" w:rsidR="00000000" w:rsidRDefault="00EE5306">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2B642D0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1F3131"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0AEF69F" w14:textId="77777777" w:rsidR="00000000" w:rsidRDefault="00EE5306">
            <w:pPr>
              <w:spacing w:after="100"/>
              <w:rPr>
                <w:rFonts w:eastAsia="Times New Roman"/>
              </w:rPr>
            </w:pPr>
            <w:r>
              <w:rPr>
                <w:rFonts w:eastAsia="Times New Roman"/>
                <w:color w:val="000000"/>
                <w:sz w:val="19"/>
                <w:szCs w:val="19"/>
              </w:rPr>
              <w:t>Other income (expense), net</w:t>
            </w:r>
          </w:p>
        </w:tc>
      </w:tr>
      <w:tr w:rsidR="00000000" w14:paraId="6C14FB05" w14:textId="77777777">
        <w:trPr>
          <w:divId w:val="2053579273"/>
        </w:trPr>
        <w:tc>
          <w:tcPr>
            <w:tcW w:w="0" w:type="auto"/>
            <w:gridSpan w:val="3"/>
            <w:shd w:val="clear" w:color="auto" w:fill="FFFFFF"/>
            <w:tcMar>
              <w:top w:w="30" w:type="dxa"/>
              <w:left w:w="20" w:type="dxa"/>
              <w:bottom w:w="30" w:type="dxa"/>
              <w:right w:w="20" w:type="dxa"/>
            </w:tcMar>
            <w:vAlign w:val="bottom"/>
            <w:hideMark/>
          </w:tcPr>
          <w:p w14:paraId="1A274D6B" w14:textId="77777777" w:rsidR="00000000" w:rsidRDefault="00EE5306">
            <w:pPr>
              <w:spacing w:after="100"/>
              <w:rPr>
                <w:rFonts w:eastAsia="Times New Roman"/>
              </w:rPr>
            </w:pPr>
            <w:r>
              <w:rPr>
                <w:rFonts w:eastAsia="Times New Roman"/>
                <w:color w:val="000000"/>
                <w:sz w:val="19"/>
                <w:szCs w:val="19"/>
              </w:rPr>
              <w:t>    Tax effect</w:t>
            </w:r>
          </w:p>
        </w:tc>
        <w:tc>
          <w:tcPr>
            <w:tcW w:w="0" w:type="auto"/>
            <w:gridSpan w:val="3"/>
            <w:shd w:val="clear" w:color="auto" w:fill="FFFFFF"/>
            <w:tcMar>
              <w:top w:w="0" w:type="dxa"/>
              <w:left w:w="20" w:type="dxa"/>
              <w:bottom w:w="0" w:type="dxa"/>
              <w:right w:w="20" w:type="dxa"/>
            </w:tcMar>
            <w:vAlign w:val="center"/>
            <w:hideMark/>
          </w:tcPr>
          <w:p w14:paraId="70D1AEF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32AB00" w14:textId="77777777" w:rsidR="00000000" w:rsidRDefault="00EE5306">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14:paraId="2DD6F45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8A98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3CD73F" w14:textId="77777777" w:rsidR="00000000" w:rsidRDefault="00EE5306">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14:paraId="151A43A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17D1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4889A9" w14:textId="77777777" w:rsidR="00000000" w:rsidRDefault="00EE5306">
            <w:pPr>
              <w:spacing w:after="100"/>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bottom"/>
            <w:hideMark/>
          </w:tcPr>
          <w:p w14:paraId="12D5FBF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3068BB"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A2EAFA3" w14:textId="77777777" w:rsidR="00000000" w:rsidRDefault="00EE5306">
            <w:pPr>
              <w:spacing w:after="100"/>
              <w:rPr>
                <w:rFonts w:eastAsia="Times New Roman"/>
              </w:rPr>
            </w:pPr>
            <w:r>
              <w:rPr>
                <w:rFonts w:eastAsia="Times New Roman"/>
                <w:color w:val="000000"/>
                <w:sz w:val="19"/>
                <w:szCs w:val="19"/>
              </w:rPr>
              <w:t>Income tax benefit (provision)</w:t>
            </w:r>
          </w:p>
        </w:tc>
      </w:tr>
      <w:tr w:rsidR="00000000" w14:paraId="71B37EF6" w14:textId="77777777">
        <w:trPr>
          <w:divId w:val="2053579273"/>
        </w:trPr>
        <w:tc>
          <w:tcPr>
            <w:tcW w:w="0" w:type="auto"/>
            <w:gridSpan w:val="3"/>
            <w:shd w:val="clear" w:color="auto" w:fill="CCEEFF"/>
            <w:tcMar>
              <w:top w:w="30" w:type="dxa"/>
              <w:left w:w="380" w:type="dxa"/>
              <w:bottom w:w="30" w:type="dxa"/>
              <w:right w:w="20" w:type="dxa"/>
            </w:tcMar>
            <w:vAlign w:val="bottom"/>
            <w:hideMark/>
          </w:tcPr>
          <w:p w14:paraId="7BEEE3ED" w14:textId="77777777" w:rsidR="00000000" w:rsidRDefault="00EE5306">
            <w:pPr>
              <w:spacing w:after="100"/>
              <w:rPr>
                <w:rFonts w:eastAsia="Times New Roman"/>
              </w:rPr>
            </w:pPr>
            <w:r>
              <w:rPr>
                <w:rFonts w:eastAsia="Times New Roman"/>
                <w:color w:val="000000"/>
                <w:sz w:val="19"/>
                <w:szCs w:val="19"/>
              </w:rPr>
              <w:t>Net of tax</w:t>
            </w:r>
          </w:p>
        </w:tc>
        <w:tc>
          <w:tcPr>
            <w:tcW w:w="0" w:type="auto"/>
            <w:gridSpan w:val="3"/>
            <w:shd w:val="clear" w:color="auto" w:fill="CCEEFF"/>
            <w:tcMar>
              <w:top w:w="0" w:type="dxa"/>
              <w:left w:w="20" w:type="dxa"/>
              <w:bottom w:w="0" w:type="dxa"/>
              <w:right w:w="20" w:type="dxa"/>
            </w:tcMar>
            <w:vAlign w:val="center"/>
            <w:hideMark/>
          </w:tcPr>
          <w:p w14:paraId="16AAF7B5"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ED90E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DDBA73" w14:textId="77777777" w:rsidR="00000000" w:rsidRDefault="00EE5306">
            <w:pPr>
              <w:spacing w:after="100"/>
              <w:jc w:val="right"/>
              <w:rPr>
                <w:rFonts w:eastAsia="Times New Roman"/>
              </w:rPr>
            </w:pPr>
            <w:r>
              <w:rPr>
                <w:rFonts w:eastAsia="Times New Roman"/>
                <w:color w:val="000000"/>
                <w:sz w:val="20"/>
                <w:szCs w:val="20"/>
              </w:rPr>
              <w:t>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46AC4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B620D"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FD732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375E54" w14:textId="77777777" w:rsidR="00000000" w:rsidRDefault="00EE5306">
            <w:pPr>
              <w:spacing w:after="100"/>
              <w:jc w:val="right"/>
              <w:rPr>
                <w:rFonts w:eastAsia="Times New Roman"/>
              </w:rPr>
            </w:pPr>
            <w:r>
              <w:rPr>
                <w:rFonts w:eastAsia="Times New Roman"/>
                <w:color w:val="000000"/>
                <w:sz w:val="20"/>
                <w:szCs w:val="20"/>
              </w:rPr>
              <w:t>23.4 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2AC17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BC884"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58603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6F3BBF" w14:textId="77777777" w:rsidR="00000000" w:rsidRDefault="00EE5306">
            <w:pPr>
              <w:spacing w:after="100"/>
              <w:jc w:val="right"/>
              <w:rPr>
                <w:rFonts w:eastAsia="Times New Roman"/>
              </w:rPr>
            </w:pPr>
            <w:r>
              <w:rPr>
                <w:rFonts w:eastAsia="Times New Roman"/>
                <w:color w:val="000000"/>
                <w:sz w:val="20"/>
                <w:szCs w:val="20"/>
              </w:rPr>
              <w:t>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54099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FF131" w14:textId="77777777" w:rsidR="00000000" w:rsidRDefault="00EE530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D4C5C3" w14:textId="77777777" w:rsidR="00000000" w:rsidRDefault="00EE5306">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27BBB6F2" w14:textId="77777777">
        <w:tc>
          <w:tcPr>
            <w:tcW w:w="50" w:type="pct"/>
            <w:vAlign w:val="center"/>
            <w:hideMark/>
          </w:tcPr>
          <w:p w14:paraId="0E1A9B41" w14:textId="77777777" w:rsidR="00000000" w:rsidRDefault="00EE5306">
            <w:pPr>
              <w:rPr>
                <w:rFonts w:eastAsia="Times New Roman"/>
              </w:rPr>
            </w:pPr>
          </w:p>
        </w:tc>
        <w:tc>
          <w:tcPr>
            <w:tcW w:w="4945" w:type="pct"/>
            <w:vAlign w:val="center"/>
            <w:hideMark/>
          </w:tcPr>
          <w:p w14:paraId="2DC2D811" w14:textId="77777777" w:rsidR="00000000" w:rsidRDefault="00EE5306">
            <w:pPr>
              <w:spacing w:after="100"/>
              <w:rPr>
                <w:rFonts w:eastAsia="Times New Roman"/>
                <w:sz w:val="20"/>
                <w:szCs w:val="20"/>
              </w:rPr>
            </w:pPr>
          </w:p>
        </w:tc>
        <w:tc>
          <w:tcPr>
            <w:tcW w:w="5" w:type="pct"/>
            <w:vAlign w:val="center"/>
            <w:hideMark/>
          </w:tcPr>
          <w:p w14:paraId="26E7DAA5" w14:textId="77777777" w:rsidR="00000000" w:rsidRDefault="00EE5306">
            <w:pPr>
              <w:spacing w:after="100"/>
              <w:rPr>
                <w:rFonts w:eastAsia="Times New Roman"/>
                <w:sz w:val="20"/>
                <w:szCs w:val="20"/>
              </w:rPr>
            </w:pPr>
          </w:p>
        </w:tc>
      </w:tr>
      <w:tr w:rsidR="00000000" w14:paraId="5709988D"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676634EF" w14:textId="77777777" w:rsidR="00000000" w:rsidRDefault="00EE5306">
            <w:pPr>
              <w:spacing w:after="100"/>
              <w:rPr>
                <w:rFonts w:eastAsia="Times New Roman"/>
                <w:sz w:val="20"/>
                <w:szCs w:val="20"/>
              </w:rPr>
            </w:pPr>
          </w:p>
        </w:tc>
      </w:tr>
    </w:tbl>
    <w:p w14:paraId="262E505C" w14:textId="77777777" w:rsidR="00000000" w:rsidRDefault="00EE5306">
      <w:pPr>
        <w:ind w:hanging="360"/>
        <w:jc w:val="both"/>
        <w:divId w:val="248470684"/>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FC = Forward foreign currency exchange contracts.</w:t>
      </w:r>
    </w:p>
    <w:p w14:paraId="59CDABEB" w14:textId="77777777" w:rsidR="00000000" w:rsidRDefault="00EE5306">
      <w:pPr>
        <w:ind w:hanging="540"/>
        <w:divId w:val="2083210627"/>
        <w:rPr>
          <w:rFonts w:eastAsia="Times New Roman"/>
        </w:rPr>
      </w:pPr>
      <w:r>
        <w:rPr>
          <w:rFonts w:eastAsia="Times New Roman"/>
          <w:b/>
          <w:bCs/>
          <w:color w:val="000000"/>
          <w:sz w:val="20"/>
          <w:szCs w:val="20"/>
        </w:rPr>
        <w:t>18.    Stock-based Compensation</w:t>
      </w:r>
    </w:p>
    <w:p w14:paraId="42492FB0" w14:textId="77777777" w:rsidR="00000000" w:rsidRDefault="00EE5306">
      <w:pPr>
        <w:ind w:firstLine="360"/>
        <w:jc w:val="both"/>
        <w:divId w:val="1373964313"/>
        <w:rPr>
          <w:rFonts w:eastAsia="Times New Roman"/>
        </w:rPr>
      </w:pPr>
      <w:r>
        <w:rPr>
          <w:rFonts w:eastAsia="Times New Roman"/>
          <w:b/>
          <w:bCs/>
          <w:i/>
          <w:iCs/>
          <w:color w:val="000000"/>
          <w:sz w:val="20"/>
          <w:szCs w:val="20"/>
        </w:rPr>
        <w:t>Long-term Stock Incentive Plans</w:t>
      </w:r>
    </w:p>
    <w:p w14:paraId="0CB73A33" w14:textId="77777777" w:rsidR="00000000" w:rsidRDefault="00EE5306">
      <w:pPr>
        <w:ind w:firstLine="540"/>
        <w:jc w:val="both"/>
        <w:divId w:val="1042483740"/>
        <w:rPr>
          <w:rFonts w:eastAsia="Times New Roman"/>
        </w:rPr>
      </w:pPr>
      <w:r>
        <w:rPr>
          <w:rFonts w:eastAsia="Times New Roman"/>
          <w:color w:val="000000"/>
          <w:sz w:val="20"/>
          <w:szCs w:val="20"/>
        </w:rPr>
        <w:t>On August 1, 2019, the Company's shareholders approved the 2019 Long-Term Stock Incentive Plan (the "2019 Incentive Plan"), which replaced the Company's Amended and Restated 2010 Long-Term Stock Incentive Plan (the "2010 Incentive Plan"). The 2019 Incentiv</w:t>
      </w:r>
      <w:r>
        <w:rPr>
          <w:rFonts w:eastAsia="Times New Roman"/>
          <w:color w:val="000000"/>
          <w:sz w:val="20"/>
          <w:szCs w:val="20"/>
        </w:rPr>
        <w:t>e Plan provided for 1.2 million of new shares authorized for issuance to the participants, in addition to the approximately 3.0 million shares that remained available for issuance under the 2010 Incentive Plan as of August 1, 2019. In addition, any outstan</w:t>
      </w:r>
      <w:r>
        <w:rPr>
          <w:rFonts w:eastAsia="Times New Roman"/>
          <w:color w:val="000000"/>
          <w:sz w:val="20"/>
          <w:szCs w:val="20"/>
        </w:rPr>
        <w:t xml:space="preserve">ding awards under the 2010 Incentive Plan or the Company's 1997 Long-Term Stock Incentive Plan (the "1997 Incentive Plan") that expire, are forfeited, or are surrendered to the Company in satisfaction of taxes, will become available for issuance under the </w:t>
      </w:r>
      <w:r>
        <w:rPr>
          <w:rFonts w:eastAsia="Times New Roman"/>
          <w:color w:val="000000"/>
          <w:sz w:val="20"/>
          <w:szCs w:val="20"/>
        </w:rPr>
        <w:t>2019 Incentive Plan. The 2019 Incentive Plan became effective August 1, 2019 and no further grants will be made under the 2010 Incentive Plan. Outstanding awards issued prior to August 1, 2019 will continue to remain subject to the terms of the 2010 Incent</w:t>
      </w:r>
      <w:r>
        <w:rPr>
          <w:rFonts w:eastAsia="Times New Roman"/>
          <w:color w:val="000000"/>
          <w:sz w:val="20"/>
          <w:szCs w:val="20"/>
        </w:rPr>
        <w:t>ive Plan or 1997 Incentive Plan, as applicable. As of March 27, 2021, 3.2 million shares remained available for future issuance under the Company's incentive plans.</w:t>
      </w:r>
    </w:p>
    <w:p w14:paraId="6C406009" w14:textId="77777777" w:rsidR="00000000" w:rsidRDefault="00EE5306">
      <w:pPr>
        <w:ind w:firstLine="540"/>
        <w:jc w:val="both"/>
        <w:divId w:val="1319647116"/>
        <w:rPr>
          <w:rFonts w:eastAsia="Times New Roman"/>
        </w:rPr>
      </w:pPr>
      <w:r>
        <w:rPr>
          <w:rFonts w:eastAsia="Times New Roman"/>
          <w:color w:val="000000"/>
          <w:sz w:val="20"/>
          <w:szCs w:val="20"/>
        </w:rPr>
        <w:t>Stock-based compensation awards that may be made under the 2019 Incentive Plan include, but are not limited to, (i) restricted stock, (ii) RSUs, and (iii) stock options. During the fiscal periods presented, annual grants consisted entirely of restricted st</w:t>
      </w:r>
      <w:r>
        <w:rPr>
          <w:rFonts w:eastAsia="Times New Roman"/>
          <w:color w:val="000000"/>
          <w:sz w:val="20"/>
          <w:szCs w:val="20"/>
        </w:rPr>
        <w:t>ock and RSUs. Additionally, for RSUs granted to retirement-eligible employees, or employees who become retirement-eligible prior to the end of the awards' respective stated vesting periods, vesting continues post-retirement for all or a portion of the rema</w:t>
      </w:r>
      <w:r>
        <w:rPr>
          <w:rFonts w:eastAsia="Times New Roman"/>
          <w:color w:val="000000"/>
          <w:sz w:val="20"/>
          <w:szCs w:val="20"/>
        </w:rPr>
        <w:t>ining unvested RSUs.</w:t>
      </w:r>
    </w:p>
    <w:p w14:paraId="7CB12B3B" w14:textId="77777777" w:rsidR="00000000" w:rsidRDefault="00EE5306">
      <w:pPr>
        <w:ind w:firstLine="360"/>
        <w:jc w:val="both"/>
        <w:divId w:val="19940260"/>
        <w:rPr>
          <w:rFonts w:eastAsia="Times New Roman"/>
        </w:rPr>
      </w:pPr>
      <w:r>
        <w:rPr>
          <w:rFonts w:eastAsia="Times New Roman"/>
          <w:b/>
          <w:bCs/>
          <w:i/>
          <w:iCs/>
          <w:color w:val="000000"/>
          <w:sz w:val="20"/>
          <w:szCs w:val="20"/>
        </w:rPr>
        <w:t>Impact on Results</w:t>
      </w:r>
    </w:p>
    <w:p w14:paraId="33D48147" w14:textId="77777777" w:rsidR="00000000" w:rsidRDefault="00EE5306">
      <w:pPr>
        <w:ind w:firstLine="540"/>
        <w:jc w:val="both"/>
        <w:divId w:val="2124375377"/>
        <w:rPr>
          <w:rFonts w:eastAsia="Times New Roman"/>
        </w:rPr>
      </w:pPr>
      <w:r>
        <w:rPr>
          <w:rFonts w:eastAsia="Times New Roman"/>
          <w:color w:val="000000"/>
          <w:sz w:val="20"/>
          <w:szCs w:val="20"/>
        </w:rPr>
        <w:t>A summary of total stock-based compensation expense and the related income tax benefits recognized is as follows:</w:t>
      </w:r>
    </w:p>
    <w:tbl>
      <w:tblPr>
        <w:tblW w:w="4736" w:type="pct"/>
        <w:tblCellMar>
          <w:top w:w="15" w:type="dxa"/>
          <w:left w:w="15" w:type="dxa"/>
          <w:bottom w:w="15" w:type="dxa"/>
          <w:right w:w="15" w:type="dxa"/>
        </w:tblCellMar>
        <w:tblLook w:val="04A0" w:firstRow="1" w:lastRow="0" w:firstColumn="1" w:lastColumn="0" w:noHBand="0" w:noVBand="1"/>
      </w:tblPr>
      <w:tblGrid>
        <w:gridCol w:w="37"/>
        <w:gridCol w:w="4372"/>
        <w:gridCol w:w="36"/>
        <w:gridCol w:w="36"/>
        <w:gridCol w:w="36"/>
        <w:gridCol w:w="36"/>
        <w:gridCol w:w="120"/>
        <w:gridCol w:w="876"/>
        <w:gridCol w:w="36"/>
        <w:gridCol w:w="36"/>
        <w:gridCol w:w="36"/>
        <w:gridCol w:w="36"/>
        <w:gridCol w:w="120"/>
        <w:gridCol w:w="877"/>
        <w:gridCol w:w="36"/>
        <w:gridCol w:w="36"/>
        <w:gridCol w:w="36"/>
        <w:gridCol w:w="36"/>
        <w:gridCol w:w="120"/>
        <w:gridCol w:w="877"/>
        <w:gridCol w:w="36"/>
      </w:tblGrid>
      <w:tr w:rsidR="00000000" w14:paraId="30C6377F" w14:textId="77777777">
        <w:trPr>
          <w:divId w:val="155727257"/>
        </w:trPr>
        <w:tc>
          <w:tcPr>
            <w:tcW w:w="50" w:type="pct"/>
            <w:vAlign w:val="center"/>
            <w:hideMark/>
          </w:tcPr>
          <w:p w14:paraId="7A704A98" w14:textId="77777777" w:rsidR="00000000" w:rsidRDefault="00EE5306">
            <w:pPr>
              <w:ind w:firstLine="540"/>
              <w:jc w:val="both"/>
              <w:rPr>
                <w:rFonts w:eastAsia="Times New Roman"/>
              </w:rPr>
            </w:pPr>
          </w:p>
        </w:tc>
        <w:tc>
          <w:tcPr>
            <w:tcW w:w="2815" w:type="pct"/>
            <w:vAlign w:val="center"/>
            <w:hideMark/>
          </w:tcPr>
          <w:p w14:paraId="40EAA633" w14:textId="77777777" w:rsidR="00000000" w:rsidRDefault="00EE5306">
            <w:pPr>
              <w:spacing w:after="100"/>
              <w:rPr>
                <w:rFonts w:eastAsia="Times New Roman"/>
                <w:sz w:val="20"/>
                <w:szCs w:val="20"/>
              </w:rPr>
            </w:pPr>
          </w:p>
        </w:tc>
        <w:tc>
          <w:tcPr>
            <w:tcW w:w="5" w:type="pct"/>
            <w:vAlign w:val="center"/>
            <w:hideMark/>
          </w:tcPr>
          <w:p w14:paraId="04F6CB79" w14:textId="77777777" w:rsidR="00000000" w:rsidRDefault="00EE5306">
            <w:pPr>
              <w:spacing w:after="100"/>
              <w:rPr>
                <w:rFonts w:eastAsia="Times New Roman"/>
                <w:sz w:val="20"/>
                <w:szCs w:val="20"/>
              </w:rPr>
            </w:pPr>
          </w:p>
        </w:tc>
        <w:tc>
          <w:tcPr>
            <w:tcW w:w="5" w:type="pct"/>
            <w:vAlign w:val="center"/>
            <w:hideMark/>
          </w:tcPr>
          <w:p w14:paraId="0AE88560" w14:textId="77777777" w:rsidR="00000000" w:rsidRDefault="00EE5306">
            <w:pPr>
              <w:spacing w:after="100"/>
              <w:rPr>
                <w:rFonts w:eastAsia="Times New Roman"/>
                <w:sz w:val="20"/>
                <w:szCs w:val="20"/>
              </w:rPr>
            </w:pPr>
          </w:p>
        </w:tc>
        <w:tc>
          <w:tcPr>
            <w:tcW w:w="28" w:type="pct"/>
            <w:vAlign w:val="center"/>
            <w:hideMark/>
          </w:tcPr>
          <w:p w14:paraId="155171FE" w14:textId="77777777" w:rsidR="00000000" w:rsidRDefault="00EE5306">
            <w:pPr>
              <w:spacing w:after="100"/>
              <w:rPr>
                <w:rFonts w:eastAsia="Times New Roman"/>
                <w:sz w:val="20"/>
                <w:szCs w:val="20"/>
              </w:rPr>
            </w:pPr>
          </w:p>
        </w:tc>
        <w:tc>
          <w:tcPr>
            <w:tcW w:w="5" w:type="pct"/>
            <w:vAlign w:val="center"/>
            <w:hideMark/>
          </w:tcPr>
          <w:p w14:paraId="708EE700" w14:textId="77777777" w:rsidR="00000000" w:rsidRDefault="00EE5306">
            <w:pPr>
              <w:spacing w:after="100"/>
              <w:rPr>
                <w:rFonts w:eastAsia="Times New Roman"/>
                <w:sz w:val="20"/>
                <w:szCs w:val="20"/>
              </w:rPr>
            </w:pPr>
          </w:p>
        </w:tc>
        <w:tc>
          <w:tcPr>
            <w:tcW w:w="50" w:type="pct"/>
            <w:vAlign w:val="center"/>
            <w:hideMark/>
          </w:tcPr>
          <w:p w14:paraId="3540E103" w14:textId="77777777" w:rsidR="00000000" w:rsidRDefault="00EE5306">
            <w:pPr>
              <w:spacing w:after="100"/>
              <w:rPr>
                <w:rFonts w:eastAsia="Times New Roman"/>
                <w:sz w:val="20"/>
                <w:szCs w:val="20"/>
              </w:rPr>
            </w:pPr>
          </w:p>
        </w:tc>
        <w:tc>
          <w:tcPr>
            <w:tcW w:w="616" w:type="pct"/>
            <w:vAlign w:val="center"/>
            <w:hideMark/>
          </w:tcPr>
          <w:p w14:paraId="15050D3B" w14:textId="77777777" w:rsidR="00000000" w:rsidRDefault="00EE5306">
            <w:pPr>
              <w:spacing w:after="100"/>
              <w:rPr>
                <w:rFonts w:eastAsia="Times New Roman"/>
                <w:sz w:val="20"/>
                <w:szCs w:val="20"/>
              </w:rPr>
            </w:pPr>
          </w:p>
        </w:tc>
        <w:tc>
          <w:tcPr>
            <w:tcW w:w="5" w:type="pct"/>
            <w:vAlign w:val="center"/>
            <w:hideMark/>
          </w:tcPr>
          <w:p w14:paraId="7DD93B70" w14:textId="77777777" w:rsidR="00000000" w:rsidRDefault="00EE5306">
            <w:pPr>
              <w:spacing w:after="100"/>
              <w:rPr>
                <w:rFonts w:eastAsia="Times New Roman"/>
                <w:sz w:val="20"/>
                <w:szCs w:val="20"/>
              </w:rPr>
            </w:pPr>
          </w:p>
        </w:tc>
        <w:tc>
          <w:tcPr>
            <w:tcW w:w="5" w:type="pct"/>
            <w:vAlign w:val="center"/>
            <w:hideMark/>
          </w:tcPr>
          <w:p w14:paraId="11CA41EF" w14:textId="77777777" w:rsidR="00000000" w:rsidRDefault="00EE5306">
            <w:pPr>
              <w:spacing w:after="100"/>
              <w:rPr>
                <w:rFonts w:eastAsia="Times New Roman"/>
                <w:sz w:val="20"/>
                <w:szCs w:val="20"/>
              </w:rPr>
            </w:pPr>
          </w:p>
        </w:tc>
        <w:tc>
          <w:tcPr>
            <w:tcW w:w="28" w:type="pct"/>
            <w:vAlign w:val="center"/>
            <w:hideMark/>
          </w:tcPr>
          <w:p w14:paraId="1750263F" w14:textId="77777777" w:rsidR="00000000" w:rsidRDefault="00EE5306">
            <w:pPr>
              <w:spacing w:after="100"/>
              <w:rPr>
                <w:rFonts w:eastAsia="Times New Roman"/>
                <w:sz w:val="20"/>
                <w:szCs w:val="20"/>
              </w:rPr>
            </w:pPr>
          </w:p>
        </w:tc>
        <w:tc>
          <w:tcPr>
            <w:tcW w:w="5" w:type="pct"/>
            <w:vAlign w:val="center"/>
            <w:hideMark/>
          </w:tcPr>
          <w:p w14:paraId="78D8101B" w14:textId="77777777" w:rsidR="00000000" w:rsidRDefault="00EE5306">
            <w:pPr>
              <w:spacing w:after="100"/>
              <w:rPr>
                <w:rFonts w:eastAsia="Times New Roman"/>
                <w:sz w:val="20"/>
                <w:szCs w:val="20"/>
              </w:rPr>
            </w:pPr>
          </w:p>
        </w:tc>
        <w:tc>
          <w:tcPr>
            <w:tcW w:w="50" w:type="pct"/>
            <w:vAlign w:val="center"/>
            <w:hideMark/>
          </w:tcPr>
          <w:p w14:paraId="13EED81E" w14:textId="77777777" w:rsidR="00000000" w:rsidRDefault="00EE5306">
            <w:pPr>
              <w:spacing w:after="100"/>
              <w:rPr>
                <w:rFonts w:eastAsia="Times New Roman"/>
                <w:sz w:val="20"/>
                <w:szCs w:val="20"/>
              </w:rPr>
            </w:pPr>
          </w:p>
        </w:tc>
        <w:tc>
          <w:tcPr>
            <w:tcW w:w="616" w:type="pct"/>
            <w:vAlign w:val="center"/>
            <w:hideMark/>
          </w:tcPr>
          <w:p w14:paraId="4CE5B790" w14:textId="77777777" w:rsidR="00000000" w:rsidRDefault="00EE5306">
            <w:pPr>
              <w:spacing w:after="100"/>
              <w:rPr>
                <w:rFonts w:eastAsia="Times New Roman"/>
                <w:sz w:val="20"/>
                <w:szCs w:val="20"/>
              </w:rPr>
            </w:pPr>
          </w:p>
        </w:tc>
        <w:tc>
          <w:tcPr>
            <w:tcW w:w="5" w:type="pct"/>
            <w:vAlign w:val="center"/>
            <w:hideMark/>
          </w:tcPr>
          <w:p w14:paraId="23BFDFCA" w14:textId="77777777" w:rsidR="00000000" w:rsidRDefault="00EE5306">
            <w:pPr>
              <w:spacing w:after="100"/>
              <w:rPr>
                <w:rFonts w:eastAsia="Times New Roman"/>
                <w:sz w:val="20"/>
                <w:szCs w:val="20"/>
              </w:rPr>
            </w:pPr>
          </w:p>
        </w:tc>
        <w:tc>
          <w:tcPr>
            <w:tcW w:w="5" w:type="pct"/>
            <w:vAlign w:val="center"/>
            <w:hideMark/>
          </w:tcPr>
          <w:p w14:paraId="12F8FF02" w14:textId="77777777" w:rsidR="00000000" w:rsidRDefault="00EE5306">
            <w:pPr>
              <w:spacing w:after="100"/>
              <w:rPr>
                <w:rFonts w:eastAsia="Times New Roman"/>
                <w:sz w:val="20"/>
                <w:szCs w:val="20"/>
              </w:rPr>
            </w:pPr>
          </w:p>
        </w:tc>
        <w:tc>
          <w:tcPr>
            <w:tcW w:w="28" w:type="pct"/>
            <w:vAlign w:val="center"/>
            <w:hideMark/>
          </w:tcPr>
          <w:p w14:paraId="755BB329" w14:textId="77777777" w:rsidR="00000000" w:rsidRDefault="00EE5306">
            <w:pPr>
              <w:spacing w:after="100"/>
              <w:rPr>
                <w:rFonts w:eastAsia="Times New Roman"/>
                <w:sz w:val="20"/>
                <w:szCs w:val="20"/>
              </w:rPr>
            </w:pPr>
          </w:p>
        </w:tc>
        <w:tc>
          <w:tcPr>
            <w:tcW w:w="5" w:type="pct"/>
            <w:vAlign w:val="center"/>
            <w:hideMark/>
          </w:tcPr>
          <w:p w14:paraId="59F51804" w14:textId="77777777" w:rsidR="00000000" w:rsidRDefault="00EE5306">
            <w:pPr>
              <w:spacing w:after="100"/>
              <w:rPr>
                <w:rFonts w:eastAsia="Times New Roman"/>
                <w:sz w:val="20"/>
                <w:szCs w:val="20"/>
              </w:rPr>
            </w:pPr>
          </w:p>
        </w:tc>
        <w:tc>
          <w:tcPr>
            <w:tcW w:w="50" w:type="pct"/>
            <w:vAlign w:val="center"/>
            <w:hideMark/>
          </w:tcPr>
          <w:p w14:paraId="2AA72F7D" w14:textId="77777777" w:rsidR="00000000" w:rsidRDefault="00EE5306">
            <w:pPr>
              <w:spacing w:after="100"/>
              <w:rPr>
                <w:rFonts w:eastAsia="Times New Roman"/>
                <w:sz w:val="20"/>
                <w:szCs w:val="20"/>
              </w:rPr>
            </w:pPr>
          </w:p>
        </w:tc>
        <w:tc>
          <w:tcPr>
            <w:tcW w:w="616" w:type="pct"/>
            <w:vAlign w:val="center"/>
            <w:hideMark/>
          </w:tcPr>
          <w:p w14:paraId="6AD5A6AC" w14:textId="77777777" w:rsidR="00000000" w:rsidRDefault="00EE5306">
            <w:pPr>
              <w:spacing w:after="100"/>
              <w:rPr>
                <w:rFonts w:eastAsia="Times New Roman"/>
                <w:sz w:val="20"/>
                <w:szCs w:val="20"/>
              </w:rPr>
            </w:pPr>
          </w:p>
        </w:tc>
        <w:tc>
          <w:tcPr>
            <w:tcW w:w="5" w:type="pct"/>
            <w:vAlign w:val="center"/>
            <w:hideMark/>
          </w:tcPr>
          <w:p w14:paraId="216813A4" w14:textId="77777777" w:rsidR="00000000" w:rsidRDefault="00EE5306">
            <w:pPr>
              <w:spacing w:after="100"/>
              <w:rPr>
                <w:rFonts w:eastAsia="Times New Roman"/>
                <w:sz w:val="20"/>
                <w:szCs w:val="20"/>
              </w:rPr>
            </w:pPr>
          </w:p>
        </w:tc>
      </w:tr>
      <w:tr w:rsidR="00000000" w14:paraId="0A918AA0" w14:textId="77777777">
        <w:trPr>
          <w:divId w:val="155727257"/>
        </w:trPr>
        <w:tc>
          <w:tcPr>
            <w:tcW w:w="0" w:type="auto"/>
            <w:gridSpan w:val="3"/>
            <w:tcMar>
              <w:top w:w="30" w:type="dxa"/>
              <w:left w:w="20" w:type="dxa"/>
              <w:bottom w:w="30" w:type="dxa"/>
              <w:right w:w="20" w:type="dxa"/>
            </w:tcMar>
            <w:vAlign w:val="bottom"/>
            <w:hideMark/>
          </w:tcPr>
          <w:p w14:paraId="3F4BD07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A892A17"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5B208B6C"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3655C55F" w14:textId="77777777">
        <w:trPr>
          <w:divId w:val="155727257"/>
        </w:trPr>
        <w:tc>
          <w:tcPr>
            <w:tcW w:w="0" w:type="auto"/>
            <w:gridSpan w:val="3"/>
            <w:tcMar>
              <w:top w:w="30" w:type="dxa"/>
              <w:left w:w="20" w:type="dxa"/>
              <w:bottom w:w="30" w:type="dxa"/>
              <w:right w:w="20" w:type="dxa"/>
            </w:tcMar>
            <w:vAlign w:val="bottom"/>
            <w:hideMark/>
          </w:tcPr>
          <w:p w14:paraId="0C7FCE2E"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E157B14"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1F62DE"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420A5C2"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83C569"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139475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732B6D"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666B1C8F" w14:textId="77777777">
        <w:trPr>
          <w:divId w:val="155727257"/>
        </w:trPr>
        <w:tc>
          <w:tcPr>
            <w:tcW w:w="0" w:type="auto"/>
            <w:gridSpan w:val="3"/>
            <w:tcMar>
              <w:top w:w="30" w:type="dxa"/>
              <w:left w:w="20" w:type="dxa"/>
              <w:bottom w:w="30" w:type="dxa"/>
              <w:right w:w="20" w:type="dxa"/>
            </w:tcMar>
            <w:vAlign w:val="bottom"/>
            <w:hideMark/>
          </w:tcPr>
          <w:p w14:paraId="1381A00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EE4460A"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65FDB41"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4881BB78" w14:textId="77777777">
        <w:trPr>
          <w:divId w:val="155727257"/>
        </w:trPr>
        <w:tc>
          <w:tcPr>
            <w:tcW w:w="0" w:type="auto"/>
            <w:gridSpan w:val="3"/>
            <w:shd w:val="clear" w:color="auto" w:fill="CCEEFF"/>
            <w:tcMar>
              <w:top w:w="30" w:type="dxa"/>
              <w:left w:w="20" w:type="dxa"/>
              <w:bottom w:w="30" w:type="dxa"/>
              <w:right w:w="20" w:type="dxa"/>
            </w:tcMar>
            <w:vAlign w:val="bottom"/>
            <w:hideMark/>
          </w:tcPr>
          <w:p w14:paraId="363392E2" w14:textId="77777777" w:rsidR="00000000" w:rsidRDefault="00EE5306">
            <w:pPr>
              <w:spacing w:after="100"/>
              <w:divId w:val="1812943673"/>
              <w:rPr>
                <w:rFonts w:eastAsia="Times New Roman"/>
              </w:rPr>
            </w:pPr>
            <w:r>
              <w:rPr>
                <w:rFonts w:eastAsia="Times New Roman"/>
                <w:color w:val="000000"/>
                <w:sz w:val="20"/>
                <w:szCs w:val="20"/>
              </w:rPr>
              <w:t>Compensation expens</w:t>
            </w:r>
            <w:r>
              <w:rPr>
                <w:rFonts w:eastAsia="Times New Roman"/>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396C862"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A924119"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D852B1" w14:textId="77777777" w:rsidR="00000000" w:rsidRDefault="00EE5306">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14:paraId="20E93ED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BD50F"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C960F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99A645" w14:textId="77777777" w:rsidR="00000000" w:rsidRDefault="00EE5306">
            <w:pPr>
              <w:spacing w:after="100"/>
              <w:jc w:val="right"/>
              <w:rPr>
                <w:rFonts w:eastAsia="Times New Roman"/>
              </w:rPr>
            </w:pPr>
            <w:r>
              <w:rPr>
                <w:rFonts w:eastAsia="Times New Roman"/>
                <w:color w:val="000000"/>
                <w:sz w:val="20"/>
                <w:szCs w:val="20"/>
              </w:rPr>
              <w:t>100.6 </w:t>
            </w:r>
          </w:p>
        </w:tc>
        <w:tc>
          <w:tcPr>
            <w:tcW w:w="0" w:type="auto"/>
            <w:shd w:val="clear" w:color="auto" w:fill="CCEEFF"/>
            <w:tcMar>
              <w:top w:w="30" w:type="dxa"/>
              <w:left w:w="0" w:type="dxa"/>
              <w:bottom w:w="30" w:type="dxa"/>
              <w:right w:w="20" w:type="dxa"/>
            </w:tcMar>
            <w:vAlign w:val="bottom"/>
            <w:hideMark/>
          </w:tcPr>
          <w:p w14:paraId="2A8C63E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28A82"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E8906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F82D23" w14:textId="77777777" w:rsidR="00000000" w:rsidRDefault="00EE5306">
            <w:pPr>
              <w:spacing w:after="100"/>
              <w:jc w:val="right"/>
              <w:rPr>
                <w:rFonts w:eastAsia="Times New Roman"/>
              </w:rPr>
            </w:pPr>
            <w:r>
              <w:rPr>
                <w:rFonts w:eastAsia="Times New Roman"/>
                <w:color w:val="000000"/>
                <w:sz w:val="20"/>
                <w:szCs w:val="20"/>
              </w:rPr>
              <w:t>88.6 </w:t>
            </w:r>
          </w:p>
        </w:tc>
        <w:tc>
          <w:tcPr>
            <w:tcW w:w="0" w:type="auto"/>
            <w:shd w:val="clear" w:color="auto" w:fill="CCEEFF"/>
            <w:tcMar>
              <w:top w:w="30" w:type="dxa"/>
              <w:left w:w="0" w:type="dxa"/>
              <w:bottom w:w="30" w:type="dxa"/>
              <w:right w:w="20" w:type="dxa"/>
            </w:tcMar>
            <w:vAlign w:val="bottom"/>
            <w:hideMark/>
          </w:tcPr>
          <w:p w14:paraId="22E86545" w14:textId="77777777" w:rsidR="00000000" w:rsidRDefault="00EE5306">
            <w:pPr>
              <w:spacing w:after="100"/>
              <w:jc w:val="right"/>
              <w:rPr>
                <w:rFonts w:eastAsia="Times New Roman"/>
              </w:rPr>
            </w:pPr>
          </w:p>
        </w:tc>
      </w:tr>
      <w:tr w:rsidR="00000000" w14:paraId="6B38DDFE" w14:textId="77777777">
        <w:trPr>
          <w:divId w:val="155727257"/>
        </w:trPr>
        <w:tc>
          <w:tcPr>
            <w:tcW w:w="0" w:type="auto"/>
            <w:gridSpan w:val="3"/>
            <w:shd w:val="clear" w:color="auto" w:fill="FFFFFF"/>
            <w:tcMar>
              <w:top w:w="30" w:type="dxa"/>
              <w:left w:w="20" w:type="dxa"/>
              <w:bottom w:w="30" w:type="dxa"/>
              <w:right w:w="20" w:type="dxa"/>
            </w:tcMar>
            <w:vAlign w:val="bottom"/>
            <w:hideMark/>
          </w:tcPr>
          <w:p w14:paraId="3401B54C" w14:textId="77777777" w:rsidR="00000000" w:rsidRDefault="00EE5306">
            <w:pPr>
              <w:spacing w:after="100"/>
              <w:rPr>
                <w:rFonts w:eastAsia="Times New Roman"/>
              </w:rPr>
            </w:pPr>
            <w:r>
              <w:rPr>
                <w:rFonts w:eastAsia="Times New Roman"/>
                <w:color w:val="000000"/>
                <w:sz w:val="20"/>
                <w:szCs w:val="20"/>
              </w:rPr>
              <w:t>Income tax benefit</w:t>
            </w:r>
          </w:p>
        </w:tc>
        <w:tc>
          <w:tcPr>
            <w:tcW w:w="0" w:type="auto"/>
            <w:gridSpan w:val="3"/>
            <w:shd w:val="clear" w:color="auto" w:fill="FFFFFF"/>
            <w:tcMar>
              <w:top w:w="0" w:type="dxa"/>
              <w:left w:w="20" w:type="dxa"/>
              <w:bottom w:w="0" w:type="dxa"/>
              <w:right w:w="20" w:type="dxa"/>
            </w:tcMar>
            <w:vAlign w:val="center"/>
            <w:hideMark/>
          </w:tcPr>
          <w:p w14:paraId="4095021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7F2D1D" w14:textId="77777777" w:rsidR="00000000" w:rsidRDefault="00EE5306">
            <w:pPr>
              <w:spacing w:after="100"/>
              <w:jc w:val="right"/>
              <w:rPr>
                <w:rFonts w:eastAsia="Times New Roman"/>
              </w:rPr>
            </w:pPr>
            <w:r>
              <w:rPr>
                <w:rFonts w:eastAsia="Times New Roman"/>
                <w:color w:val="000000"/>
                <w:sz w:val="20"/>
                <w:szCs w:val="20"/>
              </w:rPr>
              <w:t>(12.4)</w:t>
            </w:r>
          </w:p>
        </w:tc>
        <w:tc>
          <w:tcPr>
            <w:tcW w:w="0" w:type="auto"/>
            <w:shd w:val="clear" w:color="auto" w:fill="FFFFFF"/>
            <w:tcMar>
              <w:top w:w="30" w:type="dxa"/>
              <w:left w:w="0" w:type="dxa"/>
              <w:bottom w:w="30" w:type="dxa"/>
              <w:right w:w="20" w:type="dxa"/>
            </w:tcMar>
            <w:vAlign w:val="bottom"/>
            <w:hideMark/>
          </w:tcPr>
          <w:p w14:paraId="3CF280C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465C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188AA" w14:textId="77777777" w:rsidR="00000000" w:rsidRDefault="00EE5306">
            <w:pPr>
              <w:spacing w:after="100"/>
              <w:jc w:val="right"/>
              <w:rPr>
                <w:rFonts w:eastAsia="Times New Roman"/>
              </w:rPr>
            </w:pPr>
            <w:r>
              <w:rPr>
                <w:rFonts w:eastAsia="Times New Roman"/>
                <w:color w:val="000000"/>
                <w:sz w:val="20"/>
                <w:szCs w:val="20"/>
              </w:rPr>
              <w:t>(15.3)</w:t>
            </w:r>
          </w:p>
        </w:tc>
        <w:tc>
          <w:tcPr>
            <w:tcW w:w="0" w:type="auto"/>
            <w:shd w:val="clear" w:color="auto" w:fill="FFFFFF"/>
            <w:tcMar>
              <w:top w:w="30" w:type="dxa"/>
              <w:left w:w="0" w:type="dxa"/>
              <w:bottom w:w="30" w:type="dxa"/>
              <w:right w:w="20" w:type="dxa"/>
            </w:tcMar>
            <w:vAlign w:val="bottom"/>
            <w:hideMark/>
          </w:tcPr>
          <w:p w14:paraId="12E4C7E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5190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2EA313" w14:textId="77777777" w:rsidR="00000000" w:rsidRDefault="00EE5306">
            <w:pPr>
              <w:spacing w:after="100"/>
              <w:jc w:val="right"/>
              <w:rPr>
                <w:rFonts w:eastAsia="Times New Roman"/>
              </w:rPr>
            </w:pPr>
            <w:r>
              <w:rPr>
                <w:rFonts w:eastAsia="Times New Roman"/>
                <w:color w:val="000000"/>
                <w:sz w:val="20"/>
                <w:szCs w:val="20"/>
              </w:rPr>
              <w:t>(13.1)</w:t>
            </w:r>
          </w:p>
        </w:tc>
        <w:tc>
          <w:tcPr>
            <w:tcW w:w="0" w:type="auto"/>
            <w:shd w:val="clear" w:color="auto" w:fill="FFFFFF"/>
            <w:tcMar>
              <w:top w:w="30" w:type="dxa"/>
              <w:left w:w="0" w:type="dxa"/>
              <w:bottom w:w="30" w:type="dxa"/>
              <w:right w:w="20" w:type="dxa"/>
            </w:tcMar>
            <w:vAlign w:val="bottom"/>
            <w:hideMark/>
          </w:tcPr>
          <w:p w14:paraId="4F32CEEB"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5F919B28" w14:textId="77777777">
        <w:tc>
          <w:tcPr>
            <w:tcW w:w="50" w:type="pct"/>
            <w:vAlign w:val="center"/>
            <w:hideMark/>
          </w:tcPr>
          <w:p w14:paraId="7FA94431" w14:textId="77777777" w:rsidR="00000000" w:rsidRDefault="00EE5306">
            <w:pPr>
              <w:rPr>
                <w:rFonts w:eastAsia="Times New Roman"/>
              </w:rPr>
            </w:pPr>
          </w:p>
        </w:tc>
        <w:tc>
          <w:tcPr>
            <w:tcW w:w="4945" w:type="pct"/>
            <w:vAlign w:val="center"/>
            <w:hideMark/>
          </w:tcPr>
          <w:p w14:paraId="1BAA13CC" w14:textId="77777777" w:rsidR="00000000" w:rsidRDefault="00EE5306">
            <w:pPr>
              <w:spacing w:after="100"/>
              <w:rPr>
                <w:rFonts w:eastAsia="Times New Roman"/>
                <w:sz w:val="20"/>
                <w:szCs w:val="20"/>
              </w:rPr>
            </w:pPr>
          </w:p>
        </w:tc>
        <w:tc>
          <w:tcPr>
            <w:tcW w:w="5" w:type="pct"/>
            <w:vAlign w:val="center"/>
            <w:hideMark/>
          </w:tcPr>
          <w:p w14:paraId="66C646A8" w14:textId="77777777" w:rsidR="00000000" w:rsidRDefault="00EE5306">
            <w:pPr>
              <w:spacing w:after="100"/>
              <w:rPr>
                <w:rFonts w:eastAsia="Times New Roman"/>
                <w:sz w:val="20"/>
                <w:szCs w:val="20"/>
              </w:rPr>
            </w:pPr>
          </w:p>
        </w:tc>
      </w:tr>
      <w:tr w:rsidR="00000000" w14:paraId="6E405117"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6FFA3E98" w14:textId="77777777" w:rsidR="00000000" w:rsidRDefault="00EE5306">
            <w:pPr>
              <w:spacing w:after="100"/>
              <w:rPr>
                <w:rFonts w:eastAsia="Times New Roman"/>
                <w:sz w:val="20"/>
                <w:szCs w:val="20"/>
              </w:rPr>
            </w:pPr>
          </w:p>
        </w:tc>
      </w:tr>
    </w:tbl>
    <w:p w14:paraId="3473D392" w14:textId="77777777" w:rsidR="00000000" w:rsidRDefault="00EE5306">
      <w:pPr>
        <w:ind w:hanging="360"/>
        <w:jc w:val="both"/>
        <w:divId w:val="377781795"/>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Fiscal 2020 includes $3.6 </w:t>
      </w:r>
      <w:r>
        <w:rPr>
          <w:rFonts w:eastAsia="Times New Roman"/>
          <w:color w:val="000000"/>
          <w:sz w:val="20"/>
          <w:szCs w:val="20"/>
        </w:rPr>
        <w:t>million of accelerated stock-based compensation expense recorded within restructuring and other charges in the consolidated statements of operations (see Note 9). All other stock-based compensation expense was recorded within SG&amp;A expenses.</w:t>
      </w:r>
    </w:p>
    <w:p w14:paraId="5A885763" w14:textId="77777777" w:rsidR="00000000" w:rsidRDefault="00EE5306">
      <w:pPr>
        <w:ind w:firstLine="540"/>
        <w:jc w:val="both"/>
        <w:divId w:val="1022711226"/>
        <w:rPr>
          <w:rFonts w:eastAsia="Times New Roman"/>
        </w:rPr>
      </w:pPr>
      <w:r>
        <w:rPr>
          <w:rFonts w:eastAsia="Times New Roman"/>
          <w:color w:val="000000"/>
          <w:sz w:val="20"/>
          <w:szCs w:val="20"/>
        </w:rPr>
        <w:t>The Company iss</w:t>
      </w:r>
      <w:r>
        <w:rPr>
          <w:rFonts w:eastAsia="Times New Roman"/>
          <w:color w:val="000000"/>
          <w:sz w:val="20"/>
          <w:szCs w:val="20"/>
        </w:rPr>
        <w:t>ues its annual grants of stock-based compensation awards in the first half of each fiscal year. Due to the timing of the annual grants and other factors, including the timing and magnitude of forfeiture and performance goal achievement adjustments, as well</w:t>
      </w:r>
      <w:r>
        <w:rPr>
          <w:rFonts w:eastAsia="Times New Roman"/>
          <w:color w:val="000000"/>
          <w:sz w:val="20"/>
          <w:szCs w:val="20"/>
        </w:rPr>
        <w:t xml:space="preserve"> as changes to the size and composition of the eligible employee population, stock-based compensation expense recognized during any given fiscal period is not indicative of the level of compensation expense expected to be incurred in future periods.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77FF5642" w14:textId="77777777">
        <w:trPr>
          <w:divId w:val="1095202965"/>
          <w:jc w:val="center"/>
        </w:trPr>
        <w:tc>
          <w:tcPr>
            <w:tcW w:w="50" w:type="pct"/>
            <w:vAlign w:val="center"/>
            <w:hideMark/>
          </w:tcPr>
          <w:p w14:paraId="3B8D5884" w14:textId="77777777" w:rsidR="00000000" w:rsidRDefault="00EE5306">
            <w:pPr>
              <w:ind w:firstLine="540"/>
              <w:jc w:val="both"/>
              <w:rPr>
                <w:rFonts w:eastAsia="Times New Roman"/>
              </w:rPr>
            </w:pPr>
          </w:p>
        </w:tc>
        <w:tc>
          <w:tcPr>
            <w:tcW w:w="1699" w:type="pct"/>
            <w:vAlign w:val="center"/>
            <w:hideMark/>
          </w:tcPr>
          <w:p w14:paraId="38899AD8" w14:textId="77777777" w:rsidR="00000000" w:rsidRDefault="00EE5306">
            <w:pPr>
              <w:spacing w:after="100"/>
              <w:rPr>
                <w:rFonts w:eastAsia="Times New Roman"/>
                <w:sz w:val="20"/>
                <w:szCs w:val="20"/>
              </w:rPr>
            </w:pPr>
          </w:p>
        </w:tc>
        <w:tc>
          <w:tcPr>
            <w:tcW w:w="5" w:type="pct"/>
            <w:vAlign w:val="center"/>
            <w:hideMark/>
          </w:tcPr>
          <w:p w14:paraId="1206109C" w14:textId="77777777" w:rsidR="00000000" w:rsidRDefault="00EE5306">
            <w:pPr>
              <w:spacing w:after="100"/>
              <w:rPr>
                <w:rFonts w:eastAsia="Times New Roman"/>
                <w:sz w:val="20"/>
                <w:szCs w:val="20"/>
              </w:rPr>
            </w:pPr>
          </w:p>
        </w:tc>
        <w:tc>
          <w:tcPr>
            <w:tcW w:w="50" w:type="pct"/>
            <w:vAlign w:val="center"/>
            <w:hideMark/>
          </w:tcPr>
          <w:p w14:paraId="0DB7F6BC" w14:textId="77777777" w:rsidR="00000000" w:rsidRDefault="00EE5306">
            <w:pPr>
              <w:spacing w:after="100"/>
              <w:rPr>
                <w:rFonts w:eastAsia="Times New Roman"/>
                <w:sz w:val="20"/>
                <w:szCs w:val="20"/>
              </w:rPr>
            </w:pPr>
          </w:p>
        </w:tc>
        <w:tc>
          <w:tcPr>
            <w:tcW w:w="1436" w:type="pct"/>
            <w:vAlign w:val="center"/>
            <w:hideMark/>
          </w:tcPr>
          <w:p w14:paraId="65813767" w14:textId="77777777" w:rsidR="00000000" w:rsidRDefault="00EE5306">
            <w:pPr>
              <w:spacing w:after="100"/>
              <w:rPr>
                <w:rFonts w:eastAsia="Times New Roman"/>
                <w:sz w:val="20"/>
                <w:szCs w:val="20"/>
              </w:rPr>
            </w:pPr>
          </w:p>
        </w:tc>
        <w:tc>
          <w:tcPr>
            <w:tcW w:w="5" w:type="pct"/>
            <w:vAlign w:val="center"/>
            <w:hideMark/>
          </w:tcPr>
          <w:p w14:paraId="29375199" w14:textId="77777777" w:rsidR="00000000" w:rsidRDefault="00EE5306">
            <w:pPr>
              <w:spacing w:after="100"/>
              <w:rPr>
                <w:rFonts w:eastAsia="Times New Roman"/>
                <w:sz w:val="20"/>
                <w:szCs w:val="20"/>
              </w:rPr>
            </w:pPr>
          </w:p>
        </w:tc>
        <w:tc>
          <w:tcPr>
            <w:tcW w:w="50" w:type="pct"/>
            <w:vAlign w:val="center"/>
            <w:hideMark/>
          </w:tcPr>
          <w:p w14:paraId="4A4212A1" w14:textId="77777777" w:rsidR="00000000" w:rsidRDefault="00EE5306">
            <w:pPr>
              <w:spacing w:after="100"/>
              <w:rPr>
                <w:rFonts w:eastAsia="Times New Roman"/>
                <w:sz w:val="20"/>
                <w:szCs w:val="20"/>
              </w:rPr>
            </w:pPr>
          </w:p>
        </w:tc>
        <w:tc>
          <w:tcPr>
            <w:tcW w:w="1699" w:type="pct"/>
            <w:vAlign w:val="center"/>
            <w:hideMark/>
          </w:tcPr>
          <w:p w14:paraId="63D17F3B" w14:textId="77777777" w:rsidR="00000000" w:rsidRDefault="00EE5306">
            <w:pPr>
              <w:spacing w:after="100"/>
              <w:rPr>
                <w:rFonts w:eastAsia="Times New Roman"/>
                <w:sz w:val="20"/>
                <w:szCs w:val="20"/>
              </w:rPr>
            </w:pPr>
          </w:p>
        </w:tc>
        <w:tc>
          <w:tcPr>
            <w:tcW w:w="5" w:type="pct"/>
            <w:vAlign w:val="center"/>
            <w:hideMark/>
          </w:tcPr>
          <w:p w14:paraId="770AE4FB" w14:textId="77777777" w:rsidR="00000000" w:rsidRDefault="00EE5306">
            <w:pPr>
              <w:spacing w:after="100"/>
              <w:rPr>
                <w:rFonts w:eastAsia="Times New Roman"/>
                <w:sz w:val="20"/>
                <w:szCs w:val="20"/>
              </w:rPr>
            </w:pPr>
          </w:p>
        </w:tc>
      </w:tr>
      <w:tr w:rsidR="00000000" w14:paraId="1680E40B" w14:textId="77777777">
        <w:trPr>
          <w:divId w:val="1095202965"/>
          <w:jc w:val="center"/>
        </w:trPr>
        <w:tc>
          <w:tcPr>
            <w:tcW w:w="0" w:type="auto"/>
            <w:gridSpan w:val="3"/>
            <w:tcMar>
              <w:top w:w="0" w:type="dxa"/>
              <w:left w:w="20" w:type="dxa"/>
              <w:bottom w:w="0" w:type="dxa"/>
              <w:right w:w="20" w:type="dxa"/>
            </w:tcMar>
            <w:vAlign w:val="center"/>
            <w:hideMark/>
          </w:tcPr>
          <w:p w14:paraId="199D2388"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C68CE21" w14:textId="77777777" w:rsidR="00000000" w:rsidRDefault="00EE5306">
            <w:pPr>
              <w:spacing w:after="100"/>
              <w:jc w:val="center"/>
              <w:rPr>
                <w:rFonts w:eastAsia="Times New Roman"/>
              </w:rPr>
            </w:pPr>
            <w:r>
              <w:rPr>
                <w:rFonts w:eastAsia="Times New Roman"/>
                <w:color w:val="000000"/>
                <w:sz w:val="20"/>
                <w:szCs w:val="20"/>
              </w:rPr>
              <w:t>F-47</w:t>
            </w:r>
          </w:p>
        </w:tc>
        <w:tc>
          <w:tcPr>
            <w:tcW w:w="0" w:type="auto"/>
            <w:gridSpan w:val="3"/>
            <w:tcMar>
              <w:top w:w="0" w:type="dxa"/>
              <w:left w:w="20" w:type="dxa"/>
              <w:bottom w:w="0" w:type="dxa"/>
              <w:right w:w="20" w:type="dxa"/>
            </w:tcMar>
            <w:vAlign w:val="center"/>
            <w:hideMark/>
          </w:tcPr>
          <w:p w14:paraId="1BB8AAE5" w14:textId="77777777" w:rsidR="00000000" w:rsidRDefault="00EE5306">
            <w:pPr>
              <w:spacing w:after="100"/>
              <w:jc w:val="center"/>
              <w:rPr>
                <w:rFonts w:eastAsia="Times New Roman"/>
              </w:rPr>
            </w:pPr>
          </w:p>
        </w:tc>
      </w:tr>
    </w:tbl>
    <w:p w14:paraId="69B92D18" w14:textId="77777777" w:rsidR="00000000" w:rsidRDefault="00EE5306">
      <w:pPr>
        <w:rPr>
          <w:rFonts w:eastAsia="Times New Roman"/>
        </w:rPr>
      </w:pPr>
      <w:r>
        <w:rPr>
          <w:rFonts w:eastAsia="Times New Roman"/>
        </w:rPr>
        <w:pict w14:anchorId="042CA564">
          <v:rect id="_x0000_i1157" style="width:0;height:1.5pt" o:hralign="center" o:hrstd="t" o:hr="t" fillcolor="#a0a0a0" stroked="f"/>
        </w:pict>
      </w:r>
    </w:p>
    <w:p w14:paraId="0003ED48" w14:textId="77777777" w:rsidR="00000000" w:rsidRDefault="00EE5306">
      <w:pPr>
        <w:jc w:val="center"/>
        <w:divId w:val="497575569"/>
        <w:rPr>
          <w:rFonts w:eastAsia="Times New Roman"/>
        </w:rPr>
      </w:pPr>
    </w:p>
    <w:p w14:paraId="31B2846D" w14:textId="77777777" w:rsidR="00000000" w:rsidRDefault="00EE5306">
      <w:pPr>
        <w:jc w:val="center"/>
        <w:divId w:val="497575569"/>
        <w:rPr>
          <w:rFonts w:eastAsia="Times New Roman"/>
        </w:rPr>
      </w:pPr>
      <w:r>
        <w:rPr>
          <w:rFonts w:eastAsia="Times New Roman"/>
          <w:b/>
          <w:bCs/>
          <w:color w:val="000000"/>
          <w:sz w:val="20"/>
          <w:szCs w:val="20"/>
        </w:rPr>
        <w:t>RALPH LAUREN CORPORATION</w:t>
      </w:r>
    </w:p>
    <w:p w14:paraId="288F15F4" w14:textId="77777777" w:rsidR="00000000" w:rsidRDefault="00EE5306">
      <w:pPr>
        <w:jc w:val="center"/>
        <w:divId w:val="488640671"/>
        <w:rPr>
          <w:rFonts w:eastAsia="Times New Roman"/>
        </w:rPr>
      </w:pPr>
      <w:r>
        <w:rPr>
          <w:rFonts w:eastAsia="Times New Roman"/>
          <w:b/>
          <w:bCs/>
          <w:color w:val="000000"/>
          <w:sz w:val="20"/>
          <w:szCs w:val="20"/>
        </w:rPr>
        <w:t>NOTES TO CONSOLIDATED FINANCIAL STATEMENTS (Continued)</w:t>
      </w:r>
    </w:p>
    <w:p w14:paraId="1449F677" w14:textId="77777777" w:rsidR="00000000" w:rsidRDefault="00EE5306">
      <w:pPr>
        <w:ind w:firstLine="360"/>
        <w:jc w:val="both"/>
        <w:divId w:val="1685664206"/>
        <w:rPr>
          <w:rFonts w:eastAsia="Times New Roman"/>
        </w:rPr>
      </w:pPr>
      <w:r>
        <w:rPr>
          <w:rFonts w:eastAsia="Times New Roman"/>
          <w:b/>
          <w:bCs/>
          <w:i/>
          <w:iCs/>
          <w:color w:val="000000"/>
          <w:sz w:val="20"/>
          <w:szCs w:val="20"/>
        </w:rPr>
        <w:t>Restricted Stock Awards and Service-based RSUs</w:t>
      </w:r>
    </w:p>
    <w:p w14:paraId="7480F3A1" w14:textId="77777777" w:rsidR="00000000" w:rsidRDefault="00EE5306">
      <w:pPr>
        <w:ind w:firstLine="540"/>
        <w:jc w:val="both"/>
        <w:divId w:val="1412661071"/>
        <w:rPr>
          <w:rFonts w:eastAsia="Times New Roman"/>
        </w:rPr>
      </w:pPr>
      <w:r>
        <w:rPr>
          <w:rFonts w:eastAsia="Times New Roman"/>
          <w:color w:val="000000"/>
          <w:sz w:val="20"/>
          <w:szCs w:val="20"/>
        </w:rPr>
        <w:t>Restricted stock awards granted to non-employee directors vest ratably over a three-year pe</w:t>
      </w:r>
      <w:r>
        <w:rPr>
          <w:rFonts w:eastAsia="Times New Roman"/>
          <w:color w:val="000000"/>
          <w:sz w:val="20"/>
          <w:szCs w:val="20"/>
        </w:rPr>
        <w:t>riod, subject to the director's continued service to the Company. The fair values of restricted stock awards are based on the fair value of the Company's Class A common stock on the date of grant. Holders of restricted shares are entitled to receive cash d</w:t>
      </w:r>
      <w:r>
        <w:rPr>
          <w:rFonts w:eastAsia="Times New Roman"/>
          <w:color w:val="000000"/>
          <w:sz w:val="20"/>
          <w:szCs w:val="20"/>
        </w:rPr>
        <w:t>ividends in connection with the payments of dividends on the Company's Class A common stock. Effective beginning Fiscal 2019, non-employee directors are now granted service-based RSUs in lieu of restricted shares.</w:t>
      </w:r>
    </w:p>
    <w:p w14:paraId="120F591F" w14:textId="77777777" w:rsidR="00000000" w:rsidRDefault="00EE5306">
      <w:pPr>
        <w:ind w:firstLine="540"/>
        <w:jc w:val="both"/>
        <w:divId w:val="578828453"/>
        <w:rPr>
          <w:rFonts w:eastAsia="Times New Roman"/>
        </w:rPr>
      </w:pPr>
      <w:r>
        <w:rPr>
          <w:rFonts w:eastAsia="Times New Roman"/>
          <w:color w:val="000000"/>
          <w:sz w:val="20"/>
          <w:szCs w:val="20"/>
        </w:rPr>
        <w:t>Service-based RSUs granted to certain of t</w:t>
      </w:r>
      <w:r>
        <w:rPr>
          <w:rFonts w:eastAsia="Times New Roman"/>
          <w:color w:val="000000"/>
          <w:sz w:val="20"/>
          <w:szCs w:val="20"/>
        </w:rPr>
        <w:t>he Company's senior executives and other employees, as well as non-employee directors, generally vest over a three-year period, subject to the employee's continuing employment (except for awards granted to retirement-eligible employees, or employees who be</w:t>
      </w:r>
      <w:r>
        <w:rPr>
          <w:rFonts w:eastAsia="Times New Roman"/>
          <w:color w:val="000000"/>
          <w:sz w:val="20"/>
          <w:szCs w:val="20"/>
        </w:rPr>
        <w:t xml:space="preserve">come retirement-eligible prior to the end of the awards' respective stated vesting periods, as previously discussed). The fair values of service-based RSUs are based on the fair value of the Company's Class A common stock on the date of grant, adjusted to </w:t>
      </w:r>
      <w:r>
        <w:rPr>
          <w:rFonts w:eastAsia="Times New Roman"/>
          <w:color w:val="000000"/>
          <w:sz w:val="20"/>
          <w:szCs w:val="20"/>
        </w:rPr>
        <w:t>reflect the absence of dividends for any awards for which dividend equivalent amounts do not accrue while outstanding and unvested.</w:t>
      </w:r>
    </w:p>
    <w:p w14:paraId="71DAAC3C" w14:textId="77777777" w:rsidR="00000000" w:rsidRDefault="00EE5306">
      <w:pPr>
        <w:ind w:firstLine="540"/>
        <w:jc w:val="both"/>
        <w:divId w:val="455831651"/>
        <w:rPr>
          <w:rFonts w:eastAsia="Times New Roman"/>
        </w:rPr>
      </w:pPr>
      <w:r>
        <w:rPr>
          <w:rFonts w:eastAsia="Times New Roman"/>
          <w:color w:val="000000"/>
          <w:sz w:val="20"/>
          <w:szCs w:val="20"/>
        </w:rPr>
        <w:t>A summary of restricted stock and service-based RSU activity during Fiscal 2021 is as follows:</w:t>
      </w:r>
    </w:p>
    <w:tbl>
      <w:tblPr>
        <w:tblW w:w="4714" w:type="pct"/>
        <w:tblCellMar>
          <w:top w:w="15" w:type="dxa"/>
          <w:left w:w="15" w:type="dxa"/>
          <w:bottom w:w="15" w:type="dxa"/>
          <w:right w:w="15" w:type="dxa"/>
        </w:tblCellMar>
        <w:tblLook w:val="04A0" w:firstRow="1" w:lastRow="0" w:firstColumn="1" w:lastColumn="0" w:noHBand="0" w:noVBand="1"/>
      </w:tblPr>
      <w:tblGrid>
        <w:gridCol w:w="40"/>
        <w:gridCol w:w="3923"/>
        <w:gridCol w:w="36"/>
        <w:gridCol w:w="36"/>
        <w:gridCol w:w="36"/>
        <w:gridCol w:w="36"/>
        <w:gridCol w:w="75"/>
        <w:gridCol w:w="759"/>
        <w:gridCol w:w="36"/>
        <w:gridCol w:w="36"/>
        <w:gridCol w:w="36"/>
        <w:gridCol w:w="36"/>
        <w:gridCol w:w="121"/>
        <w:gridCol w:w="679"/>
        <w:gridCol w:w="36"/>
        <w:gridCol w:w="36"/>
        <w:gridCol w:w="36"/>
        <w:gridCol w:w="36"/>
        <w:gridCol w:w="75"/>
        <w:gridCol w:w="759"/>
        <w:gridCol w:w="36"/>
        <w:gridCol w:w="36"/>
        <w:gridCol w:w="36"/>
        <w:gridCol w:w="36"/>
        <w:gridCol w:w="120"/>
        <w:gridCol w:w="668"/>
        <w:gridCol w:w="36"/>
      </w:tblGrid>
      <w:tr w:rsidR="00000000" w14:paraId="373CDCD3" w14:textId="77777777">
        <w:trPr>
          <w:divId w:val="1173759035"/>
        </w:trPr>
        <w:tc>
          <w:tcPr>
            <w:tcW w:w="50" w:type="pct"/>
            <w:vAlign w:val="center"/>
            <w:hideMark/>
          </w:tcPr>
          <w:p w14:paraId="6D0E7FEB" w14:textId="77777777" w:rsidR="00000000" w:rsidRDefault="00EE5306">
            <w:pPr>
              <w:ind w:firstLine="540"/>
              <w:jc w:val="both"/>
              <w:rPr>
                <w:rFonts w:eastAsia="Times New Roman"/>
              </w:rPr>
            </w:pPr>
          </w:p>
        </w:tc>
        <w:tc>
          <w:tcPr>
            <w:tcW w:w="2526" w:type="pct"/>
            <w:vAlign w:val="center"/>
            <w:hideMark/>
          </w:tcPr>
          <w:p w14:paraId="604E399A" w14:textId="77777777" w:rsidR="00000000" w:rsidRDefault="00EE5306">
            <w:pPr>
              <w:spacing w:after="100"/>
              <w:rPr>
                <w:rFonts w:eastAsia="Times New Roman"/>
                <w:sz w:val="20"/>
                <w:szCs w:val="20"/>
              </w:rPr>
            </w:pPr>
          </w:p>
        </w:tc>
        <w:tc>
          <w:tcPr>
            <w:tcW w:w="5" w:type="pct"/>
            <w:vAlign w:val="center"/>
            <w:hideMark/>
          </w:tcPr>
          <w:p w14:paraId="3404C40E" w14:textId="77777777" w:rsidR="00000000" w:rsidRDefault="00EE5306">
            <w:pPr>
              <w:spacing w:after="100"/>
              <w:rPr>
                <w:rFonts w:eastAsia="Times New Roman"/>
                <w:sz w:val="20"/>
                <w:szCs w:val="20"/>
              </w:rPr>
            </w:pPr>
          </w:p>
        </w:tc>
        <w:tc>
          <w:tcPr>
            <w:tcW w:w="5" w:type="pct"/>
            <w:vAlign w:val="center"/>
            <w:hideMark/>
          </w:tcPr>
          <w:p w14:paraId="35E21146" w14:textId="77777777" w:rsidR="00000000" w:rsidRDefault="00EE5306">
            <w:pPr>
              <w:spacing w:after="100"/>
              <w:rPr>
                <w:rFonts w:eastAsia="Times New Roman"/>
                <w:sz w:val="20"/>
                <w:szCs w:val="20"/>
              </w:rPr>
            </w:pPr>
          </w:p>
        </w:tc>
        <w:tc>
          <w:tcPr>
            <w:tcW w:w="28" w:type="pct"/>
            <w:vAlign w:val="center"/>
            <w:hideMark/>
          </w:tcPr>
          <w:p w14:paraId="3CBD6925" w14:textId="77777777" w:rsidR="00000000" w:rsidRDefault="00EE5306">
            <w:pPr>
              <w:spacing w:after="100"/>
              <w:rPr>
                <w:rFonts w:eastAsia="Times New Roman"/>
                <w:sz w:val="20"/>
                <w:szCs w:val="20"/>
              </w:rPr>
            </w:pPr>
          </w:p>
        </w:tc>
        <w:tc>
          <w:tcPr>
            <w:tcW w:w="5" w:type="pct"/>
            <w:vAlign w:val="center"/>
            <w:hideMark/>
          </w:tcPr>
          <w:p w14:paraId="49778B8E" w14:textId="77777777" w:rsidR="00000000" w:rsidRDefault="00EE5306">
            <w:pPr>
              <w:spacing w:after="100"/>
              <w:rPr>
                <w:rFonts w:eastAsia="Times New Roman"/>
                <w:sz w:val="20"/>
                <w:szCs w:val="20"/>
              </w:rPr>
            </w:pPr>
          </w:p>
        </w:tc>
        <w:tc>
          <w:tcPr>
            <w:tcW w:w="50" w:type="pct"/>
            <w:vAlign w:val="center"/>
            <w:hideMark/>
          </w:tcPr>
          <w:p w14:paraId="0A319BA2" w14:textId="77777777" w:rsidR="00000000" w:rsidRDefault="00EE5306">
            <w:pPr>
              <w:spacing w:after="100"/>
              <w:rPr>
                <w:rFonts w:eastAsia="Times New Roman"/>
                <w:sz w:val="20"/>
                <w:szCs w:val="20"/>
              </w:rPr>
            </w:pPr>
          </w:p>
        </w:tc>
        <w:tc>
          <w:tcPr>
            <w:tcW w:w="510" w:type="pct"/>
            <w:vAlign w:val="center"/>
            <w:hideMark/>
          </w:tcPr>
          <w:p w14:paraId="2C2C4F8C" w14:textId="77777777" w:rsidR="00000000" w:rsidRDefault="00EE5306">
            <w:pPr>
              <w:spacing w:after="100"/>
              <w:rPr>
                <w:rFonts w:eastAsia="Times New Roman"/>
                <w:sz w:val="20"/>
                <w:szCs w:val="20"/>
              </w:rPr>
            </w:pPr>
          </w:p>
        </w:tc>
        <w:tc>
          <w:tcPr>
            <w:tcW w:w="5" w:type="pct"/>
            <w:vAlign w:val="center"/>
            <w:hideMark/>
          </w:tcPr>
          <w:p w14:paraId="3AF48274" w14:textId="77777777" w:rsidR="00000000" w:rsidRDefault="00EE5306">
            <w:pPr>
              <w:spacing w:after="100"/>
              <w:rPr>
                <w:rFonts w:eastAsia="Times New Roman"/>
                <w:sz w:val="20"/>
                <w:szCs w:val="20"/>
              </w:rPr>
            </w:pPr>
          </w:p>
        </w:tc>
        <w:tc>
          <w:tcPr>
            <w:tcW w:w="5" w:type="pct"/>
            <w:vAlign w:val="center"/>
            <w:hideMark/>
          </w:tcPr>
          <w:p w14:paraId="513D78C0" w14:textId="77777777" w:rsidR="00000000" w:rsidRDefault="00EE5306">
            <w:pPr>
              <w:spacing w:after="100"/>
              <w:rPr>
                <w:rFonts w:eastAsia="Times New Roman"/>
                <w:sz w:val="20"/>
                <w:szCs w:val="20"/>
              </w:rPr>
            </w:pPr>
          </w:p>
        </w:tc>
        <w:tc>
          <w:tcPr>
            <w:tcW w:w="28" w:type="pct"/>
            <w:vAlign w:val="center"/>
            <w:hideMark/>
          </w:tcPr>
          <w:p w14:paraId="3E4E4B12" w14:textId="77777777" w:rsidR="00000000" w:rsidRDefault="00EE5306">
            <w:pPr>
              <w:spacing w:after="100"/>
              <w:rPr>
                <w:rFonts w:eastAsia="Times New Roman"/>
                <w:sz w:val="20"/>
                <w:szCs w:val="20"/>
              </w:rPr>
            </w:pPr>
          </w:p>
        </w:tc>
        <w:tc>
          <w:tcPr>
            <w:tcW w:w="5" w:type="pct"/>
            <w:vAlign w:val="center"/>
            <w:hideMark/>
          </w:tcPr>
          <w:p w14:paraId="5CA2CBE7" w14:textId="77777777" w:rsidR="00000000" w:rsidRDefault="00EE5306">
            <w:pPr>
              <w:spacing w:after="100"/>
              <w:rPr>
                <w:rFonts w:eastAsia="Times New Roman"/>
                <w:sz w:val="20"/>
                <w:szCs w:val="20"/>
              </w:rPr>
            </w:pPr>
          </w:p>
        </w:tc>
        <w:tc>
          <w:tcPr>
            <w:tcW w:w="50" w:type="pct"/>
            <w:vAlign w:val="center"/>
            <w:hideMark/>
          </w:tcPr>
          <w:p w14:paraId="6C753901" w14:textId="77777777" w:rsidR="00000000" w:rsidRDefault="00EE5306">
            <w:pPr>
              <w:spacing w:after="100"/>
              <w:rPr>
                <w:rFonts w:eastAsia="Times New Roman"/>
                <w:sz w:val="20"/>
                <w:szCs w:val="20"/>
              </w:rPr>
            </w:pPr>
          </w:p>
        </w:tc>
        <w:tc>
          <w:tcPr>
            <w:tcW w:w="510" w:type="pct"/>
            <w:vAlign w:val="center"/>
            <w:hideMark/>
          </w:tcPr>
          <w:p w14:paraId="6818BE44" w14:textId="77777777" w:rsidR="00000000" w:rsidRDefault="00EE5306">
            <w:pPr>
              <w:spacing w:after="100"/>
              <w:rPr>
                <w:rFonts w:eastAsia="Times New Roman"/>
                <w:sz w:val="20"/>
                <w:szCs w:val="20"/>
              </w:rPr>
            </w:pPr>
          </w:p>
        </w:tc>
        <w:tc>
          <w:tcPr>
            <w:tcW w:w="5" w:type="pct"/>
            <w:vAlign w:val="center"/>
            <w:hideMark/>
          </w:tcPr>
          <w:p w14:paraId="18482DEB" w14:textId="77777777" w:rsidR="00000000" w:rsidRDefault="00EE5306">
            <w:pPr>
              <w:spacing w:after="100"/>
              <w:rPr>
                <w:rFonts w:eastAsia="Times New Roman"/>
                <w:sz w:val="20"/>
                <w:szCs w:val="20"/>
              </w:rPr>
            </w:pPr>
          </w:p>
        </w:tc>
        <w:tc>
          <w:tcPr>
            <w:tcW w:w="5" w:type="pct"/>
            <w:vAlign w:val="center"/>
            <w:hideMark/>
          </w:tcPr>
          <w:p w14:paraId="24164379" w14:textId="77777777" w:rsidR="00000000" w:rsidRDefault="00EE5306">
            <w:pPr>
              <w:spacing w:after="100"/>
              <w:rPr>
                <w:rFonts w:eastAsia="Times New Roman"/>
                <w:sz w:val="20"/>
                <w:szCs w:val="20"/>
              </w:rPr>
            </w:pPr>
          </w:p>
        </w:tc>
        <w:tc>
          <w:tcPr>
            <w:tcW w:w="28" w:type="pct"/>
            <w:vAlign w:val="center"/>
            <w:hideMark/>
          </w:tcPr>
          <w:p w14:paraId="05274E28" w14:textId="77777777" w:rsidR="00000000" w:rsidRDefault="00EE5306">
            <w:pPr>
              <w:spacing w:after="100"/>
              <w:rPr>
                <w:rFonts w:eastAsia="Times New Roman"/>
                <w:sz w:val="20"/>
                <w:szCs w:val="20"/>
              </w:rPr>
            </w:pPr>
          </w:p>
        </w:tc>
        <w:tc>
          <w:tcPr>
            <w:tcW w:w="5" w:type="pct"/>
            <w:vAlign w:val="center"/>
            <w:hideMark/>
          </w:tcPr>
          <w:p w14:paraId="4FEDF5CC" w14:textId="77777777" w:rsidR="00000000" w:rsidRDefault="00EE5306">
            <w:pPr>
              <w:spacing w:after="100"/>
              <w:rPr>
                <w:rFonts w:eastAsia="Times New Roman"/>
                <w:sz w:val="20"/>
                <w:szCs w:val="20"/>
              </w:rPr>
            </w:pPr>
          </w:p>
        </w:tc>
        <w:tc>
          <w:tcPr>
            <w:tcW w:w="50" w:type="pct"/>
            <w:vAlign w:val="center"/>
            <w:hideMark/>
          </w:tcPr>
          <w:p w14:paraId="76FB85D2" w14:textId="77777777" w:rsidR="00000000" w:rsidRDefault="00EE5306">
            <w:pPr>
              <w:spacing w:after="100"/>
              <w:rPr>
                <w:rFonts w:eastAsia="Times New Roman"/>
                <w:sz w:val="20"/>
                <w:szCs w:val="20"/>
              </w:rPr>
            </w:pPr>
          </w:p>
        </w:tc>
        <w:tc>
          <w:tcPr>
            <w:tcW w:w="510" w:type="pct"/>
            <w:vAlign w:val="center"/>
            <w:hideMark/>
          </w:tcPr>
          <w:p w14:paraId="2A49CD04" w14:textId="77777777" w:rsidR="00000000" w:rsidRDefault="00EE5306">
            <w:pPr>
              <w:spacing w:after="100"/>
              <w:rPr>
                <w:rFonts w:eastAsia="Times New Roman"/>
                <w:sz w:val="20"/>
                <w:szCs w:val="20"/>
              </w:rPr>
            </w:pPr>
          </w:p>
        </w:tc>
        <w:tc>
          <w:tcPr>
            <w:tcW w:w="5" w:type="pct"/>
            <w:vAlign w:val="center"/>
            <w:hideMark/>
          </w:tcPr>
          <w:p w14:paraId="6C4AD284" w14:textId="77777777" w:rsidR="00000000" w:rsidRDefault="00EE5306">
            <w:pPr>
              <w:spacing w:after="100"/>
              <w:rPr>
                <w:rFonts w:eastAsia="Times New Roman"/>
                <w:sz w:val="20"/>
                <w:szCs w:val="20"/>
              </w:rPr>
            </w:pPr>
          </w:p>
        </w:tc>
        <w:tc>
          <w:tcPr>
            <w:tcW w:w="5" w:type="pct"/>
            <w:vAlign w:val="center"/>
            <w:hideMark/>
          </w:tcPr>
          <w:p w14:paraId="0D7AF769" w14:textId="77777777" w:rsidR="00000000" w:rsidRDefault="00EE5306">
            <w:pPr>
              <w:spacing w:after="100"/>
              <w:rPr>
                <w:rFonts w:eastAsia="Times New Roman"/>
                <w:sz w:val="20"/>
                <w:szCs w:val="20"/>
              </w:rPr>
            </w:pPr>
          </w:p>
        </w:tc>
        <w:tc>
          <w:tcPr>
            <w:tcW w:w="28" w:type="pct"/>
            <w:vAlign w:val="center"/>
            <w:hideMark/>
          </w:tcPr>
          <w:p w14:paraId="41722886" w14:textId="77777777" w:rsidR="00000000" w:rsidRDefault="00EE5306">
            <w:pPr>
              <w:spacing w:after="100"/>
              <w:rPr>
                <w:rFonts w:eastAsia="Times New Roman"/>
                <w:sz w:val="20"/>
                <w:szCs w:val="20"/>
              </w:rPr>
            </w:pPr>
          </w:p>
        </w:tc>
        <w:tc>
          <w:tcPr>
            <w:tcW w:w="5" w:type="pct"/>
            <w:vAlign w:val="center"/>
            <w:hideMark/>
          </w:tcPr>
          <w:p w14:paraId="53896B0E" w14:textId="77777777" w:rsidR="00000000" w:rsidRDefault="00EE5306">
            <w:pPr>
              <w:spacing w:after="100"/>
              <w:rPr>
                <w:rFonts w:eastAsia="Times New Roman"/>
                <w:sz w:val="20"/>
                <w:szCs w:val="20"/>
              </w:rPr>
            </w:pPr>
          </w:p>
        </w:tc>
        <w:tc>
          <w:tcPr>
            <w:tcW w:w="50" w:type="pct"/>
            <w:vAlign w:val="center"/>
            <w:hideMark/>
          </w:tcPr>
          <w:p w14:paraId="59DCD1C6" w14:textId="77777777" w:rsidR="00000000" w:rsidRDefault="00EE5306">
            <w:pPr>
              <w:spacing w:after="100"/>
              <w:rPr>
                <w:rFonts w:eastAsia="Times New Roman"/>
                <w:sz w:val="20"/>
                <w:szCs w:val="20"/>
              </w:rPr>
            </w:pPr>
          </w:p>
        </w:tc>
        <w:tc>
          <w:tcPr>
            <w:tcW w:w="511" w:type="pct"/>
            <w:vAlign w:val="center"/>
            <w:hideMark/>
          </w:tcPr>
          <w:p w14:paraId="07688308" w14:textId="77777777" w:rsidR="00000000" w:rsidRDefault="00EE5306">
            <w:pPr>
              <w:spacing w:after="100"/>
              <w:rPr>
                <w:rFonts w:eastAsia="Times New Roman"/>
                <w:sz w:val="20"/>
                <w:szCs w:val="20"/>
              </w:rPr>
            </w:pPr>
          </w:p>
        </w:tc>
        <w:tc>
          <w:tcPr>
            <w:tcW w:w="5" w:type="pct"/>
            <w:vAlign w:val="center"/>
            <w:hideMark/>
          </w:tcPr>
          <w:p w14:paraId="4F77852D" w14:textId="77777777" w:rsidR="00000000" w:rsidRDefault="00EE5306">
            <w:pPr>
              <w:spacing w:after="100"/>
              <w:rPr>
                <w:rFonts w:eastAsia="Times New Roman"/>
                <w:sz w:val="20"/>
                <w:szCs w:val="20"/>
              </w:rPr>
            </w:pPr>
          </w:p>
        </w:tc>
      </w:tr>
      <w:tr w:rsidR="00000000" w14:paraId="1FCCF473" w14:textId="77777777">
        <w:trPr>
          <w:divId w:val="1173759035"/>
        </w:trPr>
        <w:tc>
          <w:tcPr>
            <w:tcW w:w="0" w:type="auto"/>
            <w:gridSpan w:val="3"/>
            <w:tcMar>
              <w:top w:w="0" w:type="dxa"/>
              <w:left w:w="20" w:type="dxa"/>
              <w:bottom w:w="0" w:type="dxa"/>
              <w:right w:w="20" w:type="dxa"/>
            </w:tcMar>
            <w:vAlign w:val="center"/>
            <w:hideMark/>
          </w:tcPr>
          <w:p w14:paraId="34F05D73"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3DD39B"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2EB9815" w14:textId="77777777" w:rsidR="00000000" w:rsidRDefault="00EE5306">
            <w:pPr>
              <w:spacing w:after="100"/>
              <w:jc w:val="center"/>
              <w:rPr>
                <w:rFonts w:eastAsia="Times New Roman"/>
              </w:rPr>
            </w:pPr>
            <w:r>
              <w:rPr>
                <w:rFonts w:eastAsia="Times New Roman"/>
                <w:b/>
                <w:bCs/>
                <w:color w:val="000000"/>
                <w:sz w:val="16"/>
                <w:szCs w:val="16"/>
              </w:rPr>
              <w:t>Restricted</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14:paraId="33362F01" w14:textId="77777777" w:rsidR="00000000" w:rsidRDefault="00EE530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0B5F6E1" w14:textId="77777777" w:rsidR="00000000" w:rsidRDefault="00EE5306">
            <w:pPr>
              <w:spacing w:after="100"/>
              <w:jc w:val="center"/>
              <w:rPr>
                <w:rFonts w:eastAsia="Times New Roman"/>
              </w:rPr>
            </w:pPr>
            <w:r>
              <w:rPr>
                <w:rFonts w:eastAsia="Times New Roman"/>
                <w:b/>
                <w:bCs/>
                <w:color w:val="000000"/>
                <w:sz w:val="16"/>
                <w:szCs w:val="16"/>
              </w:rPr>
              <w:t>Service-</w:t>
            </w:r>
            <w:r>
              <w:rPr>
                <w:rFonts w:eastAsia="Times New Roman"/>
                <w:b/>
                <w:bCs/>
                <w:color w:val="000000"/>
                <w:sz w:val="16"/>
                <w:szCs w:val="16"/>
              </w:rPr>
              <w:br/>
              <w:t>based RSUs</w:t>
            </w:r>
          </w:p>
        </w:tc>
      </w:tr>
      <w:tr w:rsidR="00000000" w14:paraId="5D4B0DD4" w14:textId="77777777">
        <w:trPr>
          <w:divId w:val="1173759035"/>
        </w:trPr>
        <w:tc>
          <w:tcPr>
            <w:tcW w:w="0" w:type="auto"/>
            <w:gridSpan w:val="3"/>
            <w:tcMar>
              <w:top w:w="30" w:type="dxa"/>
              <w:left w:w="20" w:type="dxa"/>
              <w:bottom w:w="30" w:type="dxa"/>
              <w:right w:w="20" w:type="dxa"/>
            </w:tcMar>
            <w:vAlign w:val="bottom"/>
            <w:hideMark/>
          </w:tcPr>
          <w:p w14:paraId="14CAAA0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DE9CEF8"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B5E6AC" w14:textId="77777777" w:rsidR="00000000" w:rsidRDefault="00EE5306">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Borders>
              <w:top w:val="single" w:sz="8" w:space="0" w:color="000000"/>
            </w:tcBorders>
            <w:tcMar>
              <w:top w:w="0" w:type="dxa"/>
              <w:left w:w="20" w:type="dxa"/>
              <w:bottom w:w="0" w:type="dxa"/>
              <w:right w:w="20" w:type="dxa"/>
            </w:tcMar>
            <w:vAlign w:val="center"/>
            <w:hideMark/>
          </w:tcPr>
          <w:p w14:paraId="565F2182"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956DF1" w14:textId="77777777" w:rsidR="00000000" w:rsidRDefault="00EE5306">
            <w:pPr>
              <w:spacing w:after="100"/>
              <w:jc w:val="center"/>
              <w:rPr>
                <w:rFonts w:eastAsia="Times New Roman"/>
              </w:rPr>
            </w:pPr>
            <w:r>
              <w:rPr>
                <w:rFonts w:eastAsia="Times New Roman"/>
                <w:b/>
                <w:bCs/>
                <w:color w:val="000000"/>
                <w:sz w:val="16"/>
                <w:szCs w:val="16"/>
              </w:rPr>
              <w:t>Weighted-Average Grant Date Fair Value</w:t>
            </w:r>
          </w:p>
        </w:tc>
        <w:tc>
          <w:tcPr>
            <w:tcW w:w="0" w:type="auto"/>
            <w:gridSpan w:val="3"/>
            <w:tcMar>
              <w:top w:w="0" w:type="dxa"/>
              <w:left w:w="20" w:type="dxa"/>
              <w:bottom w:w="0" w:type="dxa"/>
              <w:right w:w="20" w:type="dxa"/>
            </w:tcMar>
            <w:vAlign w:val="center"/>
            <w:hideMark/>
          </w:tcPr>
          <w:p w14:paraId="71A777BC"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A9688C" w14:textId="77777777" w:rsidR="00000000" w:rsidRDefault="00EE5306">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Borders>
              <w:top w:val="single" w:sz="8" w:space="0" w:color="000000"/>
            </w:tcBorders>
            <w:tcMar>
              <w:top w:w="0" w:type="dxa"/>
              <w:left w:w="20" w:type="dxa"/>
              <w:bottom w:w="0" w:type="dxa"/>
              <w:right w:w="20" w:type="dxa"/>
            </w:tcMar>
            <w:vAlign w:val="center"/>
            <w:hideMark/>
          </w:tcPr>
          <w:p w14:paraId="3E1CA970"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9CFAB6" w14:textId="77777777" w:rsidR="00000000" w:rsidRDefault="00EE5306">
            <w:pPr>
              <w:spacing w:after="100"/>
              <w:jc w:val="center"/>
              <w:rPr>
                <w:rFonts w:eastAsia="Times New Roman"/>
              </w:rPr>
            </w:pPr>
            <w:r>
              <w:rPr>
                <w:rFonts w:eastAsia="Times New Roman"/>
                <w:b/>
                <w:bCs/>
                <w:color w:val="000000"/>
                <w:sz w:val="16"/>
                <w:szCs w:val="16"/>
              </w:rPr>
              <w:t>Weighted-Average Grant Date Fair Value</w:t>
            </w:r>
          </w:p>
        </w:tc>
      </w:tr>
      <w:tr w:rsidR="00000000" w14:paraId="2611FA3E" w14:textId="77777777">
        <w:trPr>
          <w:divId w:val="1173759035"/>
        </w:trPr>
        <w:tc>
          <w:tcPr>
            <w:tcW w:w="0" w:type="auto"/>
            <w:gridSpan w:val="3"/>
            <w:tcMar>
              <w:top w:w="30" w:type="dxa"/>
              <w:left w:w="20" w:type="dxa"/>
              <w:bottom w:w="30" w:type="dxa"/>
              <w:right w:w="20" w:type="dxa"/>
            </w:tcMar>
            <w:vAlign w:val="bottom"/>
            <w:hideMark/>
          </w:tcPr>
          <w:p w14:paraId="235E65A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76E266E"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C552B4" w14:textId="77777777" w:rsidR="00000000" w:rsidRDefault="00EE5306">
            <w:pPr>
              <w:spacing w:after="100"/>
              <w:jc w:val="center"/>
              <w:rPr>
                <w:rFonts w:eastAsia="Times New Roman"/>
              </w:rPr>
            </w:pPr>
            <w:r>
              <w:rPr>
                <w:rFonts w:eastAsia="Times New Roman"/>
                <w:b/>
                <w:bCs/>
                <w:color w:val="000000"/>
                <w:sz w:val="16"/>
                <w:szCs w:val="16"/>
              </w:rPr>
              <w:t>(thousands)</w:t>
            </w:r>
          </w:p>
        </w:tc>
        <w:tc>
          <w:tcPr>
            <w:tcW w:w="0" w:type="auto"/>
            <w:gridSpan w:val="3"/>
            <w:tcMar>
              <w:top w:w="0" w:type="dxa"/>
              <w:left w:w="20" w:type="dxa"/>
              <w:bottom w:w="0" w:type="dxa"/>
              <w:right w:w="20" w:type="dxa"/>
            </w:tcMar>
            <w:vAlign w:val="center"/>
            <w:hideMark/>
          </w:tcPr>
          <w:p w14:paraId="4802B043"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A30D142"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D89F6E"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A68F941" w14:textId="77777777" w:rsidR="00000000" w:rsidRDefault="00EE5306">
            <w:pPr>
              <w:spacing w:after="100"/>
              <w:jc w:val="center"/>
              <w:rPr>
                <w:rFonts w:eastAsia="Times New Roman"/>
              </w:rPr>
            </w:pPr>
            <w:r>
              <w:rPr>
                <w:rFonts w:eastAsia="Times New Roman"/>
                <w:b/>
                <w:bCs/>
                <w:color w:val="000000"/>
                <w:sz w:val="16"/>
                <w:szCs w:val="16"/>
              </w:rPr>
              <w:t>(thousands)</w:t>
            </w:r>
          </w:p>
        </w:tc>
        <w:tc>
          <w:tcPr>
            <w:tcW w:w="0" w:type="auto"/>
            <w:gridSpan w:val="3"/>
            <w:tcMar>
              <w:top w:w="0" w:type="dxa"/>
              <w:left w:w="20" w:type="dxa"/>
              <w:bottom w:w="0" w:type="dxa"/>
              <w:right w:w="20" w:type="dxa"/>
            </w:tcMar>
            <w:vAlign w:val="center"/>
            <w:hideMark/>
          </w:tcPr>
          <w:p w14:paraId="582F1897"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1CF3ADD" w14:textId="77777777" w:rsidR="00000000" w:rsidRDefault="00EE5306">
            <w:pPr>
              <w:spacing w:after="100"/>
              <w:rPr>
                <w:rFonts w:eastAsia="Times New Roman"/>
                <w:sz w:val="20"/>
                <w:szCs w:val="20"/>
              </w:rPr>
            </w:pPr>
          </w:p>
        </w:tc>
      </w:tr>
      <w:tr w:rsidR="00000000" w14:paraId="6D41E756" w14:textId="77777777">
        <w:trPr>
          <w:divId w:val="1173759035"/>
        </w:trPr>
        <w:tc>
          <w:tcPr>
            <w:tcW w:w="0" w:type="auto"/>
            <w:gridSpan w:val="3"/>
            <w:shd w:val="clear" w:color="auto" w:fill="CCEEFF"/>
            <w:tcMar>
              <w:top w:w="30" w:type="dxa"/>
              <w:left w:w="20" w:type="dxa"/>
              <w:bottom w:w="30" w:type="dxa"/>
              <w:right w:w="20" w:type="dxa"/>
            </w:tcMar>
            <w:vAlign w:val="bottom"/>
            <w:hideMark/>
          </w:tcPr>
          <w:p w14:paraId="1AB9DAB7" w14:textId="77777777" w:rsidR="00000000" w:rsidRDefault="00EE5306">
            <w:pPr>
              <w:spacing w:after="100"/>
              <w:rPr>
                <w:rFonts w:eastAsia="Times New Roman"/>
              </w:rPr>
            </w:pPr>
            <w:r>
              <w:rPr>
                <w:rFonts w:eastAsia="Times New Roman"/>
                <w:color w:val="000000"/>
                <w:sz w:val="20"/>
                <w:szCs w:val="20"/>
              </w:rPr>
              <w:t>Nonvested at March 28, 2020</w:t>
            </w:r>
          </w:p>
        </w:tc>
        <w:tc>
          <w:tcPr>
            <w:tcW w:w="0" w:type="auto"/>
            <w:gridSpan w:val="3"/>
            <w:shd w:val="clear" w:color="auto" w:fill="CCEEFF"/>
            <w:tcMar>
              <w:top w:w="0" w:type="dxa"/>
              <w:left w:w="20" w:type="dxa"/>
              <w:bottom w:w="0" w:type="dxa"/>
              <w:right w:w="20" w:type="dxa"/>
            </w:tcMar>
            <w:vAlign w:val="center"/>
            <w:hideMark/>
          </w:tcPr>
          <w:p w14:paraId="67086F2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9E033D" w14:textId="77777777" w:rsidR="00000000" w:rsidRDefault="00EE5306">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4DEF189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F6C76"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40E4A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8FAE56" w14:textId="77777777" w:rsidR="00000000" w:rsidRDefault="00EE5306">
            <w:pPr>
              <w:spacing w:after="100"/>
              <w:jc w:val="right"/>
              <w:rPr>
                <w:rFonts w:eastAsia="Times New Roman"/>
              </w:rPr>
            </w:pPr>
            <w:r>
              <w:rPr>
                <w:rFonts w:eastAsia="Times New Roman"/>
                <w:color w:val="000000"/>
                <w:sz w:val="20"/>
                <w:szCs w:val="20"/>
              </w:rPr>
              <w:t>81.78 </w:t>
            </w:r>
          </w:p>
        </w:tc>
        <w:tc>
          <w:tcPr>
            <w:tcW w:w="0" w:type="auto"/>
            <w:shd w:val="clear" w:color="auto" w:fill="CCEEFF"/>
            <w:tcMar>
              <w:top w:w="30" w:type="dxa"/>
              <w:left w:w="0" w:type="dxa"/>
              <w:bottom w:w="30" w:type="dxa"/>
              <w:right w:w="20" w:type="dxa"/>
            </w:tcMar>
            <w:vAlign w:val="bottom"/>
            <w:hideMark/>
          </w:tcPr>
          <w:p w14:paraId="501FD56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AF18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201CAA" w14:textId="77777777" w:rsidR="00000000" w:rsidRDefault="00EE5306">
            <w:pPr>
              <w:spacing w:after="100"/>
              <w:jc w:val="right"/>
              <w:rPr>
                <w:rFonts w:eastAsia="Times New Roman"/>
              </w:rPr>
            </w:pPr>
            <w:r>
              <w:rPr>
                <w:rFonts w:eastAsia="Times New Roman"/>
                <w:color w:val="000000"/>
                <w:sz w:val="20"/>
                <w:szCs w:val="20"/>
              </w:rPr>
              <w:t>1,094 </w:t>
            </w:r>
          </w:p>
        </w:tc>
        <w:tc>
          <w:tcPr>
            <w:tcW w:w="0" w:type="auto"/>
            <w:shd w:val="clear" w:color="auto" w:fill="CCEEFF"/>
            <w:tcMar>
              <w:top w:w="30" w:type="dxa"/>
              <w:left w:w="0" w:type="dxa"/>
              <w:bottom w:w="30" w:type="dxa"/>
              <w:right w:w="20" w:type="dxa"/>
            </w:tcMar>
            <w:vAlign w:val="bottom"/>
            <w:hideMark/>
          </w:tcPr>
          <w:p w14:paraId="18F852C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CEF98"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D0566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8EE856" w14:textId="77777777" w:rsidR="00000000" w:rsidRDefault="00EE5306">
            <w:pPr>
              <w:spacing w:after="100"/>
              <w:jc w:val="right"/>
              <w:rPr>
                <w:rFonts w:eastAsia="Times New Roman"/>
              </w:rPr>
            </w:pPr>
            <w:r>
              <w:rPr>
                <w:rFonts w:eastAsia="Times New Roman"/>
                <w:color w:val="000000"/>
                <w:sz w:val="20"/>
                <w:szCs w:val="20"/>
              </w:rPr>
              <w:t>100.92 </w:t>
            </w:r>
          </w:p>
        </w:tc>
        <w:tc>
          <w:tcPr>
            <w:tcW w:w="0" w:type="auto"/>
            <w:shd w:val="clear" w:color="auto" w:fill="CCEEFF"/>
            <w:tcMar>
              <w:top w:w="30" w:type="dxa"/>
              <w:left w:w="0" w:type="dxa"/>
              <w:bottom w:w="30" w:type="dxa"/>
              <w:right w:w="20" w:type="dxa"/>
            </w:tcMar>
            <w:vAlign w:val="bottom"/>
            <w:hideMark/>
          </w:tcPr>
          <w:p w14:paraId="1A73F31A" w14:textId="77777777" w:rsidR="00000000" w:rsidRDefault="00EE5306">
            <w:pPr>
              <w:spacing w:after="100"/>
              <w:jc w:val="right"/>
              <w:rPr>
                <w:rFonts w:eastAsia="Times New Roman"/>
              </w:rPr>
            </w:pPr>
          </w:p>
        </w:tc>
      </w:tr>
      <w:tr w:rsidR="00000000" w14:paraId="10D1D126" w14:textId="77777777">
        <w:trPr>
          <w:divId w:val="1173759035"/>
        </w:trPr>
        <w:tc>
          <w:tcPr>
            <w:tcW w:w="0" w:type="auto"/>
            <w:gridSpan w:val="3"/>
            <w:shd w:val="clear" w:color="auto" w:fill="FFFFFF"/>
            <w:tcMar>
              <w:top w:w="30" w:type="dxa"/>
              <w:left w:w="155" w:type="dxa"/>
              <w:bottom w:w="30" w:type="dxa"/>
              <w:right w:w="20" w:type="dxa"/>
            </w:tcMar>
            <w:vAlign w:val="bottom"/>
            <w:hideMark/>
          </w:tcPr>
          <w:p w14:paraId="1454C59B" w14:textId="77777777" w:rsidR="00000000" w:rsidRDefault="00EE5306">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14:paraId="132D8C6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70DF27"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2DC5C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9C26F"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274CCF3" w14:textId="77777777" w:rsidR="00000000" w:rsidRDefault="00EE5306">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35E7820F" w14:textId="77777777" w:rsidR="00000000" w:rsidRDefault="00EE530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7555FD" w14:textId="77777777" w:rsidR="00000000" w:rsidRDefault="00EE5306">
            <w:pPr>
              <w:spacing w:after="100"/>
              <w:jc w:val="right"/>
              <w:rPr>
                <w:rFonts w:eastAsia="Times New Roman"/>
              </w:rPr>
            </w:pPr>
            <w:r>
              <w:rPr>
                <w:rFonts w:eastAsia="Times New Roman"/>
                <w:color w:val="000000"/>
                <w:sz w:val="20"/>
                <w:szCs w:val="20"/>
              </w:rPr>
              <w:t>1,351 </w:t>
            </w:r>
          </w:p>
        </w:tc>
        <w:tc>
          <w:tcPr>
            <w:tcW w:w="0" w:type="auto"/>
            <w:shd w:val="clear" w:color="auto" w:fill="FFFFFF"/>
            <w:tcMar>
              <w:top w:w="30" w:type="dxa"/>
              <w:left w:w="0" w:type="dxa"/>
              <w:bottom w:w="30" w:type="dxa"/>
              <w:right w:w="20" w:type="dxa"/>
            </w:tcMar>
            <w:vAlign w:val="bottom"/>
            <w:hideMark/>
          </w:tcPr>
          <w:p w14:paraId="69708AE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D780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42F358" w14:textId="77777777" w:rsidR="00000000" w:rsidRDefault="00EE5306">
            <w:pPr>
              <w:spacing w:after="100"/>
              <w:jc w:val="right"/>
              <w:rPr>
                <w:rFonts w:eastAsia="Times New Roman"/>
              </w:rPr>
            </w:pPr>
            <w:r>
              <w:rPr>
                <w:rFonts w:eastAsia="Times New Roman"/>
                <w:color w:val="000000"/>
                <w:sz w:val="20"/>
                <w:szCs w:val="20"/>
              </w:rPr>
              <w:t>64.55 </w:t>
            </w:r>
          </w:p>
        </w:tc>
        <w:tc>
          <w:tcPr>
            <w:tcW w:w="0" w:type="auto"/>
            <w:shd w:val="clear" w:color="auto" w:fill="FFFFFF"/>
            <w:tcMar>
              <w:top w:w="30" w:type="dxa"/>
              <w:left w:w="0" w:type="dxa"/>
              <w:bottom w:w="30" w:type="dxa"/>
              <w:right w:w="20" w:type="dxa"/>
            </w:tcMar>
            <w:vAlign w:val="bottom"/>
            <w:hideMark/>
          </w:tcPr>
          <w:p w14:paraId="3E7E5D65" w14:textId="77777777" w:rsidR="00000000" w:rsidRDefault="00EE5306">
            <w:pPr>
              <w:spacing w:after="100"/>
              <w:jc w:val="right"/>
              <w:rPr>
                <w:rFonts w:eastAsia="Times New Roman"/>
              </w:rPr>
            </w:pPr>
          </w:p>
        </w:tc>
      </w:tr>
      <w:tr w:rsidR="00000000" w14:paraId="15173E4B" w14:textId="77777777">
        <w:trPr>
          <w:divId w:val="1173759035"/>
        </w:trPr>
        <w:tc>
          <w:tcPr>
            <w:tcW w:w="0" w:type="auto"/>
            <w:gridSpan w:val="3"/>
            <w:shd w:val="clear" w:color="auto" w:fill="CCEEFF"/>
            <w:tcMar>
              <w:top w:w="30" w:type="dxa"/>
              <w:left w:w="155" w:type="dxa"/>
              <w:bottom w:w="30" w:type="dxa"/>
              <w:right w:w="20" w:type="dxa"/>
            </w:tcMar>
            <w:vAlign w:val="bottom"/>
            <w:hideMark/>
          </w:tcPr>
          <w:p w14:paraId="5C515008" w14:textId="77777777" w:rsidR="00000000" w:rsidRDefault="00EE5306">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14:paraId="367829B5"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E4E6B0" w14:textId="77777777" w:rsidR="00000000" w:rsidRDefault="00EE5306">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7A72B0E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A366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62A8B" w14:textId="77777777" w:rsidR="00000000" w:rsidRDefault="00EE5306">
            <w:pPr>
              <w:spacing w:after="100"/>
              <w:jc w:val="right"/>
              <w:rPr>
                <w:rFonts w:eastAsia="Times New Roman"/>
              </w:rPr>
            </w:pPr>
            <w:r>
              <w:rPr>
                <w:rFonts w:eastAsia="Times New Roman"/>
                <w:color w:val="000000"/>
                <w:sz w:val="20"/>
                <w:szCs w:val="20"/>
              </w:rPr>
              <w:t>81.78 </w:t>
            </w:r>
          </w:p>
        </w:tc>
        <w:tc>
          <w:tcPr>
            <w:tcW w:w="0" w:type="auto"/>
            <w:shd w:val="clear" w:color="auto" w:fill="CCEEFF"/>
            <w:tcMar>
              <w:top w:w="30" w:type="dxa"/>
              <w:left w:w="0" w:type="dxa"/>
              <w:bottom w:w="30" w:type="dxa"/>
              <w:right w:w="20" w:type="dxa"/>
            </w:tcMar>
            <w:vAlign w:val="bottom"/>
            <w:hideMark/>
          </w:tcPr>
          <w:p w14:paraId="759AEC8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704B8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0DA60D" w14:textId="77777777" w:rsidR="00000000" w:rsidRDefault="00EE5306">
            <w:pPr>
              <w:spacing w:after="100"/>
              <w:jc w:val="right"/>
              <w:rPr>
                <w:rFonts w:eastAsia="Times New Roman"/>
              </w:rPr>
            </w:pPr>
            <w:r>
              <w:rPr>
                <w:rFonts w:eastAsia="Times New Roman"/>
                <w:color w:val="000000"/>
                <w:sz w:val="20"/>
                <w:szCs w:val="20"/>
              </w:rPr>
              <w:t>(480)</w:t>
            </w:r>
          </w:p>
        </w:tc>
        <w:tc>
          <w:tcPr>
            <w:tcW w:w="0" w:type="auto"/>
            <w:shd w:val="clear" w:color="auto" w:fill="CCEEFF"/>
            <w:tcMar>
              <w:top w:w="30" w:type="dxa"/>
              <w:left w:w="0" w:type="dxa"/>
              <w:bottom w:w="30" w:type="dxa"/>
              <w:right w:w="20" w:type="dxa"/>
            </w:tcMar>
            <w:vAlign w:val="bottom"/>
            <w:hideMark/>
          </w:tcPr>
          <w:p w14:paraId="24A802D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0A0F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AC9898" w14:textId="77777777" w:rsidR="00000000" w:rsidRDefault="00EE5306">
            <w:pPr>
              <w:spacing w:after="100"/>
              <w:jc w:val="right"/>
              <w:rPr>
                <w:rFonts w:eastAsia="Times New Roman"/>
              </w:rPr>
            </w:pPr>
            <w:r>
              <w:rPr>
                <w:rFonts w:eastAsia="Times New Roman"/>
                <w:color w:val="000000"/>
                <w:sz w:val="20"/>
                <w:szCs w:val="20"/>
              </w:rPr>
              <w:t>94.95 </w:t>
            </w:r>
          </w:p>
        </w:tc>
        <w:tc>
          <w:tcPr>
            <w:tcW w:w="0" w:type="auto"/>
            <w:shd w:val="clear" w:color="auto" w:fill="CCEEFF"/>
            <w:tcMar>
              <w:top w:w="30" w:type="dxa"/>
              <w:left w:w="0" w:type="dxa"/>
              <w:bottom w:w="30" w:type="dxa"/>
              <w:right w:w="20" w:type="dxa"/>
            </w:tcMar>
            <w:vAlign w:val="bottom"/>
            <w:hideMark/>
          </w:tcPr>
          <w:p w14:paraId="7166F022" w14:textId="77777777" w:rsidR="00000000" w:rsidRDefault="00EE5306">
            <w:pPr>
              <w:spacing w:after="100"/>
              <w:jc w:val="right"/>
              <w:rPr>
                <w:rFonts w:eastAsia="Times New Roman"/>
              </w:rPr>
            </w:pPr>
          </w:p>
        </w:tc>
      </w:tr>
      <w:tr w:rsidR="00000000" w14:paraId="469F75ED" w14:textId="77777777">
        <w:trPr>
          <w:divId w:val="1173759035"/>
        </w:trPr>
        <w:tc>
          <w:tcPr>
            <w:tcW w:w="0" w:type="auto"/>
            <w:gridSpan w:val="3"/>
            <w:shd w:val="clear" w:color="auto" w:fill="FFFFFF"/>
            <w:tcMar>
              <w:top w:w="30" w:type="dxa"/>
              <w:left w:w="155" w:type="dxa"/>
              <w:bottom w:w="30" w:type="dxa"/>
              <w:right w:w="20" w:type="dxa"/>
            </w:tcMar>
            <w:vAlign w:val="bottom"/>
            <w:hideMark/>
          </w:tcPr>
          <w:p w14:paraId="37BD7320" w14:textId="77777777" w:rsidR="00000000" w:rsidRDefault="00EE5306">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14:paraId="79F66F15"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107E5F"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CD0B8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4128F8"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0CD7887" w14:textId="77777777" w:rsidR="00000000" w:rsidRDefault="00EE5306">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0595A2FF" w14:textId="77777777" w:rsidR="00000000" w:rsidRDefault="00EE530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9ABCD8" w14:textId="77777777" w:rsidR="00000000" w:rsidRDefault="00EE5306">
            <w:pPr>
              <w:spacing w:after="100"/>
              <w:jc w:val="right"/>
              <w:rPr>
                <w:rFonts w:eastAsia="Times New Roman"/>
              </w:rPr>
            </w:pPr>
            <w:r>
              <w:rPr>
                <w:rFonts w:eastAsia="Times New Roman"/>
                <w:color w:val="000000"/>
                <w:sz w:val="20"/>
                <w:szCs w:val="20"/>
              </w:rPr>
              <w:t>(156)</w:t>
            </w:r>
          </w:p>
        </w:tc>
        <w:tc>
          <w:tcPr>
            <w:tcW w:w="0" w:type="auto"/>
            <w:shd w:val="clear" w:color="auto" w:fill="FFFFFF"/>
            <w:tcMar>
              <w:top w:w="30" w:type="dxa"/>
              <w:left w:w="0" w:type="dxa"/>
              <w:bottom w:w="30" w:type="dxa"/>
              <w:right w:w="20" w:type="dxa"/>
            </w:tcMar>
            <w:vAlign w:val="bottom"/>
            <w:hideMark/>
          </w:tcPr>
          <w:p w14:paraId="434B8AC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6D14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665480" w14:textId="77777777" w:rsidR="00000000" w:rsidRDefault="00EE5306">
            <w:pPr>
              <w:spacing w:after="100"/>
              <w:jc w:val="right"/>
              <w:rPr>
                <w:rFonts w:eastAsia="Times New Roman"/>
              </w:rPr>
            </w:pPr>
            <w:r>
              <w:rPr>
                <w:rFonts w:eastAsia="Times New Roman"/>
                <w:color w:val="000000"/>
                <w:sz w:val="20"/>
                <w:szCs w:val="20"/>
              </w:rPr>
              <w:t>79.30 </w:t>
            </w:r>
          </w:p>
        </w:tc>
        <w:tc>
          <w:tcPr>
            <w:tcW w:w="0" w:type="auto"/>
            <w:shd w:val="clear" w:color="auto" w:fill="FFFFFF"/>
            <w:tcMar>
              <w:top w:w="30" w:type="dxa"/>
              <w:left w:w="0" w:type="dxa"/>
              <w:bottom w:w="30" w:type="dxa"/>
              <w:right w:w="20" w:type="dxa"/>
            </w:tcMar>
            <w:vAlign w:val="bottom"/>
            <w:hideMark/>
          </w:tcPr>
          <w:p w14:paraId="02C47A96" w14:textId="77777777" w:rsidR="00000000" w:rsidRDefault="00EE5306">
            <w:pPr>
              <w:spacing w:after="100"/>
              <w:jc w:val="right"/>
              <w:rPr>
                <w:rFonts w:eastAsia="Times New Roman"/>
              </w:rPr>
            </w:pPr>
          </w:p>
        </w:tc>
      </w:tr>
      <w:tr w:rsidR="00000000" w14:paraId="1432B69B" w14:textId="77777777">
        <w:trPr>
          <w:divId w:val="1173759035"/>
        </w:trPr>
        <w:tc>
          <w:tcPr>
            <w:tcW w:w="0" w:type="auto"/>
            <w:gridSpan w:val="3"/>
            <w:shd w:val="clear" w:color="auto" w:fill="CCEEFF"/>
            <w:tcMar>
              <w:top w:w="30" w:type="dxa"/>
              <w:left w:w="20" w:type="dxa"/>
              <w:bottom w:w="30" w:type="dxa"/>
              <w:right w:w="20" w:type="dxa"/>
            </w:tcMar>
            <w:vAlign w:val="bottom"/>
            <w:hideMark/>
          </w:tcPr>
          <w:p w14:paraId="6E7BF018" w14:textId="77777777" w:rsidR="00000000" w:rsidRDefault="00EE5306">
            <w:pPr>
              <w:spacing w:after="100"/>
              <w:rPr>
                <w:rFonts w:eastAsia="Times New Roman"/>
              </w:rPr>
            </w:pPr>
            <w:r>
              <w:rPr>
                <w:rFonts w:eastAsia="Times New Roman"/>
                <w:color w:val="000000"/>
                <w:sz w:val="20"/>
                <w:szCs w:val="20"/>
              </w:rPr>
              <w:t>Nonvested at March 27, 2021</w:t>
            </w:r>
          </w:p>
        </w:tc>
        <w:tc>
          <w:tcPr>
            <w:tcW w:w="0" w:type="auto"/>
            <w:gridSpan w:val="3"/>
            <w:shd w:val="clear" w:color="auto" w:fill="CCEEFF"/>
            <w:tcMar>
              <w:top w:w="0" w:type="dxa"/>
              <w:left w:w="20" w:type="dxa"/>
              <w:bottom w:w="0" w:type="dxa"/>
              <w:right w:w="20" w:type="dxa"/>
            </w:tcMar>
            <w:vAlign w:val="center"/>
            <w:hideMark/>
          </w:tcPr>
          <w:p w14:paraId="23B6C840"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2CF8B9" w14:textId="77777777" w:rsidR="00000000" w:rsidRDefault="00EE530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4E90E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98A2B"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1D6598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357BF1"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E0959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838F8" w14:textId="77777777" w:rsidR="00000000" w:rsidRDefault="00EE530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0E5DE1" w14:textId="77777777" w:rsidR="00000000" w:rsidRDefault="00EE5306">
            <w:pPr>
              <w:spacing w:after="100"/>
              <w:jc w:val="right"/>
              <w:rPr>
                <w:rFonts w:eastAsia="Times New Roman"/>
              </w:rPr>
            </w:pPr>
            <w:r>
              <w:rPr>
                <w:rFonts w:eastAsia="Times New Roman"/>
                <w:color w:val="000000"/>
                <w:sz w:val="20"/>
                <w:szCs w:val="20"/>
              </w:rPr>
              <w:t>1,809 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346E2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1EFAE"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04E48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C06569" w14:textId="77777777" w:rsidR="00000000" w:rsidRDefault="00EE5306">
            <w:pPr>
              <w:spacing w:after="100"/>
              <w:jc w:val="right"/>
              <w:rPr>
                <w:rFonts w:eastAsia="Times New Roman"/>
              </w:rPr>
            </w:pPr>
            <w:r>
              <w:rPr>
                <w:rFonts w:eastAsia="Times New Roman"/>
                <w:color w:val="000000"/>
                <w:sz w:val="20"/>
                <w:szCs w:val="20"/>
              </w:rPr>
              <w:t>77.20 </w:t>
            </w:r>
          </w:p>
        </w:tc>
        <w:tc>
          <w:tcPr>
            <w:tcW w:w="0" w:type="auto"/>
            <w:shd w:val="clear" w:color="auto" w:fill="CCEEFF"/>
            <w:tcMar>
              <w:top w:w="30" w:type="dxa"/>
              <w:left w:w="0" w:type="dxa"/>
              <w:bottom w:w="30" w:type="dxa"/>
              <w:right w:w="20" w:type="dxa"/>
            </w:tcMar>
            <w:vAlign w:val="bottom"/>
            <w:hideMark/>
          </w:tcPr>
          <w:p w14:paraId="44FF60D5" w14:textId="77777777" w:rsidR="00000000" w:rsidRDefault="00EE5306">
            <w:pPr>
              <w:spacing w:after="100"/>
              <w:jc w:val="right"/>
              <w:rPr>
                <w:rFonts w:eastAsia="Times New Roman"/>
              </w:rPr>
            </w:pPr>
          </w:p>
        </w:tc>
      </w:tr>
    </w:tbl>
    <w:tbl>
      <w:tblPr>
        <w:tblW w:w="4744" w:type="pct"/>
        <w:tblCellMar>
          <w:top w:w="15" w:type="dxa"/>
          <w:left w:w="15" w:type="dxa"/>
          <w:bottom w:w="15" w:type="dxa"/>
          <w:right w:w="15" w:type="dxa"/>
        </w:tblCellMar>
        <w:tblLook w:val="04A0" w:firstRow="1" w:lastRow="0" w:firstColumn="1" w:lastColumn="0" w:noHBand="0" w:noVBand="1"/>
      </w:tblPr>
      <w:tblGrid>
        <w:gridCol w:w="144"/>
        <w:gridCol w:w="4926"/>
        <w:gridCol w:w="144"/>
        <w:gridCol w:w="144"/>
        <w:gridCol w:w="144"/>
        <w:gridCol w:w="144"/>
        <w:gridCol w:w="144"/>
        <w:gridCol w:w="1284"/>
        <w:gridCol w:w="144"/>
        <w:gridCol w:w="144"/>
        <w:gridCol w:w="144"/>
        <w:gridCol w:w="144"/>
        <w:gridCol w:w="144"/>
        <w:gridCol w:w="1284"/>
        <w:gridCol w:w="144"/>
      </w:tblGrid>
      <w:tr w:rsidR="00000000" w14:paraId="764D8B13" w14:textId="77777777">
        <w:tc>
          <w:tcPr>
            <w:tcW w:w="50" w:type="pct"/>
            <w:vAlign w:val="center"/>
            <w:hideMark/>
          </w:tcPr>
          <w:p w14:paraId="78940902" w14:textId="77777777" w:rsidR="00000000" w:rsidRDefault="00EE5306">
            <w:pPr>
              <w:rPr>
                <w:rFonts w:eastAsia="Times New Roman"/>
              </w:rPr>
            </w:pPr>
          </w:p>
        </w:tc>
        <w:tc>
          <w:tcPr>
            <w:tcW w:w="3126" w:type="pct"/>
            <w:vAlign w:val="center"/>
            <w:hideMark/>
          </w:tcPr>
          <w:p w14:paraId="622A947A" w14:textId="77777777" w:rsidR="00000000" w:rsidRDefault="00EE5306">
            <w:pPr>
              <w:spacing w:after="100"/>
              <w:rPr>
                <w:rFonts w:eastAsia="Times New Roman"/>
                <w:sz w:val="20"/>
                <w:szCs w:val="20"/>
              </w:rPr>
            </w:pPr>
          </w:p>
        </w:tc>
        <w:tc>
          <w:tcPr>
            <w:tcW w:w="5" w:type="pct"/>
            <w:vAlign w:val="center"/>
            <w:hideMark/>
          </w:tcPr>
          <w:p w14:paraId="168EE4D0" w14:textId="77777777" w:rsidR="00000000" w:rsidRDefault="00EE5306">
            <w:pPr>
              <w:spacing w:after="100"/>
              <w:rPr>
                <w:rFonts w:eastAsia="Times New Roman"/>
                <w:sz w:val="20"/>
                <w:szCs w:val="20"/>
              </w:rPr>
            </w:pPr>
          </w:p>
        </w:tc>
        <w:tc>
          <w:tcPr>
            <w:tcW w:w="5" w:type="pct"/>
            <w:vAlign w:val="center"/>
            <w:hideMark/>
          </w:tcPr>
          <w:p w14:paraId="02ECC6E6" w14:textId="77777777" w:rsidR="00000000" w:rsidRDefault="00EE5306">
            <w:pPr>
              <w:spacing w:after="100"/>
              <w:rPr>
                <w:rFonts w:eastAsia="Times New Roman"/>
                <w:sz w:val="20"/>
                <w:szCs w:val="20"/>
              </w:rPr>
            </w:pPr>
          </w:p>
        </w:tc>
        <w:tc>
          <w:tcPr>
            <w:tcW w:w="28" w:type="pct"/>
            <w:vAlign w:val="center"/>
            <w:hideMark/>
          </w:tcPr>
          <w:p w14:paraId="50971608" w14:textId="77777777" w:rsidR="00000000" w:rsidRDefault="00EE5306">
            <w:pPr>
              <w:spacing w:after="100"/>
              <w:rPr>
                <w:rFonts w:eastAsia="Times New Roman"/>
                <w:sz w:val="20"/>
                <w:szCs w:val="20"/>
              </w:rPr>
            </w:pPr>
          </w:p>
        </w:tc>
        <w:tc>
          <w:tcPr>
            <w:tcW w:w="5" w:type="pct"/>
            <w:vAlign w:val="center"/>
            <w:hideMark/>
          </w:tcPr>
          <w:p w14:paraId="4F351EC1" w14:textId="77777777" w:rsidR="00000000" w:rsidRDefault="00EE5306">
            <w:pPr>
              <w:spacing w:after="100"/>
              <w:rPr>
                <w:rFonts w:eastAsia="Times New Roman"/>
                <w:sz w:val="20"/>
                <w:szCs w:val="20"/>
              </w:rPr>
            </w:pPr>
          </w:p>
        </w:tc>
        <w:tc>
          <w:tcPr>
            <w:tcW w:w="50" w:type="pct"/>
            <w:vAlign w:val="center"/>
            <w:hideMark/>
          </w:tcPr>
          <w:p w14:paraId="43E9A788" w14:textId="77777777" w:rsidR="00000000" w:rsidRDefault="00EE5306">
            <w:pPr>
              <w:spacing w:after="100"/>
              <w:rPr>
                <w:rFonts w:eastAsia="Times New Roman"/>
                <w:sz w:val="20"/>
                <w:szCs w:val="20"/>
              </w:rPr>
            </w:pPr>
          </w:p>
        </w:tc>
        <w:tc>
          <w:tcPr>
            <w:tcW w:w="815" w:type="pct"/>
            <w:vAlign w:val="center"/>
            <w:hideMark/>
          </w:tcPr>
          <w:p w14:paraId="75CCE8F1" w14:textId="77777777" w:rsidR="00000000" w:rsidRDefault="00EE5306">
            <w:pPr>
              <w:spacing w:after="100"/>
              <w:rPr>
                <w:rFonts w:eastAsia="Times New Roman"/>
                <w:sz w:val="20"/>
                <w:szCs w:val="20"/>
              </w:rPr>
            </w:pPr>
          </w:p>
        </w:tc>
        <w:tc>
          <w:tcPr>
            <w:tcW w:w="5" w:type="pct"/>
            <w:vAlign w:val="center"/>
            <w:hideMark/>
          </w:tcPr>
          <w:p w14:paraId="51114BE7" w14:textId="77777777" w:rsidR="00000000" w:rsidRDefault="00EE5306">
            <w:pPr>
              <w:spacing w:after="100"/>
              <w:rPr>
                <w:rFonts w:eastAsia="Times New Roman"/>
                <w:sz w:val="20"/>
                <w:szCs w:val="20"/>
              </w:rPr>
            </w:pPr>
          </w:p>
        </w:tc>
        <w:tc>
          <w:tcPr>
            <w:tcW w:w="5" w:type="pct"/>
            <w:vAlign w:val="center"/>
            <w:hideMark/>
          </w:tcPr>
          <w:p w14:paraId="1F99BB8E" w14:textId="77777777" w:rsidR="00000000" w:rsidRDefault="00EE5306">
            <w:pPr>
              <w:spacing w:after="100"/>
              <w:rPr>
                <w:rFonts w:eastAsia="Times New Roman"/>
                <w:sz w:val="20"/>
                <w:szCs w:val="20"/>
              </w:rPr>
            </w:pPr>
          </w:p>
        </w:tc>
        <w:tc>
          <w:tcPr>
            <w:tcW w:w="28" w:type="pct"/>
            <w:vAlign w:val="center"/>
            <w:hideMark/>
          </w:tcPr>
          <w:p w14:paraId="67BCF9DF" w14:textId="77777777" w:rsidR="00000000" w:rsidRDefault="00EE5306">
            <w:pPr>
              <w:spacing w:after="100"/>
              <w:rPr>
                <w:rFonts w:eastAsia="Times New Roman"/>
                <w:sz w:val="20"/>
                <w:szCs w:val="20"/>
              </w:rPr>
            </w:pPr>
          </w:p>
        </w:tc>
        <w:tc>
          <w:tcPr>
            <w:tcW w:w="5" w:type="pct"/>
            <w:vAlign w:val="center"/>
            <w:hideMark/>
          </w:tcPr>
          <w:p w14:paraId="57CABE32" w14:textId="77777777" w:rsidR="00000000" w:rsidRDefault="00EE5306">
            <w:pPr>
              <w:spacing w:after="100"/>
              <w:rPr>
                <w:rFonts w:eastAsia="Times New Roman"/>
                <w:sz w:val="20"/>
                <w:szCs w:val="20"/>
              </w:rPr>
            </w:pPr>
          </w:p>
        </w:tc>
        <w:tc>
          <w:tcPr>
            <w:tcW w:w="50" w:type="pct"/>
            <w:vAlign w:val="center"/>
            <w:hideMark/>
          </w:tcPr>
          <w:p w14:paraId="17EF6A5E" w14:textId="77777777" w:rsidR="00000000" w:rsidRDefault="00EE5306">
            <w:pPr>
              <w:spacing w:after="100"/>
              <w:rPr>
                <w:rFonts w:eastAsia="Times New Roman"/>
                <w:sz w:val="20"/>
                <w:szCs w:val="20"/>
              </w:rPr>
            </w:pPr>
          </w:p>
        </w:tc>
        <w:tc>
          <w:tcPr>
            <w:tcW w:w="815" w:type="pct"/>
            <w:vAlign w:val="center"/>
            <w:hideMark/>
          </w:tcPr>
          <w:p w14:paraId="56D068B2" w14:textId="77777777" w:rsidR="00000000" w:rsidRDefault="00EE5306">
            <w:pPr>
              <w:spacing w:after="100"/>
              <w:rPr>
                <w:rFonts w:eastAsia="Times New Roman"/>
                <w:sz w:val="20"/>
                <w:szCs w:val="20"/>
              </w:rPr>
            </w:pPr>
          </w:p>
        </w:tc>
        <w:tc>
          <w:tcPr>
            <w:tcW w:w="5" w:type="pct"/>
            <w:vAlign w:val="center"/>
            <w:hideMark/>
          </w:tcPr>
          <w:p w14:paraId="144D589F" w14:textId="77777777" w:rsidR="00000000" w:rsidRDefault="00EE5306">
            <w:pPr>
              <w:spacing w:after="100"/>
              <w:rPr>
                <w:rFonts w:eastAsia="Times New Roman"/>
                <w:sz w:val="20"/>
                <w:szCs w:val="20"/>
              </w:rPr>
            </w:pPr>
          </w:p>
        </w:tc>
      </w:tr>
      <w:tr w:rsidR="00000000" w14:paraId="5E487D7A" w14:textId="77777777">
        <w:tc>
          <w:tcPr>
            <w:tcW w:w="0" w:type="auto"/>
            <w:gridSpan w:val="3"/>
            <w:tcMar>
              <w:top w:w="0" w:type="dxa"/>
              <w:left w:w="20" w:type="dxa"/>
              <w:bottom w:w="0" w:type="dxa"/>
              <w:right w:w="20" w:type="dxa"/>
            </w:tcMar>
            <w:vAlign w:val="center"/>
            <w:hideMark/>
          </w:tcPr>
          <w:p w14:paraId="17DD4467"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95D77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78DFD3" w14:textId="77777777" w:rsidR="00000000" w:rsidRDefault="00EE5306">
            <w:pPr>
              <w:spacing w:after="100"/>
              <w:jc w:val="center"/>
              <w:rPr>
                <w:rFonts w:eastAsia="Times New Roman"/>
              </w:rPr>
            </w:pPr>
            <w:r>
              <w:rPr>
                <w:rFonts w:eastAsia="Times New Roman"/>
                <w:b/>
                <w:bCs/>
                <w:color w:val="000000"/>
                <w:sz w:val="16"/>
                <w:szCs w:val="16"/>
              </w:rPr>
              <w:t>Restricted</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14:paraId="392FA6CD"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1ED7C4" w14:textId="77777777" w:rsidR="00000000" w:rsidRDefault="00EE5306">
            <w:pPr>
              <w:spacing w:after="100"/>
              <w:jc w:val="center"/>
              <w:rPr>
                <w:rFonts w:eastAsia="Times New Roman"/>
              </w:rPr>
            </w:pPr>
            <w:r>
              <w:rPr>
                <w:rFonts w:eastAsia="Times New Roman"/>
                <w:b/>
                <w:bCs/>
                <w:color w:val="000000"/>
                <w:sz w:val="16"/>
                <w:szCs w:val="16"/>
              </w:rPr>
              <w:t>Service-</w:t>
            </w:r>
            <w:r>
              <w:rPr>
                <w:rFonts w:eastAsia="Times New Roman"/>
                <w:b/>
                <w:bCs/>
                <w:color w:val="000000"/>
                <w:sz w:val="16"/>
                <w:szCs w:val="16"/>
              </w:rPr>
              <w:br/>
              <w:t>based RSUs</w:t>
            </w:r>
          </w:p>
        </w:tc>
      </w:tr>
      <w:tr w:rsidR="00000000" w14:paraId="0FCDE2A3" w14:textId="77777777">
        <w:tc>
          <w:tcPr>
            <w:tcW w:w="0" w:type="auto"/>
            <w:gridSpan w:val="3"/>
            <w:shd w:val="clear" w:color="auto" w:fill="CCEEFF"/>
            <w:tcMar>
              <w:top w:w="30" w:type="dxa"/>
              <w:left w:w="20" w:type="dxa"/>
              <w:bottom w:w="30" w:type="dxa"/>
              <w:right w:w="20" w:type="dxa"/>
            </w:tcMar>
            <w:vAlign w:val="bottom"/>
            <w:hideMark/>
          </w:tcPr>
          <w:p w14:paraId="1E029427" w14:textId="77777777" w:rsidR="00000000" w:rsidRDefault="00EE5306">
            <w:pPr>
              <w:spacing w:after="100"/>
              <w:rPr>
                <w:rFonts w:eastAsia="Times New Roman"/>
              </w:rPr>
            </w:pPr>
            <w:r>
              <w:rPr>
                <w:rFonts w:eastAsia="Times New Roman"/>
                <w:color w:val="000000"/>
                <w:sz w:val="20"/>
                <w:szCs w:val="20"/>
              </w:rPr>
              <w:t>Total unrecognized compensation expense at March 27, 2021 (millions)</w:t>
            </w:r>
          </w:p>
        </w:tc>
        <w:tc>
          <w:tcPr>
            <w:tcW w:w="0" w:type="auto"/>
            <w:gridSpan w:val="3"/>
            <w:shd w:val="clear" w:color="auto" w:fill="CCEEFF"/>
            <w:tcMar>
              <w:top w:w="0" w:type="dxa"/>
              <w:left w:w="20" w:type="dxa"/>
              <w:bottom w:w="0" w:type="dxa"/>
              <w:right w:w="20" w:type="dxa"/>
            </w:tcMar>
            <w:vAlign w:val="center"/>
            <w:hideMark/>
          </w:tcPr>
          <w:p w14:paraId="63FA660C" w14:textId="77777777" w:rsidR="00000000" w:rsidRDefault="00EE530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29B7F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8293BC" w14:textId="77777777" w:rsidR="00000000" w:rsidRDefault="00EE530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6A5E7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642BB" w14:textId="77777777" w:rsidR="00000000" w:rsidRDefault="00EE530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2B01C9"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F04D9D" w14:textId="77777777" w:rsidR="00000000" w:rsidRDefault="00EE5306">
            <w:pPr>
              <w:spacing w:after="100"/>
              <w:jc w:val="right"/>
              <w:rPr>
                <w:rFonts w:eastAsia="Times New Roman"/>
              </w:rPr>
            </w:pPr>
            <w:r>
              <w:rPr>
                <w:rFonts w:eastAsia="Times New Roman"/>
                <w:color w:val="000000"/>
                <w:sz w:val="20"/>
                <w:szCs w:val="20"/>
              </w:rPr>
              <w:t>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DE78D2" w14:textId="77777777" w:rsidR="00000000" w:rsidRDefault="00EE5306">
            <w:pPr>
              <w:spacing w:after="100"/>
              <w:jc w:val="right"/>
              <w:rPr>
                <w:rFonts w:eastAsia="Times New Roman"/>
              </w:rPr>
            </w:pPr>
          </w:p>
        </w:tc>
      </w:tr>
      <w:tr w:rsidR="00000000" w14:paraId="6033A605" w14:textId="77777777">
        <w:tc>
          <w:tcPr>
            <w:tcW w:w="0" w:type="auto"/>
            <w:gridSpan w:val="3"/>
            <w:shd w:val="clear" w:color="auto" w:fill="FFFFFF"/>
            <w:tcMar>
              <w:top w:w="30" w:type="dxa"/>
              <w:left w:w="20" w:type="dxa"/>
              <w:bottom w:w="30" w:type="dxa"/>
              <w:right w:w="20" w:type="dxa"/>
            </w:tcMar>
            <w:vAlign w:val="bottom"/>
            <w:hideMark/>
          </w:tcPr>
          <w:p w14:paraId="687C5297" w14:textId="77777777" w:rsidR="00000000" w:rsidRDefault="00EE5306">
            <w:pPr>
              <w:spacing w:after="100"/>
              <w:rPr>
                <w:rFonts w:eastAsia="Times New Roman"/>
              </w:rPr>
            </w:pPr>
            <w:r>
              <w:rPr>
                <w:rFonts w:eastAsia="Times New Roman"/>
                <w:color w:val="000000"/>
                <w:sz w:val="20"/>
                <w:szCs w:val="20"/>
              </w:rPr>
              <w:t>Weighted-average period expected to be recognized over (years)</w:t>
            </w:r>
          </w:p>
        </w:tc>
        <w:tc>
          <w:tcPr>
            <w:tcW w:w="0" w:type="auto"/>
            <w:gridSpan w:val="3"/>
            <w:shd w:val="clear" w:color="auto" w:fill="FFFFFF"/>
            <w:tcMar>
              <w:top w:w="0" w:type="dxa"/>
              <w:left w:w="20" w:type="dxa"/>
              <w:bottom w:w="0" w:type="dxa"/>
              <w:right w:w="20" w:type="dxa"/>
            </w:tcMar>
            <w:vAlign w:val="center"/>
            <w:hideMark/>
          </w:tcPr>
          <w:p w14:paraId="047960B9"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F8041F8" w14:textId="77777777" w:rsidR="00000000" w:rsidRDefault="00EE5306">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366F99BE" w14:textId="77777777" w:rsidR="00000000" w:rsidRDefault="00EE530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69CEE9" w14:textId="77777777" w:rsidR="00000000" w:rsidRDefault="00EE5306">
            <w:pPr>
              <w:spacing w:after="100"/>
              <w:jc w:val="right"/>
              <w:rPr>
                <w:rFonts w:eastAsia="Times New Roman"/>
              </w:rPr>
            </w:pPr>
            <w:r>
              <w:rPr>
                <w:rFonts w:eastAsia="Times New Roman"/>
                <w:color w:val="000000"/>
                <w:sz w:val="20"/>
                <w:szCs w:val="20"/>
              </w:rPr>
              <w:t>1.7</w:t>
            </w:r>
          </w:p>
        </w:tc>
      </w:tr>
    </w:tbl>
    <w:p w14:paraId="387504E1" w14:textId="77777777" w:rsidR="00000000" w:rsidRDefault="00EE5306">
      <w:pPr>
        <w:ind w:firstLine="540"/>
        <w:jc w:val="both"/>
        <w:divId w:val="1341077472"/>
        <w:rPr>
          <w:rFonts w:eastAsia="Times New Roman"/>
        </w:rPr>
      </w:pPr>
      <w:r>
        <w:rPr>
          <w:rFonts w:eastAsia="Times New Roman"/>
          <w:color w:val="000000"/>
          <w:sz w:val="20"/>
          <w:szCs w:val="20"/>
        </w:rPr>
        <w:t>Additional information pertaining to restricted stock and service-based RSU activity is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14:paraId="59E9846B" w14:textId="77777777">
        <w:trPr>
          <w:divId w:val="1039359473"/>
        </w:trPr>
        <w:tc>
          <w:tcPr>
            <w:tcW w:w="50" w:type="pct"/>
            <w:vAlign w:val="center"/>
            <w:hideMark/>
          </w:tcPr>
          <w:p w14:paraId="7C48F743" w14:textId="77777777" w:rsidR="00000000" w:rsidRDefault="00EE5306">
            <w:pPr>
              <w:ind w:firstLine="540"/>
              <w:jc w:val="both"/>
              <w:rPr>
                <w:rFonts w:eastAsia="Times New Roman"/>
              </w:rPr>
            </w:pPr>
          </w:p>
        </w:tc>
        <w:tc>
          <w:tcPr>
            <w:tcW w:w="2510" w:type="pct"/>
            <w:vAlign w:val="center"/>
            <w:hideMark/>
          </w:tcPr>
          <w:p w14:paraId="1642C924" w14:textId="77777777" w:rsidR="00000000" w:rsidRDefault="00EE5306">
            <w:pPr>
              <w:spacing w:after="100"/>
              <w:rPr>
                <w:rFonts w:eastAsia="Times New Roman"/>
                <w:sz w:val="20"/>
                <w:szCs w:val="20"/>
              </w:rPr>
            </w:pPr>
          </w:p>
        </w:tc>
        <w:tc>
          <w:tcPr>
            <w:tcW w:w="5" w:type="pct"/>
            <w:vAlign w:val="center"/>
            <w:hideMark/>
          </w:tcPr>
          <w:p w14:paraId="1B2B310A" w14:textId="77777777" w:rsidR="00000000" w:rsidRDefault="00EE5306">
            <w:pPr>
              <w:spacing w:after="100"/>
              <w:rPr>
                <w:rFonts w:eastAsia="Times New Roman"/>
                <w:sz w:val="20"/>
                <w:szCs w:val="20"/>
              </w:rPr>
            </w:pPr>
          </w:p>
        </w:tc>
        <w:tc>
          <w:tcPr>
            <w:tcW w:w="5" w:type="pct"/>
            <w:vAlign w:val="center"/>
            <w:hideMark/>
          </w:tcPr>
          <w:p w14:paraId="630500A2" w14:textId="77777777" w:rsidR="00000000" w:rsidRDefault="00EE5306">
            <w:pPr>
              <w:spacing w:after="100"/>
              <w:rPr>
                <w:rFonts w:eastAsia="Times New Roman"/>
                <w:sz w:val="20"/>
                <w:szCs w:val="20"/>
              </w:rPr>
            </w:pPr>
          </w:p>
        </w:tc>
        <w:tc>
          <w:tcPr>
            <w:tcW w:w="28" w:type="pct"/>
            <w:vAlign w:val="center"/>
            <w:hideMark/>
          </w:tcPr>
          <w:p w14:paraId="51F622F0" w14:textId="77777777" w:rsidR="00000000" w:rsidRDefault="00EE5306">
            <w:pPr>
              <w:spacing w:after="100"/>
              <w:rPr>
                <w:rFonts w:eastAsia="Times New Roman"/>
                <w:sz w:val="20"/>
                <w:szCs w:val="20"/>
              </w:rPr>
            </w:pPr>
          </w:p>
        </w:tc>
        <w:tc>
          <w:tcPr>
            <w:tcW w:w="5" w:type="pct"/>
            <w:vAlign w:val="center"/>
            <w:hideMark/>
          </w:tcPr>
          <w:p w14:paraId="6AA73417" w14:textId="77777777" w:rsidR="00000000" w:rsidRDefault="00EE5306">
            <w:pPr>
              <w:spacing w:after="100"/>
              <w:rPr>
                <w:rFonts w:eastAsia="Times New Roman"/>
                <w:sz w:val="20"/>
                <w:szCs w:val="20"/>
              </w:rPr>
            </w:pPr>
          </w:p>
        </w:tc>
        <w:tc>
          <w:tcPr>
            <w:tcW w:w="50" w:type="pct"/>
            <w:vAlign w:val="center"/>
            <w:hideMark/>
          </w:tcPr>
          <w:p w14:paraId="2B864D91" w14:textId="77777777" w:rsidR="00000000" w:rsidRDefault="00EE5306">
            <w:pPr>
              <w:spacing w:after="100"/>
              <w:rPr>
                <w:rFonts w:eastAsia="Times New Roman"/>
                <w:sz w:val="20"/>
                <w:szCs w:val="20"/>
              </w:rPr>
            </w:pPr>
          </w:p>
        </w:tc>
        <w:tc>
          <w:tcPr>
            <w:tcW w:w="717" w:type="pct"/>
            <w:vAlign w:val="center"/>
            <w:hideMark/>
          </w:tcPr>
          <w:p w14:paraId="5A5A8D24" w14:textId="77777777" w:rsidR="00000000" w:rsidRDefault="00EE5306">
            <w:pPr>
              <w:spacing w:after="100"/>
              <w:rPr>
                <w:rFonts w:eastAsia="Times New Roman"/>
                <w:sz w:val="20"/>
                <w:szCs w:val="20"/>
              </w:rPr>
            </w:pPr>
          </w:p>
        </w:tc>
        <w:tc>
          <w:tcPr>
            <w:tcW w:w="5" w:type="pct"/>
            <w:vAlign w:val="center"/>
            <w:hideMark/>
          </w:tcPr>
          <w:p w14:paraId="5EE57345" w14:textId="77777777" w:rsidR="00000000" w:rsidRDefault="00EE5306">
            <w:pPr>
              <w:spacing w:after="100"/>
              <w:rPr>
                <w:rFonts w:eastAsia="Times New Roman"/>
                <w:sz w:val="20"/>
                <w:szCs w:val="20"/>
              </w:rPr>
            </w:pPr>
          </w:p>
        </w:tc>
        <w:tc>
          <w:tcPr>
            <w:tcW w:w="5" w:type="pct"/>
            <w:vAlign w:val="center"/>
            <w:hideMark/>
          </w:tcPr>
          <w:p w14:paraId="23840C10" w14:textId="77777777" w:rsidR="00000000" w:rsidRDefault="00EE5306">
            <w:pPr>
              <w:spacing w:after="100"/>
              <w:rPr>
                <w:rFonts w:eastAsia="Times New Roman"/>
                <w:sz w:val="20"/>
                <w:szCs w:val="20"/>
              </w:rPr>
            </w:pPr>
          </w:p>
        </w:tc>
        <w:tc>
          <w:tcPr>
            <w:tcW w:w="28" w:type="pct"/>
            <w:vAlign w:val="center"/>
            <w:hideMark/>
          </w:tcPr>
          <w:p w14:paraId="1BCF8E2B" w14:textId="77777777" w:rsidR="00000000" w:rsidRDefault="00EE5306">
            <w:pPr>
              <w:spacing w:after="100"/>
              <w:rPr>
                <w:rFonts w:eastAsia="Times New Roman"/>
                <w:sz w:val="20"/>
                <w:szCs w:val="20"/>
              </w:rPr>
            </w:pPr>
          </w:p>
        </w:tc>
        <w:tc>
          <w:tcPr>
            <w:tcW w:w="5" w:type="pct"/>
            <w:vAlign w:val="center"/>
            <w:hideMark/>
          </w:tcPr>
          <w:p w14:paraId="048DBE9F" w14:textId="77777777" w:rsidR="00000000" w:rsidRDefault="00EE5306">
            <w:pPr>
              <w:spacing w:after="100"/>
              <w:rPr>
                <w:rFonts w:eastAsia="Times New Roman"/>
                <w:sz w:val="20"/>
                <w:szCs w:val="20"/>
              </w:rPr>
            </w:pPr>
          </w:p>
        </w:tc>
        <w:tc>
          <w:tcPr>
            <w:tcW w:w="50" w:type="pct"/>
            <w:vAlign w:val="center"/>
            <w:hideMark/>
          </w:tcPr>
          <w:p w14:paraId="4CD699AD" w14:textId="77777777" w:rsidR="00000000" w:rsidRDefault="00EE5306">
            <w:pPr>
              <w:spacing w:after="100"/>
              <w:rPr>
                <w:rFonts w:eastAsia="Times New Roman"/>
                <w:sz w:val="20"/>
                <w:szCs w:val="20"/>
              </w:rPr>
            </w:pPr>
          </w:p>
        </w:tc>
        <w:tc>
          <w:tcPr>
            <w:tcW w:w="717" w:type="pct"/>
            <w:vAlign w:val="center"/>
            <w:hideMark/>
          </w:tcPr>
          <w:p w14:paraId="5FD2595D" w14:textId="77777777" w:rsidR="00000000" w:rsidRDefault="00EE5306">
            <w:pPr>
              <w:spacing w:after="100"/>
              <w:rPr>
                <w:rFonts w:eastAsia="Times New Roman"/>
                <w:sz w:val="20"/>
                <w:szCs w:val="20"/>
              </w:rPr>
            </w:pPr>
          </w:p>
        </w:tc>
        <w:tc>
          <w:tcPr>
            <w:tcW w:w="5" w:type="pct"/>
            <w:vAlign w:val="center"/>
            <w:hideMark/>
          </w:tcPr>
          <w:p w14:paraId="23BB249F" w14:textId="77777777" w:rsidR="00000000" w:rsidRDefault="00EE5306">
            <w:pPr>
              <w:spacing w:after="100"/>
              <w:rPr>
                <w:rFonts w:eastAsia="Times New Roman"/>
                <w:sz w:val="20"/>
                <w:szCs w:val="20"/>
              </w:rPr>
            </w:pPr>
          </w:p>
        </w:tc>
        <w:tc>
          <w:tcPr>
            <w:tcW w:w="5" w:type="pct"/>
            <w:vAlign w:val="center"/>
            <w:hideMark/>
          </w:tcPr>
          <w:p w14:paraId="5D78A773" w14:textId="77777777" w:rsidR="00000000" w:rsidRDefault="00EE5306">
            <w:pPr>
              <w:spacing w:after="100"/>
              <w:rPr>
                <w:rFonts w:eastAsia="Times New Roman"/>
                <w:sz w:val="20"/>
                <w:szCs w:val="20"/>
              </w:rPr>
            </w:pPr>
          </w:p>
        </w:tc>
        <w:tc>
          <w:tcPr>
            <w:tcW w:w="28" w:type="pct"/>
            <w:vAlign w:val="center"/>
            <w:hideMark/>
          </w:tcPr>
          <w:p w14:paraId="78BCCFC0" w14:textId="77777777" w:rsidR="00000000" w:rsidRDefault="00EE5306">
            <w:pPr>
              <w:spacing w:after="100"/>
              <w:rPr>
                <w:rFonts w:eastAsia="Times New Roman"/>
                <w:sz w:val="20"/>
                <w:szCs w:val="20"/>
              </w:rPr>
            </w:pPr>
          </w:p>
        </w:tc>
        <w:tc>
          <w:tcPr>
            <w:tcW w:w="5" w:type="pct"/>
            <w:vAlign w:val="center"/>
            <w:hideMark/>
          </w:tcPr>
          <w:p w14:paraId="7E7AE4F1" w14:textId="77777777" w:rsidR="00000000" w:rsidRDefault="00EE5306">
            <w:pPr>
              <w:spacing w:after="100"/>
              <w:rPr>
                <w:rFonts w:eastAsia="Times New Roman"/>
                <w:sz w:val="20"/>
                <w:szCs w:val="20"/>
              </w:rPr>
            </w:pPr>
          </w:p>
        </w:tc>
        <w:tc>
          <w:tcPr>
            <w:tcW w:w="50" w:type="pct"/>
            <w:vAlign w:val="center"/>
            <w:hideMark/>
          </w:tcPr>
          <w:p w14:paraId="4BADFCD8" w14:textId="77777777" w:rsidR="00000000" w:rsidRDefault="00EE5306">
            <w:pPr>
              <w:spacing w:after="100"/>
              <w:rPr>
                <w:rFonts w:eastAsia="Times New Roman"/>
                <w:sz w:val="20"/>
                <w:szCs w:val="20"/>
              </w:rPr>
            </w:pPr>
          </w:p>
        </w:tc>
        <w:tc>
          <w:tcPr>
            <w:tcW w:w="718" w:type="pct"/>
            <w:vAlign w:val="center"/>
            <w:hideMark/>
          </w:tcPr>
          <w:p w14:paraId="6CC9B7B8" w14:textId="77777777" w:rsidR="00000000" w:rsidRDefault="00EE5306">
            <w:pPr>
              <w:spacing w:after="100"/>
              <w:rPr>
                <w:rFonts w:eastAsia="Times New Roman"/>
                <w:sz w:val="20"/>
                <w:szCs w:val="20"/>
              </w:rPr>
            </w:pPr>
          </w:p>
        </w:tc>
        <w:tc>
          <w:tcPr>
            <w:tcW w:w="5" w:type="pct"/>
            <w:vAlign w:val="center"/>
            <w:hideMark/>
          </w:tcPr>
          <w:p w14:paraId="1199F21A" w14:textId="77777777" w:rsidR="00000000" w:rsidRDefault="00EE5306">
            <w:pPr>
              <w:spacing w:after="100"/>
              <w:rPr>
                <w:rFonts w:eastAsia="Times New Roman"/>
                <w:sz w:val="20"/>
                <w:szCs w:val="20"/>
              </w:rPr>
            </w:pPr>
          </w:p>
        </w:tc>
      </w:tr>
      <w:tr w:rsidR="00000000" w14:paraId="73B8D89E" w14:textId="77777777">
        <w:trPr>
          <w:divId w:val="1039359473"/>
        </w:trPr>
        <w:tc>
          <w:tcPr>
            <w:tcW w:w="0" w:type="auto"/>
            <w:gridSpan w:val="3"/>
            <w:tcMar>
              <w:top w:w="30" w:type="dxa"/>
              <w:left w:w="20" w:type="dxa"/>
              <w:bottom w:w="30" w:type="dxa"/>
              <w:right w:w="20" w:type="dxa"/>
            </w:tcMar>
            <w:vAlign w:val="bottom"/>
            <w:hideMark/>
          </w:tcPr>
          <w:p w14:paraId="6E89E6D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B68D9FC"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407F6E57"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05C8E5B4" w14:textId="77777777">
        <w:trPr>
          <w:divId w:val="1039359473"/>
        </w:trPr>
        <w:tc>
          <w:tcPr>
            <w:tcW w:w="0" w:type="auto"/>
            <w:gridSpan w:val="3"/>
            <w:tcMar>
              <w:top w:w="30" w:type="dxa"/>
              <w:left w:w="20" w:type="dxa"/>
              <w:bottom w:w="30" w:type="dxa"/>
              <w:right w:w="20" w:type="dxa"/>
            </w:tcMar>
            <w:vAlign w:val="bottom"/>
            <w:hideMark/>
          </w:tcPr>
          <w:p w14:paraId="155B1D8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387E4A8"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5BF877"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657DB9A"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906BD9"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368659EB"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347066"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61415796" w14:textId="77777777">
        <w:trPr>
          <w:divId w:val="1039359473"/>
        </w:trPr>
        <w:tc>
          <w:tcPr>
            <w:tcW w:w="0" w:type="auto"/>
            <w:gridSpan w:val="3"/>
            <w:shd w:val="clear" w:color="auto" w:fill="CCEEFF"/>
            <w:tcMar>
              <w:top w:w="30" w:type="dxa"/>
              <w:left w:w="20" w:type="dxa"/>
              <w:bottom w:w="30" w:type="dxa"/>
              <w:right w:w="20" w:type="dxa"/>
            </w:tcMar>
            <w:vAlign w:val="bottom"/>
            <w:hideMark/>
          </w:tcPr>
          <w:p w14:paraId="0720EC68" w14:textId="77777777" w:rsidR="00000000" w:rsidRDefault="00EE5306">
            <w:pPr>
              <w:spacing w:after="100"/>
              <w:rPr>
                <w:rFonts w:eastAsia="Times New Roman"/>
              </w:rPr>
            </w:pPr>
            <w:r>
              <w:rPr>
                <w:rFonts w:eastAsia="Times New Roman"/>
                <w:i/>
                <w:iCs/>
                <w:color w:val="000000"/>
                <w:sz w:val="20"/>
                <w:szCs w:val="20"/>
              </w:rPr>
              <w:t>Restricted Stock:</w:t>
            </w:r>
          </w:p>
        </w:tc>
        <w:tc>
          <w:tcPr>
            <w:tcW w:w="0" w:type="auto"/>
            <w:gridSpan w:val="3"/>
            <w:shd w:val="clear" w:color="auto" w:fill="CCEEFF"/>
            <w:tcMar>
              <w:top w:w="0" w:type="dxa"/>
              <w:left w:w="20" w:type="dxa"/>
              <w:bottom w:w="0" w:type="dxa"/>
              <w:right w:w="20" w:type="dxa"/>
            </w:tcMar>
            <w:vAlign w:val="center"/>
            <w:hideMark/>
          </w:tcPr>
          <w:p w14:paraId="151A063C"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6DE4F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F5C845"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10F88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1B1774"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5F90C4" w14:textId="77777777" w:rsidR="00000000" w:rsidRDefault="00EE5306">
            <w:pPr>
              <w:spacing w:after="100"/>
              <w:rPr>
                <w:rFonts w:eastAsia="Times New Roman"/>
                <w:sz w:val="20"/>
                <w:szCs w:val="20"/>
              </w:rPr>
            </w:pPr>
          </w:p>
        </w:tc>
      </w:tr>
      <w:tr w:rsidR="00000000" w14:paraId="6AC29D8E" w14:textId="77777777">
        <w:trPr>
          <w:divId w:val="1039359473"/>
        </w:trPr>
        <w:tc>
          <w:tcPr>
            <w:tcW w:w="0" w:type="auto"/>
            <w:gridSpan w:val="3"/>
            <w:shd w:val="clear" w:color="auto" w:fill="FFFFFF"/>
            <w:tcMar>
              <w:top w:w="30" w:type="dxa"/>
              <w:left w:w="155" w:type="dxa"/>
              <w:bottom w:w="30" w:type="dxa"/>
              <w:right w:w="20" w:type="dxa"/>
            </w:tcMar>
            <w:vAlign w:val="bottom"/>
            <w:hideMark/>
          </w:tcPr>
          <w:p w14:paraId="22CA1206" w14:textId="77777777" w:rsidR="00000000" w:rsidRDefault="00EE5306">
            <w:pPr>
              <w:spacing w:after="100"/>
              <w:rPr>
                <w:rFonts w:eastAsia="Times New Roman"/>
              </w:rPr>
            </w:pPr>
            <w:r>
              <w:rPr>
                <w:rFonts w:eastAsia="Times New Roman"/>
                <w:color w:val="000000"/>
                <w:sz w:val="20"/>
                <w:szCs w:val="20"/>
              </w:rPr>
              <w:t>Weighted-average grant date fair value of awards granted</w:t>
            </w:r>
          </w:p>
        </w:tc>
        <w:tc>
          <w:tcPr>
            <w:tcW w:w="0" w:type="auto"/>
            <w:gridSpan w:val="3"/>
            <w:shd w:val="clear" w:color="auto" w:fill="FFFFFF"/>
            <w:tcMar>
              <w:top w:w="0" w:type="dxa"/>
              <w:left w:w="20" w:type="dxa"/>
              <w:bottom w:w="0" w:type="dxa"/>
              <w:right w:w="20" w:type="dxa"/>
            </w:tcMar>
            <w:vAlign w:val="center"/>
            <w:hideMark/>
          </w:tcPr>
          <w:p w14:paraId="3D2245AC"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6D7BAFD" w14:textId="77777777" w:rsidR="00000000" w:rsidRDefault="00EE5306">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7D2D5E23" w14:textId="77777777" w:rsidR="00000000" w:rsidRDefault="00EE530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08169F0" w14:textId="77777777" w:rsidR="00000000" w:rsidRDefault="00EE5306">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0FC9F488" w14:textId="77777777" w:rsidR="00000000" w:rsidRDefault="00EE530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B6BECD" w14:textId="77777777" w:rsidR="00000000" w:rsidRDefault="00EE5306">
            <w:pPr>
              <w:spacing w:after="100"/>
              <w:jc w:val="right"/>
              <w:rPr>
                <w:rFonts w:eastAsia="Times New Roman"/>
              </w:rPr>
            </w:pPr>
            <w:r>
              <w:rPr>
                <w:rFonts w:eastAsia="Times New Roman"/>
                <w:color w:val="000000"/>
                <w:sz w:val="20"/>
                <w:szCs w:val="20"/>
              </w:rPr>
              <w:t>N/A</w:t>
            </w:r>
          </w:p>
        </w:tc>
      </w:tr>
      <w:tr w:rsidR="00000000" w14:paraId="428040D3" w14:textId="77777777">
        <w:trPr>
          <w:divId w:val="1039359473"/>
        </w:trPr>
        <w:tc>
          <w:tcPr>
            <w:tcW w:w="0" w:type="auto"/>
            <w:gridSpan w:val="3"/>
            <w:shd w:val="clear" w:color="auto" w:fill="CCEEFF"/>
            <w:tcMar>
              <w:top w:w="30" w:type="dxa"/>
              <w:left w:w="155" w:type="dxa"/>
              <w:bottom w:w="30" w:type="dxa"/>
              <w:right w:w="20" w:type="dxa"/>
            </w:tcMar>
            <w:vAlign w:val="bottom"/>
            <w:hideMark/>
          </w:tcPr>
          <w:p w14:paraId="47233DAE" w14:textId="77777777" w:rsidR="00000000" w:rsidRDefault="00EE5306">
            <w:pPr>
              <w:spacing w:after="100"/>
              <w:rPr>
                <w:rFonts w:eastAsia="Times New Roman"/>
              </w:rPr>
            </w:pPr>
            <w:r>
              <w:rPr>
                <w:rFonts w:eastAsia="Times New Roman"/>
                <w:color w:val="000000"/>
                <w:sz w:val="20"/>
                <w:szCs w:val="20"/>
              </w:rPr>
              <w:t>Total fair value of awards vested (millions)</w:t>
            </w:r>
          </w:p>
        </w:tc>
        <w:tc>
          <w:tcPr>
            <w:tcW w:w="0" w:type="auto"/>
            <w:gridSpan w:val="3"/>
            <w:shd w:val="clear" w:color="auto" w:fill="CCEEFF"/>
            <w:tcMar>
              <w:top w:w="0" w:type="dxa"/>
              <w:left w:w="20" w:type="dxa"/>
              <w:bottom w:w="0" w:type="dxa"/>
              <w:right w:w="20" w:type="dxa"/>
            </w:tcMar>
            <w:vAlign w:val="center"/>
            <w:hideMark/>
          </w:tcPr>
          <w:p w14:paraId="2E022809"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3C6A35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75BBD8" w14:textId="77777777" w:rsidR="00000000" w:rsidRDefault="00EE5306">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14:paraId="3DB4028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172DF"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30A49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26E497" w14:textId="77777777" w:rsidR="00000000" w:rsidRDefault="00EE5306">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14:paraId="3F1C1D0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20A14"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99831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481EA4" w14:textId="77777777" w:rsidR="00000000" w:rsidRDefault="00EE5306">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3ECC6660" w14:textId="77777777" w:rsidR="00000000" w:rsidRDefault="00EE5306">
            <w:pPr>
              <w:spacing w:after="100"/>
              <w:jc w:val="right"/>
              <w:rPr>
                <w:rFonts w:eastAsia="Times New Roman"/>
              </w:rPr>
            </w:pPr>
          </w:p>
        </w:tc>
      </w:tr>
      <w:tr w:rsidR="00000000" w14:paraId="6F097FFB" w14:textId="77777777">
        <w:trPr>
          <w:divId w:val="1039359473"/>
        </w:trPr>
        <w:tc>
          <w:tcPr>
            <w:tcW w:w="0" w:type="auto"/>
            <w:gridSpan w:val="3"/>
            <w:shd w:val="clear" w:color="auto" w:fill="FFFFFF"/>
            <w:tcMar>
              <w:top w:w="30" w:type="dxa"/>
              <w:left w:w="20" w:type="dxa"/>
              <w:bottom w:w="30" w:type="dxa"/>
              <w:right w:w="20" w:type="dxa"/>
            </w:tcMar>
            <w:vAlign w:val="bottom"/>
            <w:hideMark/>
          </w:tcPr>
          <w:p w14:paraId="4D43B139" w14:textId="77777777" w:rsidR="00000000" w:rsidRDefault="00EE5306">
            <w:pPr>
              <w:spacing w:after="100"/>
              <w:rPr>
                <w:rFonts w:eastAsia="Times New Roman"/>
              </w:rPr>
            </w:pPr>
            <w:r>
              <w:rPr>
                <w:rFonts w:eastAsia="Times New Roman"/>
                <w:i/>
                <w:iCs/>
                <w:color w:val="000000"/>
                <w:sz w:val="20"/>
                <w:szCs w:val="20"/>
              </w:rPr>
              <w:t>Service-based RSUs:</w:t>
            </w:r>
          </w:p>
        </w:tc>
        <w:tc>
          <w:tcPr>
            <w:tcW w:w="0" w:type="auto"/>
            <w:gridSpan w:val="3"/>
            <w:shd w:val="clear" w:color="auto" w:fill="FFFFFF"/>
            <w:tcMar>
              <w:top w:w="0" w:type="dxa"/>
              <w:left w:w="20" w:type="dxa"/>
              <w:bottom w:w="0" w:type="dxa"/>
              <w:right w:w="20" w:type="dxa"/>
            </w:tcMar>
            <w:vAlign w:val="center"/>
            <w:hideMark/>
          </w:tcPr>
          <w:p w14:paraId="38F2B7FE" w14:textId="77777777" w:rsidR="00000000" w:rsidRDefault="00EE530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94E6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91E264"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A704C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6EEFE2"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F55D4F" w14:textId="77777777" w:rsidR="00000000" w:rsidRDefault="00EE5306">
            <w:pPr>
              <w:spacing w:after="100"/>
              <w:rPr>
                <w:rFonts w:eastAsia="Times New Roman"/>
                <w:sz w:val="20"/>
                <w:szCs w:val="20"/>
              </w:rPr>
            </w:pPr>
          </w:p>
        </w:tc>
      </w:tr>
      <w:tr w:rsidR="00000000" w14:paraId="215589A9" w14:textId="77777777">
        <w:trPr>
          <w:divId w:val="1039359473"/>
        </w:trPr>
        <w:tc>
          <w:tcPr>
            <w:tcW w:w="0" w:type="auto"/>
            <w:gridSpan w:val="3"/>
            <w:shd w:val="clear" w:color="auto" w:fill="CCEEFF"/>
            <w:tcMar>
              <w:top w:w="30" w:type="dxa"/>
              <w:left w:w="155" w:type="dxa"/>
              <w:bottom w:w="30" w:type="dxa"/>
              <w:right w:w="20" w:type="dxa"/>
            </w:tcMar>
            <w:vAlign w:val="bottom"/>
            <w:hideMark/>
          </w:tcPr>
          <w:p w14:paraId="5A7FA9AE" w14:textId="77777777" w:rsidR="00000000" w:rsidRDefault="00EE5306">
            <w:pPr>
              <w:spacing w:after="100"/>
              <w:rPr>
                <w:rFonts w:eastAsia="Times New Roman"/>
              </w:rPr>
            </w:pPr>
            <w:r>
              <w:rPr>
                <w:rFonts w:eastAsia="Times New Roman"/>
                <w:color w:val="000000"/>
                <w:sz w:val="20"/>
                <w:szCs w:val="20"/>
              </w:rPr>
              <w:t>Weighted-average grant date fair value of awards granted</w:t>
            </w:r>
          </w:p>
        </w:tc>
        <w:tc>
          <w:tcPr>
            <w:tcW w:w="0" w:type="auto"/>
            <w:gridSpan w:val="3"/>
            <w:shd w:val="clear" w:color="auto" w:fill="CCEEFF"/>
            <w:tcMar>
              <w:top w:w="0" w:type="dxa"/>
              <w:left w:w="20" w:type="dxa"/>
              <w:bottom w:w="0" w:type="dxa"/>
              <w:right w:w="20" w:type="dxa"/>
            </w:tcMar>
            <w:vAlign w:val="center"/>
            <w:hideMark/>
          </w:tcPr>
          <w:p w14:paraId="6E9D6ED2"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8B15CB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3F683F" w14:textId="77777777" w:rsidR="00000000" w:rsidRDefault="00EE5306">
            <w:pPr>
              <w:spacing w:after="100"/>
              <w:jc w:val="right"/>
              <w:rPr>
                <w:rFonts w:eastAsia="Times New Roman"/>
              </w:rPr>
            </w:pPr>
            <w:r>
              <w:rPr>
                <w:rFonts w:eastAsia="Times New Roman"/>
                <w:color w:val="000000"/>
                <w:sz w:val="20"/>
                <w:szCs w:val="20"/>
              </w:rPr>
              <w:t>64.55 </w:t>
            </w:r>
          </w:p>
        </w:tc>
        <w:tc>
          <w:tcPr>
            <w:tcW w:w="0" w:type="auto"/>
            <w:shd w:val="clear" w:color="auto" w:fill="CCEEFF"/>
            <w:tcMar>
              <w:top w:w="30" w:type="dxa"/>
              <w:left w:w="0" w:type="dxa"/>
              <w:bottom w:w="30" w:type="dxa"/>
              <w:right w:w="20" w:type="dxa"/>
            </w:tcMar>
            <w:vAlign w:val="bottom"/>
            <w:hideMark/>
          </w:tcPr>
          <w:p w14:paraId="168F0B7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767CA"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15738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FD8590" w14:textId="77777777" w:rsidR="00000000" w:rsidRDefault="00EE5306">
            <w:pPr>
              <w:spacing w:after="100"/>
              <w:jc w:val="right"/>
              <w:rPr>
                <w:rFonts w:eastAsia="Times New Roman"/>
              </w:rPr>
            </w:pPr>
            <w:r>
              <w:rPr>
                <w:rFonts w:eastAsia="Times New Roman"/>
                <w:color w:val="000000"/>
                <w:sz w:val="20"/>
                <w:szCs w:val="20"/>
              </w:rPr>
              <w:t>102.27 </w:t>
            </w:r>
          </w:p>
        </w:tc>
        <w:tc>
          <w:tcPr>
            <w:tcW w:w="0" w:type="auto"/>
            <w:shd w:val="clear" w:color="auto" w:fill="CCEEFF"/>
            <w:tcMar>
              <w:top w:w="30" w:type="dxa"/>
              <w:left w:w="0" w:type="dxa"/>
              <w:bottom w:w="30" w:type="dxa"/>
              <w:right w:w="20" w:type="dxa"/>
            </w:tcMar>
            <w:vAlign w:val="bottom"/>
            <w:hideMark/>
          </w:tcPr>
          <w:p w14:paraId="3CF9D3D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06938"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11773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165138" w14:textId="77777777" w:rsidR="00000000" w:rsidRDefault="00EE5306">
            <w:pPr>
              <w:spacing w:after="100"/>
              <w:jc w:val="right"/>
              <w:rPr>
                <w:rFonts w:eastAsia="Times New Roman"/>
              </w:rPr>
            </w:pPr>
            <w:r>
              <w:rPr>
                <w:rFonts w:eastAsia="Times New Roman"/>
                <w:color w:val="000000"/>
                <w:sz w:val="20"/>
                <w:szCs w:val="20"/>
              </w:rPr>
              <w:t>113.38 </w:t>
            </w:r>
          </w:p>
        </w:tc>
        <w:tc>
          <w:tcPr>
            <w:tcW w:w="0" w:type="auto"/>
            <w:shd w:val="clear" w:color="auto" w:fill="CCEEFF"/>
            <w:tcMar>
              <w:top w:w="30" w:type="dxa"/>
              <w:left w:w="0" w:type="dxa"/>
              <w:bottom w:w="30" w:type="dxa"/>
              <w:right w:w="20" w:type="dxa"/>
            </w:tcMar>
            <w:vAlign w:val="bottom"/>
            <w:hideMark/>
          </w:tcPr>
          <w:p w14:paraId="2D369096" w14:textId="77777777" w:rsidR="00000000" w:rsidRDefault="00EE5306">
            <w:pPr>
              <w:spacing w:after="100"/>
              <w:jc w:val="right"/>
              <w:rPr>
                <w:rFonts w:eastAsia="Times New Roman"/>
              </w:rPr>
            </w:pPr>
          </w:p>
        </w:tc>
      </w:tr>
      <w:tr w:rsidR="00000000" w14:paraId="3A6FF425" w14:textId="77777777">
        <w:trPr>
          <w:divId w:val="1039359473"/>
        </w:trPr>
        <w:tc>
          <w:tcPr>
            <w:tcW w:w="0" w:type="auto"/>
            <w:gridSpan w:val="3"/>
            <w:shd w:val="clear" w:color="auto" w:fill="FFFFFF"/>
            <w:tcMar>
              <w:top w:w="30" w:type="dxa"/>
              <w:left w:w="155" w:type="dxa"/>
              <w:bottom w:w="30" w:type="dxa"/>
              <w:right w:w="20" w:type="dxa"/>
            </w:tcMar>
            <w:vAlign w:val="bottom"/>
            <w:hideMark/>
          </w:tcPr>
          <w:p w14:paraId="698EE797" w14:textId="77777777" w:rsidR="00000000" w:rsidRDefault="00EE5306">
            <w:pPr>
              <w:spacing w:after="100"/>
              <w:rPr>
                <w:rFonts w:eastAsia="Times New Roman"/>
              </w:rPr>
            </w:pPr>
            <w:r>
              <w:rPr>
                <w:rFonts w:eastAsia="Times New Roman"/>
                <w:color w:val="000000"/>
                <w:sz w:val="20"/>
                <w:szCs w:val="20"/>
              </w:rPr>
              <w:t>Total fair value of awards vested (millions)</w:t>
            </w:r>
          </w:p>
        </w:tc>
        <w:tc>
          <w:tcPr>
            <w:tcW w:w="0" w:type="auto"/>
            <w:gridSpan w:val="3"/>
            <w:shd w:val="clear" w:color="auto" w:fill="FFFFFF"/>
            <w:tcMar>
              <w:top w:w="0" w:type="dxa"/>
              <w:left w:w="20" w:type="dxa"/>
              <w:bottom w:w="0" w:type="dxa"/>
              <w:right w:w="20" w:type="dxa"/>
            </w:tcMar>
            <w:vAlign w:val="center"/>
            <w:hideMark/>
          </w:tcPr>
          <w:p w14:paraId="2A578BD6"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B9C4D8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5659FB" w14:textId="77777777" w:rsidR="00000000" w:rsidRDefault="00EE5306">
            <w:pPr>
              <w:spacing w:after="100"/>
              <w:jc w:val="right"/>
              <w:rPr>
                <w:rFonts w:eastAsia="Times New Roman"/>
              </w:rPr>
            </w:pPr>
            <w:r>
              <w:rPr>
                <w:rFonts w:eastAsia="Times New Roman"/>
                <w:color w:val="000000"/>
                <w:sz w:val="20"/>
                <w:szCs w:val="20"/>
              </w:rPr>
              <w:t>33.4 </w:t>
            </w:r>
          </w:p>
        </w:tc>
        <w:tc>
          <w:tcPr>
            <w:tcW w:w="0" w:type="auto"/>
            <w:shd w:val="clear" w:color="auto" w:fill="FFFFFF"/>
            <w:tcMar>
              <w:top w:w="30" w:type="dxa"/>
              <w:left w:w="0" w:type="dxa"/>
              <w:bottom w:w="30" w:type="dxa"/>
              <w:right w:w="20" w:type="dxa"/>
            </w:tcMar>
            <w:vAlign w:val="bottom"/>
            <w:hideMark/>
          </w:tcPr>
          <w:p w14:paraId="29C6BF7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AAE994"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CFADF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5145A7" w14:textId="77777777" w:rsidR="00000000" w:rsidRDefault="00EE5306">
            <w:pPr>
              <w:spacing w:after="100"/>
              <w:jc w:val="right"/>
              <w:rPr>
                <w:rFonts w:eastAsia="Times New Roman"/>
              </w:rPr>
            </w:pPr>
            <w:r>
              <w:rPr>
                <w:rFonts w:eastAsia="Times New Roman"/>
                <w:color w:val="000000"/>
                <w:sz w:val="20"/>
                <w:szCs w:val="20"/>
              </w:rPr>
              <w:t>52.5 </w:t>
            </w:r>
          </w:p>
        </w:tc>
        <w:tc>
          <w:tcPr>
            <w:tcW w:w="0" w:type="auto"/>
            <w:shd w:val="clear" w:color="auto" w:fill="FFFFFF"/>
            <w:tcMar>
              <w:top w:w="30" w:type="dxa"/>
              <w:left w:w="0" w:type="dxa"/>
              <w:bottom w:w="30" w:type="dxa"/>
              <w:right w:w="20" w:type="dxa"/>
            </w:tcMar>
            <w:vAlign w:val="bottom"/>
            <w:hideMark/>
          </w:tcPr>
          <w:p w14:paraId="71E9F39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335647"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81BB0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6F1088F" w14:textId="77777777" w:rsidR="00000000" w:rsidRDefault="00EE5306">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77E229F1" w14:textId="77777777" w:rsidR="00000000" w:rsidRDefault="00EE5306">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7ACC2CA4" w14:textId="77777777">
        <w:trPr>
          <w:jc w:val="center"/>
        </w:trPr>
        <w:tc>
          <w:tcPr>
            <w:tcW w:w="50" w:type="pct"/>
            <w:vAlign w:val="center"/>
            <w:hideMark/>
          </w:tcPr>
          <w:p w14:paraId="73F5F100" w14:textId="77777777" w:rsidR="00000000" w:rsidRDefault="00EE5306">
            <w:pPr>
              <w:rPr>
                <w:rFonts w:eastAsia="Times New Roman"/>
              </w:rPr>
            </w:pPr>
          </w:p>
        </w:tc>
        <w:tc>
          <w:tcPr>
            <w:tcW w:w="1699" w:type="pct"/>
            <w:vAlign w:val="center"/>
            <w:hideMark/>
          </w:tcPr>
          <w:p w14:paraId="3D2B8ABB" w14:textId="77777777" w:rsidR="00000000" w:rsidRDefault="00EE5306">
            <w:pPr>
              <w:spacing w:after="100"/>
              <w:rPr>
                <w:rFonts w:eastAsia="Times New Roman"/>
                <w:sz w:val="20"/>
                <w:szCs w:val="20"/>
              </w:rPr>
            </w:pPr>
          </w:p>
        </w:tc>
        <w:tc>
          <w:tcPr>
            <w:tcW w:w="5" w:type="pct"/>
            <w:vAlign w:val="center"/>
            <w:hideMark/>
          </w:tcPr>
          <w:p w14:paraId="4A75F9FB" w14:textId="77777777" w:rsidR="00000000" w:rsidRDefault="00EE5306">
            <w:pPr>
              <w:spacing w:after="100"/>
              <w:rPr>
                <w:rFonts w:eastAsia="Times New Roman"/>
                <w:sz w:val="20"/>
                <w:szCs w:val="20"/>
              </w:rPr>
            </w:pPr>
          </w:p>
        </w:tc>
        <w:tc>
          <w:tcPr>
            <w:tcW w:w="50" w:type="pct"/>
            <w:vAlign w:val="center"/>
            <w:hideMark/>
          </w:tcPr>
          <w:p w14:paraId="2B03E80E" w14:textId="77777777" w:rsidR="00000000" w:rsidRDefault="00EE5306">
            <w:pPr>
              <w:spacing w:after="100"/>
              <w:rPr>
                <w:rFonts w:eastAsia="Times New Roman"/>
                <w:sz w:val="20"/>
                <w:szCs w:val="20"/>
              </w:rPr>
            </w:pPr>
          </w:p>
        </w:tc>
        <w:tc>
          <w:tcPr>
            <w:tcW w:w="1436" w:type="pct"/>
            <w:vAlign w:val="center"/>
            <w:hideMark/>
          </w:tcPr>
          <w:p w14:paraId="4FEA1AB5" w14:textId="77777777" w:rsidR="00000000" w:rsidRDefault="00EE5306">
            <w:pPr>
              <w:spacing w:after="100"/>
              <w:rPr>
                <w:rFonts w:eastAsia="Times New Roman"/>
                <w:sz w:val="20"/>
                <w:szCs w:val="20"/>
              </w:rPr>
            </w:pPr>
          </w:p>
        </w:tc>
        <w:tc>
          <w:tcPr>
            <w:tcW w:w="5" w:type="pct"/>
            <w:vAlign w:val="center"/>
            <w:hideMark/>
          </w:tcPr>
          <w:p w14:paraId="630F5F61" w14:textId="77777777" w:rsidR="00000000" w:rsidRDefault="00EE5306">
            <w:pPr>
              <w:spacing w:after="100"/>
              <w:rPr>
                <w:rFonts w:eastAsia="Times New Roman"/>
                <w:sz w:val="20"/>
                <w:szCs w:val="20"/>
              </w:rPr>
            </w:pPr>
          </w:p>
        </w:tc>
        <w:tc>
          <w:tcPr>
            <w:tcW w:w="50" w:type="pct"/>
            <w:vAlign w:val="center"/>
            <w:hideMark/>
          </w:tcPr>
          <w:p w14:paraId="5FCAECF8" w14:textId="77777777" w:rsidR="00000000" w:rsidRDefault="00EE5306">
            <w:pPr>
              <w:spacing w:after="100"/>
              <w:rPr>
                <w:rFonts w:eastAsia="Times New Roman"/>
                <w:sz w:val="20"/>
                <w:szCs w:val="20"/>
              </w:rPr>
            </w:pPr>
          </w:p>
        </w:tc>
        <w:tc>
          <w:tcPr>
            <w:tcW w:w="1699" w:type="pct"/>
            <w:vAlign w:val="center"/>
            <w:hideMark/>
          </w:tcPr>
          <w:p w14:paraId="06F1D30B" w14:textId="77777777" w:rsidR="00000000" w:rsidRDefault="00EE5306">
            <w:pPr>
              <w:spacing w:after="100"/>
              <w:rPr>
                <w:rFonts w:eastAsia="Times New Roman"/>
                <w:sz w:val="20"/>
                <w:szCs w:val="20"/>
              </w:rPr>
            </w:pPr>
          </w:p>
        </w:tc>
        <w:tc>
          <w:tcPr>
            <w:tcW w:w="5" w:type="pct"/>
            <w:vAlign w:val="center"/>
            <w:hideMark/>
          </w:tcPr>
          <w:p w14:paraId="063A0486" w14:textId="77777777" w:rsidR="00000000" w:rsidRDefault="00EE5306">
            <w:pPr>
              <w:spacing w:after="100"/>
              <w:rPr>
                <w:rFonts w:eastAsia="Times New Roman"/>
                <w:sz w:val="20"/>
                <w:szCs w:val="20"/>
              </w:rPr>
            </w:pPr>
          </w:p>
        </w:tc>
      </w:tr>
      <w:tr w:rsidR="00000000" w14:paraId="787DC7DC" w14:textId="77777777">
        <w:trPr>
          <w:jc w:val="center"/>
        </w:trPr>
        <w:tc>
          <w:tcPr>
            <w:tcW w:w="0" w:type="auto"/>
            <w:gridSpan w:val="3"/>
            <w:tcMar>
              <w:top w:w="0" w:type="dxa"/>
              <w:left w:w="20" w:type="dxa"/>
              <w:bottom w:w="0" w:type="dxa"/>
              <w:right w:w="20" w:type="dxa"/>
            </w:tcMar>
            <w:vAlign w:val="center"/>
            <w:hideMark/>
          </w:tcPr>
          <w:p w14:paraId="05D996F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781B0FE" w14:textId="77777777" w:rsidR="00000000" w:rsidRDefault="00EE5306">
            <w:pPr>
              <w:spacing w:after="100"/>
              <w:jc w:val="center"/>
              <w:rPr>
                <w:rFonts w:eastAsia="Times New Roman"/>
              </w:rPr>
            </w:pPr>
            <w:r>
              <w:rPr>
                <w:rFonts w:eastAsia="Times New Roman"/>
                <w:color w:val="000000"/>
                <w:sz w:val="20"/>
                <w:szCs w:val="20"/>
              </w:rPr>
              <w:t>F-48</w:t>
            </w:r>
          </w:p>
        </w:tc>
        <w:tc>
          <w:tcPr>
            <w:tcW w:w="0" w:type="auto"/>
            <w:gridSpan w:val="3"/>
            <w:tcMar>
              <w:top w:w="0" w:type="dxa"/>
              <w:left w:w="20" w:type="dxa"/>
              <w:bottom w:w="0" w:type="dxa"/>
              <w:right w:w="20" w:type="dxa"/>
            </w:tcMar>
            <w:vAlign w:val="center"/>
            <w:hideMark/>
          </w:tcPr>
          <w:p w14:paraId="156FAE48" w14:textId="77777777" w:rsidR="00000000" w:rsidRDefault="00EE5306">
            <w:pPr>
              <w:spacing w:after="100"/>
              <w:jc w:val="center"/>
              <w:rPr>
                <w:rFonts w:eastAsia="Times New Roman"/>
              </w:rPr>
            </w:pPr>
          </w:p>
        </w:tc>
      </w:tr>
    </w:tbl>
    <w:p w14:paraId="0C693C9C" w14:textId="77777777" w:rsidR="00000000" w:rsidRDefault="00EE5306">
      <w:pPr>
        <w:rPr>
          <w:rFonts w:eastAsia="Times New Roman"/>
        </w:rPr>
      </w:pPr>
      <w:r>
        <w:rPr>
          <w:rFonts w:eastAsia="Times New Roman"/>
        </w:rPr>
        <w:pict w14:anchorId="3FD19E55">
          <v:rect id="_x0000_i1158" style="width:0;height:1.5pt" o:hralign="center" o:hrstd="t" o:hr="t" fillcolor="#a0a0a0" stroked="f"/>
        </w:pict>
      </w:r>
    </w:p>
    <w:p w14:paraId="3C46DF8C" w14:textId="77777777" w:rsidR="00000000" w:rsidRDefault="00EE5306">
      <w:pPr>
        <w:jc w:val="center"/>
        <w:divId w:val="1849756870"/>
        <w:rPr>
          <w:rFonts w:eastAsia="Times New Roman"/>
        </w:rPr>
      </w:pPr>
    </w:p>
    <w:p w14:paraId="05FAE484" w14:textId="77777777" w:rsidR="00000000" w:rsidRDefault="00EE5306">
      <w:pPr>
        <w:jc w:val="center"/>
        <w:divId w:val="1849756870"/>
        <w:rPr>
          <w:rFonts w:eastAsia="Times New Roman"/>
        </w:rPr>
      </w:pPr>
      <w:r>
        <w:rPr>
          <w:rFonts w:eastAsia="Times New Roman"/>
          <w:b/>
          <w:bCs/>
          <w:color w:val="000000"/>
          <w:sz w:val="20"/>
          <w:szCs w:val="20"/>
        </w:rPr>
        <w:t>RALPH LAUREN CORPORATION</w:t>
      </w:r>
    </w:p>
    <w:p w14:paraId="051D4997" w14:textId="77777777" w:rsidR="00000000" w:rsidRDefault="00EE5306">
      <w:pPr>
        <w:jc w:val="center"/>
        <w:divId w:val="474878370"/>
        <w:rPr>
          <w:rFonts w:eastAsia="Times New Roman"/>
        </w:rPr>
      </w:pPr>
      <w:r>
        <w:rPr>
          <w:rFonts w:eastAsia="Times New Roman"/>
          <w:b/>
          <w:bCs/>
          <w:color w:val="000000"/>
          <w:sz w:val="20"/>
          <w:szCs w:val="20"/>
        </w:rPr>
        <w:t>NOTES TO CONSOLIDATED FINANCIAL STATEMENTS (Continued)</w:t>
      </w:r>
    </w:p>
    <w:p w14:paraId="4F9CCAB8" w14:textId="77777777" w:rsidR="00000000" w:rsidRDefault="00EE5306">
      <w:pPr>
        <w:ind w:firstLine="360"/>
        <w:jc w:val="both"/>
        <w:divId w:val="466092993"/>
        <w:rPr>
          <w:rFonts w:eastAsia="Times New Roman"/>
        </w:rPr>
      </w:pPr>
      <w:r>
        <w:rPr>
          <w:rFonts w:eastAsia="Times New Roman"/>
          <w:b/>
          <w:bCs/>
          <w:i/>
          <w:iCs/>
          <w:color w:val="000000"/>
          <w:sz w:val="20"/>
          <w:szCs w:val="20"/>
        </w:rPr>
        <w:t>Performance-based RSUs</w:t>
      </w:r>
    </w:p>
    <w:p w14:paraId="4D19DCC5" w14:textId="77777777" w:rsidR="00000000" w:rsidRDefault="00EE5306">
      <w:pPr>
        <w:ind w:firstLine="540"/>
        <w:jc w:val="both"/>
        <w:divId w:val="432357322"/>
        <w:rPr>
          <w:rFonts w:eastAsia="Times New Roman"/>
        </w:rPr>
      </w:pPr>
      <w:r>
        <w:rPr>
          <w:rFonts w:eastAsia="Times New Roman"/>
          <w:color w:val="000000"/>
          <w:sz w:val="20"/>
          <w:szCs w:val="20"/>
        </w:rPr>
        <w:t>The Company grants performance-based RSUs to its senior executives and other key employees. The fair values of perf</w:t>
      </w:r>
      <w:r>
        <w:rPr>
          <w:rFonts w:eastAsia="Times New Roman"/>
          <w:color w:val="000000"/>
          <w:sz w:val="20"/>
          <w:szCs w:val="20"/>
        </w:rPr>
        <w:t>ormance-based RSUs are based on the fair value of the Company's Class A common stock on the date of grant, adjusted to reflect the absence of dividends for any awards for which dividend equivalent amounts do not accrue while outstanding and unvested. Perfo</w:t>
      </w:r>
      <w:r>
        <w:rPr>
          <w:rFonts w:eastAsia="Times New Roman"/>
          <w:color w:val="000000"/>
          <w:sz w:val="20"/>
          <w:szCs w:val="20"/>
        </w:rPr>
        <w:t>rmance-based RSUs generally vest (i) upon the completion of a three-year period of time (cliff vesting), subject to the employee's continuing employment (except for awards granted to retirement-eligible employees, or employees who become retirement-eligibl</w:t>
      </w:r>
      <w:r>
        <w:rPr>
          <w:rFonts w:eastAsia="Times New Roman"/>
          <w:color w:val="000000"/>
          <w:sz w:val="20"/>
          <w:szCs w:val="20"/>
        </w:rPr>
        <w:t>e prior to the end of the awards' respective stated vesting periods, as previously discussed) and the Company's achievement of certain performance goals established at the beginning of the three-year performance period or (ii) ratably, over a three-year pe</w:t>
      </w:r>
      <w:r>
        <w:rPr>
          <w:rFonts w:eastAsia="Times New Roman"/>
          <w:color w:val="000000"/>
          <w:sz w:val="20"/>
          <w:szCs w:val="20"/>
        </w:rPr>
        <w:t>riod of time (graded vesting), subject to the employee's continuing employment during the applicable vesting period (except for awards granted to retirement-eligible employees, or employees who become retirement-eligible prior to the end of the awards' res</w:t>
      </w:r>
      <w:r>
        <w:rPr>
          <w:rFonts w:eastAsia="Times New Roman"/>
          <w:color w:val="000000"/>
          <w:sz w:val="20"/>
          <w:szCs w:val="20"/>
        </w:rPr>
        <w:t>pective stated vesting periods, as previously discussed) and the achievement by the Company of certain performance goals in the initial year of the three-year vesting period.</w:t>
      </w:r>
    </w:p>
    <w:p w14:paraId="743748EE" w14:textId="77777777" w:rsidR="00000000" w:rsidRDefault="00EE5306">
      <w:pPr>
        <w:ind w:firstLine="540"/>
        <w:jc w:val="both"/>
        <w:divId w:val="1388652110"/>
        <w:rPr>
          <w:rFonts w:eastAsia="Times New Roman"/>
        </w:rPr>
      </w:pPr>
      <w:r>
        <w:rPr>
          <w:rFonts w:eastAsia="Times New Roman"/>
          <w:color w:val="000000"/>
          <w:sz w:val="20"/>
          <w:szCs w:val="20"/>
        </w:rPr>
        <w:t>For performance-based RSUs subject to cliff vesting, beginning with grants in Fis</w:t>
      </w:r>
      <w:r>
        <w:rPr>
          <w:rFonts w:eastAsia="Times New Roman"/>
          <w:color w:val="000000"/>
          <w:sz w:val="20"/>
          <w:szCs w:val="20"/>
        </w:rPr>
        <w:t>cal 2019, the number of shares that may be earned ranges between 0% (if the specified threshold performance level is not attained) and 200% (if performance meets or exceeds the maximum achievement level) of the awards originally granted. For such awards gr</w:t>
      </w:r>
      <w:r>
        <w:rPr>
          <w:rFonts w:eastAsia="Times New Roman"/>
          <w:color w:val="000000"/>
          <w:sz w:val="20"/>
          <w:szCs w:val="20"/>
        </w:rPr>
        <w:t>anted in recent years prior to Fiscal 2019, the number of shares that may be earned ranges between 0% (if the specified threshold performance level is not attained) and 150% (if performance meets or exceeds the maximum achievement level) of the awards orig</w:t>
      </w:r>
      <w:r>
        <w:rPr>
          <w:rFonts w:eastAsia="Times New Roman"/>
          <w:color w:val="000000"/>
          <w:sz w:val="20"/>
          <w:szCs w:val="20"/>
        </w:rPr>
        <w:t xml:space="preserve">inally granted. If actual performance exceeds the pre-established threshold, the number of shares earned is calculated based on the relative performance between specified levels of achievement. </w:t>
      </w:r>
    </w:p>
    <w:p w14:paraId="07F5CAB9" w14:textId="77777777" w:rsidR="00000000" w:rsidRDefault="00EE5306">
      <w:pPr>
        <w:ind w:firstLine="540"/>
        <w:jc w:val="both"/>
        <w:divId w:val="374351395"/>
        <w:rPr>
          <w:rFonts w:eastAsia="Times New Roman"/>
        </w:rPr>
      </w:pPr>
      <w:r>
        <w:rPr>
          <w:rFonts w:eastAsia="Times New Roman"/>
          <w:color w:val="000000"/>
          <w:sz w:val="20"/>
          <w:szCs w:val="20"/>
        </w:rPr>
        <w:t>No performance-based awards were granted during Fiscal 2021 a</w:t>
      </w:r>
      <w:r>
        <w:rPr>
          <w:rFonts w:eastAsia="Times New Roman"/>
          <w:color w:val="000000"/>
          <w:sz w:val="20"/>
          <w:szCs w:val="20"/>
        </w:rPr>
        <w:t>s the Company elected to temporarily issue service-based RSUs in lieu of performance-based RSUs as a result of business disruptions and uncertainty created by the COVID-19 pandemic. Additionally, performance metrics of certain cliff-vesting performance-bas</w:t>
      </w:r>
      <w:r>
        <w:rPr>
          <w:rFonts w:eastAsia="Times New Roman"/>
          <w:color w:val="000000"/>
          <w:sz w:val="20"/>
          <w:szCs w:val="20"/>
        </w:rPr>
        <w:t>ed RSUs granted during prior years were changed during Fiscal 2021 and their related payout ranges lowered, with no resulting incremental compensation cost.</w:t>
      </w:r>
    </w:p>
    <w:p w14:paraId="7B6EE336" w14:textId="77777777" w:rsidR="00000000" w:rsidRDefault="00EE5306">
      <w:pPr>
        <w:ind w:firstLine="360"/>
        <w:jc w:val="both"/>
        <w:divId w:val="828208511"/>
        <w:rPr>
          <w:rFonts w:eastAsia="Times New Roman"/>
        </w:rPr>
      </w:pPr>
      <w:r>
        <w:rPr>
          <w:rFonts w:eastAsia="Times New Roman"/>
          <w:i/>
          <w:iCs/>
          <w:color w:val="000000"/>
          <w:sz w:val="20"/>
          <w:szCs w:val="20"/>
        </w:rPr>
        <w:t>Market-based RSUs</w:t>
      </w:r>
    </w:p>
    <w:p w14:paraId="680F7DCF" w14:textId="77777777" w:rsidR="00000000" w:rsidRDefault="00EE5306">
      <w:pPr>
        <w:ind w:firstLine="540"/>
        <w:jc w:val="both"/>
        <w:divId w:val="773093630"/>
        <w:rPr>
          <w:rFonts w:eastAsia="Times New Roman"/>
        </w:rPr>
      </w:pPr>
      <w:r>
        <w:rPr>
          <w:rFonts w:eastAsia="Times New Roman"/>
          <w:color w:val="000000"/>
          <w:sz w:val="20"/>
          <w:szCs w:val="20"/>
        </w:rPr>
        <w:t>During Fiscal 2019, the Company began granting cliff vesting RSU awards to its se</w:t>
      </w:r>
      <w:r>
        <w:rPr>
          <w:rFonts w:eastAsia="Times New Roman"/>
          <w:color w:val="000000"/>
          <w:sz w:val="20"/>
          <w:szCs w:val="20"/>
        </w:rPr>
        <w:t>nior executives and other key employees, which, in addition to being subject to continuing employment requirements (except for awards granted to retirement-eligible employees, or employees who become retirement-eligible prior to the end of the awards' resp</w:t>
      </w:r>
      <w:r>
        <w:rPr>
          <w:rFonts w:eastAsia="Times New Roman"/>
          <w:color w:val="000000"/>
          <w:sz w:val="20"/>
          <w:szCs w:val="20"/>
        </w:rPr>
        <w:t>ective stated vesting periods, as previously discussed), are also subject to a market condition based on a TSR performance metric. The number of shares that vest upon the completion of a three-year period of time is determined by comparing the Company's TS</w:t>
      </w:r>
      <w:r>
        <w:rPr>
          <w:rFonts w:eastAsia="Times New Roman"/>
          <w:color w:val="000000"/>
          <w:sz w:val="20"/>
          <w:szCs w:val="20"/>
        </w:rPr>
        <w:t>R relative to that of a pre-established peer group over the related three-year performance period. Depending on the Company's level of achievement against its TSR performance goals, the number of shares that ultimately vest may range from 0% to 200% of the</w:t>
      </w:r>
      <w:r>
        <w:rPr>
          <w:rFonts w:eastAsia="Times New Roman"/>
          <w:color w:val="000000"/>
          <w:sz w:val="20"/>
          <w:szCs w:val="20"/>
        </w:rPr>
        <w:t xml:space="preserve"> awards originally granted.</w:t>
      </w:r>
    </w:p>
    <w:p w14:paraId="355A5D52" w14:textId="77777777" w:rsidR="00000000" w:rsidRDefault="00EE5306">
      <w:pPr>
        <w:ind w:firstLine="540"/>
        <w:jc w:val="both"/>
        <w:divId w:val="1170020900"/>
        <w:rPr>
          <w:rFonts w:eastAsia="Times New Roman"/>
        </w:rPr>
      </w:pPr>
      <w:r>
        <w:rPr>
          <w:rFonts w:eastAsia="Times New Roman"/>
          <w:color w:val="000000"/>
          <w:sz w:val="20"/>
          <w:szCs w:val="20"/>
        </w:rPr>
        <w:t>The Company estimates the fair value of its TSR awards on the date of grant using a Monte Carlo simulation, which models multiple stock price paths of the Company's Class A common stock and that of its peer group to evaluate and</w:t>
      </w:r>
      <w:r>
        <w:rPr>
          <w:rFonts w:eastAsia="Times New Roman"/>
          <w:color w:val="000000"/>
          <w:sz w:val="20"/>
          <w:szCs w:val="20"/>
        </w:rPr>
        <w:t xml:space="preserve"> determine its ultimate expected relative TSR performance ranking. Compensation expense, net of estimated forfeitures, is recorded regardless of whether, and the extent to which, the market condition is ultimately satisfied. No such awards were granted dur</w:t>
      </w:r>
      <w:r>
        <w:rPr>
          <w:rFonts w:eastAsia="Times New Roman"/>
          <w:color w:val="000000"/>
          <w:sz w:val="20"/>
          <w:szCs w:val="20"/>
        </w:rPr>
        <w:t>ing Fiscal 2021 as the Company has elected to temporarily issue service-based RSUs in lieu of performance-based RSUs as a result of business disruptions and uncertainty created by the COVID-19 pandemic.</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9F5F2A0" w14:textId="77777777">
        <w:trPr>
          <w:divId w:val="548341329"/>
          <w:jc w:val="center"/>
        </w:trPr>
        <w:tc>
          <w:tcPr>
            <w:tcW w:w="50" w:type="pct"/>
            <w:vAlign w:val="center"/>
            <w:hideMark/>
          </w:tcPr>
          <w:p w14:paraId="66BAD493" w14:textId="77777777" w:rsidR="00000000" w:rsidRDefault="00EE5306">
            <w:pPr>
              <w:ind w:firstLine="540"/>
              <w:jc w:val="both"/>
              <w:rPr>
                <w:rFonts w:eastAsia="Times New Roman"/>
              </w:rPr>
            </w:pPr>
          </w:p>
        </w:tc>
        <w:tc>
          <w:tcPr>
            <w:tcW w:w="1699" w:type="pct"/>
            <w:vAlign w:val="center"/>
            <w:hideMark/>
          </w:tcPr>
          <w:p w14:paraId="2879F7AD" w14:textId="77777777" w:rsidR="00000000" w:rsidRDefault="00EE5306">
            <w:pPr>
              <w:spacing w:after="100"/>
              <w:rPr>
                <w:rFonts w:eastAsia="Times New Roman"/>
                <w:sz w:val="20"/>
                <w:szCs w:val="20"/>
              </w:rPr>
            </w:pPr>
          </w:p>
        </w:tc>
        <w:tc>
          <w:tcPr>
            <w:tcW w:w="5" w:type="pct"/>
            <w:vAlign w:val="center"/>
            <w:hideMark/>
          </w:tcPr>
          <w:p w14:paraId="6A1F6D61" w14:textId="77777777" w:rsidR="00000000" w:rsidRDefault="00EE5306">
            <w:pPr>
              <w:spacing w:after="100"/>
              <w:rPr>
                <w:rFonts w:eastAsia="Times New Roman"/>
                <w:sz w:val="20"/>
                <w:szCs w:val="20"/>
              </w:rPr>
            </w:pPr>
          </w:p>
        </w:tc>
        <w:tc>
          <w:tcPr>
            <w:tcW w:w="50" w:type="pct"/>
            <w:vAlign w:val="center"/>
            <w:hideMark/>
          </w:tcPr>
          <w:p w14:paraId="52B411A8" w14:textId="77777777" w:rsidR="00000000" w:rsidRDefault="00EE5306">
            <w:pPr>
              <w:spacing w:after="100"/>
              <w:rPr>
                <w:rFonts w:eastAsia="Times New Roman"/>
                <w:sz w:val="20"/>
                <w:szCs w:val="20"/>
              </w:rPr>
            </w:pPr>
          </w:p>
        </w:tc>
        <w:tc>
          <w:tcPr>
            <w:tcW w:w="1436" w:type="pct"/>
            <w:vAlign w:val="center"/>
            <w:hideMark/>
          </w:tcPr>
          <w:p w14:paraId="611637B1" w14:textId="77777777" w:rsidR="00000000" w:rsidRDefault="00EE5306">
            <w:pPr>
              <w:spacing w:after="100"/>
              <w:rPr>
                <w:rFonts w:eastAsia="Times New Roman"/>
                <w:sz w:val="20"/>
                <w:szCs w:val="20"/>
              </w:rPr>
            </w:pPr>
          </w:p>
        </w:tc>
        <w:tc>
          <w:tcPr>
            <w:tcW w:w="5" w:type="pct"/>
            <w:vAlign w:val="center"/>
            <w:hideMark/>
          </w:tcPr>
          <w:p w14:paraId="2C635D17" w14:textId="77777777" w:rsidR="00000000" w:rsidRDefault="00EE5306">
            <w:pPr>
              <w:spacing w:after="100"/>
              <w:rPr>
                <w:rFonts w:eastAsia="Times New Roman"/>
                <w:sz w:val="20"/>
                <w:szCs w:val="20"/>
              </w:rPr>
            </w:pPr>
          </w:p>
        </w:tc>
        <w:tc>
          <w:tcPr>
            <w:tcW w:w="50" w:type="pct"/>
            <w:vAlign w:val="center"/>
            <w:hideMark/>
          </w:tcPr>
          <w:p w14:paraId="7AF70262" w14:textId="77777777" w:rsidR="00000000" w:rsidRDefault="00EE5306">
            <w:pPr>
              <w:spacing w:after="100"/>
              <w:rPr>
                <w:rFonts w:eastAsia="Times New Roman"/>
                <w:sz w:val="20"/>
                <w:szCs w:val="20"/>
              </w:rPr>
            </w:pPr>
          </w:p>
        </w:tc>
        <w:tc>
          <w:tcPr>
            <w:tcW w:w="1699" w:type="pct"/>
            <w:vAlign w:val="center"/>
            <w:hideMark/>
          </w:tcPr>
          <w:p w14:paraId="7123714B" w14:textId="77777777" w:rsidR="00000000" w:rsidRDefault="00EE5306">
            <w:pPr>
              <w:spacing w:after="100"/>
              <w:rPr>
                <w:rFonts w:eastAsia="Times New Roman"/>
                <w:sz w:val="20"/>
                <w:szCs w:val="20"/>
              </w:rPr>
            </w:pPr>
          </w:p>
        </w:tc>
        <w:tc>
          <w:tcPr>
            <w:tcW w:w="5" w:type="pct"/>
            <w:vAlign w:val="center"/>
            <w:hideMark/>
          </w:tcPr>
          <w:p w14:paraId="77BE48A6" w14:textId="77777777" w:rsidR="00000000" w:rsidRDefault="00EE5306">
            <w:pPr>
              <w:spacing w:after="100"/>
              <w:rPr>
                <w:rFonts w:eastAsia="Times New Roman"/>
                <w:sz w:val="20"/>
                <w:szCs w:val="20"/>
              </w:rPr>
            </w:pPr>
          </w:p>
        </w:tc>
      </w:tr>
      <w:tr w:rsidR="00000000" w14:paraId="04B4374A" w14:textId="77777777">
        <w:trPr>
          <w:divId w:val="548341329"/>
          <w:jc w:val="center"/>
        </w:trPr>
        <w:tc>
          <w:tcPr>
            <w:tcW w:w="0" w:type="auto"/>
            <w:gridSpan w:val="3"/>
            <w:tcMar>
              <w:top w:w="0" w:type="dxa"/>
              <w:left w:w="20" w:type="dxa"/>
              <w:bottom w:w="0" w:type="dxa"/>
              <w:right w:w="20" w:type="dxa"/>
            </w:tcMar>
            <w:vAlign w:val="center"/>
            <w:hideMark/>
          </w:tcPr>
          <w:p w14:paraId="4B69DABC"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F94CBE" w14:textId="77777777" w:rsidR="00000000" w:rsidRDefault="00EE5306">
            <w:pPr>
              <w:spacing w:after="100"/>
              <w:jc w:val="center"/>
              <w:rPr>
                <w:rFonts w:eastAsia="Times New Roman"/>
              </w:rPr>
            </w:pPr>
            <w:r>
              <w:rPr>
                <w:rFonts w:eastAsia="Times New Roman"/>
                <w:color w:val="000000"/>
                <w:sz w:val="20"/>
                <w:szCs w:val="20"/>
              </w:rPr>
              <w:t>F-49</w:t>
            </w:r>
          </w:p>
        </w:tc>
        <w:tc>
          <w:tcPr>
            <w:tcW w:w="0" w:type="auto"/>
            <w:gridSpan w:val="3"/>
            <w:tcMar>
              <w:top w:w="0" w:type="dxa"/>
              <w:left w:w="20" w:type="dxa"/>
              <w:bottom w:w="0" w:type="dxa"/>
              <w:right w:w="20" w:type="dxa"/>
            </w:tcMar>
            <w:vAlign w:val="center"/>
            <w:hideMark/>
          </w:tcPr>
          <w:p w14:paraId="1501E4D3" w14:textId="77777777" w:rsidR="00000000" w:rsidRDefault="00EE5306">
            <w:pPr>
              <w:spacing w:after="100"/>
              <w:jc w:val="center"/>
              <w:rPr>
                <w:rFonts w:eastAsia="Times New Roman"/>
              </w:rPr>
            </w:pPr>
          </w:p>
        </w:tc>
      </w:tr>
    </w:tbl>
    <w:p w14:paraId="10B9D40C" w14:textId="77777777" w:rsidR="00000000" w:rsidRDefault="00EE5306">
      <w:pPr>
        <w:rPr>
          <w:rFonts w:eastAsia="Times New Roman"/>
        </w:rPr>
      </w:pPr>
      <w:r>
        <w:rPr>
          <w:rFonts w:eastAsia="Times New Roman"/>
        </w:rPr>
        <w:pict w14:anchorId="67B3F4C6">
          <v:rect id="_x0000_i1159" style="width:0;height:1.5pt" o:hralign="center" o:hrstd="t" o:hr="t" fillcolor="#a0a0a0" stroked="f"/>
        </w:pict>
      </w:r>
    </w:p>
    <w:p w14:paraId="440892BF" w14:textId="77777777" w:rsidR="00000000" w:rsidRDefault="00EE5306">
      <w:pPr>
        <w:jc w:val="center"/>
        <w:divId w:val="262300187"/>
        <w:rPr>
          <w:rFonts w:eastAsia="Times New Roman"/>
        </w:rPr>
      </w:pPr>
    </w:p>
    <w:p w14:paraId="17F280AE" w14:textId="77777777" w:rsidR="00000000" w:rsidRDefault="00EE5306">
      <w:pPr>
        <w:jc w:val="center"/>
        <w:divId w:val="262300187"/>
        <w:rPr>
          <w:rFonts w:eastAsia="Times New Roman"/>
        </w:rPr>
      </w:pPr>
      <w:r>
        <w:rPr>
          <w:rFonts w:eastAsia="Times New Roman"/>
          <w:b/>
          <w:bCs/>
          <w:color w:val="000000"/>
          <w:sz w:val="20"/>
          <w:szCs w:val="20"/>
        </w:rPr>
        <w:t>RALPH LAUREN CORPORATION</w:t>
      </w:r>
    </w:p>
    <w:p w14:paraId="4D3F5E24" w14:textId="77777777" w:rsidR="00000000" w:rsidRDefault="00EE5306">
      <w:pPr>
        <w:jc w:val="center"/>
        <w:divId w:val="447818165"/>
        <w:rPr>
          <w:rFonts w:eastAsia="Times New Roman"/>
        </w:rPr>
      </w:pPr>
      <w:r>
        <w:rPr>
          <w:rFonts w:eastAsia="Times New Roman"/>
          <w:b/>
          <w:bCs/>
          <w:color w:val="000000"/>
          <w:sz w:val="20"/>
          <w:szCs w:val="20"/>
        </w:rPr>
        <w:t>NOTES TO CONSOLIDATED FINANCIAL STATEMENTS (Continued)</w:t>
      </w:r>
    </w:p>
    <w:p w14:paraId="130B5722" w14:textId="77777777" w:rsidR="00000000" w:rsidRDefault="00EE5306">
      <w:pPr>
        <w:ind w:firstLine="540"/>
        <w:jc w:val="both"/>
        <w:divId w:val="1499615329"/>
        <w:rPr>
          <w:rFonts w:eastAsia="Times New Roman"/>
        </w:rPr>
      </w:pPr>
      <w:r>
        <w:rPr>
          <w:rFonts w:eastAsia="Times New Roman"/>
          <w:color w:val="000000"/>
          <w:sz w:val="20"/>
          <w:szCs w:val="20"/>
        </w:rPr>
        <w:t xml:space="preserve">The assumptions used to estimate the fair value of TSR awards granted during Fiscal 2020 and Fiscal 2019 were as follows: </w:t>
      </w:r>
    </w:p>
    <w:tbl>
      <w:tblPr>
        <w:tblW w:w="4729" w:type="pct"/>
        <w:tblCellMar>
          <w:top w:w="15" w:type="dxa"/>
          <w:left w:w="15" w:type="dxa"/>
          <w:bottom w:w="15" w:type="dxa"/>
          <w:right w:w="15" w:type="dxa"/>
        </w:tblCellMar>
        <w:tblLook w:val="04A0" w:firstRow="1" w:lastRow="0" w:firstColumn="1" w:lastColumn="0" w:noHBand="0" w:noVBand="1"/>
      </w:tblPr>
      <w:tblGrid>
        <w:gridCol w:w="38"/>
        <w:gridCol w:w="5069"/>
        <w:gridCol w:w="37"/>
        <w:gridCol w:w="36"/>
        <w:gridCol w:w="36"/>
        <w:gridCol w:w="36"/>
        <w:gridCol w:w="120"/>
        <w:gridCol w:w="941"/>
        <w:gridCol w:w="187"/>
        <w:gridCol w:w="36"/>
        <w:gridCol w:w="36"/>
        <w:gridCol w:w="36"/>
        <w:gridCol w:w="120"/>
        <w:gridCol w:w="941"/>
        <w:gridCol w:w="187"/>
      </w:tblGrid>
      <w:tr w:rsidR="00000000" w14:paraId="29B11369" w14:textId="77777777">
        <w:trPr>
          <w:divId w:val="1180240612"/>
        </w:trPr>
        <w:tc>
          <w:tcPr>
            <w:tcW w:w="50" w:type="pct"/>
            <w:vAlign w:val="center"/>
            <w:hideMark/>
          </w:tcPr>
          <w:p w14:paraId="351A74D7" w14:textId="77777777" w:rsidR="00000000" w:rsidRDefault="00EE5306">
            <w:pPr>
              <w:ind w:firstLine="540"/>
              <w:jc w:val="both"/>
              <w:rPr>
                <w:rFonts w:eastAsia="Times New Roman"/>
              </w:rPr>
            </w:pPr>
          </w:p>
        </w:tc>
        <w:tc>
          <w:tcPr>
            <w:tcW w:w="3322" w:type="pct"/>
            <w:vAlign w:val="center"/>
            <w:hideMark/>
          </w:tcPr>
          <w:p w14:paraId="53012C81" w14:textId="77777777" w:rsidR="00000000" w:rsidRDefault="00EE5306">
            <w:pPr>
              <w:spacing w:after="100"/>
              <w:rPr>
                <w:rFonts w:eastAsia="Times New Roman"/>
                <w:sz w:val="20"/>
                <w:szCs w:val="20"/>
              </w:rPr>
            </w:pPr>
          </w:p>
        </w:tc>
        <w:tc>
          <w:tcPr>
            <w:tcW w:w="5" w:type="pct"/>
            <w:vAlign w:val="center"/>
            <w:hideMark/>
          </w:tcPr>
          <w:p w14:paraId="6F1526E1" w14:textId="77777777" w:rsidR="00000000" w:rsidRDefault="00EE5306">
            <w:pPr>
              <w:spacing w:after="100"/>
              <w:rPr>
                <w:rFonts w:eastAsia="Times New Roman"/>
                <w:sz w:val="20"/>
                <w:szCs w:val="20"/>
              </w:rPr>
            </w:pPr>
          </w:p>
        </w:tc>
        <w:tc>
          <w:tcPr>
            <w:tcW w:w="5" w:type="pct"/>
            <w:vAlign w:val="center"/>
            <w:hideMark/>
          </w:tcPr>
          <w:p w14:paraId="198173A9" w14:textId="77777777" w:rsidR="00000000" w:rsidRDefault="00EE5306">
            <w:pPr>
              <w:spacing w:after="100"/>
              <w:rPr>
                <w:rFonts w:eastAsia="Times New Roman"/>
                <w:sz w:val="20"/>
                <w:szCs w:val="20"/>
              </w:rPr>
            </w:pPr>
          </w:p>
        </w:tc>
        <w:tc>
          <w:tcPr>
            <w:tcW w:w="28" w:type="pct"/>
            <w:vAlign w:val="center"/>
            <w:hideMark/>
          </w:tcPr>
          <w:p w14:paraId="163EDFDB" w14:textId="77777777" w:rsidR="00000000" w:rsidRDefault="00EE5306">
            <w:pPr>
              <w:spacing w:after="100"/>
              <w:rPr>
                <w:rFonts w:eastAsia="Times New Roman"/>
                <w:sz w:val="20"/>
                <w:szCs w:val="20"/>
              </w:rPr>
            </w:pPr>
          </w:p>
        </w:tc>
        <w:tc>
          <w:tcPr>
            <w:tcW w:w="5" w:type="pct"/>
            <w:vAlign w:val="center"/>
            <w:hideMark/>
          </w:tcPr>
          <w:p w14:paraId="051E96A6" w14:textId="77777777" w:rsidR="00000000" w:rsidRDefault="00EE5306">
            <w:pPr>
              <w:spacing w:after="100"/>
              <w:rPr>
                <w:rFonts w:eastAsia="Times New Roman"/>
                <w:sz w:val="20"/>
                <w:szCs w:val="20"/>
              </w:rPr>
            </w:pPr>
          </w:p>
        </w:tc>
        <w:tc>
          <w:tcPr>
            <w:tcW w:w="50" w:type="pct"/>
            <w:vAlign w:val="center"/>
            <w:hideMark/>
          </w:tcPr>
          <w:p w14:paraId="018619BA" w14:textId="77777777" w:rsidR="00000000" w:rsidRDefault="00EE5306">
            <w:pPr>
              <w:spacing w:after="100"/>
              <w:rPr>
                <w:rFonts w:eastAsia="Times New Roman"/>
                <w:sz w:val="20"/>
                <w:szCs w:val="20"/>
              </w:rPr>
            </w:pPr>
          </w:p>
        </w:tc>
        <w:tc>
          <w:tcPr>
            <w:tcW w:w="717" w:type="pct"/>
            <w:vAlign w:val="center"/>
            <w:hideMark/>
          </w:tcPr>
          <w:p w14:paraId="1095A99F" w14:textId="77777777" w:rsidR="00000000" w:rsidRDefault="00EE5306">
            <w:pPr>
              <w:spacing w:after="100"/>
              <w:rPr>
                <w:rFonts w:eastAsia="Times New Roman"/>
                <w:sz w:val="20"/>
                <w:szCs w:val="20"/>
              </w:rPr>
            </w:pPr>
          </w:p>
        </w:tc>
        <w:tc>
          <w:tcPr>
            <w:tcW w:w="5" w:type="pct"/>
            <w:vAlign w:val="center"/>
            <w:hideMark/>
          </w:tcPr>
          <w:p w14:paraId="58990351" w14:textId="77777777" w:rsidR="00000000" w:rsidRDefault="00EE5306">
            <w:pPr>
              <w:spacing w:after="100"/>
              <w:rPr>
                <w:rFonts w:eastAsia="Times New Roman"/>
                <w:sz w:val="20"/>
                <w:szCs w:val="20"/>
              </w:rPr>
            </w:pPr>
          </w:p>
        </w:tc>
        <w:tc>
          <w:tcPr>
            <w:tcW w:w="5" w:type="pct"/>
            <w:vAlign w:val="center"/>
            <w:hideMark/>
          </w:tcPr>
          <w:p w14:paraId="01211581" w14:textId="77777777" w:rsidR="00000000" w:rsidRDefault="00EE5306">
            <w:pPr>
              <w:spacing w:after="100"/>
              <w:rPr>
                <w:rFonts w:eastAsia="Times New Roman"/>
                <w:sz w:val="20"/>
                <w:szCs w:val="20"/>
              </w:rPr>
            </w:pPr>
          </w:p>
        </w:tc>
        <w:tc>
          <w:tcPr>
            <w:tcW w:w="28" w:type="pct"/>
            <w:vAlign w:val="center"/>
            <w:hideMark/>
          </w:tcPr>
          <w:p w14:paraId="6D42B434" w14:textId="77777777" w:rsidR="00000000" w:rsidRDefault="00EE5306">
            <w:pPr>
              <w:spacing w:after="100"/>
              <w:rPr>
                <w:rFonts w:eastAsia="Times New Roman"/>
                <w:sz w:val="20"/>
                <w:szCs w:val="20"/>
              </w:rPr>
            </w:pPr>
          </w:p>
        </w:tc>
        <w:tc>
          <w:tcPr>
            <w:tcW w:w="5" w:type="pct"/>
            <w:vAlign w:val="center"/>
            <w:hideMark/>
          </w:tcPr>
          <w:p w14:paraId="33080D87" w14:textId="77777777" w:rsidR="00000000" w:rsidRDefault="00EE5306">
            <w:pPr>
              <w:spacing w:after="100"/>
              <w:rPr>
                <w:rFonts w:eastAsia="Times New Roman"/>
                <w:sz w:val="20"/>
                <w:szCs w:val="20"/>
              </w:rPr>
            </w:pPr>
          </w:p>
        </w:tc>
        <w:tc>
          <w:tcPr>
            <w:tcW w:w="50" w:type="pct"/>
            <w:vAlign w:val="center"/>
            <w:hideMark/>
          </w:tcPr>
          <w:p w14:paraId="56FBC2F1" w14:textId="77777777" w:rsidR="00000000" w:rsidRDefault="00EE5306">
            <w:pPr>
              <w:spacing w:after="100"/>
              <w:rPr>
                <w:rFonts w:eastAsia="Times New Roman"/>
                <w:sz w:val="20"/>
                <w:szCs w:val="20"/>
              </w:rPr>
            </w:pPr>
          </w:p>
        </w:tc>
        <w:tc>
          <w:tcPr>
            <w:tcW w:w="717" w:type="pct"/>
            <w:vAlign w:val="center"/>
            <w:hideMark/>
          </w:tcPr>
          <w:p w14:paraId="13727BA8" w14:textId="77777777" w:rsidR="00000000" w:rsidRDefault="00EE5306">
            <w:pPr>
              <w:spacing w:after="100"/>
              <w:rPr>
                <w:rFonts w:eastAsia="Times New Roman"/>
                <w:sz w:val="20"/>
                <w:szCs w:val="20"/>
              </w:rPr>
            </w:pPr>
          </w:p>
        </w:tc>
        <w:tc>
          <w:tcPr>
            <w:tcW w:w="5" w:type="pct"/>
            <w:vAlign w:val="center"/>
            <w:hideMark/>
          </w:tcPr>
          <w:p w14:paraId="29FEA949" w14:textId="77777777" w:rsidR="00000000" w:rsidRDefault="00EE5306">
            <w:pPr>
              <w:spacing w:after="100"/>
              <w:rPr>
                <w:rFonts w:eastAsia="Times New Roman"/>
                <w:sz w:val="20"/>
                <w:szCs w:val="20"/>
              </w:rPr>
            </w:pPr>
          </w:p>
        </w:tc>
      </w:tr>
      <w:tr w:rsidR="00000000" w14:paraId="0530302D" w14:textId="77777777">
        <w:trPr>
          <w:divId w:val="1180240612"/>
        </w:trPr>
        <w:tc>
          <w:tcPr>
            <w:tcW w:w="0" w:type="auto"/>
            <w:gridSpan w:val="3"/>
            <w:tcMar>
              <w:top w:w="30" w:type="dxa"/>
              <w:left w:w="20" w:type="dxa"/>
              <w:bottom w:w="30" w:type="dxa"/>
              <w:right w:w="20" w:type="dxa"/>
            </w:tcMar>
            <w:vAlign w:val="bottom"/>
            <w:hideMark/>
          </w:tcPr>
          <w:p w14:paraId="09427E56"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6F55EE4" w14:textId="77777777" w:rsidR="00000000" w:rsidRDefault="00EE5306">
            <w:pPr>
              <w:spacing w:after="100"/>
              <w:rPr>
                <w:rFonts w:eastAsia="Times New Roman"/>
              </w:rPr>
            </w:pPr>
          </w:p>
        </w:tc>
        <w:tc>
          <w:tcPr>
            <w:tcW w:w="0" w:type="auto"/>
            <w:gridSpan w:val="9"/>
            <w:tcMar>
              <w:top w:w="30" w:type="dxa"/>
              <w:left w:w="20" w:type="dxa"/>
              <w:bottom w:w="30" w:type="dxa"/>
              <w:right w:w="20" w:type="dxa"/>
            </w:tcMar>
            <w:vAlign w:val="bottom"/>
            <w:hideMark/>
          </w:tcPr>
          <w:p w14:paraId="1E462CC4" w14:textId="77777777" w:rsidR="00000000" w:rsidRDefault="00EE5306">
            <w:pPr>
              <w:spacing w:after="100"/>
              <w:jc w:val="center"/>
              <w:rPr>
                <w:rFonts w:eastAsia="Times New Roman"/>
              </w:rPr>
            </w:pPr>
            <w:r>
              <w:rPr>
                <w:rFonts w:eastAsia="Times New Roman"/>
                <w:b/>
                <w:bCs/>
                <w:color w:val="000000"/>
                <w:sz w:val="16"/>
                <w:szCs w:val="16"/>
              </w:rPr>
              <w:t>Fiscal Year Ended</w:t>
            </w:r>
          </w:p>
        </w:tc>
      </w:tr>
      <w:tr w:rsidR="00000000" w14:paraId="6B191C05" w14:textId="77777777">
        <w:trPr>
          <w:divId w:val="1180240612"/>
        </w:trPr>
        <w:tc>
          <w:tcPr>
            <w:tcW w:w="0" w:type="auto"/>
            <w:gridSpan w:val="3"/>
            <w:tcMar>
              <w:top w:w="30" w:type="dxa"/>
              <w:left w:w="20" w:type="dxa"/>
              <w:bottom w:w="30" w:type="dxa"/>
              <w:right w:w="20" w:type="dxa"/>
            </w:tcMar>
            <w:vAlign w:val="bottom"/>
            <w:hideMark/>
          </w:tcPr>
          <w:p w14:paraId="24B4E11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A2B6E9E"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3F7FA2"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2105AB2"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74276C"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7F1373E3" w14:textId="77777777">
        <w:trPr>
          <w:divId w:val="1180240612"/>
        </w:trPr>
        <w:tc>
          <w:tcPr>
            <w:tcW w:w="0" w:type="auto"/>
            <w:gridSpan w:val="3"/>
            <w:shd w:val="clear" w:color="auto" w:fill="CCEEFF"/>
            <w:tcMar>
              <w:top w:w="30" w:type="dxa"/>
              <w:left w:w="20" w:type="dxa"/>
              <w:bottom w:w="30" w:type="dxa"/>
              <w:right w:w="20" w:type="dxa"/>
            </w:tcMar>
            <w:vAlign w:val="bottom"/>
            <w:hideMark/>
          </w:tcPr>
          <w:p w14:paraId="3D54D817" w14:textId="77777777" w:rsidR="00000000" w:rsidRDefault="00EE5306">
            <w:pPr>
              <w:spacing w:after="100"/>
              <w:rPr>
                <w:rFonts w:eastAsia="Times New Roman"/>
              </w:rPr>
            </w:pPr>
            <w:r>
              <w:rPr>
                <w:rFonts w:eastAsia="Times New Roman"/>
                <w:color w:val="000000"/>
                <w:sz w:val="20"/>
                <w:szCs w:val="20"/>
              </w:rPr>
              <w:t>Expected term (years)</w:t>
            </w:r>
          </w:p>
        </w:tc>
        <w:tc>
          <w:tcPr>
            <w:tcW w:w="0" w:type="auto"/>
            <w:gridSpan w:val="3"/>
            <w:shd w:val="clear" w:color="auto" w:fill="CCEEFF"/>
            <w:tcMar>
              <w:top w:w="0" w:type="dxa"/>
              <w:left w:w="20" w:type="dxa"/>
              <w:bottom w:w="0" w:type="dxa"/>
              <w:right w:w="20" w:type="dxa"/>
            </w:tcMar>
            <w:vAlign w:val="center"/>
            <w:hideMark/>
          </w:tcPr>
          <w:p w14:paraId="7AF2AFF6"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5566C1" w14:textId="77777777" w:rsidR="00000000" w:rsidRDefault="00EE5306">
            <w:pPr>
              <w:spacing w:after="100"/>
              <w:jc w:val="right"/>
              <w:rPr>
                <w:rFonts w:eastAsia="Times New Roman"/>
              </w:rPr>
            </w:pPr>
            <w:r>
              <w:rPr>
                <w:rFonts w:eastAsia="Times New Roman"/>
                <w:color w:val="000000"/>
                <w:sz w:val="20"/>
                <w:szCs w:val="20"/>
              </w:rPr>
              <w:t>2.6</w:t>
            </w:r>
          </w:p>
        </w:tc>
        <w:tc>
          <w:tcPr>
            <w:tcW w:w="0" w:type="auto"/>
            <w:gridSpan w:val="3"/>
            <w:shd w:val="clear" w:color="auto" w:fill="CCEEFF"/>
            <w:tcMar>
              <w:top w:w="0" w:type="dxa"/>
              <w:left w:w="20" w:type="dxa"/>
              <w:bottom w:w="0" w:type="dxa"/>
              <w:right w:w="20" w:type="dxa"/>
            </w:tcMar>
            <w:vAlign w:val="center"/>
            <w:hideMark/>
          </w:tcPr>
          <w:p w14:paraId="2653D3A8" w14:textId="77777777" w:rsidR="00000000" w:rsidRDefault="00EE530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8EB89D4" w14:textId="77777777" w:rsidR="00000000" w:rsidRDefault="00EE5306">
            <w:pPr>
              <w:spacing w:after="100"/>
              <w:jc w:val="right"/>
              <w:rPr>
                <w:rFonts w:eastAsia="Times New Roman"/>
              </w:rPr>
            </w:pPr>
            <w:r>
              <w:rPr>
                <w:rFonts w:eastAsia="Times New Roman"/>
                <w:color w:val="000000"/>
                <w:sz w:val="20"/>
                <w:szCs w:val="20"/>
              </w:rPr>
              <w:t>2.6</w:t>
            </w:r>
          </w:p>
        </w:tc>
      </w:tr>
      <w:tr w:rsidR="00000000" w14:paraId="156CDEF8" w14:textId="77777777">
        <w:trPr>
          <w:divId w:val="1180240612"/>
        </w:trPr>
        <w:tc>
          <w:tcPr>
            <w:tcW w:w="0" w:type="auto"/>
            <w:gridSpan w:val="3"/>
            <w:shd w:val="clear" w:color="auto" w:fill="FFFFFF"/>
            <w:tcMar>
              <w:top w:w="30" w:type="dxa"/>
              <w:left w:w="20" w:type="dxa"/>
              <w:bottom w:w="30" w:type="dxa"/>
              <w:right w:w="20" w:type="dxa"/>
            </w:tcMar>
            <w:vAlign w:val="bottom"/>
            <w:hideMark/>
          </w:tcPr>
          <w:p w14:paraId="2851BEA2" w14:textId="77777777" w:rsidR="00000000" w:rsidRDefault="00EE5306">
            <w:pPr>
              <w:spacing w:after="100"/>
              <w:rPr>
                <w:rFonts w:eastAsia="Times New Roman"/>
              </w:rPr>
            </w:pPr>
            <w:r>
              <w:rPr>
                <w:rFonts w:eastAsia="Times New Roman"/>
                <w:color w:val="000000"/>
                <w:sz w:val="20"/>
                <w:szCs w:val="20"/>
              </w:rPr>
              <w:t>Expected volatility</w:t>
            </w:r>
          </w:p>
        </w:tc>
        <w:tc>
          <w:tcPr>
            <w:tcW w:w="0" w:type="auto"/>
            <w:gridSpan w:val="3"/>
            <w:shd w:val="clear" w:color="auto" w:fill="FFFFFF"/>
            <w:tcMar>
              <w:top w:w="0" w:type="dxa"/>
              <w:left w:w="20" w:type="dxa"/>
              <w:bottom w:w="0" w:type="dxa"/>
              <w:right w:w="20" w:type="dxa"/>
            </w:tcMar>
            <w:vAlign w:val="center"/>
            <w:hideMark/>
          </w:tcPr>
          <w:p w14:paraId="630B075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269C08" w14:textId="77777777" w:rsidR="00000000" w:rsidRDefault="00EE5306">
            <w:pPr>
              <w:spacing w:after="100"/>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14:paraId="193CB48D" w14:textId="77777777" w:rsidR="00000000" w:rsidRDefault="00EE5306">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E7504D"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0073F6" w14:textId="77777777" w:rsidR="00000000" w:rsidRDefault="00EE5306">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14:paraId="456D83FA" w14:textId="77777777" w:rsidR="00000000" w:rsidRDefault="00EE5306">
            <w:pPr>
              <w:spacing w:after="100"/>
              <w:rPr>
                <w:rFonts w:eastAsia="Times New Roman"/>
              </w:rPr>
            </w:pPr>
            <w:r>
              <w:rPr>
                <w:rFonts w:eastAsia="Times New Roman"/>
                <w:color w:val="000000"/>
                <w:sz w:val="20"/>
                <w:szCs w:val="20"/>
              </w:rPr>
              <w:t>%</w:t>
            </w:r>
          </w:p>
        </w:tc>
      </w:tr>
      <w:tr w:rsidR="00000000" w14:paraId="41A7ED2A" w14:textId="77777777">
        <w:trPr>
          <w:divId w:val="1180240612"/>
        </w:trPr>
        <w:tc>
          <w:tcPr>
            <w:tcW w:w="0" w:type="auto"/>
            <w:gridSpan w:val="3"/>
            <w:shd w:val="clear" w:color="auto" w:fill="CCEEFF"/>
            <w:tcMar>
              <w:top w:w="30" w:type="dxa"/>
              <w:left w:w="20" w:type="dxa"/>
              <w:bottom w:w="30" w:type="dxa"/>
              <w:right w:w="20" w:type="dxa"/>
            </w:tcMar>
            <w:vAlign w:val="bottom"/>
            <w:hideMark/>
          </w:tcPr>
          <w:p w14:paraId="0CB29F12" w14:textId="77777777" w:rsidR="00000000" w:rsidRDefault="00EE5306">
            <w:pPr>
              <w:spacing w:after="100"/>
              <w:rPr>
                <w:rFonts w:eastAsia="Times New Roman"/>
              </w:rPr>
            </w:pPr>
            <w:r>
              <w:rPr>
                <w:rFonts w:eastAsia="Times New Roman"/>
                <w:color w:val="000000"/>
                <w:sz w:val="20"/>
                <w:szCs w:val="20"/>
              </w:rPr>
              <w:t>Expected dividend yield</w:t>
            </w:r>
          </w:p>
        </w:tc>
        <w:tc>
          <w:tcPr>
            <w:tcW w:w="0" w:type="auto"/>
            <w:gridSpan w:val="3"/>
            <w:shd w:val="clear" w:color="auto" w:fill="CCEEFF"/>
            <w:tcMar>
              <w:top w:w="0" w:type="dxa"/>
              <w:left w:w="20" w:type="dxa"/>
              <w:bottom w:w="0" w:type="dxa"/>
              <w:right w:w="20" w:type="dxa"/>
            </w:tcMar>
            <w:vAlign w:val="center"/>
            <w:hideMark/>
          </w:tcPr>
          <w:p w14:paraId="3B8D3A4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007262" w14:textId="77777777" w:rsidR="00000000" w:rsidRDefault="00EE5306">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1030D7DF" w14:textId="77777777" w:rsidR="00000000" w:rsidRDefault="00EE5306">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CD63751"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14E5D6" w14:textId="77777777" w:rsidR="00000000" w:rsidRDefault="00EE5306">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19C1FA31" w14:textId="77777777" w:rsidR="00000000" w:rsidRDefault="00EE5306">
            <w:pPr>
              <w:spacing w:after="100"/>
              <w:rPr>
                <w:rFonts w:eastAsia="Times New Roman"/>
              </w:rPr>
            </w:pPr>
            <w:r>
              <w:rPr>
                <w:rFonts w:eastAsia="Times New Roman"/>
                <w:color w:val="000000"/>
                <w:sz w:val="20"/>
                <w:szCs w:val="20"/>
              </w:rPr>
              <w:t>%</w:t>
            </w:r>
          </w:p>
        </w:tc>
      </w:tr>
      <w:tr w:rsidR="00000000" w14:paraId="1349F2D7" w14:textId="77777777">
        <w:trPr>
          <w:divId w:val="1180240612"/>
        </w:trPr>
        <w:tc>
          <w:tcPr>
            <w:tcW w:w="0" w:type="auto"/>
            <w:gridSpan w:val="3"/>
            <w:shd w:val="clear" w:color="auto" w:fill="FFFFFF"/>
            <w:tcMar>
              <w:top w:w="30" w:type="dxa"/>
              <w:left w:w="20" w:type="dxa"/>
              <w:bottom w:w="30" w:type="dxa"/>
              <w:right w:w="20" w:type="dxa"/>
            </w:tcMar>
            <w:vAlign w:val="bottom"/>
            <w:hideMark/>
          </w:tcPr>
          <w:p w14:paraId="62422E8C" w14:textId="77777777" w:rsidR="00000000" w:rsidRDefault="00EE5306">
            <w:pPr>
              <w:spacing w:after="100"/>
              <w:rPr>
                <w:rFonts w:eastAsia="Times New Roman"/>
              </w:rPr>
            </w:pPr>
            <w:r>
              <w:rPr>
                <w:rFonts w:eastAsia="Times New Roman"/>
                <w:color w:val="000000"/>
                <w:sz w:val="20"/>
                <w:szCs w:val="20"/>
              </w:rPr>
              <w:t>Risk-free interest rate</w:t>
            </w:r>
          </w:p>
        </w:tc>
        <w:tc>
          <w:tcPr>
            <w:tcW w:w="0" w:type="auto"/>
            <w:gridSpan w:val="3"/>
            <w:shd w:val="clear" w:color="auto" w:fill="FFFFFF"/>
            <w:tcMar>
              <w:top w:w="0" w:type="dxa"/>
              <w:left w:w="20" w:type="dxa"/>
              <w:bottom w:w="0" w:type="dxa"/>
              <w:right w:w="20" w:type="dxa"/>
            </w:tcMar>
            <w:vAlign w:val="center"/>
            <w:hideMark/>
          </w:tcPr>
          <w:p w14:paraId="2000A18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427F41" w14:textId="77777777" w:rsidR="00000000" w:rsidRDefault="00EE5306">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3918C312" w14:textId="77777777" w:rsidR="00000000" w:rsidRDefault="00EE5306">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60056F2"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142761" w14:textId="77777777" w:rsidR="00000000" w:rsidRDefault="00EE5306">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5E37872F" w14:textId="77777777" w:rsidR="00000000" w:rsidRDefault="00EE5306">
            <w:pPr>
              <w:spacing w:after="100"/>
              <w:rPr>
                <w:rFonts w:eastAsia="Times New Roman"/>
              </w:rPr>
            </w:pPr>
            <w:r>
              <w:rPr>
                <w:rFonts w:eastAsia="Times New Roman"/>
                <w:color w:val="000000"/>
                <w:sz w:val="20"/>
                <w:szCs w:val="20"/>
              </w:rPr>
              <w:t>%</w:t>
            </w:r>
          </w:p>
        </w:tc>
      </w:tr>
      <w:tr w:rsidR="00000000" w14:paraId="21891F5C" w14:textId="77777777">
        <w:trPr>
          <w:divId w:val="1180240612"/>
        </w:trPr>
        <w:tc>
          <w:tcPr>
            <w:tcW w:w="0" w:type="auto"/>
            <w:gridSpan w:val="3"/>
            <w:shd w:val="clear" w:color="auto" w:fill="CCEEFF"/>
            <w:tcMar>
              <w:top w:w="30" w:type="dxa"/>
              <w:left w:w="20" w:type="dxa"/>
              <w:bottom w:w="30" w:type="dxa"/>
              <w:right w:w="20" w:type="dxa"/>
            </w:tcMar>
            <w:vAlign w:val="bottom"/>
            <w:hideMark/>
          </w:tcPr>
          <w:p w14:paraId="16F5D0A4" w14:textId="77777777" w:rsidR="00000000" w:rsidRDefault="00EE5306">
            <w:pPr>
              <w:spacing w:after="100"/>
              <w:rPr>
                <w:rFonts w:eastAsia="Times New Roman"/>
              </w:rPr>
            </w:pPr>
            <w:r>
              <w:rPr>
                <w:rFonts w:eastAsia="Times New Roman"/>
                <w:color w:val="000000"/>
                <w:sz w:val="20"/>
                <w:szCs w:val="20"/>
              </w:rPr>
              <w:t>Weighted-average grant date fair value</w:t>
            </w:r>
          </w:p>
        </w:tc>
        <w:tc>
          <w:tcPr>
            <w:tcW w:w="0" w:type="auto"/>
            <w:gridSpan w:val="3"/>
            <w:shd w:val="clear" w:color="auto" w:fill="CCEEFF"/>
            <w:tcMar>
              <w:top w:w="0" w:type="dxa"/>
              <w:left w:w="20" w:type="dxa"/>
              <w:bottom w:w="0" w:type="dxa"/>
              <w:right w:w="20" w:type="dxa"/>
            </w:tcMar>
            <w:vAlign w:val="center"/>
            <w:hideMark/>
          </w:tcPr>
          <w:p w14:paraId="6F51CF55"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08BF31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F92235" w14:textId="77777777" w:rsidR="00000000" w:rsidRDefault="00EE5306">
            <w:pPr>
              <w:spacing w:after="100"/>
              <w:jc w:val="right"/>
              <w:rPr>
                <w:rFonts w:eastAsia="Times New Roman"/>
              </w:rPr>
            </w:pPr>
            <w:r>
              <w:rPr>
                <w:rFonts w:eastAsia="Times New Roman"/>
                <w:color w:val="000000"/>
                <w:sz w:val="20"/>
                <w:szCs w:val="20"/>
              </w:rPr>
              <w:t>90.59 </w:t>
            </w:r>
          </w:p>
        </w:tc>
        <w:tc>
          <w:tcPr>
            <w:tcW w:w="0" w:type="auto"/>
            <w:shd w:val="clear" w:color="auto" w:fill="CCEEFF"/>
            <w:tcMar>
              <w:top w:w="30" w:type="dxa"/>
              <w:left w:w="0" w:type="dxa"/>
              <w:bottom w:w="30" w:type="dxa"/>
              <w:right w:w="20" w:type="dxa"/>
            </w:tcMar>
            <w:vAlign w:val="bottom"/>
            <w:hideMark/>
          </w:tcPr>
          <w:p w14:paraId="07A1F9D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B4602"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B9B9C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D19F012" w14:textId="77777777" w:rsidR="00000000" w:rsidRDefault="00EE5306">
            <w:pPr>
              <w:spacing w:after="100"/>
              <w:jc w:val="right"/>
              <w:rPr>
                <w:rFonts w:eastAsia="Times New Roman"/>
              </w:rPr>
            </w:pPr>
            <w:r>
              <w:rPr>
                <w:rFonts w:eastAsia="Times New Roman"/>
                <w:color w:val="000000"/>
                <w:sz w:val="20"/>
                <w:szCs w:val="20"/>
              </w:rPr>
              <w:t>177.13 </w:t>
            </w:r>
          </w:p>
        </w:tc>
        <w:tc>
          <w:tcPr>
            <w:tcW w:w="0" w:type="auto"/>
            <w:shd w:val="clear" w:color="auto" w:fill="CCEEFF"/>
            <w:tcMar>
              <w:top w:w="30" w:type="dxa"/>
              <w:left w:w="0" w:type="dxa"/>
              <w:bottom w:w="30" w:type="dxa"/>
              <w:right w:w="20" w:type="dxa"/>
            </w:tcMar>
            <w:vAlign w:val="bottom"/>
            <w:hideMark/>
          </w:tcPr>
          <w:p w14:paraId="171BD362" w14:textId="77777777" w:rsidR="00000000" w:rsidRDefault="00EE5306">
            <w:pPr>
              <w:spacing w:after="100"/>
              <w:jc w:val="right"/>
              <w:rPr>
                <w:rFonts w:eastAsia="Times New Roman"/>
              </w:rPr>
            </w:pPr>
          </w:p>
        </w:tc>
      </w:tr>
    </w:tbl>
    <w:p w14:paraId="2484CE36" w14:textId="77777777" w:rsidR="00000000" w:rsidRDefault="00EE5306">
      <w:pPr>
        <w:ind w:firstLine="540"/>
        <w:jc w:val="both"/>
        <w:divId w:val="1419255461"/>
        <w:rPr>
          <w:rFonts w:eastAsia="Times New Roman"/>
        </w:rPr>
      </w:pPr>
      <w:r>
        <w:rPr>
          <w:rFonts w:eastAsia="Times New Roman"/>
          <w:color w:val="000000"/>
          <w:sz w:val="20"/>
          <w:szCs w:val="20"/>
        </w:rPr>
        <w:t>A summary of performance-based RSU activity including TSR awards during Fiscal 2021 is as follows:</w:t>
      </w:r>
    </w:p>
    <w:tbl>
      <w:tblPr>
        <w:tblW w:w="4729" w:type="pct"/>
        <w:tblCellMar>
          <w:top w:w="15" w:type="dxa"/>
          <w:left w:w="15" w:type="dxa"/>
          <w:bottom w:w="15" w:type="dxa"/>
          <w:right w:w="15" w:type="dxa"/>
        </w:tblCellMar>
        <w:tblLook w:val="04A0" w:firstRow="1" w:lastRow="0" w:firstColumn="1" w:lastColumn="0" w:noHBand="0" w:noVBand="1"/>
      </w:tblPr>
      <w:tblGrid>
        <w:gridCol w:w="44"/>
        <w:gridCol w:w="5841"/>
        <w:gridCol w:w="37"/>
        <w:gridCol w:w="36"/>
        <w:gridCol w:w="36"/>
        <w:gridCol w:w="36"/>
        <w:gridCol w:w="75"/>
        <w:gridCol w:w="759"/>
        <w:gridCol w:w="37"/>
        <w:gridCol w:w="36"/>
        <w:gridCol w:w="36"/>
        <w:gridCol w:w="36"/>
        <w:gridCol w:w="120"/>
        <w:gridCol w:w="691"/>
        <w:gridCol w:w="36"/>
      </w:tblGrid>
      <w:tr w:rsidR="00000000" w14:paraId="7F07E72A" w14:textId="77777777">
        <w:trPr>
          <w:divId w:val="26835590"/>
        </w:trPr>
        <w:tc>
          <w:tcPr>
            <w:tcW w:w="50" w:type="pct"/>
            <w:vAlign w:val="center"/>
            <w:hideMark/>
          </w:tcPr>
          <w:p w14:paraId="15E7B387" w14:textId="77777777" w:rsidR="00000000" w:rsidRDefault="00EE5306">
            <w:pPr>
              <w:ind w:firstLine="540"/>
              <w:jc w:val="both"/>
              <w:rPr>
                <w:rFonts w:eastAsia="Times New Roman"/>
              </w:rPr>
            </w:pPr>
          </w:p>
        </w:tc>
        <w:tc>
          <w:tcPr>
            <w:tcW w:w="3739" w:type="pct"/>
            <w:vAlign w:val="center"/>
            <w:hideMark/>
          </w:tcPr>
          <w:p w14:paraId="74DF0793" w14:textId="77777777" w:rsidR="00000000" w:rsidRDefault="00EE5306">
            <w:pPr>
              <w:spacing w:after="100"/>
              <w:rPr>
                <w:rFonts w:eastAsia="Times New Roman"/>
                <w:sz w:val="20"/>
                <w:szCs w:val="20"/>
              </w:rPr>
            </w:pPr>
          </w:p>
        </w:tc>
        <w:tc>
          <w:tcPr>
            <w:tcW w:w="5" w:type="pct"/>
            <w:vAlign w:val="center"/>
            <w:hideMark/>
          </w:tcPr>
          <w:p w14:paraId="2B3281D3" w14:textId="77777777" w:rsidR="00000000" w:rsidRDefault="00EE5306">
            <w:pPr>
              <w:spacing w:after="100"/>
              <w:rPr>
                <w:rFonts w:eastAsia="Times New Roman"/>
                <w:sz w:val="20"/>
                <w:szCs w:val="20"/>
              </w:rPr>
            </w:pPr>
          </w:p>
        </w:tc>
        <w:tc>
          <w:tcPr>
            <w:tcW w:w="5" w:type="pct"/>
            <w:vAlign w:val="center"/>
            <w:hideMark/>
          </w:tcPr>
          <w:p w14:paraId="4BAB3306" w14:textId="77777777" w:rsidR="00000000" w:rsidRDefault="00EE5306">
            <w:pPr>
              <w:spacing w:after="100"/>
              <w:rPr>
                <w:rFonts w:eastAsia="Times New Roman"/>
                <w:sz w:val="20"/>
                <w:szCs w:val="20"/>
              </w:rPr>
            </w:pPr>
          </w:p>
        </w:tc>
        <w:tc>
          <w:tcPr>
            <w:tcW w:w="28" w:type="pct"/>
            <w:vAlign w:val="center"/>
            <w:hideMark/>
          </w:tcPr>
          <w:p w14:paraId="01D14FF0" w14:textId="77777777" w:rsidR="00000000" w:rsidRDefault="00EE5306">
            <w:pPr>
              <w:spacing w:after="100"/>
              <w:rPr>
                <w:rFonts w:eastAsia="Times New Roman"/>
                <w:sz w:val="20"/>
                <w:szCs w:val="20"/>
              </w:rPr>
            </w:pPr>
          </w:p>
        </w:tc>
        <w:tc>
          <w:tcPr>
            <w:tcW w:w="5" w:type="pct"/>
            <w:vAlign w:val="center"/>
            <w:hideMark/>
          </w:tcPr>
          <w:p w14:paraId="55F46D19" w14:textId="77777777" w:rsidR="00000000" w:rsidRDefault="00EE5306">
            <w:pPr>
              <w:spacing w:after="100"/>
              <w:rPr>
                <w:rFonts w:eastAsia="Times New Roman"/>
                <w:sz w:val="20"/>
                <w:szCs w:val="20"/>
              </w:rPr>
            </w:pPr>
          </w:p>
        </w:tc>
        <w:tc>
          <w:tcPr>
            <w:tcW w:w="50" w:type="pct"/>
            <w:vAlign w:val="center"/>
            <w:hideMark/>
          </w:tcPr>
          <w:p w14:paraId="1D0A39CB" w14:textId="77777777" w:rsidR="00000000" w:rsidRDefault="00EE5306">
            <w:pPr>
              <w:spacing w:after="100"/>
              <w:rPr>
                <w:rFonts w:eastAsia="Times New Roman"/>
                <w:sz w:val="20"/>
                <w:szCs w:val="20"/>
              </w:rPr>
            </w:pPr>
          </w:p>
        </w:tc>
        <w:tc>
          <w:tcPr>
            <w:tcW w:w="509" w:type="pct"/>
            <w:vAlign w:val="center"/>
            <w:hideMark/>
          </w:tcPr>
          <w:p w14:paraId="2C57E5D5" w14:textId="77777777" w:rsidR="00000000" w:rsidRDefault="00EE5306">
            <w:pPr>
              <w:spacing w:after="100"/>
              <w:rPr>
                <w:rFonts w:eastAsia="Times New Roman"/>
                <w:sz w:val="20"/>
                <w:szCs w:val="20"/>
              </w:rPr>
            </w:pPr>
          </w:p>
        </w:tc>
        <w:tc>
          <w:tcPr>
            <w:tcW w:w="5" w:type="pct"/>
            <w:vAlign w:val="center"/>
            <w:hideMark/>
          </w:tcPr>
          <w:p w14:paraId="4318E1FD" w14:textId="77777777" w:rsidR="00000000" w:rsidRDefault="00EE5306">
            <w:pPr>
              <w:spacing w:after="100"/>
              <w:rPr>
                <w:rFonts w:eastAsia="Times New Roman"/>
                <w:sz w:val="20"/>
                <w:szCs w:val="20"/>
              </w:rPr>
            </w:pPr>
          </w:p>
        </w:tc>
        <w:tc>
          <w:tcPr>
            <w:tcW w:w="5" w:type="pct"/>
            <w:vAlign w:val="center"/>
            <w:hideMark/>
          </w:tcPr>
          <w:p w14:paraId="2CA276EF" w14:textId="77777777" w:rsidR="00000000" w:rsidRDefault="00EE5306">
            <w:pPr>
              <w:spacing w:after="100"/>
              <w:rPr>
                <w:rFonts w:eastAsia="Times New Roman"/>
                <w:sz w:val="20"/>
                <w:szCs w:val="20"/>
              </w:rPr>
            </w:pPr>
          </w:p>
        </w:tc>
        <w:tc>
          <w:tcPr>
            <w:tcW w:w="28" w:type="pct"/>
            <w:vAlign w:val="center"/>
            <w:hideMark/>
          </w:tcPr>
          <w:p w14:paraId="6FB9885C" w14:textId="77777777" w:rsidR="00000000" w:rsidRDefault="00EE5306">
            <w:pPr>
              <w:spacing w:after="100"/>
              <w:rPr>
                <w:rFonts w:eastAsia="Times New Roman"/>
                <w:sz w:val="20"/>
                <w:szCs w:val="20"/>
              </w:rPr>
            </w:pPr>
          </w:p>
        </w:tc>
        <w:tc>
          <w:tcPr>
            <w:tcW w:w="5" w:type="pct"/>
            <w:vAlign w:val="center"/>
            <w:hideMark/>
          </w:tcPr>
          <w:p w14:paraId="3BB133F3" w14:textId="77777777" w:rsidR="00000000" w:rsidRDefault="00EE5306">
            <w:pPr>
              <w:spacing w:after="100"/>
              <w:rPr>
                <w:rFonts w:eastAsia="Times New Roman"/>
                <w:sz w:val="20"/>
                <w:szCs w:val="20"/>
              </w:rPr>
            </w:pPr>
          </w:p>
        </w:tc>
        <w:tc>
          <w:tcPr>
            <w:tcW w:w="50" w:type="pct"/>
            <w:vAlign w:val="center"/>
            <w:hideMark/>
          </w:tcPr>
          <w:p w14:paraId="1822B4F1" w14:textId="77777777" w:rsidR="00000000" w:rsidRDefault="00EE5306">
            <w:pPr>
              <w:spacing w:after="100"/>
              <w:rPr>
                <w:rFonts w:eastAsia="Times New Roman"/>
                <w:sz w:val="20"/>
                <w:szCs w:val="20"/>
              </w:rPr>
            </w:pPr>
          </w:p>
        </w:tc>
        <w:tc>
          <w:tcPr>
            <w:tcW w:w="509" w:type="pct"/>
            <w:vAlign w:val="center"/>
            <w:hideMark/>
          </w:tcPr>
          <w:p w14:paraId="068435DB" w14:textId="77777777" w:rsidR="00000000" w:rsidRDefault="00EE5306">
            <w:pPr>
              <w:spacing w:after="100"/>
              <w:rPr>
                <w:rFonts w:eastAsia="Times New Roman"/>
                <w:sz w:val="20"/>
                <w:szCs w:val="20"/>
              </w:rPr>
            </w:pPr>
          </w:p>
        </w:tc>
        <w:tc>
          <w:tcPr>
            <w:tcW w:w="5" w:type="pct"/>
            <w:vAlign w:val="center"/>
            <w:hideMark/>
          </w:tcPr>
          <w:p w14:paraId="1912BDCC" w14:textId="77777777" w:rsidR="00000000" w:rsidRDefault="00EE5306">
            <w:pPr>
              <w:spacing w:after="100"/>
              <w:rPr>
                <w:rFonts w:eastAsia="Times New Roman"/>
                <w:sz w:val="20"/>
                <w:szCs w:val="20"/>
              </w:rPr>
            </w:pPr>
          </w:p>
        </w:tc>
      </w:tr>
      <w:tr w:rsidR="00000000" w14:paraId="12A27165" w14:textId="77777777">
        <w:trPr>
          <w:divId w:val="26835590"/>
        </w:trPr>
        <w:tc>
          <w:tcPr>
            <w:tcW w:w="0" w:type="auto"/>
            <w:gridSpan w:val="3"/>
            <w:tcMar>
              <w:top w:w="0" w:type="dxa"/>
              <w:left w:w="20" w:type="dxa"/>
              <w:bottom w:w="0" w:type="dxa"/>
              <w:right w:w="20" w:type="dxa"/>
            </w:tcMar>
            <w:vAlign w:val="center"/>
            <w:hideMark/>
          </w:tcPr>
          <w:p w14:paraId="6D3C2EF7"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E2AB8C" w14:textId="77777777" w:rsidR="00000000" w:rsidRDefault="00EE530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ADBF066" w14:textId="77777777" w:rsidR="00000000" w:rsidRDefault="00EE5306">
            <w:pPr>
              <w:spacing w:after="100"/>
              <w:jc w:val="center"/>
              <w:rPr>
                <w:rFonts w:eastAsia="Times New Roman"/>
              </w:rPr>
            </w:pPr>
            <w:r>
              <w:rPr>
                <w:rFonts w:eastAsia="Times New Roman"/>
                <w:b/>
                <w:bCs/>
                <w:color w:val="000000"/>
                <w:sz w:val="16"/>
                <w:szCs w:val="16"/>
              </w:rPr>
              <w:t>Performance-based</w:t>
            </w:r>
            <w:r>
              <w:rPr>
                <w:rFonts w:eastAsia="Times New Roman"/>
                <w:b/>
                <w:bCs/>
                <w:color w:val="000000"/>
                <w:sz w:val="16"/>
                <w:szCs w:val="16"/>
              </w:rPr>
              <w:br/>
              <w:t>RSUs</w:t>
            </w:r>
          </w:p>
        </w:tc>
      </w:tr>
      <w:tr w:rsidR="00000000" w14:paraId="21A93FBC" w14:textId="77777777">
        <w:trPr>
          <w:divId w:val="26835590"/>
        </w:trPr>
        <w:tc>
          <w:tcPr>
            <w:tcW w:w="0" w:type="auto"/>
            <w:gridSpan w:val="3"/>
            <w:tcMar>
              <w:top w:w="0" w:type="dxa"/>
              <w:left w:w="20" w:type="dxa"/>
              <w:bottom w:w="0" w:type="dxa"/>
              <w:right w:w="20" w:type="dxa"/>
            </w:tcMar>
            <w:vAlign w:val="center"/>
            <w:hideMark/>
          </w:tcPr>
          <w:p w14:paraId="7CE4D860"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24DCCEA"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DBB1888" w14:textId="77777777" w:rsidR="00000000" w:rsidRDefault="00EE5306">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Borders>
              <w:top w:val="single" w:sz="8" w:space="0" w:color="000000"/>
            </w:tcBorders>
            <w:tcMar>
              <w:top w:w="0" w:type="dxa"/>
              <w:left w:w="20" w:type="dxa"/>
              <w:bottom w:w="0" w:type="dxa"/>
              <w:right w:w="20" w:type="dxa"/>
            </w:tcMar>
            <w:vAlign w:val="center"/>
            <w:hideMark/>
          </w:tcPr>
          <w:p w14:paraId="7DA8E60E"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8EA052" w14:textId="77777777" w:rsidR="00000000" w:rsidRDefault="00EE5306">
            <w:pPr>
              <w:spacing w:after="100"/>
              <w:jc w:val="center"/>
              <w:rPr>
                <w:rFonts w:eastAsia="Times New Roman"/>
              </w:rPr>
            </w:pPr>
            <w:r>
              <w:rPr>
                <w:rFonts w:eastAsia="Times New Roman"/>
                <w:b/>
                <w:bCs/>
                <w:color w:val="000000"/>
                <w:sz w:val="16"/>
                <w:szCs w:val="16"/>
              </w:rPr>
              <w:t>Weighted-Average Grant Date Fair Value</w:t>
            </w:r>
          </w:p>
        </w:tc>
      </w:tr>
      <w:tr w:rsidR="00000000" w14:paraId="5C4E2507" w14:textId="77777777">
        <w:trPr>
          <w:divId w:val="26835590"/>
        </w:trPr>
        <w:tc>
          <w:tcPr>
            <w:tcW w:w="0" w:type="auto"/>
            <w:gridSpan w:val="3"/>
            <w:tcMar>
              <w:top w:w="30" w:type="dxa"/>
              <w:left w:w="20" w:type="dxa"/>
              <w:bottom w:w="30" w:type="dxa"/>
              <w:right w:w="20" w:type="dxa"/>
            </w:tcMar>
            <w:vAlign w:val="bottom"/>
            <w:hideMark/>
          </w:tcPr>
          <w:p w14:paraId="74FECFE2"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E7A00F8"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840B46" w14:textId="77777777" w:rsidR="00000000" w:rsidRDefault="00EE5306">
            <w:pPr>
              <w:spacing w:after="100"/>
              <w:jc w:val="center"/>
              <w:rPr>
                <w:rFonts w:eastAsia="Times New Roman"/>
              </w:rPr>
            </w:pPr>
            <w:r>
              <w:rPr>
                <w:rFonts w:eastAsia="Times New Roman"/>
                <w:b/>
                <w:bCs/>
                <w:color w:val="000000"/>
                <w:sz w:val="16"/>
                <w:szCs w:val="16"/>
              </w:rPr>
              <w:t>(thousands)</w:t>
            </w:r>
          </w:p>
        </w:tc>
        <w:tc>
          <w:tcPr>
            <w:tcW w:w="0" w:type="auto"/>
            <w:gridSpan w:val="3"/>
            <w:tcMar>
              <w:top w:w="0" w:type="dxa"/>
              <w:left w:w="20" w:type="dxa"/>
              <w:bottom w:w="0" w:type="dxa"/>
              <w:right w:w="20" w:type="dxa"/>
            </w:tcMar>
            <w:vAlign w:val="center"/>
            <w:hideMark/>
          </w:tcPr>
          <w:p w14:paraId="39B16CE6"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6AB7FAE" w14:textId="77777777" w:rsidR="00000000" w:rsidRDefault="00EE5306">
            <w:pPr>
              <w:spacing w:after="100"/>
              <w:rPr>
                <w:rFonts w:eastAsia="Times New Roman"/>
                <w:sz w:val="20"/>
                <w:szCs w:val="20"/>
              </w:rPr>
            </w:pPr>
          </w:p>
        </w:tc>
      </w:tr>
      <w:tr w:rsidR="00000000" w14:paraId="717A8823" w14:textId="77777777">
        <w:trPr>
          <w:divId w:val="26835590"/>
        </w:trPr>
        <w:tc>
          <w:tcPr>
            <w:tcW w:w="0" w:type="auto"/>
            <w:gridSpan w:val="3"/>
            <w:shd w:val="clear" w:color="auto" w:fill="CCEEFF"/>
            <w:tcMar>
              <w:top w:w="30" w:type="dxa"/>
              <w:left w:w="20" w:type="dxa"/>
              <w:bottom w:w="30" w:type="dxa"/>
              <w:right w:w="20" w:type="dxa"/>
            </w:tcMar>
            <w:vAlign w:val="bottom"/>
            <w:hideMark/>
          </w:tcPr>
          <w:p w14:paraId="3CEF702F" w14:textId="77777777" w:rsidR="00000000" w:rsidRDefault="00EE5306">
            <w:pPr>
              <w:spacing w:after="100"/>
              <w:rPr>
                <w:rFonts w:eastAsia="Times New Roman"/>
              </w:rPr>
            </w:pPr>
            <w:r>
              <w:rPr>
                <w:rFonts w:eastAsia="Times New Roman"/>
                <w:color w:val="000000"/>
                <w:sz w:val="20"/>
                <w:szCs w:val="20"/>
              </w:rPr>
              <w:t>Nonvested at March 28, 2020</w:t>
            </w:r>
          </w:p>
        </w:tc>
        <w:tc>
          <w:tcPr>
            <w:tcW w:w="0" w:type="auto"/>
            <w:gridSpan w:val="3"/>
            <w:shd w:val="clear" w:color="auto" w:fill="CCEEFF"/>
            <w:tcMar>
              <w:top w:w="0" w:type="dxa"/>
              <w:left w:w="20" w:type="dxa"/>
              <w:bottom w:w="0" w:type="dxa"/>
              <w:right w:w="20" w:type="dxa"/>
            </w:tcMar>
            <w:vAlign w:val="center"/>
            <w:hideMark/>
          </w:tcPr>
          <w:p w14:paraId="48AF9177"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6C6CA2" w14:textId="77777777" w:rsidR="00000000" w:rsidRDefault="00EE5306">
            <w:pPr>
              <w:spacing w:after="100"/>
              <w:jc w:val="right"/>
              <w:rPr>
                <w:rFonts w:eastAsia="Times New Roman"/>
              </w:rPr>
            </w:pPr>
            <w:r>
              <w:rPr>
                <w:rFonts w:eastAsia="Times New Roman"/>
                <w:color w:val="000000"/>
                <w:sz w:val="20"/>
                <w:szCs w:val="20"/>
              </w:rPr>
              <w:t>1,168 </w:t>
            </w:r>
          </w:p>
        </w:tc>
        <w:tc>
          <w:tcPr>
            <w:tcW w:w="0" w:type="auto"/>
            <w:shd w:val="clear" w:color="auto" w:fill="CCEEFF"/>
            <w:tcMar>
              <w:top w:w="30" w:type="dxa"/>
              <w:left w:w="0" w:type="dxa"/>
              <w:bottom w:w="30" w:type="dxa"/>
              <w:right w:w="20" w:type="dxa"/>
            </w:tcMar>
            <w:vAlign w:val="bottom"/>
            <w:hideMark/>
          </w:tcPr>
          <w:p w14:paraId="649033A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98AD9"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F054C3"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F0A3F1" w14:textId="77777777" w:rsidR="00000000" w:rsidRDefault="00EE5306">
            <w:pPr>
              <w:spacing w:after="100"/>
              <w:jc w:val="right"/>
              <w:rPr>
                <w:rFonts w:eastAsia="Times New Roman"/>
              </w:rPr>
            </w:pPr>
            <w:r>
              <w:rPr>
                <w:rFonts w:eastAsia="Times New Roman"/>
                <w:color w:val="000000"/>
                <w:sz w:val="20"/>
                <w:szCs w:val="20"/>
              </w:rPr>
              <w:t>89.97 </w:t>
            </w:r>
          </w:p>
        </w:tc>
        <w:tc>
          <w:tcPr>
            <w:tcW w:w="0" w:type="auto"/>
            <w:shd w:val="clear" w:color="auto" w:fill="CCEEFF"/>
            <w:tcMar>
              <w:top w:w="30" w:type="dxa"/>
              <w:left w:w="0" w:type="dxa"/>
              <w:bottom w:w="30" w:type="dxa"/>
              <w:right w:w="20" w:type="dxa"/>
            </w:tcMar>
            <w:vAlign w:val="bottom"/>
            <w:hideMark/>
          </w:tcPr>
          <w:p w14:paraId="25CE2BFE" w14:textId="77777777" w:rsidR="00000000" w:rsidRDefault="00EE5306">
            <w:pPr>
              <w:spacing w:after="100"/>
              <w:jc w:val="right"/>
              <w:rPr>
                <w:rFonts w:eastAsia="Times New Roman"/>
              </w:rPr>
            </w:pPr>
          </w:p>
        </w:tc>
      </w:tr>
      <w:tr w:rsidR="00000000" w14:paraId="13AE4496" w14:textId="77777777">
        <w:trPr>
          <w:divId w:val="26835590"/>
        </w:trPr>
        <w:tc>
          <w:tcPr>
            <w:tcW w:w="0" w:type="auto"/>
            <w:gridSpan w:val="3"/>
            <w:shd w:val="clear" w:color="auto" w:fill="FFFFFF"/>
            <w:tcMar>
              <w:top w:w="30" w:type="dxa"/>
              <w:left w:w="155" w:type="dxa"/>
              <w:bottom w:w="30" w:type="dxa"/>
              <w:right w:w="20" w:type="dxa"/>
            </w:tcMar>
            <w:vAlign w:val="bottom"/>
            <w:hideMark/>
          </w:tcPr>
          <w:p w14:paraId="04C590E4" w14:textId="77777777" w:rsidR="00000000" w:rsidRDefault="00EE5306">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14:paraId="2A543D2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BA5E66"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C4647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F1B59"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ED8F14F" w14:textId="77777777" w:rsidR="00000000" w:rsidRDefault="00EE5306">
            <w:pPr>
              <w:spacing w:after="100"/>
              <w:jc w:val="right"/>
              <w:rPr>
                <w:rFonts w:eastAsia="Times New Roman"/>
              </w:rPr>
            </w:pPr>
            <w:r>
              <w:rPr>
                <w:rFonts w:eastAsia="Times New Roman"/>
                <w:color w:val="000000"/>
                <w:sz w:val="20"/>
                <w:szCs w:val="20"/>
              </w:rPr>
              <w:t>N/A</w:t>
            </w:r>
          </w:p>
        </w:tc>
      </w:tr>
      <w:tr w:rsidR="00000000" w14:paraId="2AB1F622" w14:textId="77777777">
        <w:trPr>
          <w:divId w:val="26835590"/>
        </w:trPr>
        <w:tc>
          <w:tcPr>
            <w:tcW w:w="0" w:type="auto"/>
            <w:gridSpan w:val="3"/>
            <w:shd w:val="clear" w:color="auto" w:fill="CCEEFF"/>
            <w:tcMar>
              <w:top w:w="30" w:type="dxa"/>
              <w:left w:w="335" w:type="dxa"/>
              <w:bottom w:w="30" w:type="dxa"/>
              <w:right w:w="20" w:type="dxa"/>
            </w:tcMar>
            <w:vAlign w:val="bottom"/>
            <w:hideMark/>
          </w:tcPr>
          <w:p w14:paraId="1F89DCBA" w14:textId="77777777" w:rsidR="00000000" w:rsidRDefault="00EE5306">
            <w:pPr>
              <w:spacing w:after="100"/>
              <w:ind w:hanging="180"/>
              <w:rPr>
                <w:rFonts w:eastAsia="Times New Roman"/>
              </w:rPr>
            </w:pPr>
            <w:r>
              <w:rPr>
                <w:rFonts w:eastAsia="Times New Roman"/>
                <w:color w:val="000000"/>
                <w:sz w:val="20"/>
                <w:szCs w:val="20"/>
              </w:rPr>
              <w:t>Change due to performance and/or market condition achievement</w:t>
            </w:r>
          </w:p>
        </w:tc>
        <w:tc>
          <w:tcPr>
            <w:tcW w:w="0" w:type="auto"/>
            <w:gridSpan w:val="3"/>
            <w:shd w:val="clear" w:color="auto" w:fill="CCEEFF"/>
            <w:tcMar>
              <w:top w:w="0" w:type="dxa"/>
              <w:left w:w="20" w:type="dxa"/>
              <w:bottom w:w="0" w:type="dxa"/>
              <w:right w:w="20" w:type="dxa"/>
            </w:tcMar>
            <w:vAlign w:val="center"/>
            <w:hideMark/>
          </w:tcPr>
          <w:p w14:paraId="06E581D2" w14:textId="77777777" w:rsidR="00000000" w:rsidRDefault="00EE530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B21C3F" w14:textId="77777777" w:rsidR="00000000" w:rsidRDefault="00EE5306">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14:paraId="24F2774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5AE5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8DFC27" w14:textId="77777777" w:rsidR="00000000" w:rsidRDefault="00EE5306">
            <w:pPr>
              <w:spacing w:after="100"/>
              <w:jc w:val="right"/>
              <w:rPr>
                <w:rFonts w:eastAsia="Times New Roman"/>
              </w:rPr>
            </w:pPr>
            <w:r>
              <w:rPr>
                <w:rFonts w:eastAsia="Times New Roman"/>
                <w:color w:val="000000"/>
                <w:sz w:val="20"/>
                <w:szCs w:val="20"/>
              </w:rPr>
              <w:t>69.82 </w:t>
            </w:r>
          </w:p>
        </w:tc>
        <w:tc>
          <w:tcPr>
            <w:tcW w:w="0" w:type="auto"/>
            <w:shd w:val="clear" w:color="auto" w:fill="CCEEFF"/>
            <w:tcMar>
              <w:top w:w="30" w:type="dxa"/>
              <w:left w:w="0" w:type="dxa"/>
              <w:bottom w:w="30" w:type="dxa"/>
              <w:right w:w="20" w:type="dxa"/>
            </w:tcMar>
            <w:vAlign w:val="bottom"/>
            <w:hideMark/>
          </w:tcPr>
          <w:p w14:paraId="260F0EA7" w14:textId="77777777" w:rsidR="00000000" w:rsidRDefault="00EE5306">
            <w:pPr>
              <w:spacing w:after="100"/>
              <w:jc w:val="right"/>
              <w:rPr>
                <w:rFonts w:eastAsia="Times New Roman"/>
              </w:rPr>
            </w:pPr>
          </w:p>
        </w:tc>
      </w:tr>
      <w:tr w:rsidR="00000000" w14:paraId="6755FF31" w14:textId="77777777">
        <w:trPr>
          <w:divId w:val="26835590"/>
        </w:trPr>
        <w:tc>
          <w:tcPr>
            <w:tcW w:w="0" w:type="auto"/>
            <w:gridSpan w:val="3"/>
            <w:shd w:val="clear" w:color="auto" w:fill="FFFFFF"/>
            <w:tcMar>
              <w:top w:w="30" w:type="dxa"/>
              <w:left w:w="155" w:type="dxa"/>
              <w:bottom w:w="30" w:type="dxa"/>
              <w:right w:w="20" w:type="dxa"/>
            </w:tcMar>
            <w:vAlign w:val="bottom"/>
            <w:hideMark/>
          </w:tcPr>
          <w:p w14:paraId="083C4B8C" w14:textId="77777777" w:rsidR="00000000" w:rsidRDefault="00EE5306">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14:paraId="0C2B017F"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E50B20" w14:textId="77777777" w:rsidR="00000000" w:rsidRDefault="00EE5306">
            <w:pPr>
              <w:spacing w:after="100"/>
              <w:jc w:val="right"/>
              <w:rPr>
                <w:rFonts w:eastAsia="Times New Roman"/>
              </w:rPr>
            </w:pPr>
            <w:r>
              <w:rPr>
                <w:rFonts w:eastAsia="Times New Roman"/>
                <w:color w:val="000000"/>
                <w:sz w:val="20"/>
                <w:szCs w:val="20"/>
              </w:rPr>
              <w:t>(720)</w:t>
            </w:r>
          </w:p>
        </w:tc>
        <w:tc>
          <w:tcPr>
            <w:tcW w:w="0" w:type="auto"/>
            <w:shd w:val="clear" w:color="auto" w:fill="FFFFFF"/>
            <w:tcMar>
              <w:top w:w="30" w:type="dxa"/>
              <w:left w:w="0" w:type="dxa"/>
              <w:bottom w:w="30" w:type="dxa"/>
              <w:right w:w="20" w:type="dxa"/>
            </w:tcMar>
            <w:vAlign w:val="bottom"/>
            <w:hideMark/>
          </w:tcPr>
          <w:p w14:paraId="35E8A7F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154D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9FFA2B" w14:textId="77777777" w:rsidR="00000000" w:rsidRDefault="00EE5306">
            <w:pPr>
              <w:spacing w:after="100"/>
              <w:jc w:val="right"/>
              <w:rPr>
                <w:rFonts w:eastAsia="Times New Roman"/>
              </w:rPr>
            </w:pPr>
            <w:r>
              <w:rPr>
                <w:rFonts w:eastAsia="Times New Roman"/>
                <w:color w:val="000000"/>
                <w:sz w:val="20"/>
                <w:szCs w:val="20"/>
              </w:rPr>
              <w:t>71.46 </w:t>
            </w:r>
          </w:p>
        </w:tc>
        <w:tc>
          <w:tcPr>
            <w:tcW w:w="0" w:type="auto"/>
            <w:shd w:val="clear" w:color="auto" w:fill="FFFFFF"/>
            <w:tcMar>
              <w:top w:w="30" w:type="dxa"/>
              <w:left w:w="0" w:type="dxa"/>
              <w:bottom w:w="30" w:type="dxa"/>
              <w:right w:w="20" w:type="dxa"/>
            </w:tcMar>
            <w:vAlign w:val="bottom"/>
            <w:hideMark/>
          </w:tcPr>
          <w:p w14:paraId="614D2374" w14:textId="77777777" w:rsidR="00000000" w:rsidRDefault="00EE5306">
            <w:pPr>
              <w:spacing w:after="100"/>
              <w:jc w:val="right"/>
              <w:rPr>
                <w:rFonts w:eastAsia="Times New Roman"/>
              </w:rPr>
            </w:pPr>
          </w:p>
        </w:tc>
      </w:tr>
      <w:tr w:rsidR="00000000" w14:paraId="5185AD53" w14:textId="77777777">
        <w:trPr>
          <w:divId w:val="26835590"/>
        </w:trPr>
        <w:tc>
          <w:tcPr>
            <w:tcW w:w="0" w:type="auto"/>
            <w:gridSpan w:val="3"/>
            <w:shd w:val="clear" w:color="auto" w:fill="CCEEFF"/>
            <w:tcMar>
              <w:top w:w="30" w:type="dxa"/>
              <w:left w:w="155" w:type="dxa"/>
              <w:bottom w:w="30" w:type="dxa"/>
              <w:right w:w="20" w:type="dxa"/>
            </w:tcMar>
            <w:vAlign w:val="bottom"/>
            <w:hideMark/>
          </w:tcPr>
          <w:p w14:paraId="692BE3C6" w14:textId="77777777" w:rsidR="00000000" w:rsidRDefault="00EE5306">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14:paraId="53CE0F2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27238E" w14:textId="77777777" w:rsidR="00000000" w:rsidRDefault="00EE5306">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14:paraId="2F8BCBC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4D52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410BEF" w14:textId="77777777" w:rsidR="00000000" w:rsidRDefault="00EE5306">
            <w:pPr>
              <w:spacing w:after="100"/>
              <w:jc w:val="right"/>
              <w:rPr>
                <w:rFonts w:eastAsia="Times New Roman"/>
              </w:rPr>
            </w:pPr>
            <w:r>
              <w:rPr>
                <w:rFonts w:eastAsia="Times New Roman"/>
                <w:color w:val="000000"/>
                <w:sz w:val="20"/>
                <w:szCs w:val="20"/>
              </w:rPr>
              <w:t>92.11 </w:t>
            </w:r>
          </w:p>
        </w:tc>
        <w:tc>
          <w:tcPr>
            <w:tcW w:w="0" w:type="auto"/>
            <w:shd w:val="clear" w:color="auto" w:fill="CCEEFF"/>
            <w:tcMar>
              <w:top w:w="30" w:type="dxa"/>
              <w:left w:w="0" w:type="dxa"/>
              <w:bottom w:w="30" w:type="dxa"/>
              <w:right w:w="20" w:type="dxa"/>
            </w:tcMar>
            <w:vAlign w:val="bottom"/>
            <w:hideMark/>
          </w:tcPr>
          <w:p w14:paraId="5573AB76" w14:textId="77777777" w:rsidR="00000000" w:rsidRDefault="00EE5306">
            <w:pPr>
              <w:spacing w:after="100"/>
              <w:jc w:val="right"/>
              <w:rPr>
                <w:rFonts w:eastAsia="Times New Roman"/>
              </w:rPr>
            </w:pPr>
          </w:p>
        </w:tc>
      </w:tr>
      <w:tr w:rsidR="00000000" w14:paraId="6B46DA9D" w14:textId="77777777">
        <w:trPr>
          <w:divId w:val="26835590"/>
        </w:trPr>
        <w:tc>
          <w:tcPr>
            <w:tcW w:w="0" w:type="auto"/>
            <w:gridSpan w:val="3"/>
            <w:shd w:val="clear" w:color="auto" w:fill="FFFFFF"/>
            <w:tcMar>
              <w:top w:w="30" w:type="dxa"/>
              <w:left w:w="20" w:type="dxa"/>
              <w:bottom w:w="30" w:type="dxa"/>
              <w:right w:w="20" w:type="dxa"/>
            </w:tcMar>
            <w:vAlign w:val="bottom"/>
            <w:hideMark/>
          </w:tcPr>
          <w:p w14:paraId="105732BB" w14:textId="77777777" w:rsidR="00000000" w:rsidRDefault="00EE5306">
            <w:pPr>
              <w:spacing w:after="100"/>
              <w:rPr>
                <w:rFonts w:eastAsia="Times New Roman"/>
              </w:rPr>
            </w:pPr>
            <w:r>
              <w:rPr>
                <w:rFonts w:eastAsia="Times New Roman"/>
                <w:color w:val="000000"/>
                <w:sz w:val="20"/>
                <w:szCs w:val="20"/>
              </w:rPr>
              <w:t>Nonvested at March 27, 2021</w:t>
            </w:r>
          </w:p>
        </w:tc>
        <w:tc>
          <w:tcPr>
            <w:tcW w:w="0" w:type="auto"/>
            <w:gridSpan w:val="3"/>
            <w:shd w:val="clear" w:color="auto" w:fill="FFFFFF"/>
            <w:tcMar>
              <w:top w:w="0" w:type="dxa"/>
              <w:left w:w="20" w:type="dxa"/>
              <w:bottom w:w="0" w:type="dxa"/>
              <w:right w:w="20" w:type="dxa"/>
            </w:tcMar>
            <w:vAlign w:val="center"/>
            <w:hideMark/>
          </w:tcPr>
          <w:p w14:paraId="7C41E0C9" w14:textId="77777777" w:rsidR="00000000" w:rsidRDefault="00EE530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596959" w14:textId="77777777" w:rsidR="00000000" w:rsidRDefault="00EE5306">
            <w:pPr>
              <w:spacing w:after="100"/>
              <w:jc w:val="right"/>
              <w:rPr>
                <w:rFonts w:eastAsia="Times New Roman"/>
              </w:rPr>
            </w:pPr>
            <w:r>
              <w:rPr>
                <w:rFonts w:eastAsia="Times New Roman"/>
                <w:color w:val="000000"/>
                <w:sz w:val="20"/>
                <w:szCs w:val="20"/>
              </w:rPr>
              <w:t>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2B253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F9D6D"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872E6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0BC3B1" w14:textId="77777777" w:rsidR="00000000" w:rsidRDefault="00EE5306">
            <w:pPr>
              <w:spacing w:after="100"/>
              <w:jc w:val="right"/>
              <w:rPr>
                <w:rFonts w:eastAsia="Times New Roman"/>
              </w:rPr>
            </w:pPr>
            <w:r>
              <w:rPr>
                <w:rFonts w:eastAsia="Times New Roman"/>
                <w:color w:val="000000"/>
                <w:sz w:val="20"/>
                <w:szCs w:val="20"/>
              </w:rPr>
              <w:t>105.85 </w:t>
            </w:r>
          </w:p>
        </w:tc>
        <w:tc>
          <w:tcPr>
            <w:tcW w:w="0" w:type="auto"/>
            <w:shd w:val="clear" w:color="auto" w:fill="FFFFFF"/>
            <w:tcMar>
              <w:top w:w="30" w:type="dxa"/>
              <w:left w:w="0" w:type="dxa"/>
              <w:bottom w:w="30" w:type="dxa"/>
              <w:right w:w="20" w:type="dxa"/>
            </w:tcMar>
            <w:vAlign w:val="bottom"/>
            <w:hideMark/>
          </w:tcPr>
          <w:p w14:paraId="5B5F1F76" w14:textId="77777777" w:rsidR="00000000" w:rsidRDefault="00EE5306">
            <w:pPr>
              <w:spacing w:after="100"/>
              <w:jc w:val="right"/>
              <w:rPr>
                <w:rFonts w:eastAsia="Times New Roman"/>
              </w:rPr>
            </w:pPr>
          </w:p>
        </w:tc>
      </w:tr>
    </w:tbl>
    <w:tbl>
      <w:tblPr>
        <w:tblW w:w="4736" w:type="pct"/>
        <w:tblCellMar>
          <w:top w:w="15" w:type="dxa"/>
          <w:left w:w="15" w:type="dxa"/>
          <w:bottom w:w="15" w:type="dxa"/>
          <w:right w:w="15" w:type="dxa"/>
        </w:tblCellMar>
        <w:tblLook w:val="04A0" w:firstRow="1" w:lastRow="0" w:firstColumn="1" w:lastColumn="0" w:noHBand="0" w:noVBand="1"/>
      </w:tblPr>
      <w:tblGrid>
        <w:gridCol w:w="144"/>
        <w:gridCol w:w="6504"/>
        <w:gridCol w:w="144"/>
        <w:gridCol w:w="144"/>
        <w:gridCol w:w="144"/>
        <w:gridCol w:w="144"/>
        <w:gridCol w:w="144"/>
        <w:gridCol w:w="1126"/>
        <w:gridCol w:w="144"/>
      </w:tblGrid>
      <w:tr w:rsidR="00000000" w14:paraId="77CB9CF6" w14:textId="77777777">
        <w:tc>
          <w:tcPr>
            <w:tcW w:w="50" w:type="pct"/>
            <w:vAlign w:val="center"/>
            <w:hideMark/>
          </w:tcPr>
          <w:p w14:paraId="183DB6B1" w14:textId="77777777" w:rsidR="00000000" w:rsidRDefault="00EE5306">
            <w:pPr>
              <w:rPr>
                <w:rFonts w:eastAsia="Times New Roman"/>
              </w:rPr>
            </w:pPr>
          </w:p>
        </w:tc>
        <w:tc>
          <w:tcPr>
            <w:tcW w:w="4134" w:type="pct"/>
            <w:vAlign w:val="center"/>
            <w:hideMark/>
          </w:tcPr>
          <w:p w14:paraId="12966F4F" w14:textId="77777777" w:rsidR="00000000" w:rsidRDefault="00EE5306">
            <w:pPr>
              <w:spacing w:after="100"/>
              <w:rPr>
                <w:rFonts w:eastAsia="Times New Roman"/>
                <w:sz w:val="20"/>
                <w:szCs w:val="20"/>
              </w:rPr>
            </w:pPr>
          </w:p>
        </w:tc>
        <w:tc>
          <w:tcPr>
            <w:tcW w:w="5" w:type="pct"/>
            <w:vAlign w:val="center"/>
            <w:hideMark/>
          </w:tcPr>
          <w:p w14:paraId="3038D65C" w14:textId="77777777" w:rsidR="00000000" w:rsidRDefault="00EE5306">
            <w:pPr>
              <w:spacing w:after="100"/>
              <w:rPr>
                <w:rFonts w:eastAsia="Times New Roman"/>
                <w:sz w:val="20"/>
                <w:szCs w:val="20"/>
              </w:rPr>
            </w:pPr>
          </w:p>
        </w:tc>
        <w:tc>
          <w:tcPr>
            <w:tcW w:w="5" w:type="pct"/>
            <w:vAlign w:val="center"/>
            <w:hideMark/>
          </w:tcPr>
          <w:p w14:paraId="0F8444CB" w14:textId="77777777" w:rsidR="00000000" w:rsidRDefault="00EE5306">
            <w:pPr>
              <w:spacing w:after="100"/>
              <w:rPr>
                <w:rFonts w:eastAsia="Times New Roman"/>
                <w:sz w:val="20"/>
                <w:szCs w:val="20"/>
              </w:rPr>
            </w:pPr>
          </w:p>
        </w:tc>
        <w:tc>
          <w:tcPr>
            <w:tcW w:w="28" w:type="pct"/>
            <w:vAlign w:val="center"/>
            <w:hideMark/>
          </w:tcPr>
          <w:p w14:paraId="604FCA27" w14:textId="77777777" w:rsidR="00000000" w:rsidRDefault="00EE5306">
            <w:pPr>
              <w:spacing w:after="100"/>
              <w:rPr>
                <w:rFonts w:eastAsia="Times New Roman"/>
                <w:sz w:val="20"/>
                <w:szCs w:val="20"/>
              </w:rPr>
            </w:pPr>
          </w:p>
        </w:tc>
        <w:tc>
          <w:tcPr>
            <w:tcW w:w="5" w:type="pct"/>
            <w:vAlign w:val="center"/>
            <w:hideMark/>
          </w:tcPr>
          <w:p w14:paraId="700B3306" w14:textId="77777777" w:rsidR="00000000" w:rsidRDefault="00EE5306">
            <w:pPr>
              <w:spacing w:after="100"/>
              <w:rPr>
                <w:rFonts w:eastAsia="Times New Roman"/>
                <w:sz w:val="20"/>
                <w:szCs w:val="20"/>
              </w:rPr>
            </w:pPr>
          </w:p>
        </w:tc>
        <w:tc>
          <w:tcPr>
            <w:tcW w:w="50" w:type="pct"/>
            <w:vAlign w:val="center"/>
            <w:hideMark/>
          </w:tcPr>
          <w:p w14:paraId="78B16CDB" w14:textId="77777777" w:rsidR="00000000" w:rsidRDefault="00EE5306">
            <w:pPr>
              <w:spacing w:after="100"/>
              <w:rPr>
                <w:rFonts w:eastAsia="Times New Roman"/>
                <w:sz w:val="20"/>
                <w:szCs w:val="20"/>
              </w:rPr>
            </w:pPr>
          </w:p>
        </w:tc>
        <w:tc>
          <w:tcPr>
            <w:tcW w:w="716" w:type="pct"/>
            <w:vAlign w:val="center"/>
            <w:hideMark/>
          </w:tcPr>
          <w:p w14:paraId="49A9FB2E" w14:textId="77777777" w:rsidR="00000000" w:rsidRDefault="00EE5306">
            <w:pPr>
              <w:spacing w:after="100"/>
              <w:rPr>
                <w:rFonts w:eastAsia="Times New Roman"/>
                <w:sz w:val="20"/>
                <w:szCs w:val="20"/>
              </w:rPr>
            </w:pPr>
          </w:p>
        </w:tc>
        <w:tc>
          <w:tcPr>
            <w:tcW w:w="5" w:type="pct"/>
            <w:vAlign w:val="center"/>
            <w:hideMark/>
          </w:tcPr>
          <w:p w14:paraId="1915E3AA" w14:textId="77777777" w:rsidR="00000000" w:rsidRDefault="00EE5306">
            <w:pPr>
              <w:spacing w:after="100"/>
              <w:rPr>
                <w:rFonts w:eastAsia="Times New Roman"/>
                <w:sz w:val="20"/>
                <w:szCs w:val="20"/>
              </w:rPr>
            </w:pPr>
          </w:p>
        </w:tc>
      </w:tr>
      <w:tr w:rsidR="00000000" w14:paraId="0D7E56C9" w14:textId="77777777">
        <w:tc>
          <w:tcPr>
            <w:tcW w:w="0" w:type="auto"/>
            <w:gridSpan w:val="3"/>
            <w:tcMar>
              <w:top w:w="0" w:type="dxa"/>
              <w:left w:w="20" w:type="dxa"/>
              <w:bottom w:w="0" w:type="dxa"/>
              <w:right w:w="20" w:type="dxa"/>
            </w:tcMar>
            <w:vAlign w:val="center"/>
            <w:hideMark/>
          </w:tcPr>
          <w:p w14:paraId="59519003"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0EACAA"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302CCFA" w14:textId="77777777" w:rsidR="00000000" w:rsidRDefault="00EE5306">
            <w:pPr>
              <w:spacing w:after="100"/>
              <w:jc w:val="center"/>
              <w:rPr>
                <w:rFonts w:eastAsia="Times New Roman"/>
              </w:rPr>
            </w:pPr>
            <w:r>
              <w:rPr>
                <w:rFonts w:eastAsia="Times New Roman"/>
                <w:b/>
                <w:bCs/>
                <w:color w:val="000000"/>
                <w:sz w:val="16"/>
                <w:szCs w:val="16"/>
              </w:rPr>
              <w:t>Performance-based</w:t>
            </w:r>
            <w:r>
              <w:rPr>
                <w:rFonts w:eastAsia="Times New Roman"/>
                <w:b/>
                <w:bCs/>
                <w:color w:val="000000"/>
                <w:sz w:val="16"/>
                <w:szCs w:val="16"/>
              </w:rPr>
              <w:br/>
              <w:t>RSUs</w:t>
            </w:r>
          </w:p>
        </w:tc>
      </w:tr>
      <w:tr w:rsidR="00000000" w14:paraId="7196C7A5" w14:textId="77777777">
        <w:tc>
          <w:tcPr>
            <w:tcW w:w="0" w:type="auto"/>
            <w:gridSpan w:val="3"/>
            <w:shd w:val="clear" w:color="auto" w:fill="CCEEFF"/>
            <w:tcMar>
              <w:top w:w="30" w:type="dxa"/>
              <w:left w:w="20" w:type="dxa"/>
              <w:bottom w:w="30" w:type="dxa"/>
              <w:right w:w="20" w:type="dxa"/>
            </w:tcMar>
            <w:vAlign w:val="bottom"/>
            <w:hideMark/>
          </w:tcPr>
          <w:p w14:paraId="42D406D4" w14:textId="77777777" w:rsidR="00000000" w:rsidRDefault="00EE5306">
            <w:pPr>
              <w:spacing w:after="100"/>
              <w:rPr>
                <w:rFonts w:eastAsia="Times New Roman"/>
              </w:rPr>
            </w:pPr>
            <w:r>
              <w:rPr>
                <w:rFonts w:eastAsia="Times New Roman"/>
                <w:color w:val="000000"/>
                <w:sz w:val="20"/>
                <w:szCs w:val="20"/>
              </w:rPr>
              <w:t>Total unrecognized compensation expense at March 27, 2021 (millions)</w:t>
            </w:r>
          </w:p>
        </w:tc>
        <w:tc>
          <w:tcPr>
            <w:tcW w:w="0" w:type="auto"/>
            <w:gridSpan w:val="3"/>
            <w:shd w:val="clear" w:color="auto" w:fill="CCEEFF"/>
            <w:tcMar>
              <w:top w:w="0" w:type="dxa"/>
              <w:left w:w="20" w:type="dxa"/>
              <w:bottom w:w="0" w:type="dxa"/>
              <w:right w:w="20" w:type="dxa"/>
            </w:tcMar>
            <w:vAlign w:val="center"/>
            <w:hideMark/>
          </w:tcPr>
          <w:p w14:paraId="5B16DA7E" w14:textId="77777777" w:rsidR="00000000" w:rsidRDefault="00EE530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C8E7B2"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6D5BED" w14:textId="77777777" w:rsidR="00000000" w:rsidRDefault="00EE5306">
            <w:pPr>
              <w:spacing w:after="100"/>
              <w:jc w:val="right"/>
              <w:rPr>
                <w:rFonts w:eastAsia="Times New Roman"/>
              </w:rPr>
            </w:pPr>
            <w:r>
              <w:rPr>
                <w:rFonts w:eastAsia="Times New Roman"/>
                <w:color w:val="000000"/>
                <w:sz w:val="20"/>
                <w:szCs w:val="20"/>
              </w:rPr>
              <w:t>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C58C7" w14:textId="77777777" w:rsidR="00000000" w:rsidRDefault="00EE5306">
            <w:pPr>
              <w:spacing w:after="100"/>
              <w:jc w:val="right"/>
              <w:rPr>
                <w:rFonts w:eastAsia="Times New Roman"/>
              </w:rPr>
            </w:pPr>
          </w:p>
        </w:tc>
      </w:tr>
      <w:tr w:rsidR="00000000" w14:paraId="0368C15D" w14:textId="77777777">
        <w:tc>
          <w:tcPr>
            <w:tcW w:w="0" w:type="auto"/>
            <w:gridSpan w:val="3"/>
            <w:shd w:val="clear" w:color="auto" w:fill="FFFFFF"/>
            <w:tcMar>
              <w:top w:w="30" w:type="dxa"/>
              <w:left w:w="20" w:type="dxa"/>
              <w:bottom w:w="30" w:type="dxa"/>
              <w:right w:w="20" w:type="dxa"/>
            </w:tcMar>
            <w:vAlign w:val="bottom"/>
            <w:hideMark/>
          </w:tcPr>
          <w:p w14:paraId="407600B9" w14:textId="77777777" w:rsidR="00000000" w:rsidRDefault="00EE5306">
            <w:pPr>
              <w:spacing w:after="100"/>
              <w:rPr>
                <w:rFonts w:eastAsia="Times New Roman"/>
              </w:rPr>
            </w:pPr>
            <w:r>
              <w:rPr>
                <w:rFonts w:eastAsia="Times New Roman"/>
                <w:color w:val="000000"/>
                <w:sz w:val="20"/>
                <w:szCs w:val="20"/>
              </w:rPr>
              <w:t>Weighted-average period expected to be recognized over (years)</w:t>
            </w:r>
          </w:p>
        </w:tc>
        <w:tc>
          <w:tcPr>
            <w:tcW w:w="0" w:type="auto"/>
            <w:gridSpan w:val="3"/>
            <w:shd w:val="clear" w:color="auto" w:fill="FFFFFF"/>
            <w:tcMar>
              <w:top w:w="0" w:type="dxa"/>
              <w:left w:w="20" w:type="dxa"/>
              <w:bottom w:w="0" w:type="dxa"/>
              <w:right w:w="20" w:type="dxa"/>
            </w:tcMar>
            <w:vAlign w:val="center"/>
            <w:hideMark/>
          </w:tcPr>
          <w:p w14:paraId="0A0695BF"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9AB8060" w14:textId="77777777" w:rsidR="00000000" w:rsidRDefault="00EE5306">
            <w:pPr>
              <w:spacing w:after="100"/>
              <w:jc w:val="right"/>
              <w:rPr>
                <w:rFonts w:eastAsia="Times New Roman"/>
              </w:rPr>
            </w:pPr>
            <w:r>
              <w:rPr>
                <w:rFonts w:eastAsia="Times New Roman"/>
                <w:color w:val="000000"/>
                <w:sz w:val="20"/>
                <w:szCs w:val="20"/>
              </w:rPr>
              <w:t>1.0</w:t>
            </w:r>
          </w:p>
        </w:tc>
      </w:tr>
    </w:tbl>
    <w:p w14:paraId="64CEC222" w14:textId="77777777" w:rsidR="00000000" w:rsidRDefault="00EE5306">
      <w:pPr>
        <w:ind w:firstLine="540"/>
        <w:jc w:val="both"/>
        <w:divId w:val="281769088"/>
        <w:rPr>
          <w:rFonts w:eastAsia="Times New Roman"/>
        </w:rPr>
      </w:pPr>
      <w:r>
        <w:rPr>
          <w:rFonts w:eastAsia="Times New Roman"/>
          <w:color w:val="000000"/>
          <w:sz w:val="20"/>
          <w:szCs w:val="20"/>
        </w:rPr>
        <w:t>Additional information pertaining to performance-based RSU activity including TSR awards is as follows:</w:t>
      </w:r>
    </w:p>
    <w:tbl>
      <w:tblPr>
        <w:tblW w:w="4766" w:type="pct"/>
        <w:tblCellMar>
          <w:top w:w="15" w:type="dxa"/>
          <w:left w:w="15" w:type="dxa"/>
          <w:bottom w:w="15" w:type="dxa"/>
          <w:right w:w="15" w:type="dxa"/>
        </w:tblCellMar>
        <w:tblLook w:val="04A0" w:firstRow="1" w:lastRow="0" w:firstColumn="1" w:lastColumn="0" w:noHBand="0" w:noVBand="1"/>
      </w:tblPr>
      <w:tblGrid>
        <w:gridCol w:w="37"/>
        <w:gridCol w:w="3949"/>
        <w:gridCol w:w="36"/>
        <w:gridCol w:w="36"/>
        <w:gridCol w:w="36"/>
        <w:gridCol w:w="36"/>
        <w:gridCol w:w="120"/>
        <w:gridCol w:w="1034"/>
        <w:gridCol w:w="36"/>
        <w:gridCol w:w="36"/>
        <w:gridCol w:w="36"/>
        <w:gridCol w:w="36"/>
        <w:gridCol w:w="120"/>
        <w:gridCol w:w="1034"/>
        <w:gridCol w:w="36"/>
        <w:gridCol w:w="36"/>
        <w:gridCol w:w="36"/>
        <w:gridCol w:w="36"/>
        <w:gridCol w:w="120"/>
        <w:gridCol w:w="1035"/>
        <w:gridCol w:w="36"/>
      </w:tblGrid>
      <w:tr w:rsidR="00000000" w14:paraId="5806B725" w14:textId="77777777">
        <w:trPr>
          <w:divId w:val="839808527"/>
        </w:trPr>
        <w:tc>
          <w:tcPr>
            <w:tcW w:w="50" w:type="pct"/>
            <w:vAlign w:val="center"/>
            <w:hideMark/>
          </w:tcPr>
          <w:p w14:paraId="6AFA78C7" w14:textId="77777777" w:rsidR="00000000" w:rsidRDefault="00EE5306">
            <w:pPr>
              <w:ind w:firstLine="540"/>
              <w:jc w:val="both"/>
              <w:rPr>
                <w:rFonts w:eastAsia="Times New Roman"/>
              </w:rPr>
            </w:pPr>
          </w:p>
        </w:tc>
        <w:tc>
          <w:tcPr>
            <w:tcW w:w="2529" w:type="pct"/>
            <w:vAlign w:val="center"/>
            <w:hideMark/>
          </w:tcPr>
          <w:p w14:paraId="25F84FBF" w14:textId="77777777" w:rsidR="00000000" w:rsidRDefault="00EE5306">
            <w:pPr>
              <w:spacing w:after="100"/>
              <w:rPr>
                <w:rFonts w:eastAsia="Times New Roman"/>
                <w:sz w:val="20"/>
                <w:szCs w:val="20"/>
              </w:rPr>
            </w:pPr>
          </w:p>
        </w:tc>
        <w:tc>
          <w:tcPr>
            <w:tcW w:w="5" w:type="pct"/>
            <w:vAlign w:val="center"/>
            <w:hideMark/>
          </w:tcPr>
          <w:p w14:paraId="42182A21" w14:textId="77777777" w:rsidR="00000000" w:rsidRDefault="00EE5306">
            <w:pPr>
              <w:spacing w:after="100"/>
              <w:rPr>
                <w:rFonts w:eastAsia="Times New Roman"/>
                <w:sz w:val="20"/>
                <w:szCs w:val="20"/>
              </w:rPr>
            </w:pPr>
          </w:p>
        </w:tc>
        <w:tc>
          <w:tcPr>
            <w:tcW w:w="5" w:type="pct"/>
            <w:vAlign w:val="center"/>
            <w:hideMark/>
          </w:tcPr>
          <w:p w14:paraId="3415025D" w14:textId="77777777" w:rsidR="00000000" w:rsidRDefault="00EE5306">
            <w:pPr>
              <w:spacing w:after="100"/>
              <w:rPr>
                <w:rFonts w:eastAsia="Times New Roman"/>
                <w:sz w:val="20"/>
                <w:szCs w:val="20"/>
              </w:rPr>
            </w:pPr>
          </w:p>
        </w:tc>
        <w:tc>
          <w:tcPr>
            <w:tcW w:w="28" w:type="pct"/>
            <w:vAlign w:val="center"/>
            <w:hideMark/>
          </w:tcPr>
          <w:p w14:paraId="2508837A" w14:textId="77777777" w:rsidR="00000000" w:rsidRDefault="00EE5306">
            <w:pPr>
              <w:spacing w:after="100"/>
              <w:rPr>
                <w:rFonts w:eastAsia="Times New Roman"/>
                <w:sz w:val="20"/>
                <w:szCs w:val="20"/>
              </w:rPr>
            </w:pPr>
          </w:p>
        </w:tc>
        <w:tc>
          <w:tcPr>
            <w:tcW w:w="5" w:type="pct"/>
            <w:vAlign w:val="center"/>
            <w:hideMark/>
          </w:tcPr>
          <w:p w14:paraId="52A8A30E" w14:textId="77777777" w:rsidR="00000000" w:rsidRDefault="00EE5306">
            <w:pPr>
              <w:spacing w:after="100"/>
              <w:rPr>
                <w:rFonts w:eastAsia="Times New Roman"/>
                <w:sz w:val="20"/>
                <w:szCs w:val="20"/>
              </w:rPr>
            </w:pPr>
          </w:p>
        </w:tc>
        <w:tc>
          <w:tcPr>
            <w:tcW w:w="50" w:type="pct"/>
            <w:vAlign w:val="center"/>
            <w:hideMark/>
          </w:tcPr>
          <w:p w14:paraId="2A8431B8" w14:textId="77777777" w:rsidR="00000000" w:rsidRDefault="00EE5306">
            <w:pPr>
              <w:spacing w:after="100"/>
              <w:rPr>
                <w:rFonts w:eastAsia="Times New Roman"/>
                <w:sz w:val="20"/>
                <w:szCs w:val="20"/>
              </w:rPr>
            </w:pPr>
          </w:p>
        </w:tc>
        <w:tc>
          <w:tcPr>
            <w:tcW w:w="711" w:type="pct"/>
            <w:vAlign w:val="center"/>
            <w:hideMark/>
          </w:tcPr>
          <w:p w14:paraId="2C742D52" w14:textId="77777777" w:rsidR="00000000" w:rsidRDefault="00EE5306">
            <w:pPr>
              <w:spacing w:after="100"/>
              <w:rPr>
                <w:rFonts w:eastAsia="Times New Roman"/>
                <w:sz w:val="20"/>
                <w:szCs w:val="20"/>
              </w:rPr>
            </w:pPr>
          </w:p>
        </w:tc>
        <w:tc>
          <w:tcPr>
            <w:tcW w:w="5" w:type="pct"/>
            <w:vAlign w:val="center"/>
            <w:hideMark/>
          </w:tcPr>
          <w:p w14:paraId="7FFB7595" w14:textId="77777777" w:rsidR="00000000" w:rsidRDefault="00EE5306">
            <w:pPr>
              <w:spacing w:after="100"/>
              <w:rPr>
                <w:rFonts w:eastAsia="Times New Roman"/>
                <w:sz w:val="20"/>
                <w:szCs w:val="20"/>
              </w:rPr>
            </w:pPr>
          </w:p>
        </w:tc>
        <w:tc>
          <w:tcPr>
            <w:tcW w:w="5" w:type="pct"/>
            <w:vAlign w:val="center"/>
            <w:hideMark/>
          </w:tcPr>
          <w:p w14:paraId="6CDACA50" w14:textId="77777777" w:rsidR="00000000" w:rsidRDefault="00EE5306">
            <w:pPr>
              <w:spacing w:after="100"/>
              <w:rPr>
                <w:rFonts w:eastAsia="Times New Roman"/>
                <w:sz w:val="20"/>
                <w:szCs w:val="20"/>
              </w:rPr>
            </w:pPr>
          </w:p>
        </w:tc>
        <w:tc>
          <w:tcPr>
            <w:tcW w:w="28" w:type="pct"/>
            <w:vAlign w:val="center"/>
            <w:hideMark/>
          </w:tcPr>
          <w:p w14:paraId="20906290" w14:textId="77777777" w:rsidR="00000000" w:rsidRDefault="00EE5306">
            <w:pPr>
              <w:spacing w:after="100"/>
              <w:rPr>
                <w:rFonts w:eastAsia="Times New Roman"/>
                <w:sz w:val="20"/>
                <w:szCs w:val="20"/>
              </w:rPr>
            </w:pPr>
          </w:p>
        </w:tc>
        <w:tc>
          <w:tcPr>
            <w:tcW w:w="5" w:type="pct"/>
            <w:vAlign w:val="center"/>
            <w:hideMark/>
          </w:tcPr>
          <w:p w14:paraId="5E21FFC2" w14:textId="77777777" w:rsidR="00000000" w:rsidRDefault="00EE5306">
            <w:pPr>
              <w:spacing w:after="100"/>
              <w:rPr>
                <w:rFonts w:eastAsia="Times New Roman"/>
                <w:sz w:val="20"/>
                <w:szCs w:val="20"/>
              </w:rPr>
            </w:pPr>
          </w:p>
        </w:tc>
        <w:tc>
          <w:tcPr>
            <w:tcW w:w="50" w:type="pct"/>
            <w:vAlign w:val="center"/>
            <w:hideMark/>
          </w:tcPr>
          <w:p w14:paraId="595DA053" w14:textId="77777777" w:rsidR="00000000" w:rsidRDefault="00EE5306">
            <w:pPr>
              <w:spacing w:after="100"/>
              <w:rPr>
                <w:rFonts w:eastAsia="Times New Roman"/>
                <w:sz w:val="20"/>
                <w:szCs w:val="20"/>
              </w:rPr>
            </w:pPr>
          </w:p>
        </w:tc>
        <w:tc>
          <w:tcPr>
            <w:tcW w:w="711" w:type="pct"/>
            <w:vAlign w:val="center"/>
            <w:hideMark/>
          </w:tcPr>
          <w:p w14:paraId="77DC6ABD" w14:textId="77777777" w:rsidR="00000000" w:rsidRDefault="00EE5306">
            <w:pPr>
              <w:spacing w:after="100"/>
              <w:rPr>
                <w:rFonts w:eastAsia="Times New Roman"/>
                <w:sz w:val="20"/>
                <w:szCs w:val="20"/>
              </w:rPr>
            </w:pPr>
          </w:p>
        </w:tc>
        <w:tc>
          <w:tcPr>
            <w:tcW w:w="5" w:type="pct"/>
            <w:vAlign w:val="center"/>
            <w:hideMark/>
          </w:tcPr>
          <w:p w14:paraId="5DF7C5A7" w14:textId="77777777" w:rsidR="00000000" w:rsidRDefault="00EE5306">
            <w:pPr>
              <w:spacing w:after="100"/>
              <w:rPr>
                <w:rFonts w:eastAsia="Times New Roman"/>
                <w:sz w:val="20"/>
                <w:szCs w:val="20"/>
              </w:rPr>
            </w:pPr>
          </w:p>
        </w:tc>
        <w:tc>
          <w:tcPr>
            <w:tcW w:w="5" w:type="pct"/>
            <w:vAlign w:val="center"/>
            <w:hideMark/>
          </w:tcPr>
          <w:p w14:paraId="05666E37" w14:textId="77777777" w:rsidR="00000000" w:rsidRDefault="00EE5306">
            <w:pPr>
              <w:spacing w:after="100"/>
              <w:rPr>
                <w:rFonts w:eastAsia="Times New Roman"/>
                <w:sz w:val="20"/>
                <w:szCs w:val="20"/>
              </w:rPr>
            </w:pPr>
          </w:p>
        </w:tc>
        <w:tc>
          <w:tcPr>
            <w:tcW w:w="28" w:type="pct"/>
            <w:vAlign w:val="center"/>
            <w:hideMark/>
          </w:tcPr>
          <w:p w14:paraId="459EDF97" w14:textId="77777777" w:rsidR="00000000" w:rsidRDefault="00EE5306">
            <w:pPr>
              <w:spacing w:after="100"/>
              <w:rPr>
                <w:rFonts w:eastAsia="Times New Roman"/>
                <w:sz w:val="20"/>
                <w:szCs w:val="20"/>
              </w:rPr>
            </w:pPr>
          </w:p>
        </w:tc>
        <w:tc>
          <w:tcPr>
            <w:tcW w:w="5" w:type="pct"/>
            <w:vAlign w:val="center"/>
            <w:hideMark/>
          </w:tcPr>
          <w:p w14:paraId="7AF472C0" w14:textId="77777777" w:rsidR="00000000" w:rsidRDefault="00EE5306">
            <w:pPr>
              <w:spacing w:after="100"/>
              <w:rPr>
                <w:rFonts w:eastAsia="Times New Roman"/>
                <w:sz w:val="20"/>
                <w:szCs w:val="20"/>
              </w:rPr>
            </w:pPr>
          </w:p>
        </w:tc>
        <w:tc>
          <w:tcPr>
            <w:tcW w:w="50" w:type="pct"/>
            <w:vAlign w:val="center"/>
            <w:hideMark/>
          </w:tcPr>
          <w:p w14:paraId="0EE33A39" w14:textId="77777777" w:rsidR="00000000" w:rsidRDefault="00EE5306">
            <w:pPr>
              <w:spacing w:after="100"/>
              <w:rPr>
                <w:rFonts w:eastAsia="Times New Roman"/>
                <w:sz w:val="20"/>
                <w:szCs w:val="20"/>
              </w:rPr>
            </w:pPr>
          </w:p>
        </w:tc>
        <w:tc>
          <w:tcPr>
            <w:tcW w:w="712" w:type="pct"/>
            <w:vAlign w:val="center"/>
            <w:hideMark/>
          </w:tcPr>
          <w:p w14:paraId="3E3D4398" w14:textId="77777777" w:rsidR="00000000" w:rsidRDefault="00EE5306">
            <w:pPr>
              <w:spacing w:after="100"/>
              <w:rPr>
                <w:rFonts w:eastAsia="Times New Roman"/>
                <w:sz w:val="20"/>
                <w:szCs w:val="20"/>
              </w:rPr>
            </w:pPr>
          </w:p>
        </w:tc>
        <w:tc>
          <w:tcPr>
            <w:tcW w:w="5" w:type="pct"/>
            <w:vAlign w:val="center"/>
            <w:hideMark/>
          </w:tcPr>
          <w:p w14:paraId="4F570279" w14:textId="77777777" w:rsidR="00000000" w:rsidRDefault="00EE5306">
            <w:pPr>
              <w:spacing w:after="100"/>
              <w:rPr>
                <w:rFonts w:eastAsia="Times New Roman"/>
                <w:sz w:val="20"/>
                <w:szCs w:val="20"/>
              </w:rPr>
            </w:pPr>
          </w:p>
        </w:tc>
      </w:tr>
      <w:tr w:rsidR="00000000" w14:paraId="67C2F2E2" w14:textId="77777777">
        <w:trPr>
          <w:divId w:val="839808527"/>
        </w:trPr>
        <w:tc>
          <w:tcPr>
            <w:tcW w:w="0" w:type="auto"/>
            <w:gridSpan w:val="3"/>
            <w:tcMar>
              <w:top w:w="30" w:type="dxa"/>
              <w:left w:w="20" w:type="dxa"/>
              <w:bottom w:w="30" w:type="dxa"/>
              <w:right w:w="20" w:type="dxa"/>
            </w:tcMar>
            <w:vAlign w:val="bottom"/>
            <w:hideMark/>
          </w:tcPr>
          <w:p w14:paraId="14ACE275"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7785814"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6ED7CC3B"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7BE9D948" w14:textId="77777777">
        <w:trPr>
          <w:divId w:val="839808527"/>
        </w:trPr>
        <w:tc>
          <w:tcPr>
            <w:tcW w:w="0" w:type="auto"/>
            <w:gridSpan w:val="3"/>
            <w:tcMar>
              <w:top w:w="30" w:type="dxa"/>
              <w:left w:w="20" w:type="dxa"/>
              <w:bottom w:w="30" w:type="dxa"/>
              <w:right w:w="20" w:type="dxa"/>
            </w:tcMar>
            <w:vAlign w:val="bottom"/>
            <w:hideMark/>
          </w:tcPr>
          <w:p w14:paraId="3CECC74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2A4EBD1"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F79DA5"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1567B24A"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2F715D"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51CC445"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A2497B"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3B21C41D" w14:textId="77777777">
        <w:trPr>
          <w:divId w:val="839808527"/>
        </w:trPr>
        <w:tc>
          <w:tcPr>
            <w:tcW w:w="0" w:type="auto"/>
            <w:gridSpan w:val="3"/>
            <w:shd w:val="clear" w:color="auto" w:fill="CCEEFF"/>
            <w:tcMar>
              <w:top w:w="30" w:type="dxa"/>
              <w:left w:w="20" w:type="dxa"/>
              <w:bottom w:w="30" w:type="dxa"/>
              <w:right w:w="20" w:type="dxa"/>
            </w:tcMar>
            <w:vAlign w:val="bottom"/>
            <w:hideMark/>
          </w:tcPr>
          <w:p w14:paraId="5541AB0C" w14:textId="77777777" w:rsidR="00000000" w:rsidRDefault="00EE5306">
            <w:pPr>
              <w:spacing w:after="100"/>
              <w:rPr>
                <w:rFonts w:eastAsia="Times New Roman"/>
              </w:rPr>
            </w:pPr>
            <w:r>
              <w:rPr>
                <w:rFonts w:eastAsia="Times New Roman"/>
                <w:i/>
                <w:iCs/>
                <w:color w:val="000000"/>
                <w:sz w:val="20"/>
                <w:szCs w:val="20"/>
              </w:rPr>
              <w:t>Performance-based RSUs:</w:t>
            </w:r>
          </w:p>
        </w:tc>
        <w:tc>
          <w:tcPr>
            <w:tcW w:w="0" w:type="auto"/>
            <w:gridSpan w:val="3"/>
            <w:shd w:val="clear" w:color="auto" w:fill="CCEEFF"/>
            <w:tcMar>
              <w:top w:w="0" w:type="dxa"/>
              <w:left w:w="20" w:type="dxa"/>
              <w:bottom w:w="0" w:type="dxa"/>
              <w:right w:w="20" w:type="dxa"/>
            </w:tcMar>
            <w:vAlign w:val="center"/>
            <w:hideMark/>
          </w:tcPr>
          <w:p w14:paraId="534BC9FE" w14:textId="77777777" w:rsidR="00000000" w:rsidRDefault="00EE530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90FEE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9081EB"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D4FA9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9DA9F3" w14:textId="77777777" w:rsidR="00000000" w:rsidRDefault="00EE530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8DB33C" w14:textId="77777777" w:rsidR="00000000" w:rsidRDefault="00EE5306">
            <w:pPr>
              <w:spacing w:after="100"/>
              <w:rPr>
                <w:rFonts w:eastAsia="Times New Roman"/>
                <w:sz w:val="20"/>
                <w:szCs w:val="20"/>
              </w:rPr>
            </w:pPr>
          </w:p>
        </w:tc>
      </w:tr>
      <w:tr w:rsidR="00000000" w14:paraId="7B9D74C8" w14:textId="77777777">
        <w:trPr>
          <w:divId w:val="839808527"/>
        </w:trPr>
        <w:tc>
          <w:tcPr>
            <w:tcW w:w="0" w:type="auto"/>
            <w:gridSpan w:val="3"/>
            <w:shd w:val="clear" w:color="auto" w:fill="FFFFFF"/>
            <w:tcMar>
              <w:top w:w="30" w:type="dxa"/>
              <w:left w:w="155" w:type="dxa"/>
              <w:bottom w:w="30" w:type="dxa"/>
              <w:right w:w="20" w:type="dxa"/>
            </w:tcMar>
            <w:vAlign w:val="bottom"/>
            <w:hideMark/>
          </w:tcPr>
          <w:p w14:paraId="196D52AC" w14:textId="77777777" w:rsidR="00000000" w:rsidRDefault="00EE5306">
            <w:pPr>
              <w:spacing w:after="100"/>
              <w:rPr>
                <w:rFonts w:eastAsia="Times New Roman"/>
              </w:rPr>
            </w:pPr>
            <w:r>
              <w:rPr>
                <w:rFonts w:eastAsia="Times New Roman"/>
                <w:color w:val="000000"/>
                <w:sz w:val="20"/>
                <w:szCs w:val="20"/>
              </w:rPr>
              <w:t>Weighted-average grant date fair value of awards granted</w:t>
            </w:r>
          </w:p>
        </w:tc>
        <w:tc>
          <w:tcPr>
            <w:tcW w:w="0" w:type="auto"/>
            <w:gridSpan w:val="3"/>
            <w:shd w:val="clear" w:color="auto" w:fill="FFFFFF"/>
            <w:tcMar>
              <w:top w:w="0" w:type="dxa"/>
              <w:left w:w="20" w:type="dxa"/>
              <w:bottom w:w="0" w:type="dxa"/>
              <w:right w:w="20" w:type="dxa"/>
            </w:tcMar>
            <w:vAlign w:val="center"/>
            <w:hideMark/>
          </w:tcPr>
          <w:p w14:paraId="12094490" w14:textId="77777777" w:rsidR="00000000" w:rsidRDefault="00EE530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980502" w14:textId="77777777" w:rsidR="00000000" w:rsidRDefault="00EE5306">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4B04D626" w14:textId="77777777" w:rsidR="00000000" w:rsidRDefault="00EE530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398410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037F7C" w14:textId="77777777" w:rsidR="00000000" w:rsidRDefault="00EE5306">
            <w:pPr>
              <w:spacing w:after="100"/>
              <w:jc w:val="right"/>
              <w:rPr>
                <w:rFonts w:eastAsia="Times New Roman"/>
              </w:rPr>
            </w:pPr>
            <w:r>
              <w:rPr>
                <w:rFonts w:eastAsia="Times New Roman"/>
                <w:color w:val="000000"/>
                <w:sz w:val="20"/>
                <w:szCs w:val="20"/>
              </w:rPr>
              <w:t>85.80 </w:t>
            </w:r>
          </w:p>
        </w:tc>
        <w:tc>
          <w:tcPr>
            <w:tcW w:w="0" w:type="auto"/>
            <w:shd w:val="clear" w:color="auto" w:fill="FFFFFF"/>
            <w:tcMar>
              <w:top w:w="30" w:type="dxa"/>
              <w:left w:w="0" w:type="dxa"/>
              <w:bottom w:w="30" w:type="dxa"/>
              <w:right w:w="20" w:type="dxa"/>
            </w:tcMar>
            <w:vAlign w:val="bottom"/>
            <w:hideMark/>
          </w:tcPr>
          <w:p w14:paraId="483E9F0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68C82"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2911F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A34085" w14:textId="77777777" w:rsidR="00000000" w:rsidRDefault="00EE5306">
            <w:pPr>
              <w:spacing w:after="100"/>
              <w:jc w:val="right"/>
              <w:rPr>
                <w:rFonts w:eastAsia="Times New Roman"/>
              </w:rPr>
            </w:pPr>
            <w:r>
              <w:rPr>
                <w:rFonts w:eastAsia="Times New Roman"/>
                <w:color w:val="000000"/>
                <w:sz w:val="20"/>
                <w:szCs w:val="20"/>
              </w:rPr>
              <w:t>145.97 </w:t>
            </w:r>
          </w:p>
        </w:tc>
        <w:tc>
          <w:tcPr>
            <w:tcW w:w="0" w:type="auto"/>
            <w:shd w:val="clear" w:color="auto" w:fill="FFFFFF"/>
            <w:tcMar>
              <w:top w:w="30" w:type="dxa"/>
              <w:left w:w="0" w:type="dxa"/>
              <w:bottom w:w="30" w:type="dxa"/>
              <w:right w:w="20" w:type="dxa"/>
            </w:tcMar>
            <w:vAlign w:val="bottom"/>
            <w:hideMark/>
          </w:tcPr>
          <w:p w14:paraId="45EEF799" w14:textId="77777777" w:rsidR="00000000" w:rsidRDefault="00EE5306">
            <w:pPr>
              <w:spacing w:after="100"/>
              <w:jc w:val="right"/>
              <w:rPr>
                <w:rFonts w:eastAsia="Times New Roman"/>
              </w:rPr>
            </w:pPr>
          </w:p>
        </w:tc>
      </w:tr>
      <w:tr w:rsidR="00000000" w14:paraId="0A6FA9DE" w14:textId="77777777">
        <w:trPr>
          <w:divId w:val="839808527"/>
        </w:trPr>
        <w:tc>
          <w:tcPr>
            <w:tcW w:w="0" w:type="auto"/>
            <w:gridSpan w:val="3"/>
            <w:shd w:val="clear" w:color="auto" w:fill="CCEEFF"/>
            <w:tcMar>
              <w:top w:w="30" w:type="dxa"/>
              <w:left w:w="155" w:type="dxa"/>
              <w:bottom w:w="30" w:type="dxa"/>
              <w:right w:w="20" w:type="dxa"/>
            </w:tcMar>
            <w:vAlign w:val="bottom"/>
            <w:hideMark/>
          </w:tcPr>
          <w:p w14:paraId="62961271" w14:textId="77777777" w:rsidR="00000000" w:rsidRDefault="00EE5306">
            <w:pPr>
              <w:spacing w:after="100"/>
              <w:rPr>
                <w:rFonts w:eastAsia="Times New Roman"/>
              </w:rPr>
            </w:pPr>
            <w:r>
              <w:rPr>
                <w:rFonts w:eastAsia="Times New Roman"/>
                <w:color w:val="000000"/>
                <w:sz w:val="20"/>
                <w:szCs w:val="20"/>
              </w:rPr>
              <w:t>Total fair value of awards vested (millions)</w:t>
            </w:r>
          </w:p>
        </w:tc>
        <w:tc>
          <w:tcPr>
            <w:tcW w:w="0" w:type="auto"/>
            <w:gridSpan w:val="3"/>
            <w:shd w:val="clear" w:color="auto" w:fill="CCEEFF"/>
            <w:tcMar>
              <w:top w:w="0" w:type="dxa"/>
              <w:left w:w="20" w:type="dxa"/>
              <w:bottom w:w="0" w:type="dxa"/>
              <w:right w:w="20" w:type="dxa"/>
            </w:tcMar>
            <w:vAlign w:val="center"/>
            <w:hideMark/>
          </w:tcPr>
          <w:p w14:paraId="324E6792"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4E822C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8C1FB6" w14:textId="77777777" w:rsidR="00000000" w:rsidRDefault="00EE5306">
            <w:pPr>
              <w:spacing w:after="100"/>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14:paraId="12A9720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7E8AF"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F64443"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A58B25" w14:textId="77777777" w:rsidR="00000000" w:rsidRDefault="00EE5306">
            <w:pPr>
              <w:spacing w:after="100"/>
              <w:jc w:val="right"/>
              <w:rPr>
                <w:rFonts w:eastAsia="Times New Roman"/>
              </w:rPr>
            </w:pPr>
            <w:r>
              <w:rPr>
                <w:rFonts w:eastAsia="Times New Roman"/>
                <w:color w:val="000000"/>
                <w:sz w:val="20"/>
                <w:szCs w:val="20"/>
              </w:rPr>
              <w:t>52.8 </w:t>
            </w:r>
          </w:p>
        </w:tc>
        <w:tc>
          <w:tcPr>
            <w:tcW w:w="0" w:type="auto"/>
            <w:shd w:val="clear" w:color="auto" w:fill="CCEEFF"/>
            <w:tcMar>
              <w:top w:w="30" w:type="dxa"/>
              <w:left w:w="0" w:type="dxa"/>
              <w:bottom w:w="30" w:type="dxa"/>
              <w:right w:w="20" w:type="dxa"/>
            </w:tcMar>
            <w:vAlign w:val="bottom"/>
            <w:hideMark/>
          </w:tcPr>
          <w:p w14:paraId="08D7C4E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90604"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58A13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2DAC0C" w14:textId="77777777" w:rsidR="00000000" w:rsidRDefault="00EE5306">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14:paraId="492E25DF" w14:textId="77777777" w:rsidR="00000000" w:rsidRDefault="00EE5306">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487ADB44" w14:textId="77777777">
        <w:trPr>
          <w:jc w:val="center"/>
        </w:trPr>
        <w:tc>
          <w:tcPr>
            <w:tcW w:w="50" w:type="pct"/>
            <w:vAlign w:val="center"/>
            <w:hideMark/>
          </w:tcPr>
          <w:p w14:paraId="78D4528E" w14:textId="77777777" w:rsidR="00000000" w:rsidRDefault="00EE5306">
            <w:pPr>
              <w:rPr>
                <w:rFonts w:eastAsia="Times New Roman"/>
              </w:rPr>
            </w:pPr>
          </w:p>
        </w:tc>
        <w:tc>
          <w:tcPr>
            <w:tcW w:w="1699" w:type="pct"/>
            <w:vAlign w:val="center"/>
            <w:hideMark/>
          </w:tcPr>
          <w:p w14:paraId="04701889" w14:textId="77777777" w:rsidR="00000000" w:rsidRDefault="00EE5306">
            <w:pPr>
              <w:spacing w:after="100"/>
              <w:rPr>
                <w:rFonts w:eastAsia="Times New Roman"/>
                <w:sz w:val="20"/>
                <w:szCs w:val="20"/>
              </w:rPr>
            </w:pPr>
          </w:p>
        </w:tc>
        <w:tc>
          <w:tcPr>
            <w:tcW w:w="5" w:type="pct"/>
            <w:vAlign w:val="center"/>
            <w:hideMark/>
          </w:tcPr>
          <w:p w14:paraId="5B69F87D" w14:textId="77777777" w:rsidR="00000000" w:rsidRDefault="00EE5306">
            <w:pPr>
              <w:spacing w:after="100"/>
              <w:rPr>
                <w:rFonts w:eastAsia="Times New Roman"/>
                <w:sz w:val="20"/>
                <w:szCs w:val="20"/>
              </w:rPr>
            </w:pPr>
          </w:p>
        </w:tc>
        <w:tc>
          <w:tcPr>
            <w:tcW w:w="50" w:type="pct"/>
            <w:vAlign w:val="center"/>
            <w:hideMark/>
          </w:tcPr>
          <w:p w14:paraId="0B6EC082" w14:textId="77777777" w:rsidR="00000000" w:rsidRDefault="00EE5306">
            <w:pPr>
              <w:spacing w:after="100"/>
              <w:rPr>
                <w:rFonts w:eastAsia="Times New Roman"/>
                <w:sz w:val="20"/>
                <w:szCs w:val="20"/>
              </w:rPr>
            </w:pPr>
          </w:p>
        </w:tc>
        <w:tc>
          <w:tcPr>
            <w:tcW w:w="1436" w:type="pct"/>
            <w:vAlign w:val="center"/>
            <w:hideMark/>
          </w:tcPr>
          <w:p w14:paraId="32DC00B0" w14:textId="77777777" w:rsidR="00000000" w:rsidRDefault="00EE5306">
            <w:pPr>
              <w:spacing w:after="100"/>
              <w:rPr>
                <w:rFonts w:eastAsia="Times New Roman"/>
                <w:sz w:val="20"/>
                <w:szCs w:val="20"/>
              </w:rPr>
            </w:pPr>
          </w:p>
        </w:tc>
        <w:tc>
          <w:tcPr>
            <w:tcW w:w="5" w:type="pct"/>
            <w:vAlign w:val="center"/>
            <w:hideMark/>
          </w:tcPr>
          <w:p w14:paraId="3D132206" w14:textId="77777777" w:rsidR="00000000" w:rsidRDefault="00EE5306">
            <w:pPr>
              <w:spacing w:after="100"/>
              <w:rPr>
                <w:rFonts w:eastAsia="Times New Roman"/>
                <w:sz w:val="20"/>
                <w:szCs w:val="20"/>
              </w:rPr>
            </w:pPr>
          </w:p>
        </w:tc>
        <w:tc>
          <w:tcPr>
            <w:tcW w:w="50" w:type="pct"/>
            <w:vAlign w:val="center"/>
            <w:hideMark/>
          </w:tcPr>
          <w:p w14:paraId="220D21F7" w14:textId="77777777" w:rsidR="00000000" w:rsidRDefault="00EE5306">
            <w:pPr>
              <w:spacing w:after="100"/>
              <w:rPr>
                <w:rFonts w:eastAsia="Times New Roman"/>
                <w:sz w:val="20"/>
                <w:szCs w:val="20"/>
              </w:rPr>
            </w:pPr>
          </w:p>
        </w:tc>
        <w:tc>
          <w:tcPr>
            <w:tcW w:w="1699" w:type="pct"/>
            <w:vAlign w:val="center"/>
            <w:hideMark/>
          </w:tcPr>
          <w:p w14:paraId="6CDCB5C7" w14:textId="77777777" w:rsidR="00000000" w:rsidRDefault="00EE5306">
            <w:pPr>
              <w:spacing w:after="100"/>
              <w:rPr>
                <w:rFonts w:eastAsia="Times New Roman"/>
                <w:sz w:val="20"/>
                <w:szCs w:val="20"/>
              </w:rPr>
            </w:pPr>
          </w:p>
        </w:tc>
        <w:tc>
          <w:tcPr>
            <w:tcW w:w="5" w:type="pct"/>
            <w:vAlign w:val="center"/>
            <w:hideMark/>
          </w:tcPr>
          <w:p w14:paraId="6A368435" w14:textId="77777777" w:rsidR="00000000" w:rsidRDefault="00EE5306">
            <w:pPr>
              <w:spacing w:after="100"/>
              <w:rPr>
                <w:rFonts w:eastAsia="Times New Roman"/>
                <w:sz w:val="20"/>
                <w:szCs w:val="20"/>
              </w:rPr>
            </w:pPr>
          </w:p>
        </w:tc>
      </w:tr>
      <w:tr w:rsidR="00000000" w14:paraId="1AA94C09" w14:textId="77777777">
        <w:trPr>
          <w:jc w:val="center"/>
        </w:trPr>
        <w:tc>
          <w:tcPr>
            <w:tcW w:w="0" w:type="auto"/>
            <w:gridSpan w:val="3"/>
            <w:tcMar>
              <w:top w:w="0" w:type="dxa"/>
              <w:left w:w="20" w:type="dxa"/>
              <w:bottom w:w="0" w:type="dxa"/>
              <w:right w:w="20" w:type="dxa"/>
            </w:tcMar>
            <w:vAlign w:val="center"/>
            <w:hideMark/>
          </w:tcPr>
          <w:p w14:paraId="2C3A9CC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F9CD59B" w14:textId="77777777" w:rsidR="00000000" w:rsidRDefault="00EE5306">
            <w:pPr>
              <w:spacing w:after="100"/>
              <w:jc w:val="center"/>
              <w:rPr>
                <w:rFonts w:eastAsia="Times New Roman"/>
              </w:rPr>
            </w:pPr>
            <w:r>
              <w:rPr>
                <w:rFonts w:eastAsia="Times New Roman"/>
                <w:color w:val="000000"/>
                <w:sz w:val="20"/>
                <w:szCs w:val="20"/>
              </w:rPr>
              <w:t>F-50</w:t>
            </w:r>
          </w:p>
        </w:tc>
        <w:tc>
          <w:tcPr>
            <w:tcW w:w="0" w:type="auto"/>
            <w:gridSpan w:val="3"/>
            <w:tcMar>
              <w:top w:w="0" w:type="dxa"/>
              <w:left w:w="20" w:type="dxa"/>
              <w:bottom w:w="0" w:type="dxa"/>
              <w:right w:w="20" w:type="dxa"/>
            </w:tcMar>
            <w:vAlign w:val="center"/>
            <w:hideMark/>
          </w:tcPr>
          <w:p w14:paraId="1EBB8350" w14:textId="77777777" w:rsidR="00000000" w:rsidRDefault="00EE5306">
            <w:pPr>
              <w:spacing w:after="100"/>
              <w:jc w:val="center"/>
              <w:rPr>
                <w:rFonts w:eastAsia="Times New Roman"/>
              </w:rPr>
            </w:pPr>
          </w:p>
        </w:tc>
      </w:tr>
    </w:tbl>
    <w:p w14:paraId="6BD6C30B" w14:textId="77777777" w:rsidR="00000000" w:rsidRDefault="00EE5306">
      <w:pPr>
        <w:rPr>
          <w:rFonts w:eastAsia="Times New Roman"/>
        </w:rPr>
      </w:pPr>
      <w:r>
        <w:rPr>
          <w:rFonts w:eastAsia="Times New Roman"/>
        </w:rPr>
        <w:pict w14:anchorId="7DC23E38">
          <v:rect id="_x0000_i1160" style="width:0;height:1.5pt" o:hralign="center" o:hrstd="t" o:hr="t" fillcolor="#a0a0a0" stroked="f"/>
        </w:pict>
      </w:r>
    </w:p>
    <w:p w14:paraId="29056BAB" w14:textId="77777777" w:rsidR="00000000" w:rsidRDefault="00EE5306">
      <w:pPr>
        <w:jc w:val="center"/>
        <w:divId w:val="1696036485"/>
        <w:rPr>
          <w:rFonts w:eastAsia="Times New Roman"/>
        </w:rPr>
      </w:pPr>
    </w:p>
    <w:p w14:paraId="50003D89" w14:textId="77777777" w:rsidR="00000000" w:rsidRDefault="00EE5306">
      <w:pPr>
        <w:jc w:val="center"/>
        <w:divId w:val="1696036485"/>
        <w:rPr>
          <w:rFonts w:eastAsia="Times New Roman"/>
        </w:rPr>
      </w:pPr>
      <w:r>
        <w:rPr>
          <w:rFonts w:eastAsia="Times New Roman"/>
          <w:b/>
          <w:bCs/>
          <w:color w:val="000000"/>
          <w:sz w:val="20"/>
          <w:szCs w:val="20"/>
        </w:rPr>
        <w:t>RALPH LAUREN CORPORATION</w:t>
      </w:r>
    </w:p>
    <w:p w14:paraId="34459660" w14:textId="77777777" w:rsidR="00000000" w:rsidRDefault="00EE5306">
      <w:pPr>
        <w:jc w:val="center"/>
        <w:divId w:val="1249922800"/>
        <w:rPr>
          <w:rFonts w:eastAsia="Times New Roman"/>
        </w:rPr>
      </w:pPr>
      <w:r>
        <w:rPr>
          <w:rFonts w:eastAsia="Times New Roman"/>
          <w:b/>
          <w:bCs/>
          <w:color w:val="000000"/>
          <w:sz w:val="20"/>
          <w:szCs w:val="20"/>
        </w:rPr>
        <w:t>NOTES TO CONSOLIDATED FINANCIAL STATEMENTS (Continued)</w:t>
      </w:r>
    </w:p>
    <w:p w14:paraId="6CA6A00A" w14:textId="77777777" w:rsidR="00000000" w:rsidRDefault="00EE5306">
      <w:pPr>
        <w:ind w:firstLine="360"/>
        <w:jc w:val="both"/>
        <w:divId w:val="1969389026"/>
        <w:rPr>
          <w:rFonts w:eastAsia="Times New Roman"/>
        </w:rPr>
      </w:pPr>
      <w:r>
        <w:rPr>
          <w:rFonts w:eastAsia="Times New Roman"/>
          <w:b/>
          <w:bCs/>
          <w:i/>
          <w:iCs/>
          <w:color w:val="000000"/>
          <w:sz w:val="20"/>
          <w:szCs w:val="20"/>
        </w:rPr>
        <w:t>Stock Options</w:t>
      </w:r>
    </w:p>
    <w:p w14:paraId="4F567E31" w14:textId="77777777" w:rsidR="00000000" w:rsidRDefault="00EE5306">
      <w:pPr>
        <w:ind w:firstLine="540"/>
        <w:jc w:val="both"/>
        <w:divId w:val="1876234253"/>
        <w:rPr>
          <w:rFonts w:eastAsia="Times New Roman"/>
        </w:rPr>
      </w:pPr>
      <w:r>
        <w:rPr>
          <w:rFonts w:eastAsia="Times New Roman"/>
          <w:color w:val="000000"/>
          <w:sz w:val="20"/>
          <w:szCs w:val="20"/>
        </w:rPr>
        <w:t>Stock options are granted to employees and non-employee directors with exercise prices equal to the fair market value of the</w:t>
      </w:r>
      <w:r>
        <w:rPr>
          <w:rFonts w:eastAsia="Times New Roman"/>
          <w:color w:val="000000"/>
          <w:sz w:val="20"/>
          <w:szCs w:val="20"/>
        </w:rPr>
        <w:t xml:space="preserve"> Company's Class A common stock on the date of grant. Generally, options become exercisable ratably (graded-vesting schedule) over a three-year vesting period, subject to the employee's continuing employment. Stock options generally expire seven years from</w:t>
      </w:r>
      <w:r>
        <w:rPr>
          <w:rFonts w:eastAsia="Times New Roman"/>
          <w:color w:val="000000"/>
          <w:sz w:val="20"/>
          <w:szCs w:val="20"/>
        </w:rPr>
        <w:t xml:space="preserve"> the date of grant. No stock options were granted during any of the fiscal years presented.</w:t>
      </w:r>
    </w:p>
    <w:p w14:paraId="443400A2" w14:textId="77777777" w:rsidR="00000000" w:rsidRDefault="00EE5306">
      <w:pPr>
        <w:ind w:firstLine="540"/>
        <w:jc w:val="both"/>
        <w:divId w:val="1071318025"/>
        <w:rPr>
          <w:rFonts w:eastAsia="Times New Roman"/>
        </w:rPr>
      </w:pPr>
      <w:r>
        <w:rPr>
          <w:rFonts w:eastAsia="Times New Roman"/>
          <w:color w:val="000000"/>
          <w:sz w:val="20"/>
          <w:szCs w:val="20"/>
        </w:rPr>
        <w:t>A summary of stock option activity during Fiscal 2021 is as follows:</w:t>
      </w:r>
    </w:p>
    <w:tbl>
      <w:tblPr>
        <w:tblW w:w="4714" w:type="pct"/>
        <w:tblCellMar>
          <w:top w:w="15" w:type="dxa"/>
          <w:left w:w="15" w:type="dxa"/>
          <w:bottom w:w="15" w:type="dxa"/>
          <w:right w:w="15" w:type="dxa"/>
        </w:tblCellMar>
        <w:tblLook w:val="04A0" w:firstRow="1" w:lastRow="0" w:firstColumn="1" w:lastColumn="0" w:noHBand="0" w:noVBand="1"/>
      </w:tblPr>
      <w:tblGrid>
        <w:gridCol w:w="38"/>
        <w:gridCol w:w="3911"/>
        <w:gridCol w:w="37"/>
        <w:gridCol w:w="36"/>
        <w:gridCol w:w="36"/>
        <w:gridCol w:w="36"/>
        <w:gridCol w:w="75"/>
        <w:gridCol w:w="759"/>
        <w:gridCol w:w="36"/>
        <w:gridCol w:w="36"/>
        <w:gridCol w:w="36"/>
        <w:gridCol w:w="36"/>
        <w:gridCol w:w="120"/>
        <w:gridCol w:w="664"/>
        <w:gridCol w:w="36"/>
        <w:gridCol w:w="36"/>
        <w:gridCol w:w="36"/>
        <w:gridCol w:w="36"/>
        <w:gridCol w:w="77"/>
        <w:gridCol w:w="783"/>
        <w:gridCol w:w="36"/>
        <w:gridCol w:w="36"/>
        <w:gridCol w:w="36"/>
        <w:gridCol w:w="36"/>
        <w:gridCol w:w="121"/>
        <w:gridCol w:w="670"/>
        <w:gridCol w:w="36"/>
      </w:tblGrid>
      <w:tr w:rsidR="00000000" w14:paraId="4EB6D724" w14:textId="77777777">
        <w:trPr>
          <w:divId w:val="2016953010"/>
        </w:trPr>
        <w:tc>
          <w:tcPr>
            <w:tcW w:w="50" w:type="pct"/>
            <w:vAlign w:val="center"/>
            <w:hideMark/>
          </w:tcPr>
          <w:p w14:paraId="1A0910BC" w14:textId="77777777" w:rsidR="00000000" w:rsidRDefault="00EE5306">
            <w:pPr>
              <w:ind w:firstLine="540"/>
              <w:jc w:val="both"/>
              <w:rPr>
                <w:rFonts w:eastAsia="Times New Roman"/>
              </w:rPr>
            </w:pPr>
          </w:p>
        </w:tc>
        <w:tc>
          <w:tcPr>
            <w:tcW w:w="2526" w:type="pct"/>
            <w:vAlign w:val="center"/>
            <w:hideMark/>
          </w:tcPr>
          <w:p w14:paraId="68D3B384" w14:textId="77777777" w:rsidR="00000000" w:rsidRDefault="00EE5306">
            <w:pPr>
              <w:spacing w:after="100"/>
              <w:rPr>
                <w:rFonts w:eastAsia="Times New Roman"/>
                <w:sz w:val="20"/>
                <w:szCs w:val="20"/>
              </w:rPr>
            </w:pPr>
          </w:p>
        </w:tc>
        <w:tc>
          <w:tcPr>
            <w:tcW w:w="5" w:type="pct"/>
            <w:vAlign w:val="center"/>
            <w:hideMark/>
          </w:tcPr>
          <w:p w14:paraId="1C9ACA23" w14:textId="77777777" w:rsidR="00000000" w:rsidRDefault="00EE5306">
            <w:pPr>
              <w:spacing w:after="100"/>
              <w:rPr>
                <w:rFonts w:eastAsia="Times New Roman"/>
                <w:sz w:val="20"/>
                <w:szCs w:val="20"/>
              </w:rPr>
            </w:pPr>
          </w:p>
        </w:tc>
        <w:tc>
          <w:tcPr>
            <w:tcW w:w="5" w:type="pct"/>
            <w:vAlign w:val="center"/>
            <w:hideMark/>
          </w:tcPr>
          <w:p w14:paraId="79496BDD" w14:textId="77777777" w:rsidR="00000000" w:rsidRDefault="00EE5306">
            <w:pPr>
              <w:spacing w:after="100"/>
              <w:rPr>
                <w:rFonts w:eastAsia="Times New Roman"/>
                <w:sz w:val="20"/>
                <w:szCs w:val="20"/>
              </w:rPr>
            </w:pPr>
          </w:p>
        </w:tc>
        <w:tc>
          <w:tcPr>
            <w:tcW w:w="28" w:type="pct"/>
            <w:vAlign w:val="center"/>
            <w:hideMark/>
          </w:tcPr>
          <w:p w14:paraId="10BC049C" w14:textId="77777777" w:rsidR="00000000" w:rsidRDefault="00EE5306">
            <w:pPr>
              <w:spacing w:after="100"/>
              <w:rPr>
                <w:rFonts w:eastAsia="Times New Roman"/>
                <w:sz w:val="20"/>
                <w:szCs w:val="20"/>
              </w:rPr>
            </w:pPr>
          </w:p>
        </w:tc>
        <w:tc>
          <w:tcPr>
            <w:tcW w:w="5" w:type="pct"/>
            <w:vAlign w:val="center"/>
            <w:hideMark/>
          </w:tcPr>
          <w:p w14:paraId="180989F3" w14:textId="77777777" w:rsidR="00000000" w:rsidRDefault="00EE5306">
            <w:pPr>
              <w:spacing w:after="100"/>
              <w:rPr>
                <w:rFonts w:eastAsia="Times New Roman"/>
                <w:sz w:val="20"/>
                <w:szCs w:val="20"/>
              </w:rPr>
            </w:pPr>
          </w:p>
        </w:tc>
        <w:tc>
          <w:tcPr>
            <w:tcW w:w="50" w:type="pct"/>
            <w:vAlign w:val="center"/>
            <w:hideMark/>
          </w:tcPr>
          <w:p w14:paraId="40FDE85F" w14:textId="77777777" w:rsidR="00000000" w:rsidRDefault="00EE5306">
            <w:pPr>
              <w:spacing w:after="100"/>
              <w:rPr>
                <w:rFonts w:eastAsia="Times New Roman"/>
                <w:sz w:val="20"/>
                <w:szCs w:val="20"/>
              </w:rPr>
            </w:pPr>
          </w:p>
        </w:tc>
        <w:tc>
          <w:tcPr>
            <w:tcW w:w="510" w:type="pct"/>
            <w:vAlign w:val="center"/>
            <w:hideMark/>
          </w:tcPr>
          <w:p w14:paraId="67C86E15" w14:textId="77777777" w:rsidR="00000000" w:rsidRDefault="00EE5306">
            <w:pPr>
              <w:spacing w:after="100"/>
              <w:rPr>
                <w:rFonts w:eastAsia="Times New Roman"/>
                <w:sz w:val="20"/>
                <w:szCs w:val="20"/>
              </w:rPr>
            </w:pPr>
          </w:p>
        </w:tc>
        <w:tc>
          <w:tcPr>
            <w:tcW w:w="5" w:type="pct"/>
            <w:vAlign w:val="center"/>
            <w:hideMark/>
          </w:tcPr>
          <w:p w14:paraId="0F341936" w14:textId="77777777" w:rsidR="00000000" w:rsidRDefault="00EE5306">
            <w:pPr>
              <w:spacing w:after="100"/>
              <w:rPr>
                <w:rFonts w:eastAsia="Times New Roman"/>
                <w:sz w:val="20"/>
                <w:szCs w:val="20"/>
              </w:rPr>
            </w:pPr>
          </w:p>
        </w:tc>
        <w:tc>
          <w:tcPr>
            <w:tcW w:w="5" w:type="pct"/>
            <w:vAlign w:val="center"/>
            <w:hideMark/>
          </w:tcPr>
          <w:p w14:paraId="5CB7F093" w14:textId="77777777" w:rsidR="00000000" w:rsidRDefault="00EE5306">
            <w:pPr>
              <w:spacing w:after="100"/>
              <w:rPr>
                <w:rFonts w:eastAsia="Times New Roman"/>
                <w:sz w:val="20"/>
                <w:szCs w:val="20"/>
              </w:rPr>
            </w:pPr>
          </w:p>
        </w:tc>
        <w:tc>
          <w:tcPr>
            <w:tcW w:w="28" w:type="pct"/>
            <w:vAlign w:val="center"/>
            <w:hideMark/>
          </w:tcPr>
          <w:p w14:paraId="17952DF1" w14:textId="77777777" w:rsidR="00000000" w:rsidRDefault="00EE5306">
            <w:pPr>
              <w:spacing w:after="100"/>
              <w:rPr>
                <w:rFonts w:eastAsia="Times New Roman"/>
                <w:sz w:val="20"/>
                <w:szCs w:val="20"/>
              </w:rPr>
            </w:pPr>
          </w:p>
        </w:tc>
        <w:tc>
          <w:tcPr>
            <w:tcW w:w="5" w:type="pct"/>
            <w:vAlign w:val="center"/>
            <w:hideMark/>
          </w:tcPr>
          <w:p w14:paraId="511037AA" w14:textId="77777777" w:rsidR="00000000" w:rsidRDefault="00EE5306">
            <w:pPr>
              <w:spacing w:after="100"/>
              <w:rPr>
                <w:rFonts w:eastAsia="Times New Roman"/>
                <w:sz w:val="20"/>
                <w:szCs w:val="20"/>
              </w:rPr>
            </w:pPr>
          </w:p>
        </w:tc>
        <w:tc>
          <w:tcPr>
            <w:tcW w:w="50" w:type="pct"/>
            <w:vAlign w:val="center"/>
            <w:hideMark/>
          </w:tcPr>
          <w:p w14:paraId="763448AD" w14:textId="77777777" w:rsidR="00000000" w:rsidRDefault="00EE5306">
            <w:pPr>
              <w:spacing w:after="100"/>
              <w:rPr>
                <w:rFonts w:eastAsia="Times New Roman"/>
                <w:sz w:val="20"/>
                <w:szCs w:val="20"/>
              </w:rPr>
            </w:pPr>
          </w:p>
        </w:tc>
        <w:tc>
          <w:tcPr>
            <w:tcW w:w="510" w:type="pct"/>
            <w:vAlign w:val="center"/>
            <w:hideMark/>
          </w:tcPr>
          <w:p w14:paraId="4ED4FF78" w14:textId="77777777" w:rsidR="00000000" w:rsidRDefault="00EE5306">
            <w:pPr>
              <w:spacing w:after="100"/>
              <w:rPr>
                <w:rFonts w:eastAsia="Times New Roman"/>
                <w:sz w:val="20"/>
                <w:szCs w:val="20"/>
              </w:rPr>
            </w:pPr>
          </w:p>
        </w:tc>
        <w:tc>
          <w:tcPr>
            <w:tcW w:w="5" w:type="pct"/>
            <w:vAlign w:val="center"/>
            <w:hideMark/>
          </w:tcPr>
          <w:p w14:paraId="5C598AB7" w14:textId="77777777" w:rsidR="00000000" w:rsidRDefault="00EE5306">
            <w:pPr>
              <w:spacing w:after="100"/>
              <w:rPr>
                <w:rFonts w:eastAsia="Times New Roman"/>
                <w:sz w:val="20"/>
                <w:szCs w:val="20"/>
              </w:rPr>
            </w:pPr>
          </w:p>
        </w:tc>
        <w:tc>
          <w:tcPr>
            <w:tcW w:w="5" w:type="pct"/>
            <w:vAlign w:val="center"/>
            <w:hideMark/>
          </w:tcPr>
          <w:p w14:paraId="722B6C70" w14:textId="77777777" w:rsidR="00000000" w:rsidRDefault="00EE5306">
            <w:pPr>
              <w:spacing w:after="100"/>
              <w:rPr>
                <w:rFonts w:eastAsia="Times New Roman"/>
                <w:sz w:val="20"/>
                <w:szCs w:val="20"/>
              </w:rPr>
            </w:pPr>
          </w:p>
        </w:tc>
        <w:tc>
          <w:tcPr>
            <w:tcW w:w="28" w:type="pct"/>
            <w:vAlign w:val="center"/>
            <w:hideMark/>
          </w:tcPr>
          <w:p w14:paraId="06EBFC5A" w14:textId="77777777" w:rsidR="00000000" w:rsidRDefault="00EE5306">
            <w:pPr>
              <w:spacing w:after="100"/>
              <w:rPr>
                <w:rFonts w:eastAsia="Times New Roman"/>
                <w:sz w:val="20"/>
                <w:szCs w:val="20"/>
              </w:rPr>
            </w:pPr>
          </w:p>
        </w:tc>
        <w:tc>
          <w:tcPr>
            <w:tcW w:w="5" w:type="pct"/>
            <w:vAlign w:val="center"/>
            <w:hideMark/>
          </w:tcPr>
          <w:p w14:paraId="263CBF52" w14:textId="77777777" w:rsidR="00000000" w:rsidRDefault="00EE5306">
            <w:pPr>
              <w:spacing w:after="100"/>
              <w:rPr>
                <w:rFonts w:eastAsia="Times New Roman"/>
                <w:sz w:val="20"/>
                <w:szCs w:val="20"/>
              </w:rPr>
            </w:pPr>
          </w:p>
        </w:tc>
        <w:tc>
          <w:tcPr>
            <w:tcW w:w="50" w:type="pct"/>
            <w:vAlign w:val="center"/>
            <w:hideMark/>
          </w:tcPr>
          <w:p w14:paraId="0384703B" w14:textId="77777777" w:rsidR="00000000" w:rsidRDefault="00EE5306">
            <w:pPr>
              <w:spacing w:after="100"/>
              <w:rPr>
                <w:rFonts w:eastAsia="Times New Roman"/>
                <w:sz w:val="20"/>
                <w:szCs w:val="20"/>
              </w:rPr>
            </w:pPr>
          </w:p>
        </w:tc>
        <w:tc>
          <w:tcPr>
            <w:tcW w:w="510" w:type="pct"/>
            <w:vAlign w:val="center"/>
            <w:hideMark/>
          </w:tcPr>
          <w:p w14:paraId="0AD226D5" w14:textId="77777777" w:rsidR="00000000" w:rsidRDefault="00EE5306">
            <w:pPr>
              <w:spacing w:after="100"/>
              <w:rPr>
                <w:rFonts w:eastAsia="Times New Roman"/>
                <w:sz w:val="20"/>
                <w:szCs w:val="20"/>
              </w:rPr>
            </w:pPr>
          </w:p>
        </w:tc>
        <w:tc>
          <w:tcPr>
            <w:tcW w:w="5" w:type="pct"/>
            <w:vAlign w:val="center"/>
            <w:hideMark/>
          </w:tcPr>
          <w:p w14:paraId="3B2870FA" w14:textId="77777777" w:rsidR="00000000" w:rsidRDefault="00EE5306">
            <w:pPr>
              <w:spacing w:after="100"/>
              <w:rPr>
                <w:rFonts w:eastAsia="Times New Roman"/>
                <w:sz w:val="20"/>
                <w:szCs w:val="20"/>
              </w:rPr>
            </w:pPr>
          </w:p>
        </w:tc>
        <w:tc>
          <w:tcPr>
            <w:tcW w:w="5" w:type="pct"/>
            <w:vAlign w:val="center"/>
            <w:hideMark/>
          </w:tcPr>
          <w:p w14:paraId="1982F81F" w14:textId="77777777" w:rsidR="00000000" w:rsidRDefault="00EE5306">
            <w:pPr>
              <w:spacing w:after="100"/>
              <w:rPr>
                <w:rFonts w:eastAsia="Times New Roman"/>
                <w:sz w:val="20"/>
                <w:szCs w:val="20"/>
              </w:rPr>
            </w:pPr>
          </w:p>
        </w:tc>
        <w:tc>
          <w:tcPr>
            <w:tcW w:w="28" w:type="pct"/>
            <w:vAlign w:val="center"/>
            <w:hideMark/>
          </w:tcPr>
          <w:p w14:paraId="507573CF" w14:textId="77777777" w:rsidR="00000000" w:rsidRDefault="00EE5306">
            <w:pPr>
              <w:spacing w:after="100"/>
              <w:rPr>
                <w:rFonts w:eastAsia="Times New Roman"/>
                <w:sz w:val="20"/>
                <w:szCs w:val="20"/>
              </w:rPr>
            </w:pPr>
          </w:p>
        </w:tc>
        <w:tc>
          <w:tcPr>
            <w:tcW w:w="5" w:type="pct"/>
            <w:vAlign w:val="center"/>
            <w:hideMark/>
          </w:tcPr>
          <w:p w14:paraId="44E8AF08" w14:textId="77777777" w:rsidR="00000000" w:rsidRDefault="00EE5306">
            <w:pPr>
              <w:spacing w:after="100"/>
              <w:rPr>
                <w:rFonts w:eastAsia="Times New Roman"/>
                <w:sz w:val="20"/>
                <w:szCs w:val="20"/>
              </w:rPr>
            </w:pPr>
          </w:p>
        </w:tc>
        <w:tc>
          <w:tcPr>
            <w:tcW w:w="50" w:type="pct"/>
            <w:vAlign w:val="center"/>
            <w:hideMark/>
          </w:tcPr>
          <w:p w14:paraId="2D8F8FC9" w14:textId="77777777" w:rsidR="00000000" w:rsidRDefault="00EE5306">
            <w:pPr>
              <w:spacing w:after="100"/>
              <w:rPr>
                <w:rFonts w:eastAsia="Times New Roman"/>
                <w:sz w:val="20"/>
                <w:szCs w:val="20"/>
              </w:rPr>
            </w:pPr>
          </w:p>
        </w:tc>
        <w:tc>
          <w:tcPr>
            <w:tcW w:w="511" w:type="pct"/>
            <w:vAlign w:val="center"/>
            <w:hideMark/>
          </w:tcPr>
          <w:p w14:paraId="778BEF9A" w14:textId="77777777" w:rsidR="00000000" w:rsidRDefault="00EE5306">
            <w:pPr>
              <w:spacing w:after="100"/>
              <w:rPr>
                <w:rFonts w:eastAsia="Times New Roman"/>
                <w:sz w:val="20"/>
                <w:szCs w:val="20"/>
              </w:rPr>
            </w:pPr>
          </w:p>
        </w:tc>
        <w:tc>
          <w:tcPr>
            <w:tcW w:w="5" w:type="pct"/>
            <w:vAlign w:val="center"/>
            <w:hideMark/>
          </w:tcPr>
          <w:p w14:paraId="4E73E220" w14:textId="77777777" w:rsidR="00000000" w:rsidRDefault="00EE5306">
            <w:pPr>
              <w:spacing w:after="100"/>
              <w:rPr>
                <w:rFonts w:eastAsia="Times New Roman"/>
                <w:sz w:val="20"/>
                <w:szCs w:val="20"/>
              </w:rPr>
            </w:pPr>
          </w:p>
        </w:tc>
      </w:tr>
      <w:tr w:rsidR="00000000" w14:paraId="4DA15453" w14:textId="77777777">
        <w:trPr>
          <w:divId w:val="2016953010"/>
        </w:trPr>
        <w:tc>
          <w:tcPr>
            <w:tcW w:w="0" w:type="auto"/>
            <w:gridSpan w:val="3"/>
            <w:tcMar>
              <w:top w:w="30" w:type="dxa"/>
              <w:left w:w="20" w:type="dxa"/>
              <w:bottom w:w="30" w:type="dxa"/>
              <w:right w:w="20" w:type="dxa"/>
            </w:tcMar>
            <w:vAlign w:val="bottom"/>
            <w:hideMark/>
          </w:tcPr>
          <w:p w14:paraId="5768610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A5F71C1"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1A9BF100" w14:textId="77777777" w:rsidR="00000000" w:rsidRDefault="00EE5306">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14:paraId="6B795873"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43309C" w14:textId="77777777" w:rsidR="00000000" w:rsidRDefault="00EE5306">
            <w:pPr>
              <w:spacing w:after="100"/>
              <w:jc w:val="center"/>
              <w:rPr>
                <w:rFonts w:eastAsia="Times New Roman"/>
              </w:rPr>
            </w:pPr>
            <w:r>
              <w:rPr>
                <w:rFonts w:eastAsia="Times New Roman"/>
                <w:b/>
                <w:bCs/>
                <w:color w:val="000000"/>
                <w:sz w:val="16"/>
                <w:szCs w:val="16"/>
              </w:rPr>
              <w:t>Weighted-Average Exercise Price</w:t>
            </w:r>
          </w:p>
        </w:tc>
        <w:tc>
          <w:tcPr>
            <w:tcW w:w="0" w:type="auto"/>
            <w:gridSpan w:val="3"/>
            <w:tcMar>
              <w:top w:w="0" w:type="dxa"/>
              <w:left w:w="20" w:type="dxa"/>
              <w:bottom w:w="0" w:type="dxa"/>
              <w:right w:w="20" w:type="dxa"/>
            </w:tcMar>
            <w:vAlign w:val="center"/>
            <w:hideMark/>
          </w:tcPr>
          <w:p w14:paraId="11AC9BD4"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5E2CE9D" w14:textId="77777777" w:rsidR="00000000" w:rsidRDefault="00EE5306">
            <w:pPr>
              <w:spacing w:after="100"/>
              <w:jc w:val="center"/>
              <w:rPr>
                <w:rFonts w:eastAsia="Times New Roman"/>
              </w:rPr>
            </w:pPr>
            <w:r>
              <w:rPr>
                <w:rFonts w:eastAsia="Times New Roman"/>
                <w:b/>
                <w:bCs/>
                <w:color w:val="000000"/>
                <w:sz w:val="16"/>
                <w:szCs w:val="16"/>
              </w:rPr>
              <w:t>Weighted-Average Remaining Contractual Term</w:t>
            </w:r>
          </w:p>
        </w:tc>
        <w:tc>
          <w:tcPr>
            <w:tcW w:w="0" w:type="auto"/>
            <w:gridSpan w:val="3"/>
            <w:tcMar>
              <w:top w:w="0" w:type="dxa"/>
              <w:left w:w="20" w:type="dxa"/>
              <w:bottom w:w="0" w:type="dxa"/>
              <w:right w:w="20" w:type="dxa"/>
            </w:tcMar>
            <w:vAlign w:val="center"/>
            <w:hideMark/>
          </w:tcPr>
          <w:p w14:paraId="091D122A"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4E806B" w14:textId="77777777" w:rsidR="00000000" w:rsidRDefault="00EE5306">
            <w:pPr>
              <w:spacing w:after="100"/>
              <w:jc w:val="center"/>
              <w:rPr>
                <w:rFonts w:eastAsia="Times New Roman"/>
              </w:rPr>
            </w:pPr>
            <w:r>
              <w:rPr>
                <w:rFonts w:eastAsia="Times New Roman"/>
                <w:b/>
                <w:bCs/>
                <w:color w:val="000000"/>
                <w:sz w:val="16"/>
                <w:szCs w:val="16"/>
              </w:rPr>
              <w:t>Aggregate Intrinsic Valu</w:t>
            </w:r>
            <w:r>
              <w:rPr>
                <w:rFonts w:eastAsia="Times New Roman"/>
                <w:b/>
                <w:bCs/>
                <w:color w:val="000000"/>
                <w:sz w:val="16"/>
                <w:szCs w:val="16"/>
              </w:rPr>
              <w:t>e</w:t>
            </w:r>
            <w:r>
              <w:rPr>
                <w:rFonts w:eastAsia="Times New Roman"/>
                <w:b/>
                <w:bCs/>
                <w:color w:val="000000"/>
                <w:sz w:val="10"/>
                <w:szCs w:val="10"/>
              </w:rPr>
              <w:t>(a</w:t>
            </w:r>
            <w:r>
              <w:rPr>
                <w:rFonts w:eastAsia="Times New Roman"/>
                <w:b/>
                <w:bCs/>
                <w:color w:val="000000"/>
                <w:sz w:val="10"/>
                <w:szCs w:val="10"/>
              </w:rPr>
              <w:t>)</w:t>
            </w:r>
          </w:p>
        </w:tc>
      </w:tr>
      <w:tr w:rsidR="00000000" w14:paraId="3414C84F" w14:textId="77777777">
        <w:trPr>
          <w:divId w:val="2016953010"/>
        </w:trPr>
        <w:tc>
          <w:tcPr>
            <w:tcW w:w="0" w:type="auto"/>
            <w:gridSpan w:val="3"/>
            <w:tcMar>
              <w:top w:w="30" w:type="dxa"/>
              <w:left w:w="20" w:type="dxa"/>
              <w:bottom w:w="30" w:type="dxa"/>
              <w:right w:w="20" w:type="dxa"/>
            </w:tcMar>
            <w:vAlign w:val="bottom"/>
            <w:hideMark/>
          </w:tcPr>
          <w:p w14:paraId="412CCA9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E6600C3"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383239" w14:textId="77777777" w:rsidR="00000000" w:rsidRDefault="00EE5306">
            <w:pPr>
              <w:spacing w:after="100"/>
              <w:jc w:val="center"/>
              <w:rPr>
                <w:rFonts w:eastAsia="Times New Roman"/>
              </w:rPr>
            </w:pPr>
            <w:r>
              <w:rPr>
                <w:rFonts w:eastAsia="Times New Roman"/>
                <w:b/>
                <w:bCs/>
                <w:color w:val="000000"/>
                <w:sz w:val="16"/>
                <w:szCs w:val="16"/>
              </w:rPr>
              <w:t>(thousands)</w:t>
            </w:r>
          </w:p>
        </w:tc>
        <w:tc>
          <w:tcPr>
            <w:tcW w:w="0" w:type="auto"/>
            <w:gridSpan w:val="3"/>
            <w:tcMar>
              <w:top w:w="0" w:type="dxa"/>
              <w:left w:w="20" w:type="dxa"/>
              <w:bottom w:w="0" w:type="dxa"/>
              <w:right w:w="20" w:type="dxa"/>
            </w:tcMar>
            <w:vAlign w:val="center"/>
            <w:hideMark/>
          </w:tcPr>
          <w:p w14:paraId="38EB9870" w14:textId="77777777" w:rsidR="00000000" w:rsidRDefault="00EE530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143D176"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C76E5D"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AE1BF1A" w14:textId="77777777" w:rsidR="00000000" w:rsidRDefault="00EE5306">
            <w:pPr>
              <w:spacing w:after="100"/>
              <w:jc w:val="center"/>
              <w:rPr>
                <w:rFonts w:eastAsia="Times New Roman"/>
              </w:rPr>
            </w:pPr>
            <w:r>
              <w:rPr>
                <w:rFonts w:eastAsia="Times New Roman"/>
                <w:b/>
                <w:bCs/>
                <w:color w:val="000000"/>
                <w:sz w:val="16"/>
                <w:szCs w:val="16"/>
              </w:rPr>
              <w:t>(years)</w:t>
            </w:r>
          </w:p>
        </w:tc>
        <w:tc>
          <w:tcPr>
            <w:tcW w:w="0" w:type="auto"/>
            <w:gridSpan w:val="3"/>
            <w:tcMar>
              <w:top w:w="0" w:type="dxa"/>
              <w:left w:w="20" w:type="dxa"/>
              <w:bottom w:w="0" w:type="dxa"/>
              <w:right w:w="20" w:type="dxa"/>
            </w:tcMar>
            <w:vAlign w:val="center"/>
            <w:hideMark/>
          </w:tcPr>
          <w:p w14:paraId="016D0FB5"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003C43"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294C544B" w14:textId="77777777">
        <w:trPr>
          <w:divId w:val="2016953010"/>
        </w:trPr>
        <w:tc>
          <w:tcPr>
            <w:tcW w:w="0" w:type="auto"/>
            <w:gridSpan w:val="3"/>
            <w:shd w:val="clear" w:color="auto" w:fill="CCEEFF"/>
            <w:tcMar>
              <w:top w:w="30" w:type="dxa"/>
              <w:left w:w="20" w:type="dxa"/>
              <w:bottom w:w="30" w:type="dxa"/>
              <w:right w:w="20" w:type="dxa"/>
            </w:tcMar>
            <w:vAlign w:val="bottom"/>
            <w:hideMark/>
          </w:tcPr>
          <w:p w14:paraId="1C554835" w14:textId="77777777" w:rsidR="00000000" w:rsidRDefault="00EE5306">
            <w:pPr>
              <w:spacing w:after="100"/>
              <w:rPr>
                <w:rFonts w:eastAsia="Times New Roman"/>
              </w:rPr>
            </w:pPr>
            <w:r>
              <w:rPr>
                <w:rFonts w:eastAsia="Times New Roman"/>
                <w:color w:val="000000"/>
                <w:sz w:val="20"/>
                <w:szCs w:val="20"/>
              </w:rPr>
              <w:t>Options outstanding at March 28, 2020</w:t>
            </w:r>
          </w:p>
        </w:tc>
        <w:tc>
          <w:tcPr>
            <w:tcW w:w="0" w:type="auto"/>
            <w:gridSpan w:val="3"/>
            <w:shd w:val="clear" w:color="auto" w:fill="CCEEFF"/>
            <w:tcMar>
              <w:top w:w="0" w:type="dxa"/>
              <w:left w:w="20" w:type="dxa"/>
              <w:bottom w:w="0" w:type="dxa"/>
              <w:right w:w="20" w:type="dxa"/>
            </w:tcMar>
            <w:vAlign w:val="center"/>
            <w:hideMark/>
          </w:tcPr>
          <w:p w14:paraId="0EBFD40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34C70F" w14:textId="77777777" w:rsidR="00000000" w:rsidRDefault="00EE5306">
            <w:pPr>
              <w:spacing w:after="100"/>
              <w:jc w:val="right"/>
              <w:rPr>
                <w:rFonts w:eastAsia="Times New Roman"/>
              </w:rPr>
            </w:pPr>
            <w:r>
              <w:rPr>
                <w:rFonts w:eastAsia="Times New Roman"/>
                <w:color w:val="000000"/>
                <w:sz w:val="20"/>
                <w:szCs w:val="20"/>
              </w:rPr>
              <w:t>518 </w:t>
            </w:r>
          </w:p>
        </w:tc>
        <w:tc>
          <w:tcPr>
            <w:tcW w:w="0" w:type="auto"/>
            <w:shd w:val="clear" w:color="auto" w:fill="CCEEFF"/>
            <w:tcMar>
              <w:top w:w="30" w:type="dxa"/>
              <w:left w:w="0" w:type="dxa"/>
              <w:bottom w:w="30" w:type="dxa"/>
              <w:right w:w="20" w:type="dxa"/>
            </w:tcMar>
            <w:vAlign w:val="bottom"/>
            <w:hideMark/>
          </w:tcPr>
          <w:p w14:paraId="33C57A1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9B712"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210AE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CABFFD5" w14:textId="77777777" w:rsidR="00000000" w:rsidRDefault="00EE5306">
            <w:pPr>
              <w:spacing w:after="100"/>
              <w:jc w:val="right"/>
              <w:rPr>
                <w:rFonts w:eastAsia="Times New Roman"/>
              </w:rPr>
            </w:pPr>
            <w:r>
              <w:rPr>
                <w:rFonts w:eastAsia="Times New Roman"/>
                <w:color w:val="000000"/>
                <w:sz w:val="20"/>
                <w:szCs w:val="20"/>
              </w:rPr>
              <w:t>169.37 </w:t>
            </w:r>
          </w:p>
        </w:tc>
        <w:tc>
          <w:tcPr>
            <w:tcW w:w="0" w:type="auto"/>
            <w:shd w:val="clear" w:color="auto" w:fill="CCEEFF"/>
            <w:tcMar>
              <w:top w:w="30" w:type="dxa"/>
              <w:left w:w="0" w:type="dxa"/>
              <w:bottom w:w="30" w:type="dxa"/>
              <w:right w:w="20" w:type="dxa"/>
            </w:tcMar>
            <w:vAlign w:val="bottom"/>
            <w:hideMark/>
          </w:tcPr>
          <w:p w14:paraId="7D8265E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BE207"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76AE64F" w14:textId="77777777" w:rsidR="00000000" w:rsidRDefault="00EE5306">
            <w:pPr>
              <w:spacing w:after="100"/>
              <w:jc w:val="right"/>
              <w:rPr>
                <w:rFonts w:eastAsia="Times New Roman"/>
              </w:rPr>
            </w:pPr>
            <w:r>
              <w:rPr>
                <w:rFonts w:eastAsia="Times New Roman"/>
                <w:color w:val="000000"/>
                <w:sz w:val="20"/>
                <w:szCs w:val="20"/>
              </w:rPr>
              <w:t>0.9</w:t>
            </w:r>
          </w:p>
        </w:tc>
        <w:tc>
          <w:tcPr>
            <w:tcW w:w="0" w:type="auto"/>
            <w:gridSpan w:val="3"/>
            <w:shd w:val="clear" w:color="auto" w:fill="CCEEFF"/>
            <w:tcMar>
              <w:top w:w="0" w:type="dxa"/>
              <w:left w:w="20" w:type="dxa"/>
              <w:bottom w:w="0" w:type="dxa"/>
              <w:right w:w="20" w:type="dxa"/>
            </w:tcMar>
            <w:vAlign w:val="center"/>
            <w:hideMark/>
          </w:tcPr>
          <w:p w14:paraId="4B122E47" w14:textId="77777777" w:rsidR="00000000" w:rsidRDefault="00EE530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38641D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99C6F4"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72484C" w14:textId="77777777" w:rsidR="00000000" w:rsidRDefault="00EE5306">
            <w:pPr>
              <w:spacing w:after="100"/>
              <w:jc w:val="right"/>
              <w:rPr>
                <w:rFonts w:eastAsia="Times New Roman"/>
              </w:rPr>
            </w:pPr>
          </w:p>
        </w:tc>
      </w:tr>
      <w:tr w:rsidR="00000000" w14:paraId="71888550" w14:textId="77777777">
        <w:trPr>
          <w:divId w:val="2016953010"/>
        </w:trPr>
        <w:tc>
          <w:tcPr>
            <w:tcW w:w="0" w:type="auto"/>
            <w:gridSpan w:val="3"/>
            <w:shd w:val="clear" w:color="auto" w:fill="FFFFFF"/>
            <w:tcMar>
              <w:top w:w="30" w:type="dxa"/>
              <w:left w:w="155" w:type="dxa"/>
              <w:bottom w:w="30" w:type="dxa"/>
              <w:right w:w="20" w:type="dxa"/>
            </w:tcMar>
            <w:vAlign w:val="bottom"/>
            <w:hideMark/>
          </w:tcPr>
          <w:p w14:paraId="704A7C10" w14:textId="77777777" w:rsidR="00000000" w:rsidRDefault="00EE5306">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14:paraId="7486623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725069"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83BF2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95AC5"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42BE6FE" w14:textId="77777777" w:rsidR="00000000" w:rsidRDefault="00EE5306">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53499DA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1E16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A17FD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B331C1" w14:textId="77777777" w:rsidR="00000000" w:rsidRDefault="00EE5306">
            <w:pPr>
              <w:spacing w:after="100"/>
              <w:rPr>
                <w:rFonts w:eastAsia="Times New Roman"/>
                <w:sz w:val="20"/>
                <w:szCs w:val="20"/>
              </w:rPr>
            </w:pPr>
          </w:p>
        </w:tc>
      </w:tr>
      <w:tr w:rsidR="00000000" w14:paraId="33841031" w14:textId="77777777">
        <w:trPr>
          <w:divId w:val="2016953010"/>
        </w:trPr>
        <w:tc>
          <w:tcPr>
            <w:tcW w:w="0" w:type="auto"/>
            <w:gridSpan w:val="3"/>
            <w:shd w:val="clear" w:color="auto" w:fill="CCEEFF"/>
            <w:tcMar>
              <w:top w:w="30" w:type="dxa"/>
              <w:left w:w="155" w:type="dxa"/>
              <w:bottom w:w="30" w:type="dxa"/>
              <w:right w:w="20" w:type="dxa"/>
            </w:tcMar>
            <w:vAlign w:val="bottom"/>
            <w:hideMark/>
          </w:tcPr>
          <w:p w14:paraId="1D6F43DA" w14:textId="77777777" w:rsidR="00000000" w:rsidRDefault="00EE5306">
            <w:pPr>
              <w:spacing w:after="100"/>
              <w:rPr>
                <w:rFonts w:eastAsia="Times New Roman"/>
              </w:rPr>
            </w:pPr>
            <w:r>
              <w:rPr>
                <w:rFonts w:eastAsia="Times New Roman"/>
                <w:color w:val="000000"/>
                <w:sz w:val="20"/>
                <w:szCs w:val="20"/>
              </w:rPr>
              <w:t>Exercised</w:t>
            </w:r>
          </w:p>
        </w:tc>
        <w:tc>
          <w:tcPr>
            <w:tcW w:w="0" w:type="auto"/>
            <w:gridSpan w:val="3"/>
            <w:shd w:val="clear" w:color="auto" w:fill="CCEEFF"/>
            <w:tcMar>
              <w:top w:w="0" w:type="dxa"/>
              <w:left w:w="20" w:type="dxa"/>
              <w:bottom w:w="0" w:type="dxa"/>
              <w:right w:w="20" w:type="dxa"/>
            </w:tcMar>
            <w:vAlign w:val="center"/>
            <w:hideMark/>
          </w:tcPr>
          <w:p w14:paraId="508ACA5A"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81B576"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1B56B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BA000"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195E5D6" w14:textId="77777777" w:rsidR="00000000" w:rsidRDefault="00EE5306">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6E9F014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200E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E87A3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A4D4CA" w14:textId="77777777" w:rsidR="00000000" w:rsidRDefault="00EE5306">
            <w:pPr>
              <w:spacing w:after="100"/>
              <w:rPr>
                <w:rFonts w:eastAsia="Times New Roman"/>
                <w:sz w:val="20"/>
                <w:szCs w:val="20"/>
              </w:rPr>
            </w:pPr>
          </w:p>
        </w:tc>
      </w:tr>
      <w:tr w:rsidR="00000000" w14:paraId="734E648F" w14:textId="77777777">
        <w:trPr>
          <w:divId w:val="2016953010"/>
        </w:trPr>
        <w:tc>
          <w:tcPr>
            <w:tcW w:w="0" w:type="auto"/>
            <w:gridSpan w:val="3"/>
            <w:shd w:val="clear" w:color="auto" w:fill="FFFFFF"/>
            <w:tcMar>
              <w:top w:w="30" w:type="dxa"/>
              <w:left w:w="155" w:type="dxa"/>
              <w:bottom w:w="30" w:type="dxa"/>
              <w:right w:w="20" w:type="dxa"/>
            </w:tcMar>
            <w:vAlign w:val="bottom"/>
            <w:hideMark/>
          </w:tcPr>
          <w:p w14:paraId="6C6DF43A" w14:textId="77777777" w:rsidR="00000000" w:rsidRDefault="00EE5306">
            <w:pPr>
              <w:spacing w:after="100"/>
              <w:rPr>
                <w:rFonts w:eastAsia="Times New Roman"/>
              </w:rPr>
            </w:pPr>
            <w:r>
              <w:rPr>
                <w:rFonts w:eastAsia="Times New Roman"/>
                <w:color w:val="000000"/>
                <w:sz w:val="20"/>
                <w:szCs w:val="20"/>
              </w:rPr>
              <w:t>Cancelled/Forfeited</w:t>
            </w:r>
          </w:p>
        </w:tc>
        <w:tc>
          <w:tcPr>
            <w:tcW w:w="0" w:type="auto"/>
            <w:gridSpan w:val="3"/>
            <w:shd w:val="clear" w:color="auto" w:fill="FFFFFF"/>
            <w:tcMar>
              <w:top w:w="0" w:type="dxa"/>
              <w:left w:w="20" w:type="dxa"/>
              <w:bottom w:w="0" w:type="dxa"/>
              <w:right w:w="20" w:type="dxa"/>
            </w:tcMar>
            <w:vAlign w:val="center"/>
            <w:hideMark/>
          </w:tcPr>
          <w:p w14:paraId="513F396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89E04A" w14:textId="77777777" w:rsidR="00000000" w:rsidRDefault="00EE5306">
            <w:pPr>
              <w:spacing w:after="100"/>
              <w:jc w:val="right"/>
              <w:rPr>
                <w:rFonts w:eastAsia="Times New Roman"/>
              </w:rPr>
            </w:pPr>
            <w:r>
              <w:rPr>
                <w:rFonts w:eastAsia="Times New Roman"/>
                <w:color w:val="000000"/>
                <w:sz w:val="20"/>
                <w:szCs w:val="20"/>
              </w:rPr>
              <w:t>(263)</w:t>
            </w:r>
          </w:p>
        </w:tc>
        <w:tc>
          <w:tcPr>
            <w:tcW w:w="0" w:type="auto"/>
            <w:shd w:val="clear" w:color="auto" w:fill="FFFFFF"/>
            <w:tcMar>
              <w:top w:w="30" w:type="dxa"/>
              <w:left w:w="0" w:type="dxa"/>
              <w:bottom w:w="30" w:type="dxa"/>
              <w:right w:w="20" w:type="dxa"/>
            </w:tcMar>
            <w:vAlign w:val="bottom"/>
            <w:hideMark/>
          </w:tcPr>
          <w:p w14:paraId="216E2F6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C746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AB7D49" w14:textId="77777777" w:rsidR="00000000" w:rsidRDefault="00EE5306">
            <w:pPr>
              <w:spacing w:after="100"/>
              <w:jc w:val="right"/>
              <w:rPr>
                <w:rFonts w:eastAsia="Times New Roman"/>
              </w:rPr>
            </w:pPr>
            <w:r>
              <w:rPr>
                <w:rFonts w:eastAsia="Times New Roman"/>
                <w:color w:val="000000"/>
                <w:sz w:val="20"/>
                <w:szCs w:val="20"/>
              </w:rPr>
              <w:t>178.63 </w:t>
            </w:r>
          </w:p>
        </w:tc>
        <w:tc>
          <w:tcPr>
            <w:tcW w:w="0" w:type="auto"/>
            <w:shd w:val="clear" w:color="auto" w:fill="FFFFFF"/>
            <w:tcMar>
              <w:top w:w="30" w:type="dxa"/>
              <w:left w:w="0" w:type="dxa"/>
              <w:bottom w:w="30" w:type="dxa"/>
              <w:right w:w="20" w:type="dxa"/>
            </w:tcMar>
            <w:vAlign w:val="bottom"/>
            <w:hideMark/>
          </w:tcPr>
          <w:p w14:paraId="26F2292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0C3BF"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02560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AB58B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776AF1" w14:textId="77777777" w:rsidR="00000000" w:rsidRDefault="00EE5306">
            <w:pPr>
              <w:spacing w:after="100"/>
              <w:rPr>
                <w:rFonts w:eastAsia="Times New Roman"/>
                <w:sz w:val="20"/>
                <w:szCs w:val="20"/>
              </w:rPr>
            </w:pPr>
          </w:p>
        </w:tc>
      </w:tr>
      <w:tr w:rsidR="00000000" w14:paraId="18E9D9D0" w14:textId="77777777">
        <w:trPr>
          <w:divId w:val="2016953010"/>
        </w:trPr>
        <w:tc>
          <w:tcPr>
            <w:tcW w:w="0" w:type="auto"/>
            <w:gridSpan w:val="3"/>
            <w:shd w:val="clear" w:color="auto" w:fill="CCEEFF"/>
            <w:tcMar>
              <w:top w:w="30" w:type="dxa"/>
              <w:left w:w="20" w:type="dxa"/>
              <w:bottom w:w="30" w:type="dxa"/>
              <w:right w:w="20" w:type="dxa"/>
            </w:tcMar>
            <w:vAlign w:val="bottom"/>
            <w:hideMark/>
          </w:tcPr>
          <w:p w14:paraId="2174A6F4" w14:textId="77777777" w:rsidR="00000000" w:rsidRDefault="00EE5306">
            <w:pPr>
              <w:spacing w:after="100"/>
              <w:rPr>
                <w:rFonts w:eastAsia="Times New Roman"/>
              </w:rPr>
            </w:pPr>
            <w:r>
              <w:rPr>
                <w:rFonts w:eastAsia="Times New Roman"/>
                <w:color w:val="000000"/>
                <w:sz w:val="20"/>
                <w:szCs w:val="20"/>
              </w:rPr>
              <w:t>Options outstanding at March 27, 2021</w:t>
            </w:r>
          </w:p>
        </w:tc>
        <w:tc>
          <w:tcPr>
            <w:tcW w:w="0" w:type="auto"/>
            <w:gridSpan w:val="3"/>
            <w:shd w:val="clear" w:color="auto" w:fill="CCEEFF"/>
            <w:tcMar>
              <w:top w:w="0" w:type="dxa"/>
              <w:left w:w="20" w:type="dxa"/>
              <w:bottom w:w="0" w:type="dxa"/>
              <w:right w:w="20" w:type="dxa"/>
            </w:tcMar>
            <w:vAlign w:val="center"/>
            <w:hideMark/>
          </w:tcPr>
          <w:p w14:paraId="1335B2CA" w14:textId="77777777" w:rsidR="00000000" w:rsidRDefault="00EE530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18A230" w14:textId="77777777" w:rsidR="00000000" w:rsidRDefault="00EE5306">
            <w:pPr>
              <w:spacing w:after="100"/>
              <w:jc w:val="right"/>
              <w:rPr>
                <w:rFonts w:eastAsia="Times New Roman"/>
              </w:rPr>
            </w:pPr>
            <w:r>
              <w:rPr>
                <w:rFonts w:eastAsia="Times New Roman"/>
                <w:color w:val="000000"/>
                <w:sz w:val="20"/>
                <w:szCs w:val="20"/>
              </w:rPr>
              <w:t>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12C4C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31E99"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89781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D035FD" w14:textId="77777777" w:rsidR="00000000" w:rsidRDefault="00EE5306">
            <w:pPr>
              <w:spacing w:after="100"/>
              <w:jc w:val="right"/>
              <w:rPr>
                <w:rFonts w:eastAsia="Times New Roman"/>
              </w:rPr>
            </w:pPr>
            <w:r>
              <w:rPr>
                <w:rFonts w:eastAsia="Times New Roman"/>
                <w:color w:val="000000"/>
                <w:sz w:val="20"/>
                <w:szCs w:val="20"/>
              </w:rPr>
              <w:t>159.83 </w:t>
            </w:r>
          </w:p>
        </w:tc>
        <w:tc>
          <w:tcPr>
            <w:tcW w:w="0" w:type="auto"/>
            <w:shd w:val="clear" w:color="auto" w:fill="CCEEFF"/>
            <w:tcMar>
              <w:top w:w="30" w:type="dxa"/>
              <w:left w:w="0" w:type="dxa"/>
              <w:bottom w:w="30" w:type="dxa"/>
              <w:right w:w="20" w:type="dxa"/>
            </w:tcMar>
            <w:vAlign w:val="bottom"/>
            <w:hideMark/>
          </w:tcPr>
          <w:p w14:paraId="03B3F08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EEE57"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2AA5926" w14:textId="77777777" w:rsidR="00000000" w:rsidRDefault="00EE5306">
            <w:pPr>
              <w:spacing w:after="100"/>
              <w:jc w:val="right"/>
              <w:rPr>
                <w:rFonts w:eastAsia="Times New Roman"/>
              </w:rPr>
            </w:pPr>
            <w:r>
              <w:rPr>
                <w:rFonts w:eastAsia="Times New Roman"/>
                <w:color w:val="000000"/>
                <w:sz w:val="20"/>
                <w:szCs w:val="20"/>
              </w:rPr>
              <w:t>0.3</w:t>
            </w:r>
          </w:p>
        </w:tc>
        <w:tc>
          <w:tcPr>
            <w:tcW w:w="0" w:type="auto"/>
            <w:gridSpan w:val="3"/>
            <w:shd w:val="clear" w:color="auto" w:fill="CCEEFF"/>
            <w:tcMar>
              <w:top w:w="0" w:type="dxa"/>
              <w:left w:w="20" w:type="dxa"/>
              <w:bottom w:w="0" w:type="dxa"/>
              <w:right w:w="20" w:type="dxa"/>
            </w:tcMar>
            <w:vAlign w:val="center"/>
            <w:hideMark/>
          </w:tcPr>
          <w:p w14:paraId="7C2ABC9A" w14:textId="77777777" w:rsidR="00000000" w:rsidRDefault="00EE530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E9249D3"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26CA18"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23B529" w14:textId="77777777" w:rsidR="00000000" w:rsidRDefault="00EE5306">
            <w:pPr>
              <w:spacing w:after="100"/>
              <w:jc w:val="right"/>
              <w:rPr>
                <w:rFonts w:eastAsia="Times New Roman"/>
              </w:rPr>
            </w:pPr>
          </w:p>
        </w:tc>
      </w:tr>
      <w:tr w:rsidR="00000000" w14:paraId="256C04EE" w14:textId="77777777">
        <w:trPr>
          <w:divId w:val="2016953010"/>
          <w:trHeight w:val="180"/>
        </w:trPr>
        <w:tc>
          <w:tcPr>
            <w:tcW w:w="0" w:type="auto"/>
            <w:gridSpan w:val="3"/>
            <w:shd w:val="clear" w:color="auto" w:fill="FFFFFF"/>
            <w:tcMar>
              <w:top w:w="0" w:type="dxa"/>
              <w:left w:w="20" w:type="dxa"/>
              <w:bottom w:w="0" w:type="dxa"/>
              <w:right w:w="20" w:type="dxa"/>
            </w:tcMar>
            <w:vAlign w:val="center"/>
            <w:hideMark/>
          </w:tcPr>
          <w:p w14:paraId="5E55B409"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E8B54F" w14:textId="77777777" w:rsidR="00000000" w:rsidRDefault="00EE530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804ABA"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BF8FCB"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FC50DD"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B6FA57"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AE9D19"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CD721F" w14:textId="77777777" w:rsidR="00000000" w:rsidRDefault="00EE530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9FBEEA" w14:textId="77777777" w:rsidR="00000000" w:rsidRDefault="00EE5306">
            <w:pPr>
              <w:spacing w:after="100"/>
              <w:rPr>
                <w:rFonts w:eastAsia="Times New Roman"/>
                <w:sz w:val="20"/>
                <w:szCs w:val="20"/>
              </w:rPr>
            </w:pPr>
          </w:p>
        </w:tc>
      </w:tr>
      <w:tr w:rsidR="00000000" w14:paraId="78CD5AC1" w14:textId="77777777">
        <w:trPr>
          <w:divId w:val="2016953010"/>
        </w:trPr>
        <w:tc>
          <w:tcPr>
            <w:tcW w:w="0" w:type="auto"/>
            <w:gridSpan w:val="3"/>
            <w:shd w:val="clear" w:color="auto" w:fill="CCEEFF"/>
            <w:tcMar>
              <w:top w:w="30" w:type="dxa"/>
              <w:left w:w="20" w:type="dxa"/>
              <w:bottom w:w="30" w:type="dxa"/>
              <w:right w:w="20" w:type="dxa"/>
            </w:tcMar>
            <w:vAlign w:val="bottom"/>
            <w:hideMark/>
          </w:tcPr>
          <w:p w14:paraId="3C05E3D8" w14:textId="77777777" w:rsidR="00000000" w:rsidRDefault="00EE5306">
            <w:pPr>
              <w:spacing w:after="100"/>
              <w:divId w:val="1204706452"/>
              <w:rPr>
                <w:rFonts w:eastAsia="Times New Roman"/>
              </w:rPr>
            </w:pPr>
            <w:r>
              <w:rPr>
                <w:rFonts w:eastAsia="Times New Roman"/>
                <w:color w:val="000000"/>
                <w:sz w:val="20"/>
                <w:szCs w:val="20"/>
              </w:rPr>
              <w:t>Options vested at March 27, 202</w:t>
            </w:r>
            <w:r>
              <w:rPr>
                <w:rFonts w:eastAsia="Times New Roman"/>
                <w:color w:val="000000"/>
                <w:sz w:val="20"/>
                <w:szCs w:val="20"/>
              </w:rPr>
              <w:t>1</w:t>
            </w:r>
            <w:r>
              <w:rPr>
                <w:rFonts w:eastAsia="Times New Roman"/>
                <w:b/>
                <w:bCs/>
                <w:color w:val="000000"/>
                <w:sz w:val="13"/>
                <w:szCs w:val="13"/>
              </w:rPr>
              <w:t>(b</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4902B6F3"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316E2F" w14:textId="77777777" w:rsidR="00000000" w:rsidRDefault="00EE5306">
            <w:pPr>
              <w:spacing w:after="100"/>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14:paraId="6B5CB5B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554D3"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8406F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0CAD56" w14:textId="77777777" w:rsidR="00000000" w:rsidRDefault="00EE5306">
            <w:pPr>
              <w:spacing w:after="100"/>
              <w:jc w:val="right"/>
              <w:rPr>
                <w:rFonts w:eastAsia="Times New Roman"/>
              </w:rPr>
            </w:pPr>
            <w:r>
              <w:rPr>
                <w:rFonts w:eastAsia="Times New Roman"/>
                <w:color w:val="000000"/>
                <w:sz w:val="20"/>
                <w:szCs w:val="20"/>
              </w:rPr>
              <w:t>159.83 </w:t>
            </w:r>
          </w:p>
        </w:tc>
        <w:tc>
          <w:tcPr>
            <w:tcW w:w="0" w:type="auto"/>
            <w:shd w:val="clear" w:color="auto" w:fill="CCEEFF"/>
            <w:tcMar>
              <w:top w:w="30" w:type="dxa"/>
              <w:left w:w="0" w:type="dxa"/>
              <w:bottom w:w="30" w:type="dxa"/>
              <w:right w:w="20" w:type="dxa"/>
            </w:tcMar>
            <w:vAlign w:val="bottom"/>
            <w:hideMark/>
          </w:tcPr>
          <w:p w14:paraId="6A62BAA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F3643" w14:textId="77777777" w:rsidR="00000000" w:rsidRDefault="00EE530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EF19EE0" w14:textId="77777777" w:rsidR="00000000" w:rsidRDefault="00EE5306">
            <w:pPr>
              <w:spacing w:after="100"/>
              <w:jc w:val="right"/>
              <w:rPr>
                <w:rFonts w:eastAsia="Times New Roman"/>
              </w:rPr>
            </w:pPr>
            <w:r>
              <w:rPr>
                <w:rFonts w:eastAsia="Times New Roman"/>
                <w:color w:val="000000"/>
                <w:sz w:val="20"/>
                <w:szCs w:val="20"/>
              </w:rPr>
              <w:t>0.3</w:t>
            </w:r>
          </w:p>
        </w:tc>
        <w:tc>
          <w:tcPr>
            <w:tcW w:w="0" w:type="auto"/>
            <w:gridSpan w:val="3"/>
            <w:shd w:val="clear" w:color="auto" w:fill="CCEEFF"/>
            <w:tcMar>
              <w:top w:w="0" w:type="dxa"/>
              <w:left w:w="20" w:type="dxa"/>
              <w:bottom w:w="0" w:type="dxa"/>
              <w:right w:w="20" w:type="dxa"/>
            </w:tcMar>
            <w:vAlign w:val="center"/>
            <w:hideMark/>
          </w:tcPr>
          <w:p w14:paraId="5668DEDA" w14:textId="77777777" w:rsidR="00000000" w:rsidRDefault="00EE530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03A251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AEB429"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424E94" w14:textId="77777777" w:rsidR="00000000" w:rsidRDefault="00EE5306">
            <w:pPr>
              <w:spacing w:after="100"/>
              <w:jc w:val="right"/>
              <w:rPr>
                <w:rFonts w:eastAsia="Times New Roman"/>
              </w:rPr>
            </w:pPr>
          </w:p>
        </w:tc>
      </w:tr>
      <w:tr w:rsidR="00000000" w14:paraId="104348C2" w14:textId="77777777">
        <w:trPr>
          <w:divId w:val="2016953010"/>
        </w:trPr>
        <w:tc>
          <w:tcPr>
            <w:tcW w:w="0" w:type="auto"/>
            <w:gridSpan w:val="3"/>
            <w:shd w:val="clear" w:color="auto" w:fill="FFFFFF"/>
            <w:tcMar>
              <w:top w:w="30" w:type="dxa"/>
              <w:left w:w="20" w:type="dxa"/>
              <w:bottom w:w="30" w:type="dxa"/>
              <w:right w:w="20" w:type="dxa"/>
            </w:tcMar>
            <w:vAlign w:val="bottom"/>
            <w:hideMark/>
          </w:tcPr>
          <w:p w14:paraId="791F99E4" w14:textId="77777777" w:rsidR="00000000" w:rsidRDefault="00EE5306">
            <w:pPr>
              <w:spacing w:after="100"/>
              <w:rPr>
                <w:rFonts w:eastAsia="Times New Roman"/>
              </w:rPr>
            </w:pPr>
            <w:r>
              <w:rPr>
                <w:rFonts w:eastAsia="Times New Roman"/>
                <w:color w:val="000000"/>
                <w:sz w:val="20"/>
                <w:szCs w:val="20"/>
              </w:rPr>
              <w:t>Options exercisable at March 27, 2021</w:t>
            </w:r>
          </w:p>
        </w:tc>
        <w:tc>
          <w:tcPr>
            <w:tcW w:w="0" w:type="auto"/>
            <w:gridSpan w:val="3"/>
            <w:shd w:val="clear" w:color="auto" w:fill="FFFFFF"/>
            <w:tcMar>
              <w:top w:w="0" w:type="dxa"/>
              <w:left w:w="20" w:type="dxa"/>
              <w:bottom w:w="0" w:type="dxa"/>
              <w:right w:w="20" w:type="dxa"/>
            </w:tcMar>
            <w:vAlign w:val="center"/>
            <w:hideMark/>
          </w:tcPr>
          <w:p w14:paraId="4C5FC2BA"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BE4000" w14:textId="77777777" w:rsidR="00000000" w:rsidRDefault="00EE5306">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14:paraId="6DA9FF1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BECF3"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ADE6C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57BBC49" w14:textId="77777777" w:rsidR="00000000" w:rsidRDefault="00EE5306">
            <w:pPr>
              <w:spacing w:after="100"/>
              <w:jc w:val="right"/>
              <w:rPr>
                <w:rFonts w:eastAsia="Times New Roman"/>
              </w:rPr>
            </w:pPr>
            <w:r>
              <w:rPr>
                <w:rFonts w:eastAsia="Times New Roman"/>
                <w:color w:val="000000"/>
                <w:sz w:val="20"/>
                <w:szCs w:val="20"/>
              </w:rPr>
              <w:t>159.83 </w:t>
            </w:r>
          </w:p>
        </w:tc>
        <w:tc>
          <w:tcPr>
            <w:tcW w:w="0" w:type="auto"/>
            <w:shd w:val="clear" w:color="auto" w:fill="FFFFFF"/>
            <w:tcMar>
              <w:top w:w="30" w:type="dxa"/>
              <w:left w:w="0" w:type="dxa"/>
              <w:bottom w:w="30" w:type="dxa"/>
              <w:right w:w="20" w:type="dxa"/>
            </w:tcMar>
            <w:vAlign w:val="bottom"/>
            <w:hideMark/>
          </w:tcPr>
          <w:p w14:paraId="16F2FB6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2C7A8" w14:textId="77777777" w:rsidR="00000000" w:rsidRDefault="00EE530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9D21E78" w14:textId="77777777" w:rsidR="00000000" w:rsidRDefault="00EE5306">
            <w:pPr>
              <w:spacing w:after="100"/>
              <w:jc w:val="right"/>
              <w:rPr>
                <w:rFonts w:eastAsia="Times New Roman"/>
              </w:rPr>
            </w:pPr>
            <w:r>
              <w:rPr>
                <w:rFonts w:eastAsia="Times New Roman"/>
                <w:color w:val="000000"/>
                <w:sz w:val="20"/>
                <w:szCs w:val="20"/>
              </w:rPr>
              <w:t>0.3</w:t>
            </w:r>
          </w:p>
        </w:tc>
        <w:tc>
          <w:tcPr>
            <w:tcW w:w="0" w:type="auto"/>
            <w:gridSpan w:val="3"/>
            <w:shd w:val="clear" w:color="auto" w:fill="FFFFFF"/>
            <w:tcMar>
              <w:top w:w="0" w:type="dxa"/>
              <w:left w:w="20" w:type="dxa"/>
              <w:bottom w:w="0" w:type="dxa"/>
              <w:right w:w="20" w:type="dxa"/>
            </w:tcMar>
            <w:vAlign w:val="center"/>
            <w:hideMark/>
          </w:tcPr>
          <w:p w14:paraId="4CE7C267" w14:textId="77777777" w:rsidR="00000000" w:rsidRDefault="00EE530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219CDF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FF9A27"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C9BC23"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50E7758D" w14:textId="77777777">
        <w:tc>
          <w:tcPr>
            <w:tcW w:w="50" w:type="pct"/>
            <w:vAlign w:val="center"/>
            <w:hideMark/>
          </w:tcPr>
          <w:p w14:paraId="004AFD3F" w14:textId="77777777" w:rsidR="00000000" w:rsidRDefault="00EE5306">
            <w:pPr>
              <w:rPr>
                <w:rFonts w:eastAsia="Times New Roman"/>
              </w:rPr>
            </w:pPr>
          </w:p>
        </w:tc>
        <w:tc>
          <w:tcPr>
            <w:tcW w:w="4945" w:type="pct"/>
            <w:vAlign w:val="center"/>
            <w:hideMark/>
          </w:tcPr>
          <w:p w14:paraId="57E1F7EF" w14:textId="77777777" w:rsidR="00000000" w:rsidRDefault="00EE5306">
            <w:pPr>
              <w:spacing w:after="100"/>
              <w:rPr>
                <w:rFonts w:eastAsia="Times New Roman"/>
                <w:sz w:val="20"/>
                <w:szCs w:val="20"/>
              </w:rPr>
            </w:pPr>
          </w:p>
        </w:tc>
        <w:tc>
          <w:tcPr>
            <w:tcW w:w="5" w:type="pct"/>
            <w:vAlign w:val="center"/>
            <w:hideMark/>
          </w:tcPr>
          <w:p w14:paraId="12F15F73" w14:textId="77777777" w:rsidR="00000000" w:rsidRDefault="00EE5306">
            <w:pPr>
              <w:spacing w:after="100"/>
              <w:rPr>
                <w:rFonts w:eastAsia="Times New Roman"/>
                <w:sz w:val="20"/>
                <w:szCs w:val="20"/>
              </w:rPr>
            </w:pPr>
          </w:p>
        </w:tc>
      </w:tr>
      <w:tr w:rsidR="00000000" w14:paraId="32807219"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5A957398" w14:textId="77777777" w:rsidR="00000000" w:rsidRDefault="00EE5306">
            <w:pPr>
              <w:spacing w:after="100"/>
              <w:rPr>
                <w:rFonts w:eastAsia="Times New Roman"/>
                <w:sz w:val="20"/>
                <w:szCs w:val="20"/>
              </w:rPr>
            </w:pPr>
          </w:p>
        </w:tc>
      </w:tr>
    </w:tbl>
    <w:p w14:paraId="04A607CC" w14:textId="77777777" w:rsidR="00000000" w:rsidRDefault="00EE5306">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Aggregate intrinsic value is the amount by which the market price of the Company's Class A common stock at the end of the period exceeds the exercise price of the stock option, multiplied by the number of options.</w:t>
      </w:r>
    </w:p>
    <w:p w14:paraId="7085C0FF" w14:textId="77777777" w:rsidR="00000000" w:rsidRDefault="00EE5306">
      <w:pPr>
        <w:ind w:hanging="360"/>
        <w:jc w:val="both"/>
        <w:divId w:val="1316566122"/>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There were no nonvested stock options a</w:t>
      </w:r>
      <w:r>
        <w:rPr>
          <w:rFonts w:eastAsia="Times New Roman"/>
          <w:color w:val="000000"/>
          <w:sz w:val="20"/>
          <w:szCs w:val="20"/>
        </w:rPr>
        <w:t>s of March 27, 2021. Accordingly, there was no related unrecognized compensation expense as of March 27, 2021.</w:t>
      </w:r>
    </w:p>
    <w:p w14:paraId="5649F710" w14:textId="77777777" w:rsidR="00000000" w:rsidRDefault="00EE5306">
      <w:pPr>
        <w:ind w:firstLine="540"/>
        <w:jc w:val="both"/>
        <w:divId w:val="1726097949"/>
        <w:rPr>
          <w:rFonts w:eastAsia="Times New Roman"/>
        </w:rPr>
      </w:pPr>
      <w:r>
        <w:rPr>
          <w:rFonts w:eastAsia="Times New Roman"/>
          <w:color w:val="000000"/>
          <w:sz w:val="20"/>
          <w:szCs w:val="20"/>
        </w:rPr>
        <w:t>Additional information pertaining to the Company's stock option plans is as follows:</w:t>
      </w:r>
    </w:p>
    <w:tbl>
      <w:tblPr>
        <w:tblW w:w="4729" w:type="pct"/>
        <w:tblCellMar>
          <w:top w:w="15" w:type="dxa"/>
          <w:left w:w="15" w:type="dxa"/>
          <w:bottom w:w="15" w:type="dxa"/>
          <w:right w:w="15" w:type="dxa"/>
        </w:tblCellMar>
        <w:tblLook w:val="04A0" w:firstRow="1" w:lastRow="0" w:firstColumn="1" w:lastColumn="0" w:noHBand="0" w:noVBand="1"/>
      </w:tblPr>
      <w:tblGrid>
        <w:gridCol w:w="37"/>
        <w:gridCol w:w="3885"/>
        <w:gridCol w:w="36"/>
        <w:gridCol w:w="36"/>
        <w:gridCol w:w="36"/>
        <w:gridCol w:w="36"/>
        <w:gridCol w:w="121"/>
        <w:gridCol w:w="1033"/>
        <w:gridCol w:w="36"/>
        <w:gridCol w:w="36"/>
        <w:gridCol w:w="36"/>
        <w:gridCol w:w="36"/>
        <w:gridCol w:w="121"/>
        <w:gridCol w:w="1034"/>
        <w:gridCol w:w="36"/>
        <w:gridCol w:w="36"/>
        <w:gridCol w:w="36"/>
        <w:gridCol w:w="36"/>
        <w:gridCol w:w="121"/>
        <w:gridCol w:w="1036"/>
        <w:gridCol w:w="36"/>
      </w:tblGrid>
      <w:tr w:rsidR="00000000" w14:paraId="26C45BDA" w14:textId="77777777">
        <w:trPr>
          <w:divId w:val="1438136983"/>
        </w:trPr>
        <w:tc>
          <w:tcPr>
            <w:tcW w:w="50" w:type="pct"/>
            <w:vAlign w:val="center"/>
            <w:hideMark/>
          </w:tcPr>
          <w:p w14:paraId="6E980789" w14:textId="77777777" w:rsidR="00000000" w:rsidRDefault="00EE5306">
            <w:pPr>
              <w:ind w:firstLine="540"/>
              <w:jc w:val="both"/>
              <w:rPr>
                <w:rFonts w:eastAsia="Times New Roman"/>
              </w:rPr>
            </w:pPr>
          </w:p>
        </w:tc>
        <w:tc>
          <w:tcPr>
            <w:tcW w:w="2510" w:type="pct"/>
            <w:vAlign w:val="center"/>
            <w:hideMark/>
          </w:tcPr>
          <w:p w14:paraId="59661418" w14:textId="77777777" w:rsidR="00000000" w:rsidRDefault="00EE5306">
            <w:pPr>
              <w:spacing w:after="100"/>
              <w:rPr>
                <w:rFonts w:eastAsia="Times New Roman"/>
                <w:sz w:val="20"/>
                <w:szCs w:val="20"/>
              </w:rPr>
            </w:pPr>
          </w:p>
        </w:tc>
        <w:tc>
          <w:tcPr>
            <w:tcW w:w="5" w:type="pct"/>
            <w:vAlign w:val="center"/>
            <w:hideMark/>
          </w:tcPr>
          <w:p w14:paraId="3C1DCA57" w14:textId="77777777" w:rsidR="00000000" w:rsidRDefault="00EE5306">
            <w:pPr>
              <w:spacing w:after="100"/>
              <w:rPr>
                <w:rFonts w:eastAsia="Times New Roman"/>
                <w:sz w:val="20"/>
                <w:szCs w:val="20"/>
              </w:rPr>
            </w:pPr>
          </w:p>
        </w:tc>
        <w:tc>
          <w:tcPr>
            <w:tcW w:w="5" w:type="pct"/>
            <w:vAlign w:val="center"/>
            <w:hideMark/>
          </w:tcPr>
          <w:p w14:paraId="5DE83B7A" w14:textId="77777777" w:rsidR="00000000" w:rsidRDefault="00EE5306">
            <w:pPr>
              <w:spacing w:after="100"/>
              <w:rPr>
                <w:rFonts w:eastAsia="Times New Roman"/>
                <w:sz w:val="20"/>
                <w:szCs w:val="20"/>
              </w:rPr>
            </w:pPr>
          </w:p>
        </w:tc>
        <w:tc>
          <w:tcPr>
            <w:tcW w:w="28" w:type="pct"/>
            <w:vAlign w:val="center"/>
            <w:hideMark/>
          </w:tcPr>
          <w:p w14:paraId="313EA94A" w14:textId="77777777" w:rsidR="00000000" w:rsidRDefault="00EE5306">
            <w:pPr>
              <w:spacing w:after="100"/>
              <w:rPr>
                <w:rFonts w:eastAsia="Times New Roman"/>
                <w:sz w:val="20"/>
                <w:szCs w:val="20"/>
              </w:rPr>
            </w:pPr>
          </w:p>
        </w:tc>
        <w:tc>
          <w:tcPr>
            <w:tcW w:w="5" w:type="pct"/>
            <w:vAlign w:val="center"/>
            <w:hideMark/>
          </w:tcPr>
          <w:p w14:paraId="4BF139EC" w14:textId="77777777" w:rsidR="00000000" w:rsidRDefault="00EE5306">
            <w:pPr>
              <w:spacing w:after="100"/>
              <w:rPr>
                <w:rFonts w:eastAsia="Times New Roman"/>
                <w:sz w:val="20"/>
                <w:szCs w:val="20"/>
              </w:rPr>
            </w:pPr>
          </w:p>
        </w:tc>
        <w:tc>
          <w:tcPr>
            <w:tcW w:w="50" w:type="pct"/>
            <w:vAlign w:val="center"/>
            <w:hideMark/>
          </w:tcPr>
          <w:p w14:paraId="0047FBDD" w14:textId="77777777" w:rsidR="00000000" w:rsidRDefault="00EE5306">
            <w:pPr>
              <w:spacing w:after="100"/>
              <w:rPr>
                <w:rFonts w:eastAsia="Times New Roman"/>
                <w:sz w:val="20"/>
                <w:szCs w:val="20"/>
              </w:rPr>
            </w:pPr>
          </w:p>
        </w:tc>
        <w:tc>
          <w:tcPr>
            <w:tcW w:w="717" w:type="pct"/>
            <w:vAlign w:val="center"/>
            <w:hideMark/>
          </w:tcPr>
          <w:p w14:paraId="6495FAB1" w14:textId="77777777" w:rsidR="00000000" w:rsidRDefault="00EE5306">
            <w:pPr>
              <w:spacing w:after="100"/>
              <w:rPr>
                <w:rFonts w:eastAsia="Times New Roman"/>
                <w:sz w:val="20"/>
                <w:szCs w:val="20"/>
              </w:rPr>
            </w:pPr>
          </w:p>
        </w:tc>
        <w:tc>
          <w:tcPr>
            <w:tcW w:w="5" w:type="pct"/>
            <w:vAlign w:val="center"/>
            <w:hideMark/>
          </w:tcPr>
          <w:p w14:paraId="68BF34FD" w14:textId="77777777" w:rsidR="00000000" w:rsidRDefault="00EE5306">
            <w:pPr>
              <w:spacing w:after="100"/>
              <w:rPr>
                <w:rFonts w:eastAsia="Times New Roman"/>
                <w:sz w:val="20"/>
                <w:szCs w:val="20"/>
              </w:rPr>
            </w:pPr>
          </w:p>
        </w:tc>
        <w:tc>
          <w:tcPr>
            <w:tcW w:w="5" w:type="pct"/>
            <w:vAlign w:val="center"/>
            <w:hideMark/>
          </w:tcPr>
          <w:p w14:paraId="0A60AA3A" w14:textId="77777777" w:rsidR="00000000" w:rsidRDefault="00EE5306">
            <w:pPr>
              <w:spacing w:after="100"/>
              <w:rPr>
                <w:rFonts w:eastAsia="Times New Roman"/>
                <w:sz w:val="20"/>
                <w:szCs w:val="20"/>
              </w:rPr>
            </w:pPr>
          </w:p>
        </w:tc>
        <w:tc>
          <w:tcPr>
            <w:tcW w:w="28" w:type="pct"/>
            <w:vAlign w:val="center"/>
            <w:hideMark/>
          </w:tcPr>
          <w:p w14:paraId="396F1E28" w14:textId="77777777" w:rsidR="00000000" w:rsidRDefault="00EE5306">
            <w:pPr>
              <w:spacing w:after="100"/>
              <w:rPr>
                <w:rFonts w:eastAsia="Times New Roman"/>
                <w:sz w:val="20"/>
                <w:szCs w:val="20"/>
              </w:rPr>
            </w:pPr>
          </w:p>
        </w:tc>
        <w:tc>
          <w:tcPr>
            <w:tcW w:w="5" w:type="pct"/>
            <w:vAlign w:val="center"/>
            <w:hideMark/>
          </w:tcPr>
          <w:p w14:paraId="76E4A903" w14:textId="77777777" w:rsidR="00000000" w:rsidRDefault="00EE5306">
            <w:pPr>
              <w:spacing w:after="100"/>
              <w:rPr>
                <w:rFonts w:eastAsia="Times New Roman"/>
                <w:sz w:val="20"/>
                <w:szCs w:val="20"/>
              </w:rPr>
            </w:pPr>
          </w:p>
        </w:tc>
        <w:tc>
          <w:tcPr>
            <w:tcW w:w="50" w:type="pct"/>
            <w:vAlign w:val="center"/>
            <w:hideMark/>
          </w:tcPr>
          <w:p w14:paraId="3D34D90B" w14:textId="77777777" w:rsidR="00000000" w:rsidRDefault="00EE5306">
            <w:pPr>
              <w:spacing w:after="100"/>
              <w:rPr>
                <w:rFonts w:eastAsia="Times New Roman"/>
                <w:sz w:val="20"/>
                <w:szCs w:val="20"/>
              </w:rPr>
            </w:pPr>
          </w:p>
        </w:tc>
        <w:tc>
          <w:tcPr>
            <w:tcW w:w="717" w:type="pct"/>
            <w:vAlign w:val="center"/>
            <w:hideMark/>
          </w:tcPr>
          <w:p w14:paraId="2F7745B3" w14:textId="77777777" w:rsidR="00000000" w:rsidRDefault="00EE5306">
            <w:pPr>
              <w:spacing w:after="100"/>
              <w:rPr>
                <w:rFonts w:eastAsia="Times New Roman"/>
                <w:sz w:val="20"/>
                <w:szCs w:val="20"/>
              </w:rPr>
            </w:pPr>
          </w:p>
        </w:tc>
        <w:tc>
          <w:tcPr>
            <w:tcW w:w="5" w:type="pct"/>
            <w:vAlign w:val="center"/>
            <w:hideMark/>
          </w:tcPr>
          <w:p w14:paraId="0DB9C18B" w14:textId="77777777" w:rsidR="00000000" w:rsidRDefault="00EE5306">
            <w:pPr>
              <w:spacing w:after="100"/>
              <w:rPr>
                <w:rFonts w:eastAsia="Times New Roman"/>
                <w:sz w:val="20"/>
                <w:szCs w:val="20"/>
              </w:rPr>
            </w:pPr>
          </w:p>
        </w:tc>
        <w:tc>
          <w:tcPr>
            <w:tcW w:w="5" w:type="pct"/>
            <w:vAlign w:val="center"/>
            <w:hideMark/>
          </w:tcPr>
          <w:p w14:paraId="2A4298FC" w14:textId="77777777" w:rsidR="00000000" w:rsidRDefault="00EE5306">
            <w:pPr>
              <w:spacing w:after="100"/>
              <w:rPr>
                <w:rFonts w:eastAsia="Times New Roman"/>
                <w:sz w:val="20"/>
                <w:szCs w:val="20"/>
              </w:rPr>
            </w:pPr>
          </w:p>
        </w:tc>
        <w:tc>
          <w:tcPr>
            <w:tcW w:w="28" w:type="pct"/>
            <w:vAlign w:val="center"/>
            <w:hideMark/>
          </w:tcPr>
          <w:p w14:paraId="57F3CAD2" w14:textId="77777777" w:rsidR="00000000" w:rsidRDefault="00EE5306">
            <w:pPr>
              <w:spacing w:after="100"/>
              <w:rPr>
                <w:rFonts w:eastAsia="Times New Roman"/>
                <w:sz w:val="20"/>
                <w:szCs w:val="20"/>
              </w:rPr>
            </w:pPr>
          </w:p>
        </w:tc>
        <w:tc>
          <w:tcPr>
            <w:tcW w:w="5" w:type="pct"/>
            <w:vAlign w:val="center"/>
            <w:hideMark/>
          </w:tcPr>
          <w:p w14:paraId="3EB8BADF" w14:textId="77777777" w:rsidR="00000000" w:rsidRDefault="00EE5306">
            <w:pPr>
              <w:spacing w:after="100"/>
              <w:rPr>
                <w:rFonts w:eastAsia="Times New Roman"/>
                <w:sz w:val="20"/>
                <w:szCs w:val="20"/>
              </w:rPr>
            </w:pPr>
          </w:p>
        </w:tc>
        <w:tc>
          <w:tcPr>
            <w:tcW w:w="50" w:type="pct"/>
            <w:vAlign w:val="center"/>
            <w:hideMark/>
          </w:tcPr>
          <w:p w14:paraId="4FE5DC05" w14:textId="77777777" w:rsidR="00000000" w:rsidRDefault="00EE5306">
            <w:pPr>
              <w:spacing w:after="100"/>
              <w:rPr>
                <w:rFonts w:eastAsia="Times New Roman"/>
                <w:sz w:val="20"/>
                <w:szCs w:val="20"/>
              </w:rPr>
            </w:pPr>
          </w:p>
        </w:tc>
        <w:tc>
          <w:tcPr>
            <w:tcW w:w="718" w:type="pct"/>
            <w:vAlign w:val="center"/>
            <w:hideMark/>
          </w:tcPr>
          <w:p w14:paraId="403691F2" w14:textId="77777777" w:rsidR="00000000" w:rsidRDefault="00EE5306">
            <w:pPr>
              <w:spacing w:after="100"/>
              <w:rPr>
                <w:rFonts w:eastAsia="Times New Roman"/>
                <w:sz w:val="20"/>
                <w:szCs w:val="20"/>
              </w:rPr>
            </w:pPr>
          </w:p>
        </w:tc>
        <w:tc>
          <w:tcPr>
            <w:tcW w:w="5" w:type="pct"/>
            <w:vAlign w:val="center"/>
            <w:hideMark/>
          </w:tcPr>
          <w:p w14:paraId="0889BA7F" w14:textId="77777777" w:rsidR="00000000" w:rsidRDefault="00EE5306">
            <w:pPr>
              <w:spacing w:after="100"/>
              <w:rPr>
                <w:rFonts w:eastAsia="Times New Roman"/>
                <w:sz w:val="20"/>
                <w:szCs w:val="20"/>
              </w:rPr>
            </w:pPr>
          </w:p>
        </w:tc>
      </w:tr>
      <w:tr w:rsidR="00000000" w14:paraId="6751AEFB" w14:textId="77777777">
        <w:trPr>
          <w:divId w:val="1438136983"/>
        </w:trPr>
        <w:tc>
          <w:tcPr>
            <w:tcW w:w="0" w:type="auto"/>
            <w:gridSpan w:val="3"/>
            <w:tcMar>
              <w:top w:w="30" w:type="dxa"/>
              <w:left w:w="20" w:type="dxa"/>
              <w:bottom w:w="30" w:type="dxa"/>
              <w:right w:w="20" w:type="dxa"/>
            </w:tcMar>
            <w:vAlign w:val="bottom"/>
            <w:hideMark/>
          </w:tcPr>
          <w:p w14:paraId="56047922"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4A7FD60"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3BAFEE31"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456B8AC1" w14:textId="77777777">
        <w:trPr>
          <w:divId w:val="1438136983"/>
        </w:trPr>
        <w:tc>
          <w:tcPr>
            <w:tcW w:w="0" w:type="auto"/>
            <w:gridSpan w:val="3"/>
            <w:tcMar>
              <w:top w:w="30" w:type="dxa"/>
              <w:left w:w="20" w:type="dxa"/>
              <w:bottom w:w="30" w:type="dxa"/>
              <w:right w:w="20" w:type="dxa"/>
            </w:tcMar>
            <w:vAlign w:val="bottom"/>
            <w:hideMark/>
          </w:tcPr>
          <w:p w14:paraId="43B2C39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C05C9ED"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2055AD"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48399C1"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7AE34AA"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01273667"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5EBC52"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3BA0B2BD" w14:textId="77777777">
        <w:trPr>
          <w:divId w:val="1438136983"/>
        </w:trPr>
        <w:tc>
          <w:tcPr>
            <w:tcW w:w="0" w:type="auto"/>
            <w:gridSpan w:val="3"/>
            <w:tcMar>
              <w:top w:w="0" w:type="dxa"/>
              <w:left w:w="20" w:type="dxa"/>
              <w:bottom w:w="0" w:type="dxa"/>
              <w:right w:w="20" w:type="dxa"/>
            </w:tcMar>
            <w:vAlign w:val="center"/>
            <w:hideMark/>
          </w:tcPr>
          <w:p w14:paraId="49B6E1CF"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80197EC" w14:textId="77777777" w:rsidR="00000000" w:rsidRDefault="00EE530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402DE46B"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35832BCD" w14:textId="77777777">
        <w:trPr>
          <w:divId w:val="1438136983"/>
        </w:trPr>
        <w:tc>
          <w:tcPr>
            <w:tcW w:w="0" w:type="auto"/>
            <w:gridSpan w:val="3"/>
            <w:shd w:val="clear" w:color="auto" w:fill="CCEEFF"/>
            <w:tcMar>
              <w:top w:w="30" w:type="dxa"/>
              <w:left w:w="20" w:type="dxa"/>
              <w:bottom w:w="30" w:type="dxa"/>
              <w:right w:w="20" w:type="dxa"/>
            </w:tcMar>
            <w:vAlign w:val="bottom"/>
            <w:hideMark/>
          </w:tcPr>
          <w:p w14:paraId="1EF5DCA5" w14:textId="77777777" w:rsidR="00000000" w:rsidRDefault="00EE5306">
            <w:pPr>
              <w:spacing w:after="100"/>
              <w:divId w:val="502166938"/>
              <w:rPr>
                <w:rFonts w:eastAsia="Times New Roman"/>
              </w:rPr>
            </w:pPr>
            <w:r>
              <w:rPr>
                <w:rFonts w:eastAsia="Times New Roman"/>
                <w:color w:val="000000"/>
                <w:sz w:val="20"/>
                <w:szCs w:val="20"/>
              </w:rPr>
              <w:t>Aggregate intrinsic value of stock options exercise</w:t>
            </w:r>
            <w:r>
              <w:rPr>
                <w:rFonts w:eastAsia="Times New Roman"/>
                <w:color w:val="000000"/>
                <w:sz w:val="20"/>
                <w:szCs w:val="20"/>
              </w:rPr>
              <w:t>d</w:t>
            </w:r>
            <w:r>
              <w:rPr>
                <w:rFonts w:eastAsia="Times New Roman"/>
                <w:b/>
                <w:bCs/>
                <w:color w:val="000000"/>
                <w:sz w:val="13"/>
                <w:szCs w:val="13"/>
              </w:rPr>
              <w:t>(a)</w:t>
            </w:r>
            <w:r>
              <w:rPr>
                <w:rFonts w:eastAsia="Times New Roman"/>
                <w:b/>
                <w:bCs/>
                <w:color w:val="000000"/>
                <w:sz w:val="13"/>
                <w:szCs w:val="13"/>
              </w:rPr>
              <w:t xml:space="preserve"> </w:t>
            </w:r>
          </w:p>
        </w:tc>
        <w:tc>
          <w:tcPr>
            <w:tcW w:w="0" w:type="auto"/>
            <w:gridSpan w:val="3"/>
            <w:shd w:val="clear" w:color="auto" w:fill="CCEEFF"/>
            <w:tcMar>
              <w:top w:w="0" w:type="dxa"/>
              <w:left w:w="20" w:type="dxa"/>
              <w:bottom w:w="0" w:type="dxa"/>
              <w:right w:w="20" w:type="dxa"/>
            </w:tcMar>
            <w:vAlign w:val="center"/>
            <w:hideMark/>
          </w:tcPr>
          <w:p w14:paraId="591E7391"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044626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801CBA"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DAE97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B0639"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6A6E9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21149C"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206D4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D1702"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3875E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0EFD87" w14:textId="77777777" w:rsidR="00000000" w:rsidRDefault="00EE5306">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7020CDC7" w14:textId="77777777" w:rsidR="00000000" w:rsidRDefault="00EE5306">
            <w:pPr>
              <w:spacing w:after="100"/>
              <w:jc w:val="right"/>
              <w:rPr>
                <w:rFonts w:eastAsia="Times New Roman"/>
              </w:rPr>
            </w:pPr>
          </w:p>
        </w:tc>
      </w:tr>
      <w:tr w:rsidR="00000000" w14:paraId="6B8A1C80" w14:textId="77777777">
        <w:trPr>
          <w:divId w:val="1438136983"/>
        </w:trPr>
        <w:tc>
          <w:tcPr>
            <w:tcW w:w="0" w:type="auto"/>
            <w:gridSpan w:val="3"/>
            <w:shd w:val="clear" w:color="auto" w:fill="FFFFFF"/>
            <w:tcMar>
              <w:top w:w="30" w:type="dxa"/>
              <w:left w:w="20" w:type="dxa"/>
              <w:bottom w:w="30" w:type="dxa"/>
              <w:right w:w="20" w:type="dxa"/>
            </w:tcMar>
            <w:vAlign w:val="bottom"/>
            <w:hideMark/>
          </w:tcPr>
          <w:p w14:paraId="04342F84" w14:textId="77777777" w:rsidR="00000000" w:rsidRDefault="00EE5306">
            <w:pPr>
              <w:spacing w:after="100"/>
              <w:rPr>
                <w:rFonts w:eastAsia="Times New Roman"/>
              </w:rPr>
            </w:pPr>
            <w:r>
              <w:rPr>
                <w:rFonts w:eastAsia="Times New Roman"/>
                <w:color w:val="000000"/>
                <w:sz w:val="20"/>
                <w:szCs w:val="20"/>
              </w:rPr>
              <w:t>Cash received from the exercise of stock options</w:t>
            </w:r>
          </w:p>
        </w:tc>
        <w:tc>
          <w:tcPr>
            <w:tcW w:w="0" w:type="auto"/>
            <w:gridSpan w:val="3"/>
            <w:shd w:val="clear" w:color="auto" w:fill="FFFFFF"/>
            <w:tcMar>
              <w:top w:w="0" w:type="dxa"/>
              <w:left w:w="20" w:type="dxa"/>
              <w:bottom w:w="0" w:type="dxa"/>
              <w:right w:w="20" w:type="dxa"/>
            </w:tcMar>
            <w:vAlign w:val="center"/>
            <w:hideMark/>
          </w:tcPr>
          <w:p w14:paraId="610F9ED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4D6750"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812D4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39028"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AE1651"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9AD55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F7B2D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3BC97" w14:textId="77777777" w:rsidR="00000000" w:rsidRDefault="00EE5306">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14:paraId="46B6BD54" w14:textId="77777777" w:rsidR="00000000" w:rsidRDefault="00EE5306">
            <w:pPr>
              <w:spacing w:after="100"/>
              <w:jc w:val="right"/>
              <w:rPr>
                <w:rFonts w:eastAsia="Times New Roman"/>
              </w:rPr>
            </w:pPr>
          </w:p>
        </w:tc>
      </w:tr>
      <w:tr w:rsidR="00000000" w14:paraId="485C65E7" w14:textId="77777777">
        <w:trPr>
          <w:divId w:val="1438136983"/>
        </w:trPr>
        <w:tc>
          <w:tcPr>
            <w:tcW w:w="0" w:type="auto"/>
            <w:gridSpan w:val="3"/>
            <w:shd w:val="clear" w:color="auto" w:fill="CCEEFF"/>
            <w:tcMar>
              <w:top w:w="30" w:type="dxa"/>
              <w:left w:w="20" w:type="dxa"/>
              <w:bottom w:w="30" w:type="dxa"/>
              <w:right w:w="20" w:type="dxa"/>
            </w:tcMar>
            <w:vAlign w:val="bottom"/>
            <w:hideMark/>
          </w:tcPr>
          <w:p w14:paraId="2C74444D" w14:textId="77777777" w:rsidR="00000000" w:rsidRDefault="00EE5306">
            <w:pPr>
              <w:spacing w:after="100"/>
              <w:rPr>
                <w:rFonts w:eastAsia="Times New Roman"/>
              </w:rPr>
            </w:pPr>
            <w:r>
              <w:rPr>
                <w:rFonts w:eastAsia="Times New Roman"/>
                <w:color w:val="000000"/>
                <w:sz w:val="20"/>
                <w:szCs w:val="20"/>
              </w:rPr>
              <w:t>Tax benefits realized on exercise of stock options</w:t>
            </w:r>
          </w:p>
        </w:tc>
        <w:tc>
          <w:tcPr>
            <w:tcW w:w="0" w:type="auto"/>
            <w:gridSpan w:val="3"/>
            <w:shd w:val="clear" w:color="auto" w:fill="CCEEFF"/>
            <w:tcMar>
              <w:top w:w="0" w:type="dxa"/>
              <w:left w:w="20" w:type="dxa"/>
              <w:bottom w:w="0" w:type="dxa"/>
              <w:right w:w="20" w:type="dxa"/>
            </w:tcMar>
            <w:vAlign w:val="center"/>
            <w:hideMark/>
          </w:tcPr>
          <w:p w14:paraId="036D03B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34FAE6"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89F47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53C5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97F89F"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29B5A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A322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D34A13" w14:textId="77777777" w:rsidR="00000000" w:rsidRDefault="00EE5306">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17CDAC6C"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1BE99EB6" w14:textId="77777777">
        <w:tc>
          <w:tcPr>
            <w:tcW w:w="50" w:type="pct"/>
            <w:vAlign w:val="center"/>
            <w:hideMark/>
          </w:tcPr>
          <w:p w14:paraId="1BBE3160" w14:textId="77777777" w:rsidR="00000000" w:rsidRDefault="00EE5306">
            <w:pPr>
              <w:rPr>
                <w:rFonts w:eastAsia="Times New Roman"/>
              </w:rPr>
            </w:pPr>
          </w:p>
        </w:tc>
        <w:tc>
          <w:tcPr>
            <w:tcW w:w="4945" w:type="pct"/>
            <w:vAlign w:val="center"/>
            <w:hideMark/>
          </w:tcPr>
          <w:p w14:paraId="6A78FD46" w14:textId="77777777" w:rsidR="00000000" w:rsidRDefault="00EE5306">
            <w:pPr>
              <w:spacing w:after="100"/>
              <w:rPr>
                <w:rFonts w:eastAsia="Times New Roman"/>
                <w:sz w:val="20"/>
                <w:szCs w:val="20"/>
              </w:rPr>
            </w:pPr>
          </w:p>
        </w:tc>
        <w:tc>
          <w:tcPr>
            <w:tcW w:w="5" w:type="pct"/>
            <w:vAlign w:val="center"/>
            <w:hideMark/>
          </w:tcPr>
          <w:p w14:paraId="3E99589F" w14:textId="77777777" w:rsidR="00000000" w:rsidRDefault="00EE5306">
            <w:pPr>
              <w:spacing w:after="100"/>
              <w:rPr>
                <w:rFonts w:eastAsia="Times New Roman"/>
                <w:sz w:val="20"/>
                <w:szCs w:val="20"/>
              </w:rPr>
            </w:pPr>
          </w:p>
        </w:tc>
      </w:tr>
      <w:tr w:rsidR="00000000" w14:paraId="2E2236D9"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6C7A6283" w14:textId="77777777" w:rsidR="00000000" w:rsidRDefault="00EE5306">
            <w:pPr>
              <w:spacing w:after="100"/>
              <w:rPr>
                <w:rFonts w:eastAsia="Times New Roman"/>
                <w:sz w:val="20"/>
                <w:szCs w:val="20"/>
              </w:rPr>
            </w:pPr>
          </w:p>
        </w:tc>
      </w:tr>
    </w:tbl>
    <w:p w14:paraId="719EF507" w14:textId="77777777" w:rsidR="00000000" w:rsidRDefault="00EE5306">
      <w:pPr>
        <w:ind w:hanging="360"/>
        <w:jc w:val="both"/>
        <w:divId w:val="697702233"/>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Aggregate intrinsic value is the amount by which the market price of the Company's Class A common stock exceeded the stock option's exercise price when exercised, multiplied by the number of options.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76A67AF" w14:textId="77777777">
        <w:trPr>
          <w:divId w:val="1958950798"/>
          <w:jc w:val="center"/>
        </w:trPr>
        <w:tc>
          <w:tcPr>
            <w:tcW w:w="50" w:type="pct"/>
            <w:vAlign w:val="center"/>
            <w:hideMark/>
          </w:tcPr>
          <w:p w14:paraId="7A2AF158" w14:textId="77777777" w:rsidR="00000000" w:rsidRDefault="00EE5306">
            <w:pPr>
              <w:ind w:hanging="360"/>
              <w:jc w:val="both"/>
              <w:rPr>
                <w:rFonts w:eastAsia="Times New Roman"/>
              </w:rPr>
            </w:pPr>
          </w:p>
        </w:tc>
        <w:tc>
          <w:tcPr>
            <w:tcW w:w="1699" w:type="pct"/>
            <w:vAlign w:val="center"/>
            <w:hideMark/>
          </w:tcPr>
          <w:p w14:paraId="5C79BB12" w14:textId="77777777" w:rsidR="00000000" w:rsidRDefault="00EE5306">
            <w:pPr>
              <w:spacing w:after="100"/>
              <w:rPr>
                <w:rFonts w:eastAsia="Times New Roman"/>
                <w:sz w:val="20"/>
                <w:szCs w:val="20"/>
              </w:rPr>
            </w:pPr>
          </w:p>
        </w:tc>
        <w:tc>
          <w:tcPr>
            <w:tcW w:w="5" w:type="pct"/>
            <w:vAlign w:val="center"/>
            <w:hideMark/>
          </w:tcPr>
          <w:p w14:paraId="450A965A" w14:textId="77777777" w:rsidR="00000000" w:rsidRDefault="00EE5306">
            <w:pPr>
              <w:spacing w:after="100"/>
              <w:rPr>
                <w:rFonts w:eastAsia="Times New Roman"/>
                <w:sz w:val="20"/>
                <w:szCs w:val="20"/>
              </w:rPr>
            </w:pPr>
          </w:p>
        </w:tc>
        <w:tc>
          <w:tcPr>
            <w:tcW w:w="50" w:type="pct"/>
            <w:vAlign w:val="center"/>
            <w:hideMark/>
          </w:tcPr>
          <w:p w14:paraId="4236DB5A" w14:textId="77777777" w:rsidR="00000000" w:rsidRDefault="00EE5306">
            <w:pPr>
              <w:spacing w:after="100"/>
              <w:rPr>
                <w:rFonts w:eastAsia="Times New Roman"/>
                <w:sz w:val="20"/>
                <w:szCs w:val="20"/>
              </w:rPr>
            </w:pPr>
          </w:p>
        </w:tc>
        <w:tc>
          <w:tcPr>
            <w:tcW w:w="1436" w:type="pct"/>
            <w:vAlign w:val="center"/>
            <w:hideMark/>
          </w:tcPr>
          <w:p w14:paraId="4D89F1AC" w14:textId="77777777" w:rsidR="00000000" w:rsidRDefault="00EE5306">
            <w:pPr>
              <w:spacing w:after="100"/>
              <w:rPr>
                <w:rFonts w:eastAsia="Times New Roman"/>
                <w:sz w:val="20"/>
                <w:szCs w:val="20"/>
              </w:rPr>
            </w:pPr>
          </w:p>
        </w:tc>
        <w:tc>
          <w:tcPr>
            <w:tcW w:w="5" w:type="pct"/>
            <w:vAlign w:val="center"/>
            <w:hideMark/>
          </w:tcPr>
          <w:p w14:paraId="4009357E" w14:textId="77777777" w:rsidR="00000000" w:rsidRDefault="00EE5306">
            <w:pPr>
              <w:spacing w:after="100"/>
              <w:rPr>
                <w:rFonts w:eastAsia="Times New Roman"/>
                <w:sz w:val="20"/>
                <w:szCs w:val="20"/>
              </w:rPr>
            </w:pPr>
          </w:p>
        </w:tc>
        <w:tc>
          <w:tcPr>
            <w:tcW w:w="50" w:type="pct"/>
            <w:vAlign w:val="center"/>
            <w:hideMark/>
          </w:tcPr>
          <w:p w14:paraId="3C55ECBA" w14:textId="77777777" w:rsidR="00000000" w:rsidRDefault="00EE5306">
            <w:pPr>
              <w:spacing w:after="100"/>
              <w:rPr>
                <w:rFonts w:eastAsia="Times New Roman"/>
                <w:sz w:val="20"/>
                <w:szCs w:val="20"/>
              </w:rPr>
            </w:pPr>
          </w:p>
        </w:tc>
        <w:tc>
          <w:tcPr>
            <w:tcW w:w="1699" w:type="pct"/>
            <w:vAlign w:val="center"/>
            <w:hideMark/>
          </w:tcPr>
          <w:p w14:paraId="47678020" w14:textId="77777777" w:rsidR="00000000" w:rsidRDefault="00EE5306">
            <w:pPr>
              <w:spacing w:after="100"/>
              <w:rPr>
                <w:rFonts w:eastAsia="Times New Roman"/>
                <w:sz w:val="20"/>
                <w:szCs w:val="20"/>
              </w:rPr>
            </w:pPr>
          </w:p>
        </w:tc>
        <w:tc>
          <w:tcPr>
            <w:tcW w:w="5" w:type="pct"/>
            <w:vAlign w:val="center"/>
            <w:hideMark/>
          </w:tcPr>
          <w:p w14:paraId="68AB1C52" w14:textId="77777777" w:rsidR="00000000" w:rsidRDefault="00EE5306">
            <w:pPr>
              <w:spacing w:after="100"/>
              <w:rPr>
                <w:rFonts w:eastAsia="Times New Roman"/>
                <w:sz w:val="20"/>
                <w:szCs w:val="20"/>
              </w:rPr>
            </w:pPr>
          </w:p>
        </w:tc>
      </w:tr>
      <w:tr w:rsidR="00000000" w14:paraId="207725AA" w14:textId="77777777">
        <w:trPr>
          <w:divId w:val="1958950798"/>
          <w:jc w:val="center"/>
        </w:trPr>
        <w:tc>
          <w:tcPr>
            <w:tcW w:w="0" w:type="auto"/>
            <w:gridSpan w:val="3"/>
            <w:tcMar>
              <w:top w:w="0" w:type="dxa"/>
              <w:left w:w="20" w:type="dxa"/>
              <w:bottom w:w="0" w:type="dxa"/>
              <w:right w:w="20" w:type="dxa"/>
            </w:tcMar>
            <w:vAlign w:val="center"/>
            <w:hideMark/>
          </w:tcPr>
          <w:p w14:paraId="18185BA6"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80B62F" w14:textId="77777777" w:rsidR="00000000" w:rsidRDefault="00EE5306">
            <w:pPr>
              <w:spacing w:after="100"/>
              <w:jc w:val="center"/>
              <w:rPr>
                <w:rFonts w:eastAsia="Times New Roman"/>
              </w:rPr>
            </w:pPr>
            <w:r>
              <w:rPr>
                <w:rFonts w:eastAsia="Times New Roman"/>
                <w:color w:val="000000"/>
                <w:sz w:val="20"/>
                <w:szCs w:val="20"/>
              </w:rPr>
              <w:t>F-51</w:t>
            </w:r>
          </w:p>
        </w:tc>
        <w:tc>
          <w:tcPr>
            <w:tcW w:w="0" w:type="auto"/>
            <w:gridSpan w:val="3"/>
            <w:tcMar>
              <w:top w:w="0" w:type="dxa"/>
              <w:left w:w="20" w:type="dxa"/>
              <w:bottom w:w="0" w:type="dxa"/>
              <w:right w:w="20" w:type="dxa"/>
            </w:tcMar>
            <w:vAlign w:val="center"/>
            <w:hideMark/>
          </w:tcPr>
          <w:p w14:paraId="59DA22D5" w14:textId="77777777" w:rsidR="00000000" w:rsidRDefault="00EE5306">
            <w:pPr>
              <w:spacing w:after="100"/>
              <w:jc w:val="center"/>
              <w:rPr>
                <w:rFonts w:eastAsia="Times New Roman"/>
              </w:rPr>
            </w:pPr>
          </w:p>
        </w:tc>
      </w:tr>
    </w:tbl>
    <w:p w14:paraId="15ECADE5" w14:textId="77777777" w:rsidR="00000000" w:rsidRDefault="00EE5306">
      <w:pPr>
        <w:rPr>
          <w:rFonts w:eastAsia="Times New Roman"/>
        </w:rPr>
      </w:pPr>
      <w:r>
        <w:rPr>
          <w:rFonts w:eastAsia="Times New Roman"/>
        </w:rPr>
        <w:pict w14:anchorId="1FD9F8EF">
          <v:rect id="_x0000_i1161" style="width:0;height:1.5pt" o:hralign="center" o:hrstd="t" o:hr="t" fillcolor="#a0a0a0" stroked="f"/>
        </w:pict>
      </w:r>
    </w:p>
    <w:p w14:paraId="33D7FA71" w14:textId="77777777" w:rsidR="00000000" w:rsidRDefault="00EE5306">
      <w:pPr>
        <w:jc w:val="center"/>
        <w:divId w:val="1731608809"/>
        <w:rPr>
          <w:rFonts w:eastAsia="Times New Roman"/>
        </w:rPr>
      </w:pPr>
    </w:p>
    <w:p w14:paraId="7FAF8921" w14:textId="77777777" w:rsidR="00000000" w:rsidRDefault="00EE5306">
      <w:pPr>
        <w:jc w:val="center"/>
        <w:divId w:val="1731608809"/>
        <w:rPr>
          <w:rFonts w:eastAsia="Times New Roman"/>
        </w:rPr>
      </w:pPr>
      <w:r>
        <w:rPr>
          <w:rFonts w:eastAsia="Times New Roman"/>
          <w:b/>
          <w:bCs/>
          <w:color w:val="000000"/>
          <w:sz w:val="20"/>
          <w:szCs w:val="20"/>
        </w:rPr>
        <w:t>RALPH LAUREN CORPORATION</w:t>
      </w:r>
    </w:p>
    <w:p w14:paraId="0C2CAD27" w14:textId="77777777" w:rsidR="00000000" w:rsidRDefault="00EE5306">
      <w:pPr>
        <w:jc w:val="center"/>
        <w:divId w:val="1724406489"/>
        <w:rPr>
          <w:rFonts w:eastAsia="Times New Roman"/>
        </w:rPr>
      </w:pPr>
      <w:r>
        <w:rPr>
          <w:rFonts w:eastAsia="Times New Roman"/>
          <w:b/>
          <w:bCs/>
          <w:color w:val="000000"/>
          <w:sz w:val="20"/>
          <w:szCs w:val="20"/>
        </w:rPr>
        <w:t>NOTES TO CONSOLIDATED FINANCIAL STATEMENTS (Continued)</w:t>
      </w:r>
    </w:p>
    <w:p w14:paraId="28FB75E1" w14:textId="77777777" w:rsidR="00000000" w:rsidRDefault="00EE5306">
      <w:pPr>
        <w:ind w:hanging="540"/>
        <w:jc w:val="both"/>
        <w:divId w:val="1389914264"/>
        <w:rPr>
          <w:rFonts w:eastAsia="Times New Roman"/>
        </w:rPr>
      </w:pPr>
      <w:r>
        <w:rPr>
          <w:rFonts w:eastAsia="Times New Roman"/>
          <w:b/>
          <w:bCs/>
          <w:color w:val="000000"/>
          <w:sz w:val="20"/>
          <w:szCs w:val="20"/>
        </w:rPr>
        <w:t>19.    Employee Benefit Plans</w:t>
      </w:r>
    </w:p>
    <w:p w14:paraId="51E601DE" w14:textId="77777777" w:rsidR="00000000" w:rsidRDefault="00EE5306">
      <w:pPr>
        <w:ind w:firstLine="360"/>
        <w:jc w:val="both"/>
        <w:divId w:val="866531287"/>
        <w:rPr>
          <w:rFonts w:eastAsia="Times New Roman"/>
        </w:rPr>
      </w:pPr>
      <w:r>
        <w:rPr>
          <w:rFonts w:eastAsia="Times New Roman"/>
          <w:b/>
          <w:bCs/>
          <w:i/>
          <w:iCs/>
          <w:color w:val="000000"/>
          <w:sz w:val="20"/>
          <w:szCs w:val="20"/>
        </w:rPr>
        <w:t>Defined Contribution Plans</w:t>
      </w:r>
    </w:p>
    <w:p w14:paraId="7FE28646" w14:textId="77777777" w:rsidR="00000000" w:rsidRDefault="00EE5306">
      <w:pPr>
        <w:ind w:firstLine="540"/>
        <w:jc w:val="both"/>
        <w:divId w:val="1209414358"/>
        <w:rPr>
          <w:rFonts w:eastAsia="Times New Roman"/>
        </w:rPr>
      </w:pPr>
      <w:r>
        <w:rPr>
          <w:rFonts w:eastAsia="Times New Roman"/>
          <w:color w:val="000000"/>
          <w:sz w:val="20"/>
          <w:szCs w:val="20"/>
        </w:rPr>
        <w:t>The Company sponsors defined contribution benefit plans covering substantially al</w:t>
      </w:r>
      <w:r>
        <w:rPr>
          <w:rFonts w:eastAsia="Times New Roman"/>
          <w:color w:val="000000"/>
          <w:sz w:val="20"/>
          <w:szCs w:val="20"/>
        </w:rPr>
        <w:t>l eligible employees in the U.S. and Puerto Rico who are not covered by a collective bargaining agreement. The plans include a savings plan feature under Section 401(k) of the Internal Revenue Code. The Company makes matching contributions to the plans equ</w:t>
      </w:r>
      <w:r>
        <w:rPr>
          <w:rFonts w:eastAsia="Times New Roman"/>
          <w:color w:val="000000"/>
          <w:sz w:val="20"/>
          <w:szCs w:val="20"/>
        </w:rPr>
        <w:t>al to 50% of the first 6% of salary contributed by an eligible employee. Additionally, the Company makes a supplemental matching contribution for plan years in which the Company achieves an "above target" performance level based on certain goals establishe</w:t>
      </w:r>
      <w:r>
        <w:rPr>
          <w:rFonts w:eastAsia="Times New Roman"/>
          <w:color w:val="000000"/>
          <w:sz w:val="20"/>
          <w:szCs w:val="20"/>
        </w:rPr>
        <w:t xml:space="preserve">d at the beginning of each fiscal year, increasing the matching contribution to between 67% and 100% depending on the performance level achieved, of the first 6% of salary contributed by eligible employees, not to exceed the maximum contribution permitted </w:t>
      </w:r>
      <w:r>
        <w:rPr>
          <w:rFonts w:eastAsia="Times New Roman"/>
          <w:color w:val="000000"/>
          <w:sz w:val="20"/>
          <w:szCs w:val="20"/>
        </w:rPr>
        <w:t>by the plan.</w:t>
      </w:r>
    </w:p>
    <w:p w14:paraId="30462976" w14:textId="77777777" w:rsidR="00000000" w:rsidRDefault="00EE5306">
      <w:pPr>
        <w:ind w:firstLine="540"/>
        <w:jc w:val="both"/>
        <w:divId w:val="1262566544"/>
        <w:rPr>
          <w:rFonts w:eastAsia="Times New Roman"/>
        </w:rPr>
      </w:pPr>
      <w:r>
        <w:rPr>
          <w:rFonts w:eastAsia="Times New Roman"/>
          <w:color w:val="000000"/>
          <w:sz w:val="20"/>
          <w:szCs w:val="20"/>
        </w:rPr>
        <w:t>Under the terms of the plans, a participant becomes 100% vested in the Company's matching contributions after five years of credited service. Contributions made by the Company under these plans were $9.8 million, $8.7 million, and $11.2 millio</w:t>
      </w:r>
      <w:r>
        <w:rPr>
          <w:rFonts w:eastAsia="Times New Roman"/>
          <w:color w:val="000000"/>
          <w:sz w:val="20"/>
          <w:szCs w:val="20"/>
        </w:rPr>
        <w:t>n in Fiscal 2021, Fiscal 2020, and Fiscal 2019, respectively.</w:t>
      </w:r>
    </w:p>
    <w:p w14:paraId="0EB15B6D" w14:textId="77777777" w:rsidR="00000000" w:rsidRDefault="00EE5306">
      <w:pPr>
        <w:ind w:firstLine="360"/>
        <w:jc w:val="both"/>
        <w:divId w:val="1936397535"/>
        <w:rPr>
          <w:rFonts w:eastAsia="Times New Roman"/>
        </w:rPr>
      </w:pPr>
      <w:r>
        <w:rPr>
          <w:rFonts w:eastAsia="Times New Roman"/>
          <w:b/>
          <w:bCs/>
          <w:i/>
          <w:iCs/>
          <w:color w:val="000000"/>
          <w:sz w:val="20"/>
          <w:szCs w:val="20"/>
        </w:rPr>
        <w:t>International Defined Benefit Plans</w:t>
      </w:r>
    </w:p>
    <w:p w14:paraId="450D29FB" w14:textId="77777777" w:rsidR="00000000" w:rsidRDefault="00EE5306">
      <w:pPr>
        <w:ind w:firstLine="540"/>
        <w:jc w:val="both"/>
        <w:divId w:val="856427902"/>
        <w:rPr>
          <w:rFonts w:eastAsia="Times New Roman"/>
        </w:rPr>
      </w:pPr>
      <w:r>
        <w:rPr>
          <w:rFonts w:eastAsia="Times New Roman"/>
          <w:color w:val="000000"/>
          <w:sz w:val="20"/>
          <w:szCs w:val="20"/>
        </w:rPr>
        <w:t>The Company sponsors certain single-employer defined benefit plans and cash balance plans at international locations which are not considered to be material i</w:t>
      </w:r>
      <w:r>
        <w:rPr>
          <w:rFonts w:eastAsia="Times New Roman"/>
          <w:color w:val="000000"/>
          <w:sz w:val="20"/>
          <w:szCs w:val="20"/>
        </w:rPr>
        <w:t>ndividually or in the aggregate to the Company's financial statements. Pension benefits under these plans are based on formulas that reflect the employees' years of service and compensation levels during their employment period. The aggregate funded status</w:t>
      </w:r>
      <w:r>
        <w:rPr>
          <w:rFonts w:eastAsia="Times New Roman"/>
          <w:color w:val="000000"/>
          <w:sz w:val="20"/>
          <w:szCs w:val="20"/>
        </w:rPr>
        <w:t xml:space="preserve"> of the single-employer defined benefit plans reflected net assets of $0.7 million and net liabilities of $4.0 million as of March 27, 2021 and March 28, 2020, respectively, and were primarily recorded within other non-current assets and non-current liabil</w:t>
      </w:r>
      <w:r>
        <w:rPr>
          <w:rFonts w:eastAsia="Times New Roman"/>
          <w:color w:val="000000"/>
          <w:sz w:val="20"/>
          <w:szCs w:val="20"/>
        </w:rPr>
        <w:t>ities, respectively, in the Company's consolidated balance sheets. These single-employer defined benefit plans had aggregate projected benefit obligations of $56.1 million and aggregate fair values of plan assets of $56.8 million as of March 27, 2021, comp</w:t>
      </w:r>
      <w:r>
        <w:rPr>
          <w:rFonts w:eastAsia="Times New Roman"/>
          <w:color w:val="000000"/>
          <w:sz w:val="20"/>
          <w:szCs w:val="20"/>
        </w:rPr>
        <w:t>ared to aggregate projected benefit obligations of $52.4 million and aggregate fair values of plan assets of $48.4 million as of March 28, 2020. The asset portfolio of the single-employer defined benefit plans primarily consists of fixed income securities,</w:t>
      </w:r>
      <w:r>
        <w:rPr>
          <w:rFonts w:eastAsia="Times New Roman"/>
          <w:color w:val="000000"/>
          <w:sz w:val="20"/>
          <w:szCs w:val="20"/>
        </w:rPr>
        <w:t xml:space="preserve"> which have been measured at fair value largely using Level 2 inputs, as described in Note 12. Net pension expense for these plans was $5.1 million, $5.0 million, and $4.2 million in Fiscal 2021, Fiscal 2020, and Fiscal 2019, respectively. The service cost</w:t>
      </w:r>
      <w:r>
        <w:rPr>
          <w:rFonts w:eastAsia="Times New Roman"/>
          <w:color w:val="000000"/>
          <w:sz w:val="20"/>
          <w:szCs w:val="20"/>
        </w:rPr>
        <w:t xml:space="preserve"> component of $5.9 million, $4.7 million, and $4.4 million in Fiscal 2021, Fiscal 2020, and Fiscal 2019, respectively, was recorded within SG&amp;A expenses in the Company's consolidated statements of operations. All other components of net pension expense dur</w:t>
      </w:r>
      <w:r>
        <w:rPr>
          <w:rFonts w:eastAsia="Times New Roman"/>
          <w:color w:val="000000"/>
          <w:sz w:val="20"/>
          <w:szCs w:val="20"/>
        </w:rPr>
        <w:t>ing the fiscal years presented were recorded within other income (expense), net, in the Company's consolidated statement of operations.</w:t>
      </w:r>
    </w:p>
    <w:p w14:paraId="251063AB" w14:textId="77777777" w:rsidR="00000000" w:rsidRDefault="00EE5306">
      <w:pPr>
        <w:ind w:firstLine="360"/>
        <w:jc w:val="both"/>
        <w:divId w:val="438985068"/>
        <w:rPr>
          <w:rFonts w:eastAsia="Times New Roman"/>
        </w:rPr>
      </w:pPr>
      <w:r>
        <w:rPr>
          <w:rFonts w:eastAsia="Times New Roman"/>
          <w:b/>
          <w:bCs/>
          <w:i/>
          <w:iCs/>
          <w:color w:val="000000"/>
          <w:sz w:val="20"/>
          <w:szCs w:val="20"/>
        </w:rPr>
        <w:t>Union Pension Plan</w:t>
      </w:r>
    </w:p>
    <w:p w14:paraId="00CC56AA" w14:textId="77777777" w:rsidR="00000000" w:rsidRDefault="00EE5306">
      <w:pPr>
        <w:ind w:firstLine="540"/>
        <w:jc w:val="both"/>
        <w:divId w:val="267467028"/>
        <w:rPr>
          <w:rFonts w:eastAsia="Times New Roman"/>
        </w:rPr>
      </w:pPr>
      <w:r>
        <w:rPr>
          <w:rFonts w:eastAsia="Times New Roman"/>
          <w:color w:val="000000"/>
          <w:sz w:val="20"/>
          <w:szCs w:val="20"/>
        </w:rPr>
        <w:t>The Company participates in a multi-employer pension plan and is required to make contributions to th</w:t>
      </w:r>
      <w:r>
        <w:rPr>
          <w:rFonts w:eastAsia="Times New Roman"/>
          <w:color w:val="000000"/>
          <w:sz w:val="20"/>
          <w:szCs w:val="20"/>
        </w:rPr>
        <w:t>e Workers United union (which was previously known as UNITE HERE) (the "Union") for dues based on wages paid to union employees. A portion of these dues is allocated by the Union to a retirement fund which provides defined benefits to substantially all uni</w:t>
      </w:r>
      <w:r>
        <w:rPr>
          <w:rFonts w:eastAsia="Times New Roman"/>
          <w:color w:val="000000"/>
          <w:sz w:val="20"/>
          <w:szCs w:val="20"/>
        </w:rPr>
        <w:t>onized workers. The Company does not participate in the management of the plan and has not been furnished with information with respect to the type of benefits provided, vested and non-vested benefits, or assets.</w:t>
      </w:r>
    </w:p>
    <w:p w14:paraId="3A256C6F" w14:textId="77777777" w:rsidR="00000000" w:rsidRDefault="00EE5306">
      <w:pPr>
        <w:ind w:firstLine="540"/>
        <w:jc w:val="both"/>
        <w:divId w:val="1459954735"/>
        <w:rPr>
          <w:rFonts w:eastAsia="Times New Roman"/>
        </w:rPr>
      </w:pPr>
      <w:r>
        <w:rPr>
          <w:rFonts w:eastAsia="Times New Roman"/>
          <w:color w:val="000000"/>
          <w:sz w:val="20"/>
          <w:szCs w:val="20"/>
        </w:rPr>
        <w:t>Under the Employee Retirement Income Securi</w:t>
      </w:r>
      <w:r>
        <w:rPr>
          <w:rFonts w:eastAsia="Times New Roman"/>
          <w:color w:val="000000"/>
          <w:sz w:val="20"/>
          <w:szCs w:val="20"/>
        </w:rPr>
        <w:t>ty Act of 1974, as amended, an employer, upon withdrawal from or termination of a multi-employer plan, is required to continue funding its proportionate share of the plan's unfunded vested benefits. Such liability was assumed in conjunction with the acquis</w:t>
      </w:r>
      <w:r>
        <w:rPr>
          <w:rFonts w:eastAsia="Times New Roman"/>
          <w:color w:val="000000"/>
          <w:sz w:val="20"/>
          <w:szCs w:val="20"/>
        </w:rPr>
        <w:t>ition of certain assets from a non-affiliated licensee. The Company has no current intention of withdrawing from the plan.</w:t>
      </w:r>
    </w:p>
    <w:p w14:paraId="48BDAC67" w14:textId="77777777" w:rsidR="00000000" w:rsidRDefault="00EE5306">
      <w:pPr>
        <w:ind w:firstLine="360"/>
        <w:jc w:val="both"/>
        <w:divId w:val="728261610"/>
        <w:rPr>
          <w:rFonts w:eastAsia="Times New Roman"/>
        </w:rPr>
      </w:pPr>
      <w:r>
        <w:rPr>
          <w:rFonts w:eastAsia="Times New Roman"/>
          <w:b/>
          <w:bCs/>
          <w:i/>
          <w:iCs/>
          <w:color w:val="000000"/>
          <w:sz w:val="20"/>
          <w:szCs w:val="20"/>
        </w:rPr>
        <w:t>Other Compensation Plans</w:t>
      </w:r>
    </w:p>
    <w:p w14:paraId="2F8BB4B3" w14:textId="77777777" w:rsidR="00000000" w:rsidRDefault="00EE5306">
      <w:pPr>
        <w:ind w:firstLine="540"/>
        <w:jc w:val="both"/>
        <w:divId w:val="1077019350"/>
        <w:rPr>
          <w:rFonts w:eastAsia="Times New Roman"/>
        </w:rPr>
      </w:pPr>
      <w:r>
        <w:rPr>
          <w:rFonts w:eastAsia="Times New Roman"/>
          <w:color w:val="000000"/>
          <w:sz w:val="20"/>
          <w:szCs w:val="20"/>
        </w:rPr>
        <w:t xml:space="preserve">The Company had a non-qualified supplemental retirement plan for certain highly compensated employees whose </w:t>
      </w:r>
      <w:r>
        <w:rPr>
          <w:rFonts w:eastAsia="Times New Roman"/>
          <w:color w:val="000000"/>
          <w:sz w:val="20"/>
          <w:szCs w:val="20"/>
        </w:rPr>
        <w:t>benefits under the 401(k) profit sharing retirement savings plans were expected to be constrained by the operation of Internal Revenue Code limitations. These supplemental benefits vested over time and the related compensation expense was recognized over t</w:t>
      </w:r>
      <w:r>
        <w:rPr>
          <w:rFonts w:eastAsia="Times New Roman"/>
          <w:color w:val="000000"/>
          <w:sz w:val="20"/>
          <w:szCs w:val="20"/>
        </w:rPr>
        <w:t>he vesting period. Effective August 2008, the Company amended this plan, resulting in a suspension of the annual contributions for substantially all plan participants. Further, affected participants were provided with a one-time election to either withdraw</w:t>
      </w:r>
      <w:r>
        <w:rPr>
          <w:rFonts w:eastAsia="Times New Roman"/>
          <w:color w:val="000000"/>
          <w:sz w:val="20"/>
          <w:szCs w:val="20"/>
        </w:rPr>
        <w:t xml:space="preserve"> all benefits vested in the plan in a lump sum amount or remain in the plan and receive future distributions of benefits. As of March 27, 2021 and March 28, 2020, amounts accrued under this plan totaled $1.9 million and $3.4 million, respectively, and were</w:t>
      </w:r>
      <w:r>
        <w:rPr>
          <w:rFonts w:eastAsia="Times New Roman"/>
          <w:color w:val="000000"/>
          <w:sz w:val="20"/>
          <w:szCs w:val="20"/>
        </w:rPr>
        <w:t xml:space="preserve"> classified within other non-current liabilities in the consolidated balance sheets. Total compensation expense recognized related to these benefits was not material in any of the fiscal years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05B1D9EC" w14:textId="77777777">
        <w:trPr>
          <w:divId w:val="1736467474"/>
          <w:jc w:val="center"/>
        </w:trPr>
        <w:tc>
          <w:tcPr>
            <w:tcW w:w="50" w:type="pct"/>
            <w:vAlign w:val="center"/>
            <w:hideMark/>
          </w:tcPr>
          <w:p w14:paraId="1DA0033B" w14:textId="77777777" w:rsidR="00000000" w:rsidRDefault="00EE5306">
            <w:pPr>
              <w:ind w:firstLine="540"/>
              <w:jc w:val="both"/>
              <w:rPr>
                <w:rFonts w:eastAsia="Times New Roman"/>
              </w:rPr>
            </w:pPr>
          </w:p>
        </w:tc>
        <w:tc>
          <w:tcPr>
            <w:tcW w:w="1699" w:type="pct"/>
            <w:vAlign w:val="center"/>
            <w:hideMark/>
          </w:tcPr>
          <w:p w14:paraId="1EA8BDDC" w14:textId="77777777" w:rsidR="00000000" w:rsidRDefault="00EE5306">
            <w:pPr>
              <w:spacing w:after="100"/>
              <w:rPr>
                <w:rFonts w:eastAsia="Times New Roman"/>
                <w:sz w:val="20"/>
                <w:szCs w:val="20"/>
              </w:rPr>
            </w:pPr>
          </w:p>
        </w:tc>
        <w:tc>
          <w:tcPr>
            <w:tcW w:w="5" w:type="pct"/>
            <w:vAlign w:val="center"/>
            <w:hideMark/>
          </w:tcPr>
          <w:p w14:paraId="4A886914" w14:textId="77777777" w:rsidR="00000000" w:rsidRDefault="00EE5306">
            <w:pPr>
              <w:spacing w:after="100"/>
              <w:rPr>
                <w:rFonts w:eastAsia="Times New Roman"/>
                <w:sz w:val="20"/>
                <w:szCs w:val="20"/>
              </w:rPr>
            </w:pPr>
          </w:p>
        </w:tc>
        <w:tc>
          <w:tcPr>
            <w:tcW w:w="50" w:type="pct"/>
            <w:vAlign w:val="center"/>
            <w:hideMark/>
          </w:tcPr>
          <w:p w14:paraId="6E33FB08" w14:textId="77777777" w:rsidR="00000000" w:rsidRDefault="00EE5306">
            <w:pPr>
              <w:spacing w:after="100"/>
              <w:rPr>
                <w:rFonts w:eastAsia="Times New Roman"/>
                <w:sz w:val="20"/>
                <w:szCs w:val="20"/>
              </w:rPr>
            </w:pPr>
          </w:p>
        </w:tc>
        <w:tc>
          <w:tcPr>
            <w:tcW w:w="1436" w:type="pct"/>
            <w:vAlign w:val="center"/>
            <w:hideMark/>
          </w:tcPr>
          <w:p w14:paraId="5B3248C8" w14:textId="77777777" w:rsidR="00000000" w:rsidRDefault="00EE5306">
            <w:pPr>
              <w:spacing w:after="100"/>
              <w:rPr>
                <w:rFonts w:eastAsia="Times New Roman"/>
                <w:sz w:val="20"/>
                <w:szCs w:val="20"/>
              </w:rPr>
            </w:pPr>
          </w:p>
        </w:tc>
        <w:tc>
          <w:tcPr>
            <w:tcW w:w="5" w:type="pct"/>
            <w:vAlign w:val="center"/>
            <w:hideMark/>
          </w:tcPr>
          <w:p w14:paraId="331F09A2" w14:textId="77777777" w:rsidR="00000000" w:rsidRDefault="00EE5306">
            <w:pPr>
              <w:spacing w:after="100"/>
              <w:rPr>
                <w:rFonts w:eastAsia="Times New Roman"/>
                <w:sz w:val="20"/>
                <w:szCs w:val="20"/>
              </w:rPr>
            </w:pPr>
          </w:p>
        </w:tc>
        <w:tc>
          <w:tcPr>
            <w:tcW w:w="50" w:type="pct"/>
            <w:vAlign w:val="center"/>
            <w:hideMark/>
          </w:tcPr>
          <w:p w14:paraId="48C151AF" w14:textId="77777777" w:rsidR="00000000" w:rsidRDefault="00EE5306">
            <w:pPr>
              <w:spacing w:after="100"/>
              <w:rPr>
                <w:rFonts w:eastAsia="Times New Roman"/>
                <w:sz w:val="20"/>
                <w:szCs w:val="20"/>
              </w:rPr>
            </w:pPr>
          </w:p>
        </w:tc>
        <w:tc>
          <w:tcPr>
            <w:tcW w:w="1699" w:type="pct"/>
            <w:vAlign w:val="center"/>
            <w:hideMark/>
          </w:tcPr>
          <w:p w14:paraId="3B678B81" w14:textId="77777777" w:rsidR="00000000" w:rsidRDefault="00EE5306">
            <w:pPr>
              <w:spacing w:after="100"/>
              <w:rPr>
                <w:rFonts w:eastAsia="Times New Roman"/>
                <w:sz w:val="20"/>
                <w:szCs w:val="20"/>
              </w:rPr>
            </w:pPr>
          </w:p>
        </w:tc>
        <w:tc>
          <w:tcPr>
            <w:tcW w:w="5" w:type="pct"/>
            <w:vAlign w:val="center"/>
            <w:hideMark/>
          </w:tcPr>
          <w:p w14:paraId="0E5FA10B" w14:textId="77777777" w:rsidR="00000000" w:rsidRDefault="00EE5306">
            <w:pPr>
              <w:spacing w:after="100"/>
              <w:rPr>
                <w:rFonts w:eastAsia="Times New Roman"/>
                <w:sz w:val="20"/>
                <w:szCs w:val="20"/>
              </w:rPr>
            </w:pPr>
          </w:p>
        </w:tc>
      </w:tr>
      <w:tr w:rsidR="00000000" w14:paraId="6855C974" w14:textId="77777777">
        <w:trPr>
          <w:divId w:val="1736467474"/>
          <w:jc w:val="center"/>
        </w:trPr>
        <w:tc>
          <w:tcPr>
            <w:tcW w:w="0" w:type="auto"/>
            <w:gridSpan w:val="3"/>
            <w:tcMar>
              <w:top w:w="0" w:type="dxa"/>
              <w:left w:w="20" w:type="dxa"/>
              <w:bottom w:w="0" w:type="dxa"/>
              <w:right w:w="20" w:type="dxa"/>
            </w:tcMar>
            <w:vAlign w:val="center"/>
            <w:hideMark/>
          </w:tcPr>
          <w:p w14:paraId="1301EBA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BB4DD9" w14:textId="77777777" w:rsidR="00000000" w:rsidRDefault="00EE5306">
            <w:pPr>
              <w:spacing w:after="100"/>
              <w:jc w:val="center"/>
              <w:rPr>
                <w:rFonts w:eastAsia="Times New Roman"/>
              </w:rPr>
            </w:pPr>
            <w:r>
              <w:rPr>
                <w:rFonts w:eastAsia="Times New Roman"/>
                <w:color w:val="000000"/>
                <w:sz w:val="20"/>
                <w:szCs w:val="20"/>
              </w:rPr>
              <w:t>F-52</w:t>
            </w:r>
          </w:p>
        </w:tc>
        <w:tc>
          <w:tcPr>
            <w:tcW w:w="0" w:type="auto"/>
            <w:gridSpan w:val="3"/>
            <w:tcMar>
              <w:top w:w="0" w:type="dxa"/>
              <w:left w:w="20" w:type="dxa"/>
              <w:bottom w:w="0" w:type="dxa"/>
              <w:right w:w="20" w:type="dxa"/>
            </w:tcMar>
            <w:vAlign w:val="center"/>
            <w:hideMark/>
          </w:tcPr>
          <w:p w14:paraId="6BA65D4A" w14:textId="77777777" w:rsidR="00000000" w:rsidRDefault="00EE5306">
            <w:pPr>
              <w:spacing w:after="100"/>
              <w:jc w:val="center"/>
              <w:rPr>
                <w:rFonts w:eastAsia="Times New Roman"/>
              </w:rPr>
            </w:pPr>
          </w:p>
        </w:tc>
      </w:tr>
    </w:tbl>
    <w:p w14:paraId="3E1E64CC" w14:textId="77777777" w:rsidR="00000000" w:rsidRDefault="00EE5306">
      <w:pPr>
        <w:rPr>
          <w:rFonts w:eastAsia="Times New Roman"/>
        </w:rPr>
      </w:pPr>
      <w:r>
        <w:rPr>
          <w:rFonts w:eastAsia="Times New Roman"/>
        </w:rPr>
        <w:pict w14:anchorId="082FB5C8">
          <v:rect id="_x0000_i1162" style="width:0;height:1.5pt" o:hralign="center" o:hrstd="t" o:hr="t" fillcolor="#a0a0a0" stroked="f"/>
        </w:pict>
      </w:r>
    </w:p>
    <w:p w14:paraId="2F0DB10A" w14:textId="77777777" w:rsidR="00000000" w:rsidRDefault="00EE5306">
      <w:pPr>
        <w:jc w:val="center"/>
        <w:divId w:val="463547016"/>
        <w:rPr>
          <w:rFonts w:eastAsia="Times New Roman"/>
        </w:rPr>
      </w:pPr>
    </w:p>
    <w:p w14:paraId="3B4D98B0" w14:textId="77777777" w:rsidR="00000000" w:rsidRDefault="00EE5306">
      <w:pPr>
        <w:jc w:val="center"/>
        <w:divId w:val="463547016"/>
        <w:rPr>
          <w:rFonts w:eastAsia="Times New Roman"/>
        </w:rPr>
      </w:pPr>
      <w:r>
        <w:rPr>
          <w:rFonts w:eastAsia="Times New Roman"/>
          <w:b/>
          <w:bCs/>
          <w:color w:val="000000"/>
          <w:sz w:val="20"/>
          <w:szCs w:val="20"/>
        </w:rPr>
        <w:t>RALPH LAUREN CORPORATION</w:t>
      </w:r>
    </w:p>
    <w:p w14:paraId="2AE7596D" w14:textId="77777777" w:rsidR="00000000" w:rsidRDefault="00EE5306">
      <w:pPr>
        <w:jc w:val="center"/>
        <w:divId w:val="123625072"/>
        <w:rPr>
          <w:rFonts w:eastAsia="Times New Roman"/>
        </w:rPr>
      </w:pPr>
      <w:r>
        <w:rPr>
          <w:rFonts w:eastAsia="Times New Roman"/>
          <w:b/>
          <w:bCs/>
          <w:color w:val="000000"/>
          <w:sz w:val="20"/>
          <w:szCs w:val="20"/>
        </w:rPr>
        <w:t>NOTES TO CONSOLIDATED FINANCIAL STATEMENTS (Continued)</w:t>
      </w:r>
    </w:p>
    <w:p w14:paraId="085E7B00" w14:textId="77777777" w:rsidR="00000000" w:rsidRDefault="00EE5306">
      <w:pPr>
        <w:ind w:hanging="540"/>
        <w:divId w:val="800071986"/>
        <w:rPr>
          <w:rFonts w:eastAsia="Times New Roman"/>
        </w:rPr>
      </w:pPr>
      <w:r>
        <w:rPr>
          <w:rFonts w:eastAsia="Times New Roman"/>
          <w:b/>
          <w:bCs/>
          <w:color w:val="000000"/>
          <w:sz w:val="20"/>
          <w:szCs w:val="20"/>
        </w:rPr>
        <w:t>20.    Segment Information</w:t>
      </w:r>
    </w:p>
    <w:p w14:paraId="2BA15EA8" w14:textId="77777777" w:rsidR="00000000" w:rsidRDefault="00EE5306">
      <w:pPr>
        <w:ind w:firstLine="540"/>
        <w:jc w:val="both"/>
        <w:divId w:val="364332771"/>
        <w:rPr>
          <w:rFonts w:eastAsia="Times New Roman"/>
        </w:rPr>
      </w:pPr>
      <w:r>
        <w:rPr>
          <w:rFonts w:eastAsia="Times New Roman"/>
          <w:color w:val="000000"/>
          <w:sz w:val="20"/>
          <w:szCs w:val="20"/>
        </w:rPr>
        <w:t>The Company has three reportable segments based on its business activities and organization:</w:t>
      </w:r>
    </w:p>
    <w:p w14:paraId="68B91A96" w14:textId="77777777" w:rsidR="00000000" w:rsidRDefault="00EE5306">
      <w:pPr>
        <w:ind w:hanging="360"/>
        <w:jc w:val="both"/>
        <w:divId w:val="339115872"/>
        <w:rPr>
          <w:rFonts w:eastAsia="Times New Roman"/>
        </w:rPr>
      </w:pPr>
      <w:r>
        <w:rPr>
          <w:rFonts w:eastAsia="Times New Roman"/>
          <w:color w:val="000000"/>
          <w:sz w:val="20"/>
          <w:szCs w:val="20"/>
        </w:rPr>
        <w:t>•</w:t>
      </w:r>
      <w:r>
        <w:rPr>
          <w:rFonts w:eastAsia="Times New Roman"/>
          <w:i/>
          <w:iCs/>
          <w:color w:val="000000"/>
          <w:sz w:val="20"/>
          <w:szCs w:val="20"/>
        </w:rPr>
        <w:t>North America</w:t>
      </w:r>
      <w:r>
        <w:rPr>
          <w:rFonts w:eastAsia="Times New Roman"/>
          <w:color w:val="000000"/>
          <w:sz w:val="20"/>
          <w:szCs w:val="20"/>
        </w:rPr>
        <w:t xml:space="preserve"> — </w:t>
      </w:r>
      <w:r>
        <w:rPr>
          <w:rFonts w:eastAsia="Times New Roman"/>
          <w:color w:val="000000"/>
          <w:sz w:val="20"/>
          <w:szCs w:val="20"/>
        </w:rPr>
        <w:t>The North America segment primarily consists of sales of Ralph Lauren branded apparel, footwear, accessories, home furnishings, and related products made through the Company's retail and wholesale businesses in the U.S. and Canada, excluding Club Monaco. I</w:t>
      </w:r>
      <w:r>
        <w:rPr>
          <w:rFonts w:eastAsia="Times New Roman"/>
          <w:color w:val="000000"/>
          <w:sz w:val="20"/>
          <w:szCs w:val="20"/>
        </w:rPr>
        <w:t>n North America, the Company's retail business is primarily comprised of its Ralph Lauren stores, its factory stores, and its digital commerce site, www.RalphLauren.com. The Company's wholesale business in North America is comprised primarily of sales to d</w:t>
      </w:r>
      <w:r>
        <w:rPr>
          <w:rFonts w:eastAsia="Times New Roman"/>
          <w:color w:val="000000"/>
          <w:sz w:val="20"/>
          <w:szCs w:val="20"/>
        </w:rPr>
        <w:t>epartment stores, and to a lesser extent, specialty stores.</w:t>
      </w:r>
    </w:p>
    <w:p w14:paraId="203DD83E" w14:textId="77777777" w:rsidR="00000000" w:rsidRDefault="00EE5306">
      <w:pPr>
        <w:ind w:hanging="360"/>
        <w:jc w:val="both"/>
        <w:divId w:val="948272014"/>
        <w:rPr>
          <w:rFonts w:eastAsia="Times New Roman"/>
        </w:rPr>
      </w:pPr>
      <w:r>
        <w:rPr>
          <w:rFonts w:eastAsia="Times New Roman"/>
          <w:color w:val="000000"/>
          <w:sz w:val="20"/>
          <w:szCs w:val="20"/>
        </w:rPr>
        <w:t>•</w:t>
      </w:r>
      <w:r>
        <w:rPr>
          <w:rFonts w:eastAsia="Times New Roman"/>
          <w:i/>
          <w:iCs/>
          <w:color w:val="000000"/>
          <w:sz w:val="20"/>
          <w:szCs w:val="20"/>
        </w:rPr>
        <w:t>Europe</w:t>
      </w:r>
      <w:r>
        <w:rPr>
          <w:rFonts w:eastAsia="Times New Roman"/>
          <w:color w:val="000000"/>
          <w:sz w:val="20"/>
          <w:szCs w:val="20"/>
        </w:rPr>
        <w:t xml:space="preserve"> — The Europe segment primarily consists of sales of Ralph Lauren branded apparel, footwear, accessories, home furnishings, and related products made through the Company's retail and wholes</w:t>
      </w:r>
      <w:r>
        <w:rPr>
          <w:rFonts w:eastAsia="Times New Roman"/>
          <w:color w:val="000000"/>
          <w:sz w:val="20"/>
          <w:szCs w:val="20"/>
        </w:rPr>
        <w:t>ale businesses in Europe, the Middle East, and Latin America, excluding Club Monaco. In Europe, the Company's retail business is primarily comprised of its Ralph Lauren stores, its factory stores, its concession-based shop-within-shops, and its various dig</w:t>
      </w:r>
      <w:r>
        <w:rPr>
          <w:rFonts w:eastAsia="Times New Roman"/>
          <w:color w:val="000000"/>
          <w:sz w:val="20"/>
          <w:szCs w:val="20"/>
        </w:rPr>
        <w:t>ital commerce sites. The Company's wholesale business in Europe is comprised of a varying mix of sales to both department stores and specialty stores, depending on the country, as well as to various third-party digital partners.</w:t>
      </w:r>
    </w:p>
    <w:p w14:paraId="7F9D7DA3" w14:textId="77777777" w:rsidR="00000000" w:rsidRDefault="00EE5306">
      <w:pPr>
        <w:ind w:hanging="360"/>
        <w:jc w:val="both"/>
        <w:divId w:val="889998525"/>
        <w:rPr>
          <w:rFonts w:eastAsia="Times New Roman"/>
        </w:rPr>
      </w:pPr>
      <w:r>
        <w:rPr>
          <w:rFonts w:eastAsia="Times New Roman"/>
          <w:color w:val="000000"/>
          <w:sz w:val="20"/>
          <w:szCs w:val="20"/>
        </w:rPr>
        <w:t>•</w:t>
      </w:r>
      <w:r>
        <w:rPr>
          <w:rFonts w:eastAsia="Times New Roman"/>
          <w:i/>
          <w:iCs/>
          <w:color w:val="000000"/>
          <w:sz w:val="20"/>
          <w:szCs w:val="20"/>
        </w:rPr>
        <w:t>Asia</w:t>
      </w:r>
      <w:r>
        <w:rPr>
          <w:rFonts w:eastAsia="Times New Roman"/>
          <w:color w:val="000000"/>
          <w:sz w:val="20"/>
          <w:szCs w:val="20"/>
        </w:rPr>
        <w:t xml:space="preserve"> — The Asia segment pr</w:t>
      </w:r>
      <w:r>
        <w:rPr>
          <w:rFonts w:eastAsia="Times New Roman"/>
          <w:color w:val="000000"/>
          <w:sz w:val="20"/>
          <w:szCs w:val="20"/>
        </w:rPr>
        <w:t>imarily consists of sales of Ralph Lauren branded apparel, footwear, accessories, home furnishings, and related products made through the Company's retail and wholesale businesses in Asia, Australia, and New Zealand. The Company's retail business in Asia i</w:t>
      </w:r>
      <w:r>
        <w:rPr>
          <w:rFonts w:eastAsia="Times New Roman"/>
          <w:color w:val="000000"/>
          <w:sz w:val="20"/>
          <w:szCs w:val="20"/>
        </w:rPr>
        <w:t>s primarily comprised of its Ralph Lauren stores, its factory stores, its concession-based shop-within-shops, and its various digital commerce sites. In addition, the Company sells its products online through various third-party digital partner commerce si</w:t>
      </w:r>
      <w:r>
        <w:rPr>
          <w:rFonts w:eastAsia="Times New Roman"/>
          <w:color w:val="000000"/>
          <w:sz w:val="20"/>
          <w:szCs w:val="20"/>
        </w:rPr>
        <w:t xml:space="preserve">tes. The Company's wholesale business in Asia is comprised primarily of sales to department stores, with related products distributed through shop-within-shops. </w:t>
      </w:r>
    </w:p>
    <w:p w14:paraId="57E9E27B" w14:textId="77777777" w:rsidR="00000000" w:rsidRDefault="00EE5306">
      <w:pPr>
        <w:ind w:firstLine="540"/>
        <w:jc w:val="both"/>
        <w:divId w:val="456680502"/>
        <w:rPr>
          <w:rFonts w:eastAsia="Times New Roman"/>
        </w:rPr>
      </w:pPr>
      <w:r>
        <w:rPr>
          <w:rFonts w:eastAsia="Times New Roman"/>
          <w:color w:val="000000"/>
          <w:sz w:val="20"/>
          <w:szCs w:val="20"/>
        </w:rPr>
        <w:t>No operating segments were aggregated to form the Company's reportable segments. In addition t</w:t>
      </w:r>
      <w:r>
        <w:rPr>
          <w:rFonts w:eastAsia="Times New Roman"/>
          <w:color w:val="000000"/>
          <w:sz w:val="20"/>
          <w:szCs w:val="20"/>
        </w:rPr>
        <w:t>o these reportable segments, the Company also has other non-reportable segments, which primarily consist of (i) sales of Club Monaco branded products made through its retail and wholesale businesses in the U.S., Canada, and Europe, and its licensing allian</w:t>
      </w:r>
      <w:r>
        <w:rPr>
          <w:rFonts w:eastAsia="Times New Roman"/>
          <w:color w:val="000000"/>
          <w:sz w:val="20"/>
          <w:szCs w:val="20"/>
        </w:rPr>
        <w:t>ces in Europe and Asia, and (ii) royalty revenues earned through its global licensing alliances, excluding Club Monaco. As discussed in Note 9, on May 13, 2021, the Company announced the anticipated sale of its Club Monaco business, which is expected to cl</w:t>
      </w:r>
      <w:r>
        <w:rPr>
          <w:rFonts w:eastAsia="Times New Roman"/>
          <w:color w:val="000000"/>
          <w:sz w:val="20"/>
          <w:szCs w:val="20"/>
        </w:rPr>
        <w:t>ose by the end of the first quarter of Fiscal 2022.</w:t>
      </w:r>
    </w:p>
    <w:p w14:paraId="42A263B9" w14:textId="77777777" w:rsidR="00000000" w:rsidRDefault="00EE5306">
      <w:pPr>
        <w:ind w:firstLine="540"/>
        <w:jc w:val="both"/>
        <w:divId w:val="12343412"/>
        <w:rPr>
          <w:rFonts w:eastAsia="Times New Roman"/>
        </w:rPr>
      </w:pPr>
      <w:r>
        <w:rPr>
          <w:rFonts w:eastAsia="Times New Roman"/>
          <w:color w:val="000000"/>
          <w:sz w:val="20"/>
          <w:szCs w:val="20"/>
        </w:rPr>
        <w:t>The Company's segment reporting structure is consistent with how it establishes its overall business strategy, allocates resources, and assesses performance of its business. The accounting policies of the</w:t>
      </w:r>
      <w:r>
        <w:rPr>
          <w:rFonts w:eastAsia="Times New Roman"/>
          <w:color w:val="000000"/>
          <w:sz w:val="20"/>
          <w:szCs w:val="20"/>
        </w:rPr>
        <w:t xml:space="preserve"> Company's segments are consistent with those described in Notes 2 and 3. Sales and transfers between segments are generally recorded at cost and treated as transfers of inventory. All intercompany revenues are eliminated in consolidation and are not revie</w:t>
      </w:r>
      <w:r>
        <w:rPr>
          <w:rFonts w:eastAsia="Times New Roman"/>
          <w:color w:val="000000"/>
          <w:sz w:val="20"/>
          <w:szCs w:val="20"/>
        </w:rPr>
        <w:t>wed when evaluating segment performance. Each segment's performance is evaluated based upon net revenues and operating income before restructuring-related charges, impairment of assets, and certain other one-time items, if any. Certain corporate overhead e</w:t>
      </w:r>
      <w:r>
        <w:rPr>
          <w:rFonts w:eastAsia="Times New Roman"/>
          <w:color w:val="000000"/>
          <w:sz w:val="20"/>
          <w:szCs w:val="20"/>
        </w:rPr>
        <w:t>xpenses related to global functions, most notably the Company's executive office, information technology, finance and accounting, human resources, and legal departments, largely remain at corporate. Additionally, other costs that cannot be allocated to the</w:t>
      </w:r>
      <w:r>
        <w:rPr>
          <w:rFonts w:eastAsia="Times New Roman"/>
          <w:color w:val="000000"/>
          <w:sz w:val="20"/>
          <w:szCs w:val="20"/>
        </w:rPr>
        <w:t xml:space="preserve"> segments based on specific usage are also maintained at corporate, including corporate advertising and marketing expenses, depreciation and amortization of corporate assets, and other general and administrative expenses resulting from corporate-level acti</w:t>
      </w:r>
      <w:r>
        <w:rPr>
          <w:rFonts w:eastAsia="Times New Roman"/>
          <w:color w:val="000000"/>
          <w:sz w:val="20"/>
          <w:szCs w:val="20"/>
        </w:rPr>
        <w:t>vities and projects. Asset information by segment is not utilized for purposes of assessing performance or allocating resources, and therefore such information has not been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5C9822D1" w14:textId="77777777">
        <w:trPr>
          <w:divId w:val="690644340"/>
          <w:jc w:val="center"/>
        </w:trPr>
        <w:tc>
          <w:tcPr>
            <w:tcW w:w="50" w:type="pct"/>
            <w:vAlign w:val="center"/>
            <w:hideMark/>
          </w:tcPr>
          <w:p w14:paraId="6AD87E48" w14:textId="77777777" w:rsidR="00000000" w:rsidRDefault="00EE5306">
            <w:pPr>
              <w:ind w:firstLine="540"/>
              <w:jc w:val="both"/>
              <w:rPr>
                <w:rFonts w:eastAsia="Times New Roman"/>
              </w:rPr>
            </w:pPr>
          </w:p>
        </w:tc>
        <w:tc>
          <w:tcPr>
            <w:tcW w:w="1699" w:type="pct"/>
            <w:vAlign w:val="center"/>
            <w:hideMark/>
          </w:tcPr>
          <w:p w14:paraId="0E717457" w14:textId="77777777" w:rsidR="00000000" w:rsidRDefault="00EE5306">
            <w:pPr>
              <w:spacing w:after="100"/>
              <w:rPr>
                <w:rFonts w:eastAsia="Times New Roman"/>
                <w:sz w:val="20"/>
                <w:szCs w:val="20"/>
              </w:rPr>
            </w:pPr>
          </w:p>
        </w:tc>
        <w:tc>
          <w:tcPr>
            <w:tcW w:w="5" w:type="pct"/>
            <w:vAlign w:val="center"/>
            <w:hideMark/>
          </w:tcPr>
          <w:p w14:paraId="3188DB8A" w14:textId="77777777" w:rsidR="00000000" w:rsidRDefault="00EE5306">
            <w:pPr>
              <w:spacing w:after="100"/>
              <w:rPr>
                <w:rFonts w:eastAsia="Times New Roman"/>
                <w:sz w:val="20"/>
                <w:szCs w:val="20"/>
              </w:rPr>
            </w:pPr>
          </w:p>
        </w:tc>
        <w:tc>
          <w:tcPr>
            <w:tcW w:w="50" w:type="pct"/>
            <w:vAlign w:val="center"/>
            <w:hideMark/>
          </w:tcPr>
          <w:p w14:paraId="6A5AFDDE" w14:textId="77777777" w:rsidR="00000000" w:rsidRDefault="00EE5306">
            <w:pPr>
              <w:spacing w:after="100"/>
              <w:rPr>
                <w:rFonts w:eastAsia="Times New Roman"/>
                <w:sz w:val="20"/>
                <w:szCs w:val="20"/>
              </w:rPr>
            </w:pPr>
          </w:p>
        </w:tc>
        <w:tc>
          <w:tcPr>
            <w:tcW w:w="1436" w:type="pct"/>
            <w:vAlign w:val="center"/>
            <w:hideMark/>
          </w:tcPr>
          <w:p w14:paraId="3FCA2B74" w14:textId="77777777" w:rsidR="00000000" w:rsidRDefault="00EE5306">
            <w:pPr>
              <w:spacing w:after="100"/>
              <w:rPr>
                <w:rFonts w:eastAsia="Times New Roman"/>
                <w:sz w:val="20"/>
                <w:szCs w:val="20"/>
              </w:rPr>
            </w:pPr>
          </w:p>
        </w:tc>
        <w:tc>
          <w:tcPr>
            <w:tcW w:w="5" w:type="pct"/>
            <w:vAlign w:val="center"/>
            <w:hideMark/>
          </w:tcPr>
          <w:p w14:paraId="49F1DA01" w14:textId="77777777" w:rsidR="00000000" w:rsidRDefault="00EE5306">
            <w:pPr>
              <w:spacing w:after="100"/>
              <w:rPr>
                <w:rFonts w:eastAsia="Times New Roman"/>
                <w:sz w:val="20"/>
                <w:szCs w:val="20"/>
              </w:rPr>
            </w:pPr>
          </w:p>
        </w:tc>
        <w:tc>
          <w:tcPr>
            <w:tcW w:w="50" w:type="pct"/>
            <w:vAlign w:val="center"/>
            <w:hideMark/>
          </w:tcPr>
          <w:p w14:paraId="5E454289" w14:textId="77777777" w:rsidR="00000000" w:rsidRDefault="00EE5306">
            <w:pPr>
              <w:spacing w:after="100"/>
              <w:rPr>
                <w:rFonts w:eastAsia="Times New Roman"/>
                <w:sz w:val="20"/>
                <w:szCs w:val="20"/>
              </w:rPr>
            </w:pPr>
          </w:p>
        </w:tc>
        <w:tc>
          <w:tcPr>
            <w:tcW w:w="1699" w:type="pct"/>
            <w:vAlign w:val="center"/>
            <w:hideMark/>
          </w:tcPr>
          <w:p w14:paraId="22166A5F" w14:textId="77777777" w:rsidR="00000000" w:rsidRDefault="00EE5306">
            <w:pPr>
              <w:spacing w:after="100"/>
              <w:rPr>
                <w:rFonts w:eastAsia="Times New Roman"/>
                <w:sz w:val="20"/>
                <w:szCs w:val="20"/>
              </w:rPr>
            </w:pPr>
          </w:p>
        </w:tc>
        <w:tc>
          <w:tcPr>
            <w:tcW w:w="5" w:type="pct"/>
            <w:vAlign w:val="center"/>
            <w:hideMark/>
          </w:tcPr>
          <w:p w14:paraId="50FB87DE" w14:textId="77777777" w:rsidR="00000000" w:rsidRDefault="00EE5306">
            <w:pPr>
              <w:spacing w:after="100"/>
              <w:rPr>
                <w:rFonts w:eastAsia="Times New Roman"/>
                <w:sz w:val="20"/>
                <w:szCs w:val="20"/>
              </w:rPr>
            </w:pPr>
          </w:p>
        </w:tc>
      </w:tr>
      <w:tr w:rsidR="00000000" w14:paraId="497498FC" w14:textId="77777777">
        <w:trPr>
          <w:divId w:val="690644340"/>
          <w:jc w:val="center"/>
        </w:trPr>
        <w:tc>
          <w:tcPr>
            <w:tcW w:w="0" w:type="auto"/>
            <w:gridSpan w:val="3"/>
            <w:tcMar>
              <w:top w:w="0" w:type="dxa"/>
              <w:left w:w="20" w:type="dxa"/>
              <w:bottom w:w="0" w:type="dxa"/>
              <w:right w:w="20" w:type="dxa"/>
            </w:tcMar>
            <w:vAlign w:val="center"/>
            <w:hideMark/>
          </w:tcPr>
          <w:p w14:paraId="537C9D97"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EB698BF" w14:textId="77777777" w:rsidR="00000000" w:rsidRDefault="00EE5306">
            <w:pPr>
              <w:spacing w:after="100"/>
              <w:jc w:val="center"/>
              <w:rPr>
                <w:rFonts w:eastAsia="Times New Roman"/>
              </w:rPr>
            </w:pPr>
            <w:r>
              <w:rPr>
                <w:rFonts w:eastAsia="Times New Roman"/>
                <w:color w:val="000000"/>
                <w:sz w:val="20"/>
                <w:szCs w:val="20"/>
              </w:rPr>
              <w:t>F-53</w:t>
            </w:r>
          </w:p>
        </w:tc>
        <w:tc>
          <w:tcPr>
            <w:tcW w:w="0" w:type="auto"/>
            <w:gridSpan w:val="3"/>
            <w:tcMar>
              <w:top w:w="0" w:type="dxa"/>
              <w:left w:w="20" w:type="dxa"/>
              <w:bottom w:w="0" w:type="dxa"/>
              <w:right w:w="20" w:type="dxa"/>
            </w:tcMar>
            <w:vAlign w:val="center"/>
            <w:hideMark/>
          </w:tcPr>
          <w:p w14:paraId="6E0ED0FE" w14:textId="77777777" w:rsidR="00000000" w:rsidRDefault="00EE5306">
            <w:pPr>
              <w:spacing w:after="100"/>
              <w:jc w:val="center"/>
              <w:rPr>
                <w:rFonts w:eastAsia="Times New Roman"/>
              </w:rPr>
            </w:pPr>
          </w:p>
        </w:tc>
      </w:tr>
    </w:tbl>
    <w:p w14:paraId="191DC701" w14:textId="77777777" w:rsidR="00000000" w:rsidRDefault="00EE5306">
      <w:pPr>
        <w:rPr>
          <w:rFonts w:eastAsia="Times New Roman"/>
        </w:rPr>
      </w:pPr>
      <w:r>
        <w:rPr>
          <w:rFonts w:eastAsia="Times New Roman"/>
        </w:rPr>
        <w:pict w14:anchorId="295D5BAD">
          <v:rect id="_x0000_i1163" style="width:0;height:1.5pt" o:hralign="center" o:hrstd="t" o:hr="t" fillcolor="#a0a0a0" stroked="f"/>
        </w:pict>
      </w:r>
    </w:p>
    <w:p w14:paraId="26682178" w14:textId="77777777" w:rsidR="00000000" w:rsidRDefault="00EE5306">
      <w:pPr>
        <w:jc w:val="center"/>
        <w:divId w:val="447352879"/>
        <w:rPr>
          <w:rFonts w:eastAsia="Times New Roman"/>
        </w:rPr>
      </w:pPr>
    </w:p>
    <w:p w14:paraId="03D8C39A" w14:textId="77777777" w:rsidR="00000000" w:rsidRDefault="00EE5306">
      <w:pPr>
        <w:jc w:val="center"/>
        <w:divId w:val="447352879"/>
        <w:rPr>
          <w:rFonts w:eastAsia="Times New Roman"/>
        </w:rPr>
      </w:pPr>
      <w:r>
        <w:rPr>
          <w:rFonts w:eastAsia="Times New Roman"/>
          <w:b/>
          <w:bCs/>
          <w:color w:val="000000"/>
          <w:sz w:val="20"/>
          <w:szCs w:val="20"/>
        </w:rPr>
        <w:t>RALPH LAUREN CORPORATION</w:t>
      </w:r>
    </w:p>
    <w:p w14:paraId="2DD4979B" w14:textId="77777777" w:rsidR="00000000" w:rsidRDefault="00EE5306">
      <w:pPr>
        <w:jc w:val="center"/>
        <w:divId w:val="12339839"/>
        <w:rPr>
          <w:rFonts w:eastAsia="Times New Roman"/>
        </w:rPr>
      </w:pPr>
      <w:r>
        <w:rPr>
          <w:rFonts w:eastAsia="Times New Roman"/>
          <w:b/>
          <w:bCs/>
          <w:color w:val="000000"/>
          <w:sz w:val="20"/>
          <w:szCs w:val="20"/>
        </w:rPr>
        <w:t>NOTES TO CONSOLIDATED FINANCIAL STATEMENTS (Continued)</w:t>
      </w:r>
    </w:p>
    <w:p w14:paraId="4FC8D2AD" w14:textId="77777777" w:rsidR="00000000" w:rsidRDefault="00EE5306">
      <w:pPr>
        <w:ind w:firstLine="540"/>
        <w:jc w:val="both"/>
        <w:divId w:val="2038773209"/>
        <w:rPr>
          <w:rFonts w:eastAsia="Times New Roman"/>
        </w:rPr>
      </w:pPr>
      <w:r>
        <w:rPr>
          <w:rFonts w:eastAsia="Times New Roman"/>
          <w:color w:val="000000"/>
          <w:sz w:val="20"/>
          <w:szCs w:val="20"/>
        </w:rPr>
        <w:t>Net revenues for each of the Company's segments are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14:paraId="5D9C362F" w14:textId="77777777">
        <w:trPr>
          <w:divId w:val="1031882389"/>
        </w:trPr>
        <w:tc>
          <w:tcPr>
            <w:tcW w:w="50" w:type="pct"/>
            <w:vAlign w:val="center"/>
            <w:hideMark/>
          </w:tcPr>
          <w:p w14:paraId="6647079E" w14:textId="77777777" w:rsidR="00000000" w:rsidRDefault="00EE5306">
            <w:pPr>
              <w:ind w:firstLine="540"/>
              <w:jc w:val="both"/>
              <w:rPr>
                <w:rFonts w:eastAsia="Times New Roman"/>
              </w:rPr>
            </w:pPr>
          </w:p>
        </w:tc>
        <w:tc>
          <w:tcPr>
            <w:tcW w:w="2510" w:type="pct"/>
            <w:vAlign w:val="center"/>
            <w:hideMark/>
          </w:tcPr>
          <w:p w14:paraId="4DFC3142" w14:textId="77777777" w:rsidR="00000000" w:rsidRDefault="00EE5306">
            <w:pPr>
              <w:spacing w:after="100"/>
              <w:rPr>
                <w:rFonts w:eastAsia="Times New Roman"/>
                <w:sz w:val="20"/>
                <w:szCs w:val="20"/>
              </w:rPr>
            </w:pPr>
          </w:p>
        </w:tc>
        <w:tc>
          <w:tcPr>
            <w:tcW w:w="5" w:type="pct"/>
            <w:vAlign w:val="center"/>
            <w:hideMark/>
          </w:tcPr>
          <w:p w14:paraId="5EFA8A4A" w14:textId="77777777" w:rsidR="00000000" w:rsidRDefault="00EE5306">
            <w:pPr>
              <w:spacing w:after="100"/>
              <w:rPr>
                <w:rFonts w:eastAsia="Times New Roman"/>
                <w:sz w:val="20"/>
                <w:szCs w:val="20"/>
              </w:rPr>
            </w:pPr>
          </w:p>
        </w:tc>
        <w:tc>
          <w:tcPr>
            <w:tcW w:w="5" w:type="pct"/>
            <w:vAlign w:val="center"/>
            <w:hideMark/>
          </w:tcPr>
          <w:p w14:paraId="4C982681" w14:textId="77777777" w:rsidR="00000000" w:rsidRDefault="00EE5306">
            <w:pPr>
              <w:spacing w:after="100"/>
              <w:rPr>
                <w:rFonts w:eastAsia="Times New Roman"/>
                <w:sz w:val="20"/>
                <w:szCs w:val="20"/>
              </w:rPr>
            </w:pPr>
          </w:p>
        </w:tc>
        <w:tc>
          <w:tcPr>
            <w:tcW w:w="28" w:type="pct"/>
            <w:vAlign w:val="center"/>
            <w:hideMark/>
          </w:tcPr>
          <w:p w14:paraId="0409F2BE" w14:textId="77777777" w:rsidR="00000000" w:rsidRDefault="00EE5306">
            <w:pPr>
              <w:spacing w:after="100"/>
              <w:rPr>
                <w:rFonts w:eastAsia="Times New Roman"/>
                <w:sz w:val="20"/>
                <w:szCs w:val="20"/>
              </w:rPr>
            </w:pPr>
          </w:p>
        </w:tc>
        <w:tc>
          <w:tcPr>
            <w:tcW w:w="5" w:type="pct"/>
            <w:vAlign w:val="center"/>
            <w:hideMark/>
          </w:tcPr>
          <w:p w14:paraId="0CB20844" w14:textId="77777777" w:rsidR="00000000" w:rsidRDefault="00EE5306">
            <w:pPr>
              <w:spacing w:after="100"/>
              <w:rPr>
                <w:rFonts w:eastAsia="Times New Roman"/>
                <w:sz w:val="20"/>
                <w:szCs w:val="20"/>
              </w:rPr>
            </w:pPr>
          </w:p>
        </w:tc>
        <w:tc>
          <w:tcPr>
            <w:tcW w:w="50" w:type="pct"/>
            <w:vAlign w:val="center"/>
            <w:hideMark/>
          </w:tcPr>
          <w:p w14:paraId="24F3D6BF" w14:textId="77777777" w:rsidR="00000000" w:rsidRDefault="00EE5306">
            <w:pPr>
              <w:spacing w:after="100"/>
              <w:rPr>
                <w:rFonts w:eastAsia="Times New Roman"/>
                <w:sz w:val="20"/>
                <w:szCs w:val="20"/>
              </w:rPr>
            </w:pPr>
          </w:p>
        </w:tc>
        <w:tc>
          <w:tcPr>
            <w:tcW w:w="717" w:type="pct"/>
            <w:vAlign w:val="center"/>
            <w:hideMark/>
          </w:tcPr>
          <w:p w14:paraId="39822026" w14:textId="77777777" w:rsidR="00000000" w:rsidRDefault="00EE5306">
            <w:pPr>
              <w:spacing w:after="100"/>
              <w:rPr>
                <w:rFonts w:eastAsia="Times New Roman"/>
                <w:sz w:val="20"/>
                <w:szCs w:val="20"/>
              </w:rPr>
            </w:pPr>
          </w:p>
        </w:tc>
        <w:tc>
          <w:tcPr>
            <w:tcW w:w="5" w:type="pct"/>
            <w:vAlign w:val="center"/>
            <w:hideMark/>
          </w:tcPr>
          <w:p w14:paraId="50182593" w14:textId="77777777" w:rsidR="00000000" w:rsidRDefault="00EE5306">
            <w:pPr>
              <w:spacing w:after="100"/>
              <w:rPr>
                <w:rFonts w:eastAsia="Times New Roman"/>
                <w:sz w:val="20"/>
                <w:szCs w:val="20"/>
              </w:rPr>
            </w:pPr>
          </w:p>
        </w:tc>
        <w:tc>
          <w:tcPr>
            <w:tcW w:w="5" w:type="pct"/>
            <w:vAlign w:val="center"/>
            <w:hideMark/>
          </w:tcPr>
          <w:p w14:paraId="49665517" w14:textId="77777777" w:rsidR="00000000" w:rsidRDefault="00EE5306">
            <w:pPr>
              <w:spacing w:after="100"/>
              <w:rPr>
                <w:rFonts w:eastAsia="Times New Roman"/>
                <w:sz w:val="20"/>
                <w:szCs w:val="20"/>
              </w:rPr>
            </w:pPr>
          </w:p>
        </w:tc>
        <w:tc>
          <w:tcPr>
            <w:tcW w:w="28" w:type="pct"/>
            <w:vAlign w:val="center"/>
            <w:hideMark/>
          </w:tcPr>
          <w:p w14:paraId="75DB2147" w14:textId="77777777" w:rsidR="00000000" w:rsidRDefault="00EE5306">
            <w:pPr>
              <w:spacing w:after="100"/>
              <w:rPr>
                <w:rFonts w:eastAsia="Times New Roman"/>
                <w:sz w:val="20"/>
                <w:szCs w:val="20"/>
              </w:rPr>
            </w:pPr>
          </w:p>
        </w:tc>
        <w:tc>
          <w:tcPr>
            <w:tcW w:w="5" w:type="pct"/>
            <w:vAlign w:val="center"/>
            <w:hideMark/>
          </w:tcPr>
          <w:p w14:paraId="72989D65" w14:textId="77777777" w:rsidR="00000000" w:rsidRDefault="00EE5306">
            <w:pPr>
              <w:spacing w:after="100"/>
              <w:rPr>
                <w:rFonts w:eastAsia="Times New Roman"/>
                <w:sz w:val="20"/>
                <w:szCs w:val="20"/>
              </w:rPr>
            </w:pPr>
          </w:p>
        </w:tc>
        <w:tc>
          <w:tcPr>
            <w:tcW w:w="50" w:type="pct"/>
            <w:vAlign w:val="center"/>
            <w:hideMark/>
          </w:tcPr>
          <w:p w14:paraId="63DB2E97" w14:textId="77777777" w:rsidR="00000000" w:rsidRDefault="00EE5306">
            <w:pPr>
              <w:spacing w:after="100"/>
              <w:rPr>
                <w:rFonts w:eastAsia="Times New Roman"/>
                <w:sz w:val="20"/>
                <w:szCs w:val="20"/>
              </w:rPr>
            </w:pPr>
          </w:p>
        </w:tc>
        <w:tc>
          <w:tcPr>
            <w:tcW w:w="717" w:type="pct"/>
            <w:vAlign w:val="center"/>
            <w:hideMark/>
          </w:tcPr>
          <w:p w14:paraId="6A973D48" w14:textId="77777777" w:rsidR="00000000" w:rsidRDefault="00EE5306">
            <w:pPr>
              <w:spacing w:after="100"/>
              <w:rPr>
                <w:rFonts w:eastAsia="Times New Roman"/>
                <w:sz w:val="20"/>
                <w:szCs w:val="20"/>
              </w:rPr>
            </w:pPr>
          </w:p>
        </w:tc>
        <w:tc>
          <w:tcPr>
            <w:tcW w:w="5" w:type="pct"/>
            <w:vAlign w:val="center"/>
            <w:hideMark/>
          </w:tcPr>
          <w:p w14:paraId="4716D89C" w14:textId="77777777" w:rsidR="00000000" w:rsidRDefault="00EE5306">
            <w:pPr>
              <w:spacing w:after="100"/>
              <w:rPr>
                <w:rFonts w:eastAsia="Times New Roman"/>
                <w:sz w:val="20"/>
                <w:szCs w:val="20"/>
              </w:rPr>
            </w:pPr>
          </w:p>
        </w:tc>
        <w:tc>
          <w:tcPr>
            <w:tcW w:w="5" w:type="pct"/>
            <w:vAlign w:val="center"/>
            <w:hideMark/>
          </w:tcPr>
          <w:p w14:paraId="5280B043" w14:textId="77777777" w:rsidR="00000000" w:rsidRDefault="00EE5306">
            <w:pPr>
              <w:spacing w:after="100"/>
              <w:rPr>
                <w:rFonts w:eastAsia="Times New Roman"/>
                <w:sz w:val="20"/>
                <w:szCs w:val="20"/>
              </w:rPr>
            </w:pPr>
          </w:p>
        </w:tc>
        <w:tc>
          <w:tcPr>
            <w:tcW w:w="28" w:type="pct"/>
            <w:vAlign w:val="center"/>
            <w:hideMark/>
          </w:tcPr>
          <w:p w14:paraId="2DF6E125" w14:textId="77777777" w:rsidR="00000000" w:rsidRDefault="00EE5306">
            <w:pPr>
              <w:spacing w:after="100"/>
              <w:rPr>
                <w:rFonts w:eastAsia="Times New Roman"/>
                <w:sz w:val="20"/>
                <w:szCs w:val="20"/>
              </w:rPr>
            </w:pPr>
          </w:p>
        </w:tc>
        <w:tc>
          <w:tcPr>
            <w:tcW w:w="5" w:type="pct"/>
            <w:vAlign w:val="center"/>
            <w:hideMark/>
          </w:tcPr>
          <w:p w14:paraId="73280402" w14:textId="77777777" w:rsidR="00000000" w:rsidRDefault="00EE5306">
            <w:pPr>
              <w:spacing w:after="100"/>
              <w:rPr>
                <w:rFonts w:eastAsia="Times New Roman"/>
                <w:sz w:val="20"/>
                <w:szCs w:val="20"/>
              </w:rPr>
            </w:pPr>
          </w:p>
        </w:tc>
        <w:tc>
          <w:tcPr>
            <w:tcW w:w="50" w:type="pct"/>
            <w:vAlign w:val="center"/>
            <w:hideMark/>
          </w:tcPr>
          <w:p w14:paraId="612EAA13" w14:textId="77777777" w:rsidR="00000000" w:rsidRDefault="00EE5306">
            <w:pPr>
              <w:spacing w:after="100"/>
              <w:rPr>
                <w:rFonts w:eastAsia="Times New Roman"/>
                <w:sz w:val="20"/>
                <w:szCs w:val="20"/>
              </w:rPr>
            </w:pPr>
          </w:p>
        </w:tc>
        <w:tc>
          <w:tcPr>
            <w:tcW w:w="718" w:type="pct"/>
            <w:vAlign w:val="center"/>
            <w:hideMark/>
          </w:tcPr>
          <w:p w14:paraId="563F83BA" w14:textId="77777777" w:rsidR="00000000" w:rsidRDefault="00EE5306">
            <w:pPr>
              <w:spacing w:after="100"/>
              <w:rPr>
                <w:rFonts w:eastAsia="Times New Roman"/>
                <w:sz w:val="20"/>
                <w:szCs w:val="20"/>
              </w:rPr>
            </w:pPr>
          </w:p>
        </w:tc>
        <w:tc>
          <w:tcPr>
            <w:tcW w:w="5" w:type="pct"/>
            <w:vAlign w:val="center"/>
            <w:hideMark/>
          </w:tcPr>
          <w:p w14:paraId="5DAD54D4" w14:textId="77777777" w:rsidR="00000000" w:rsidRDefault="00EE5306">
            <w:pPr>
              <w:spacing w:after="100"/>
              <w:rPr>
                <w:rFonts w:eastAsia="Times New Roman"/>
                <w:sz w:val="20"/>
                <w:szCs w:val="20"/>
              </w:rPr>
            </w:pPr>
          </w:p>
        </w:tc>
      </w:tr>
      <w:tr w:rsidR="00000000" w14:paraId="5DCBEDB1" w14:textId="77777777">
        <w:trPr>
          <w:divId w:val="1031882389"/>
        </w:trPr>
        <w:tc>
          <w:tcPr>
            <w:tcW w:w="0" w:type="auto"/>
            <w:gridSpan w:val="3"/>
            <w:tcMar>
              <w:top w:w="30" w:type="dxa"/>
              <w:left w:w="20" w:type="dxa"/>
              <w:bottom w:w="30" w:type="dxa"/>
              <w:right w:w="20" w:type="dxa"/>
            </w:tcMar>
            <w:vAlign w:val="bottom"/>
            <w:hideMark/>
          </w:tcPr>
          <w:p w14:paraId="4CD79BDD"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683519E"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76DED630"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7B2330D1" w14:textId="77777777">
        <w:trPr>
          <w:divId w:val="1031882389"/>
        </w:trPr>
        <w:tc>
          <w:tcPr>
            <w:tcW w:w="0" w:type="auto"/>
            <w:gridSpan w:val="3"/>
            <w:tcMar>
              <w:top w:w="30" w:type="dxa"/>
              <w:left w:w="20" w:type="dxa"/>
              <w:bottom w:w="30" w:type="dxa"/>
              <w:right w:w="20" w:type="dxa"/>
            </w:tcMar>
            <w:vAlign w:val="bottom"/>
            <w:hideMark/>
          </w:tcPr>
          <w:p w14:paraId="736A7BA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717E75A"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134E6C"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3EB46033"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8DB4BA3"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FF16E2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C1BA203"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4DF29FCE" w14:textId="77777777">
        <w:trPr>
          <w:divId w:val="1031882389"/>
        </w:trPr>
        <w:tc>
          <w:tcPr>
            <w:tcW w:w="0" w:type="auto"/>
            <w:gridSpan w:val="3"/>
            <w:tcMar>
              <w:top w:w="30" w:type="dxa"/>
              <w:left w:w="20" w:type="dxa"/>
              <w:bottom w:w="30" w:type="dxa"/>
              <w:right w:w="20" w:type="dxa"/>
            </w:tcMar>
            <w:vAlign w:val="bottom"/>
            <w:hideMark/>
          </w:tcPr>
          <w:p w14:paraId="1014B924"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60F4D42"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41392C7"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1970C30A" w14:textId="77777777">
        <w:trPr>
          <w:divId w:val="1031882389"/>
        </w:trPr>
        <w:tc>
          <w:tcPr>
            <w:tcW w:w="0" w:type="auto"/>
            <w:gridSpan w:val="3"/>
            <w:shd w:val="clear" w:color="auto" w:fill="CCEEFF"/>
            <w:tcMar>
              <w:top w:w="30" w:type="dxa"/>
              <w:left w:w="20" w:type="dxa"/>
              <w:bottom w:w="30" w:type="dxa"/>
              <w:right w:w="20" w:type="dxa"/>
            </w:tcMar>
            <w:vAlign w:val="bottom"/>
            <w:hideMark/>
          </w:tcPr>
          <w:p w14:paraId="6FE96E8F" w14:textId="77777777" w:rsidR="00000000" w:rsidRDefault="00EE5306">
            <w:pPr>
              <w:spacing w:after="100"/>
              <w:rPr>
                <w:rFonts w:eastAsia="Times New Roman"/>
              </w:rPr>
            </w:pPr>
            <w:r>
              <w:rPr>
                <w:rFonts w:eastAsia="Times New Roman"/>
                <w:b/>
                <w:bCs/>
                <w:color w:val="000000"/>
                <w:sz w:val="20"/>
                <w:szCs w:val="20"/>
              </w:rPr>
              <w:t>Net revenues:</w:t>
            </w:r>
          </w:p>
        </w:tc>
        <w:tc>
          <w:tcPr>
            <w:tcW w:w="0" w:type="auto"/>
            <w:gridSpan w:val="3"/>
            <w:shd w:val="clear" w:color="auto" w:fill="CCEEFF"/>
            <w:tcMar>
              <w:top w:w="0" w:type="dxa"/>
              <w:left w:w="20" w:type="dxa"/>
              <w:bottom w:w="0" w:type="dxa"/>
              <w:right w:w="20" w:type="dxa"/>
            </w:tcMar>
            <w:vAlign w:val="center"/>
            <w:hideMark/>
          </w:tcPr>
          <w:p w14:paraId="69436426"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5FDE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CADA5E"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28124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5113BD"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6F287B" w14:textId="77777777" w:rsidR="00000000" w:rsidRDefault="00EE5306">
            <w:pPr>
              <w:spacing w:after="100"/>
              <w:rPr>
                <w:rFonts w:eastAsia="Times New Roman"/>
                <w:sz w:val="20"/>
                <w:szCs w:val="20"/>
              </w:rPr>
            </w:pPr>
          </w:p>
        </w:tc>
      </w:tr>
      <w:tr w:rsidR="00000000" w14:paraId="00F5E91C" w14:textId="77777777">
        <w:trPr>
          <w:divId w:val="1031882389"/>
        </w:trPr>
        <w:tc>
          <w:tcPr>
            <w:tcW w:w="0" w:type="auto"/>
            <w:gridSpan w:val="3"/>
            <w:shd w:val="clear" w:color="auto" w:fill="FFFFFF"/>
            <w:tcMar>
              <w:top w:w="30" w:type="dxa"/>
              <w:left w:w="155" w:type="dxa"/>
              <w:bottom w:w="30" w:type="dxa"/>
              <w:right w:w="20" w:type="dxa"/>
            </w:tcMar>
            <w:vAlign w:val="bottom"/>
            <w:hideMark/>
          </w:tcPr>
          <w:p w14:paraId="15F70DA2"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14:paraId="41D2BFC4"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D1399B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FD07AE" w14:textId="77777777" w:rsidR="00000000" w:rsidRDefault="00EE5306">
            <w:pPr>
              <w:spacing w:after="100"/>
              <w:jc w:val="right"/>
              <w:rPr>
                <w:rFonts w:eastAsia="Times New Roman"/>
              </w:rPr>
            </w:pPr>
            <w:r>
              <w:rPr>
                <w:rFonts w:eastAsia="Times New Roman"/>
                <w:color w:val="000000"/>
                <w:sz w:val="20"/>
                <w:szCs w:val="20"/>
              </w:rPr>
              <w:t>1,992.4 </w:t>
            </w:r>
          </w:p>
        </w:tc>
        <w:tc>
          <w:tcPr>
            <w:tcW w:w="0" w:type="auto"/>
            <w:shd w:val="clear" w:color="auto" w:fill="FFFFFF"/>
            <w:tcMar>
              <w:top w:w="30" w:type="dxa"/>
              <w:left w:w="0" w:type="dxa"/>
              <w:bottom w:w="30" w:type="dxa"/>
              <w:right w:w="20" w:type="dxa"/>
            </w:tcMar>
            <w:vAlign w:val="bottom"/>
            <w:hideMark/>
          </w:tcPr>
          <w:p w14:paraId="1D1C5DE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B2987"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850C3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336517" w14:textId="77777777" w:rsidR="00000000" w:rsidRDefault="00EE5306">
            <w:pPr>
              <w:spacing w:after="100"/>
              <w:jc w:val="right"/>
              <w:rPr>
                <w:rFonts w:eastAsia="Times New Roman"/>
              </w:rPr>
            </w:pPr>
            <w:r>
              <w:rPr>
                <w:rFonts w:eastAsia="Times New Roman"/>
                <w:color w:val="000000"/>
                <w:sz w:val="20"/>
                <w:szCs w:val="20"/>
              </w:rPr>
              <w:t>3,140.5 </w:t>
            </w:r>
          </w:p>
        </w:tc>
        <w:tc>
          <w:tcPr>
            <w:tcW w:w="0" w:type="auto"/>
            <w:shd w:val="clear" w:color="auto" w:fill="FFFFFF"/>
            <w:tcMar>
              <w:top w:w="30" w:type="dxa"/>
              <w:left w:w="0" w:type="dxa"/>
              <w:bottom w:w="30" w:type="dxa"/>
              <w:right w:w="20" w:type="dxa"/>
            </w:tcMar>
            <w:vAlign w:val="bottom"/>
            <w:hideMark/>
          </w:tcPr>
          <w:p w14:paraId="0FB9F08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D6EB1"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9C5B9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734B4F" w14:textId="77777777" w:rsidR="00000000" w:rsidRDefault="00EE5306">
            <w:pPr>
              <w:spacing w:after="100"/>
              <w:jc w:val="right"/>
              <w:rPr>
                <w:rFonts w:eastAsia="Times New Roman"/>
              </w:rPr>
            </w:pPr>
            <w:r>
              <w:rPr>
                <w:rFonts w:eastAsia="Times New Roman"/>
                <w:color w:val="000000"/>
                <w:sz w:val="20"/>
                <w:szCs w:val="20"/>
              </w:rPr>
              <w:t>3,202.9 </w:t>
            </w:r>
          </w:p>
        </w:tc>
        <w:tc>
          <w:tcPr>
            <w:tcW w:w="0" w:type="auto"/>
            <w:shd w:val="clear" w:color="auto" w:fill="FFFFFF"/>
            <w:tcMar>
              <w:top w:w="30" w:type="dxa"/>
              <w:left w:w="0" w:type="dxa"/>
              <w:bottom w:w="30" w:type="dxa"/>
              <w:right w:w="20" w:type="dxa"/>
            </w:tcMar>
            <w:vAlign w:val="bottom"/>
            <w:hideMark/>
          </w:tcPr>
          <w:p w14:paraId="5B1CF528" w14:textId="77777777" w:rsidR="00000000" w:rsidRDefault="00EE5306">
            <w:pPr>
              <w:spacing w:after="100"/>
              <w:jc w:val="right"/>
              <w:rPr>
                <w:rFonts w:eastAsia="Times New Roman"/>
              </w:rPr>
            </w:pPr>
          </w:p>
        </w:tc>
      </w:tr>
      <w:tr w:rsidR="00000000" w14:paraId="709DB25E" w14:textId="77777777">
        <w:trPr>
          <w:divId w:val="1031882389"/>
        </w:trPr>
        <w:tc>
          <w:tcPr>
            <w:tcW w:w="0" w:type="auto"/>
            <w:gridSpan w:val="3"/>
            <w:shd w:val="clear" w:color="auto" w:fill="CCEEFF"/>
            <w:tcMar>
              <w:top w:w="30" w:type="dxa"/>
              <w:left w:w="155" w:type="dxa"/>
              <w:bottom w:w="30" w:type="dxa"/>
              <w:right w:w="20" w:type="dxa"/>
            </w:tcMar>
            <w:vAlign w:val="bottom"/>
            <w:hideMark/>
          </w:tcPr>
          <w:p w14:paraId="74FC8806"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14:paraId="16FB388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B388A7" w14:textId="77777777" w:rsidR="00000000" w:rsidRDefault="00EE5306">
            <w:pPr>
              <w:spacing w:after="100"/>
              <w:jc w:val="right"/>
              <w:rPr>
                <w:rFonts w:eastAsia="Times New Roman"/>
              </w:rPr>
            </w:pPr>
            <w:r>
              <w:rPr>
                <w:rFonts w:eastAsia="Times New Roman"/>
                <w:color w:val="000000"/>
                <w:sz w:val="20"/>
                <w:szCs w:val="20"/>
              </w:rPr>
              <w:t>1,165.9 </w:t>
            </w:r>
          </w:p>
        </w:tc>
        <w:tc>
          <w:tcPr>
            <w:tcW w:w="0" w:type="auto"/>
            <w:shd w:val="clear" w:color="auto" w:fill="CCEEFF"/>
            <w:tcMar>
              <w:top w:w="30" w:type="dxa"/>
              <w:left w:w="0" w:type="dxa"/>
              <w:bottom w:w="30" w:type="dxa"/>
              <w:right w:w="20" w:type="dxa"/>
            </w:tcMar>
            <w:vAlign w:val="bottom"/>
            <w:hideMark/>
          </w:tcPr>
          <w:p w14:paraId="088E35B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EF55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07A264" w14:textId="77777777" w:rsidR="00000000" w:rsidRDefault="00EE5306">
            <w:pPr>
              <w:spacing w:after="100"/>
              <w:jc w:val="right"/>
              <w:rPr>
                <w:rFonts w:eastAsia="Times New Roman"/>
              </w:rPr>
            </w:pPr>
            <w:r>
              <w:rPr>
                <w:rFonts w:eastAsia="Times New Roman"/>
                <w:color w:val="000000"/>
                <w:sz w:val="20"/>
                <w:szCs w:val="20"/>
              </w:rPr>
              <w:t>1,632.2 </w:t>
            </w:r>
          </w:p>
        </w:tc>
        <w:tc>
          <w:tcPr>
            <w:tcW w:w="0" w:type="auto"/>
            <w:shd w:val="clear" w:color="auto" w:fill="CCEEFF"/>
            <w:tcMar>
              <w:top w:w="30" w:type="dxa"/>
              <w:left w:w="0" w:type="dxa"/>
              <w:bottom w:w="30" w:type="dxa"/>
              <w:right w:w="20" w:type="dxa"/>
            </w:tcMar>
            <w:vAlign w:val="bottom"/>
            <w:hideMark/>
          </w:tcPr>
          <w:p w14:paraId="48ED933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36A536"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6CF3D8" w14:textId="77777777" w:rsidR="00000000" w:rsidRDefault="00EE5306">
            <w:pPr>
              <w:spacing w:after="100"/>
              <w:jc w:val="right"/>
              <w:rPr>
                <w:rFonts w:eastAsia="Times New Roman"/>
              </w:rPr>
            </w:pPr>
            <w:r>
              <w:rPr>
                <w:rFonts w:eastAsia="Times New Roman"/>
                <w:color w:val="000000"/>
                <w:sz w:val="20"/>
                <w:szCs w:val="20"/>
              </w:rPr>
              <w:t>1,683.0 </w:t>
            </w:r>
          </w:p>
        </w:tc>
        <w:tc>
          <w:tcPr>
            <w:tcW w:w="0" w:type="auto"/>
            <w:shd w:val="clear" w:color="auto" w:fill="CCEEFF"/>
            <w:tcMar>
              <w:top w:w="30" w:type="dxa"/>
              <w:left w:w="0" w:type="dxa"/>
              <w:bottom w:w="30" w:type="dxa"/>
              <w:right w:w="20" w:type="dxa"/>
            </w:tcMar>
            <w:vAlign w:val="bottom"/>
            <w:hideMark/>
          </w:tcPr>
          <w:p w14:paraId="32D3562C" w14:textId="77777777" w:rsidR="00000000" w:rsidRDefault="00EE5306">
            <w:pPr>
              <w:spacing w:after="100"/>
              <w:jc w:val="right"/>
              <w:rPr>
                <w:rFonts w:eastAsia="Times New Roman"/>
              </w:rPr>
            </w:pPr>
          </w:p>
        </w:tc>
      </w:tr>
      <w:tr w:rsidR="00000000" w14:paraId="55FE68E4" w14:textId="77777777">
        <w:trPr>
          <w:divId w:val="1031882389"/>
        </w:trPr>
        <w:tc>
          <w:tcPr>
            <w:tcW w:w="0" w:type="auto"/>
            <w:gridSpan w:val="3"/>
            <w:shd w:val="clear" w:color="auto" w:fill="FFFFFF"/>
            <w:tcMar>
              <w:top w:w="30" w:type="dxa"/>
              <w:left w:w="155" w:type="dxa"/>
              <w:bottom w:w="30" w:type="dxa"/>
              <w:right w:w="20" w:type="dxa"/>
            </w:tcMar>
            <w:vAlign w:val="bottom"/>
            <w:hideMark/>
          </w:tcPr>
          <w:p w14:paraId="6CD0BEED"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14:paraId="1F3970D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AA29B0" w14:textId="77777777" w:rsidR="00000000" w:rsidRDefault="00EE5306">
            <w:pPr>
              <w:spacing w:after="100"/>
              <w:jc w:val="right"/>
              <w:rPr>
                <w:rFonts w:eastAsia="Times New Roman"/>
              </w:rPr>
            </w:pPr>
            <w:r>
              <w:rPr>
                <w:rFonts w:eastAsia="Times New Roman"/>
                <w:color w:val="000000"/>
                <w:sz w:val="20"/>
                <w:szCs w:val="20"/>
              </w:rPr>
              <w:t>1,027.5 </w:t>
            </w:r>
          </w:p>
        </w:tc>
        <w:tc>
          <w:tcPr>
            <w:tcW w:w="0" w:type="auto"/>
            <w:shd w:val="clear" w:color="auto" w:fill="FFFFFF"/>
            <w:tcMar>
              <w:top w:w="30" w:type="dxa"/>
              <w:left w:w="0" w:type="dxa"/>
              <w:bottom w:w="30" w:type="dxa"/>
              <w:right w:w="20" w:type="dxa"/>
            </w:tcMar>
            <w:vAlign w:val="bottom"/>
            <w:hideMark/>
          </w:tcPr>
          <w:p w14:paraId="100E396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BFC3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7390C" w14:textId="77777777" w:rsidR="00000000" w:rsidRDefault="00EE5306">
            <w:pPr>
              <w:spacing w:after="100"/>
              <w:jc w:val="right"/>
              <w:rPr>
                <w:rFonts w:eastAsia="Times New Roman"/>
              </w:rPr>
            </w:pPr>
            <w:r>
              <w:rPr>
                <w:rFonts w:eastAsia="Times New Roman"/>
                <w:color w:val="000000"/>
                <w:sz w:val="20"/>
                <w:szCs w:val="20"/>
              </w:rPr>
              <w:t>1,017.2 </w:t>
            </w:r>
          </w:p>
        </w:tc>
        <w:tc>
          <w:tcPr>
            <w:tcW w:w="0" w:type="auto"/>
            <w:shd w:val="clear" w:color="auto" w:fill="FFFFFF"/>
            <w:tcMar>
              <w:top w:w="30" w:type="dxa"/>
              <w:left w:w="0" w:type="dxa"/>
              <w:bottom w:w="30" w:type="dxa"/>
              <w:right w:w="20" w:type="dxa"/>
            </w:tcMar>
            <w:vAlign w:val="bottom"/>
            <w:hideMark/>
          </w:tcPr>
          <w:p w14:paraId="4FE4594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0C89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5B0DC2" w14:textId="77777777" w:rsidR="00000000" w:rsidRDefault="00EE5306">
            <w:pPr>
              <w:spacing w:after="100"/>
              <w:jc w:val="right"/>
              <w:rPr>
                <w:rFonts w:eastAsia="Times New Roman"/>
              </w:rPr>
            </w:pPr>
            <w:r>
              <w:rPr>
                <w:rFonts w:eastAsia="Times New Roman"/>
                <w:color w:val="000000"/>
                <w:sz w:val="20"/>
                <w:szCs w:val="20"/>
              </w:rPr>
              <w:t>1,041.0 </w:t>
            </w:r>
          </w:p>
        </w:tc>
        <w:tc>
          <w:tcPr>
            <w:tcW w:w="0" w:type="auto"/>
            <w:shd w:val="clear" w:color="auto" w:fill="FFFFFF"/>
            <w:tcMar>
              <w:top w:w="30" w:type="dxa"/>
              <w:left w:w="0" w:type="dxa"/>
              <w:bottom w:w="30" w:type="dxa"/>
              <w:right w:w="20" w:type="dxa"/>
            </w:tcMar>
            <w:vAlign w:val="bottom"/>
            <w:hideMark/>
          </w:tcPr>
          <w:p w14:paraId="062BB654" w14:textId="77777777" w:rsidR="00000000" w:rsidRDefault="00EE5306">
            <w:pPr>
              <w:spacing w:after="100"/>
              <w:jc w:val="right"/>
              <w:rPr>
                <w:rFonts w:eastAsia="Times New Roman"/>
              </w:rPr>
            </w:pPr>
          </w:p>
        </w:tc>
      </w:tr>
      <w:tr w:rsidR="00000000" w14:paraId="4576A4F2" w14:textId="77777777">
        <w:trPr>
          <w:divId w:val="1031882389"/>
        </w:trPr>
        <w:tc>
          <w:tcPr>
            <w:tcW w:w="0" w:type="auto"/>
            <w:gridSpan w:val="3"/>
            <w:shd w:val="clear" w:color="auto" w:fill="CCEEFF"/>
            <w:tcMar>
              <w:top w:w="30" w:type="dxa"/>
              <w:left w:w="155" w:type="dxa"/>
              <w:bottom w:w="30" w:type="dxa"/>
              <w:right w:w="20" w:type="dxa"/>
            </w:tcMar>
            <w:vAlign w:val="bottom"/>
            <w:hideMark/>
          </w:tcPr>
          <w:p w14:paraId="1C0ACB65"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14:paraId="6529AFF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5175FF" w14:textId="77777777" w:rsidR="00000000" w:rsidRDefault="00EE5306">
            <w:pPr>
              <w:spacing w:after="100"/>
              <w:jc w:val="right"/>
              <w:rPr>
                <w:rFonts w:eastAsia="Times New Roman"/>
              </w:rPr>
            </w:pPr>
            <w:r>
              <w:rPr>
                <w:rFonts w:eastAsia="Times New Roman"/>
                <w:color w:val="000000"/>
                <w:sz w:val="20"/>
                <w:szCs w:val="20"/>
              </w:rPr>
              <w:t>215.0 </w:t>
            </w:r>
          </w:p>
        </w:tc>
        <w:tc>
          <w:tcPr>
            <w:tcW w:w="0" w:type="auto"/>
            <w:shd w:val="clear" w:color="auto" w:fill="CCEEFF"/>
            <w:tcMar>
              <w:top w:w="30" w:type="dxa"/>
              <w:left w:w="0" w:type="dxa"/>
              <w:bottom w:w="30" w:type="dxa"/>
              <w:right w:w="20" w:type="dxa"/>
            </w:tcMar>
            <w:vAlign w:val="bottom"/>
            <w:hideMark/>
          </w:tcPr>
          <w:p w14:paraId="4F287F7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FE60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1891E7" w14:textId="77777777" w:rsidR="00000000" w:rsidRDefault="00EE5306">
            <w:pPr>
              <w:spacing w:after="100"/>
              <w:jc w:val="right"/>
              <w:rPr>
                <w:rFonts w:eastAsia="Times New Roman"/>
              </w:rPr>
            </w:pPr>
            <w:r>
              <w:rPr>
                <w:rFonts w:eastAsia="Times New Roman"/>
                <w:color w:val="000000"/>
                <w:sz w:val="20"/>
                <w:szCs w:val="20"/>
              </w:rPr>
              <w:t>369.9 </w:t>
            </w:r>
          </w:p>
        </w:tc>
        <w:tc>
          <w:tcPr>
            <w:tcW w:w="0" w:type="auto"/>
            <w:shd w:val="clear" w:color="auto" w:fill="CCEEFF"/>
            <w:tcMar>
              <w:top w:w="30" w:type="dxa"/>
              <w:left w:w="0" w:type="dxa"/>
              <w:bottom w:w="30" w:type="dxa"/>
              <w:right w:w="20" w:type="dxa"/>
            </w:tcMar>
            <w:vAlign w:val="bottom"/>
            <w:hideMark/>
          </w:tcPr>
          <w:p w14:paraId="1BA2325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140B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CD8167" w14:textId="77777777" w:rsidR="00000000" w:rsidRDefault="00EE5306">
            <w:pPr>
              <w:spacing w:after="100"/>
              <w:jc w:val="right"/>
              <w:rPr>
                <w:rFonts w:eastAsia="Times New Roman"/>
              </w:rPr>
            </w:pPr>
            <w:r>
              <w:rPr>
                <w:rFonts w:eastAsia="Times New Roman"/>
                <w:color w:val="000000"/>
                <w:sz w:val="20"/>
                <w:szCs w:val="20"/>
              </w:rPr>
              <w:t>386.1 </w:t>
            </w:r>
          </w:p>
        </w:tc>
        <w:tc>
          <w:tcPr>
            <w:tcW w:w="0" w:type="auto"/>
            <w:shd w:val="clear" w:color="auto" w:fill="CCEEFF"/>
            <w:tcMar>
              <w:top w:w="30" w:type="dxa"/>
              <w:left w:w="0" w:type="dxa"/>
              <w:bottom w:w="30" w:type="dxa"/>
              <w:right w:w="20" w:type="dxa"/>
            </w:tcMar>
            <w:vAlign w:val="bottom"/>
            <w:hideMark/>
          </w:tcPr>
          <w:p w14:paraId="45EA3817" w14:textId="77777777" w:rsidR="00000000" w:rsidRDefault="00EE5306">
            <w:pPr>
              <w:spacing w:after="100"/>
              <w:jc w:val="right"/>
              <w:rPr>
                <w:rFonts w:eastAsia="Times New Roman"/>
              </w:rPr>
            </w:pPr>
          </w:p>
        </w:tc>
      </w:tr>
      <w:tr w:rsidR="00000000" w14:paraId="563FD8D8" w14:textId="77777777">
        <w:trPr>
          <w:divId w:val="1031882389"/>
        </w:trPr>
        <w:tc>
          <w:tcPr>
            <w:tcW w:w="0" w:type="auto"/>
            <w:gridSpan w:val="3"/>
            <w:shd w:val="clear" w:color="auto" w:fill="FFFFFF"/>
            <w:tcMar>
              <w:top w:w="30" w:type="dxa"/>
              <w:left w:w="20" w:type="dxa"/>
              <w:bottom w:w="30" w:type="dxa"/>
              <w:right w:w="20" w:type="dxa"/>
            </w:tcMar>
            <w:vAlign w:val="bottom"/>
            <w:hideMark/>
          </w:tcPr>
          <w:p w14:paraId="73A2A28A" w14:textId="77777777" w:rsidR="00000000" w:rsidRDefault="00EE5306">
            <w:pPr>
              <w:spacing w:after="100"/>
              <w:ind w:hanging="90"/>
              <w:divId w:val="1449618159"/>
              <w:rPr>
                <w:rFonts w:eastAsia="Times New Roman"/>
              </w:rPr>
            </w:pPr>
            <w:r>
              <w:rPr>
                <w:rFonts w:eastAsia="Times New Roman"/>
                <w:color w:val="000000"/>
                <w:sz w:val="20"/>
                <w:szCs w:val="20"/>
              </w:rPr>
              <w:t>Total net revenues</w:t>
            </w:r>
          </w:p>
        </w:tc>
        <w:tc>
          <w:tcPr>
            <w:tcW w:w="0" w:type="auto"/>
            <w:gridSpan w:val="3"/>
            <w:shd w:val="clear" w:color="auto" w:fill="FFFFFF"/>
            <w:tcMar>
              <w:top w:w="0" w:type="dxa"/>
              <w:left w:w="20" w:type="dxa"/>
              <w:bottom w:w="0" w:type="dxa"/>
              <w:right w:w="20" w:type="dxa"/>
            </w:tcMar>
            <w:vAlign w:val="center"/>
            <w:hideMark/>
          </w:tcPr>
          <w:p w14:paraId="4142850A" w14:textId="77777777" w:rsidR="00000000" w:rsidRDefault="00EE5306">
            <w:pPr>
              <w:spacing w:after="100"/>
              <w:ind w:hanging="9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F6A2A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CBC315" w14:textId="77777777" w:rsidR="00000000" w:rsidRDefault="00EE5306">
            <w:pPr>
              <w:spacing w:after="100"/>
              <w:jc w:val="right"/>
              <w:rPr>
                <w:rFonts w:eastAsia="Times New Roman"/>
              </w:rPr>
            </w:pPr>
            <w:r>
              <w:rPr>
                <w:rFonts w:eastAsia="Times New Roman"/>
                <w:color w:val="000000"/>
                <w:sz w:val="20"/>
                <w:szCs w:val="20"/>
              </w:rPr>
              <w:t>4,400.8 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07B63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782E0"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94AC1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79B74C2" w14:textId="77777777" w:rsidR="00000000" w:rsidRDefault="00EE5306">
            <w:pPr>
              <w:spacing w:after="100"/>
              <w:jc w:val="right"/>
              <w:rPr>
                <w:rFonts w:eastAsia="Times New Roman"/>
              </w:rPr>
            </w:pPr>
            <w:r>
              <w:rPr>
                <w:rFonts w:eastAsia="Times New Roman"/>
                <w:color w:val="000000"/>
                <w:sz w:val="20"/>
                <w:szCs w:val="20"/>
              </w:rPr>
              <w:t>6,159.8 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DAEE0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94055"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55B78C"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C6F5851" w14:textId="77777777" w:rsidR="00000000" w:rsidRDefault="00EE5306">
            <w:pPr>
              <w:spacing w:after="100"/>
              <w:jc w:val="right"/>
              <w:rPr>
                <w:rFonts w:eastAsia="Times New Roman"/>
              </w:rPr>
            </w:pPr>
            <w:r>
              <w:rPr>
                <w:rFonts w:eastAsia="Times New Roman"/>
                <w:color w:val="000000"/>
                <w:sz w:val="20"/>
                <w:szCs w:val="20"/>
              </w:rPr>
              <w:t>6,313.0 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9BE8D3" w14:textId="77777777" w:rsidR="00000000" w:rsidRDefault="00EE5306">
            <w:pPr>
              <w:spacing w:after="100"/>
              <w:jc w:val="right"/>
              <w:rPr>
                <w:rFonts w:eastAsia="Times New Roman"/>
              </w:rPr>
            </w:pPr>
          </w:p>
        </w:tc>
      </w:tr>
    </w:tbl>
    <w:p w14:paraId="6A6EA969" w14:textId="77777777" w:rsidR="00000000" w:rsidRDefault="00EE5306">
      <w:pPr>
        <w:ind w:firstLine="540"/>
        <w:jc w:val="both"/>
        <w:divId w:val="1496149736"/>
        <w:rPr>
          <w:rFonts w:eastAsia="Times New Roman"/>
        </w:rPr>
      </w:pPr>
      <w:r>
        <w:rPr>
          <w:rFonts w:eastAsia="Times New Roman"/>
          <w:color w:val="000000"/>
          <w:sz w:val="20"/>
          <w:szCs w:val="20"/>
        </w:rPr>
        <w:t>Operating income (loss) for each of the Company's segments is as follows:</w:t>
      </w:r>
    </w:p>
    <w:tbl>
      <w:tblPr>
        <w:tblW w:w="4729" w:type="pct"/>
        <w:tblCellMar>
          <w:top w:w="15" w:type="dxa"/>
          <w:left w:w="15" w:type="dxa"/>
          <w:bottom w:w="15" w:type="dxa"/>
          <w:right w:w="15" w:type="dxa"/>
        </w:tblCellMar>
        <w:tblLook w:val="04A0" w:firstRow="1" w:lastRow="0" w:firstColumn="1" w:lastColumn="0" w:noHBand="0" w:noVBand="1"/>
      </w:tblPr>
      <w:tblGrid>
        <w:gridCol w:w="40"/>
        <w:gridCol w:w="3882"/>
        <w:gridCol w:w="39"/>
        <w:gridCol w:w="36"/>
        <w:gridCol w:w="36"/>
        <w:gridCol w:w="36"/>
        <w:gridCol w:w="120"/>
        <w:gridCol w:w="1032"/>
        <w:gridCol w:w="36"/>
        <w:gridCol w:w="36"/>
        <w:gridCol w:w="36"/>
        <w:gridCol w:w="36"/>
        <w:gridCol w:w="121"/>
        <w:gridCol w:w="1033"/>
        <w:gridCol w:w="36"/>
        <w:gridCol w:w="36"/>
        <w:gridCol w:w="36"/>
        <w:gridCol w:w="36"/>
        <w:gridCol w:w="121"/>
        <w:gridCol w:w="1036"/>
        <w:gridCol w:w="36"/>
      </w:tblGrid>
      <w:tr w:rsidR="00000000" w14:paraId="73C845E2" w14:textId="77777777">
        <w:trPr>
          <w:divId w:val="1753240044"/>
        </w:trPr>
        <w:tc>
          <w:tcPr>
            <w:tcW w:w="50" w:type="pct"/>
            <w:vAlign w:val="center"/>
            <w:hideMark/>
          </w:tcPr>
          <w:p w14:paraId="32662445" w14:textId="77777777" w:rsidR="00000000" w:rsidRDefault="00EE5306">
            <w:pPr>
              <w:ind w:firstLine="540"/>
              <w:jc w:val="both"/>
              <w:rPr>
                <w:rFonts w:eastAsia="Times New Roman"/>
              </w:rPr>
            </w:pPr>
          </w:p>
        </w:tc>
        <w:tc>
          <w:tcPr>
            <w:tcW w:w="2510" w:type="pct"/>
            <w:vAlign w:val="center"/>
            <w:hideMark/>
          </w:tcPr>
          <w:p w14:paraId="138A3FF7" w14:textId="77777777" w:rsidR="00000000" w:rsidRDefault="00EE5306">
            <w:pPr>
              <w:spacing w:after="100"/>
              <w:rPr>
                <w:rFonts w:eastAsia="Times New Roman"/>
                <w:sz w:val="20"/>
                <w:szCs w:val="20"/>
              </w:rPr>
            </w:pPr>
          </w:p>
        </w:tc>
        <w:tc>
          <w:tcPr>
            <w:tcW w:w="5" w:type="pct"/>
            <w:vAlign w:val="center"/>
            <w:hideMark/>
          </w:tcPr>
          <w:p w14:paraId="39C4927D" w14:textId="77777777" w:rsidR="00000000" w:rsidRDefault="00EE5306">
            <w:pPr>
              <w:spacing w:after="100"/>
              <w:rPr>
                <w:rFonts w:eastAsia="Times New Roman"/>
                <w:sz w:val="20"/>
                <w:szCs w:val="20"/>
              </w:rPr>
            </w:pPr>
          </w:p>
        </w:tc>
        <w:tc>
          <w:tcPr>
            <w:tcW w:w="5" w:type="pct"/>
            <w:vAlign w:val="center"/>
            <w:hideMark/>
          </w:tcPr>
          <w:p w14:paraId="4534A23F" w14:textId="77777777" w:rsidR="00000000" w:rsidRDefault="00EE5306">
            <w:pPr>
              <w:spacing w:after="100"/>
              <w:rPr>
                <w:rFonts w:eastAsia="Times New Roman"/>
                <w:sz w:val="20"/>
                <w:szCs w:val="20"/>
              </w:rPr>
            </w:pPr>
          </w:p>
        </w:tc>
        <w:tc>
          <w:tcPr>
            <w:tcW w:w="28" w:type="pct"/>
            <w:vAlign w:val="center"/>
            <w:hideMark/>
          </w:tcPr>
          <w:p w14:paraId="0F4126C1" w14:textId="77777777" w:rsidR="00000000" w:rsidRDefault="00EE5306">
            <w:pPr>
              <w:spacing w:after="100"/>
              <w:rPr>
                <w:rFonts w:eastAsia="Times New Roman"/>
                <w:sz w:val="20"/>
                <w:szCs w:val="20"/>
              </w:rPr>
            </w:pPr>
          </w:p>
        </w:tc>
        <w:tc>
          <w:tcPr>
            <w:tcW w:w="5" w:type="pct"/>
            <w:vAlign w:val="center"/>
            <w:hideMark/>
          </w:tcPr>
          <w:p w14:paraId="517861C0" w14:textId="77777777" w:rsidR="00000000" w:rsidRDefault="00EE5306">
            <w:pPr>
              <w:spacing w:after="100"/>
              <w:rPr>
                <w:rFonts w:eastAsia="Times New Roman"/>
                <w:sz w:val="20"/>
                <w:szCs w:val="20"/>
              </w:rPr>
            </w:pPr>
          </w:p>
        </w:tc>
        <w:tc>
          <w:tcPr>
            <w:tcW w:w="50" w:type="pct"/>
            <w:vAlign w:val="center"/>
            <w:hideMark/>
          </w:tcPr>
          <w:p w14:paraId="124ADFF7" w14:textId="77777777" w:rsidR="00000000" w:rsidRDefault="00EE5306">
            <w:pPr>
              <w:spacing w:after="100"/>
              <w:rPr>
                <w:rFonts w:eastAsia="Times New Roman"/>
                <w:sz w:val="20"/>
                <w:szCs w:val="20"/>
              </w:rPr>
            </w:pPr>
          </w:p>
        </w:tc>
        <w:tc>
          <w:tcPr>
            <w:tcW w:w="717" w:type="pct"/>
            <w:vAlign w:val="center"/>
            <w:hideMark/>
          </w:tcPr>
          <w:p w14:paraId="5D7EB8B5" w14:textId="77777777" w:rsidR="00000000" w:rsidRDefault="00EE5306">
            <w:pPr>
              <w:spacing w:after="100"/>
              <w:rPr>
                <w:rFonts w:eastAsia="Times New Roman"/>
                <w:sz w:val="20"/>
                <w:szCs w:val="20"/>
              </w:rPr>
            </w:pPr>
          </w:p>
        </w:tc>
        <w:tc>
          <w:tcPr>
            <w:tcW w:w="5" w:type="pct"/>
            <w:vAlign w:val="center"/>
            <w:hideMark/>
          </w:tcPr>
          <w:p w14:paraId="6180D783" w14:textId="77777777" w:rsidR="00000000" w:rsidRDefault="00EE5306">
            <w:pPr>
              <w:spacing w:after="100"/>
              <w:rPr>
                <w:rFonts w:eastAsia="Times New Roman"/>
                <w:sz w:val="20"/>
                <w:szCs w:val="20"/>
              </w:rPr>
            </w:pPr>
          </w:p>
        </w:tc>
        <w:tc>
          <w:tcPr>
            <w:tcW w:w="5" w:type="pct"/>
            <w:vAlign w:val="center"/>
            <w:hideMark/>
          </w:tcPr>
          <w:p w14:paraId="26D89BAD" w14:textId="77777777" w:rsidR="00000000" w:rsidRDefault="00EE5306">
            <w:pPr>
              <w:spacing w:after="100"/>
              <w:rPr>
                <w:rFonts w:eastAsia="Times New Roman"/>
                <w:sz w:val="20"/>
                <w:szCs w:val="20"/>
              </w:rPr>
            </w:pPr>
          </w:p>
        </w:tc>
        <w:tc>
          <w:tcPr>
            <w:tcW w:w="28" w:type="pct"/>
            <w:vAlign w:val="center"/>
            <w:hideMark/>
          </w:tcPr>
          <w:p w14:paraId="5ED90294" w14:textId="77777777" w:rsidR="00000000" w:rsidRDefault="00EE5306">
            <w:pPr>
              <w:spacing w:after="100"/>
              <w:rPr>
                <w:rFonts w:eastAsia="Times New Roman"/>
                <w:sz w:val="20"/>
                <w:szCs w:val="20"/>
              </w:rPr>
            </w:pPr>
          </w:p>
        </w:tc>
        <w:tc>
          <w:tcPr>
            <w:tcW w:w="5" w:type="pct"/>
            <w:vAlign w:val="center"/>
            <w:hideMark/>
          </w:tcPr>
          <w:p w14:paraId="4644D396" w14:textId="77777777" w:rsidR="00000000" w:rsidRDefault="00EE5306">
            <w:pPr>
              <w:spacing w:after="100"/>
              <w:rPr>
                <w:rFonts w:eastAsia="Times New Roman"/>
                <w:sz w:val="20"/>
                <w:szCs w:val="20"/>
              </w:rPr>
            </w:pPr>
          </w:p>
        </w:tc>
        <w:tc>
          <w:tcPr>
            <w:tcW w:w="50" w:type="pct"/>
            <w:vAlign w:val="center"/>
            <w:hideMark/>
          </w:tcPr>
          <w:p w14:paraId="597609F1" w14:textId="77777777" w:rsidR="00000000" w:rsidRDefault="00EE5306">
            <w:pPr>
              <w:spacing w:after="100"/>
              <w:rPr>
                <w:rFonts w:eastAsia="Times New Roman"/>
                <w:sz w:val="20"/>
                <w:szCs w:val="20"/>
              </w:rPr>
            </w:pPr>
          </w:p>
        </w:tc>
        <w:tc>
          <w:tcPr>
            <w:tcW w:w="717" w:type="pct"/>
            <w:vAlign w:val="center"/>
            <w:hideMark/>
          </w:tcPr>
          <w:p w14:paraId="20684456" w14:textId="77777777" w:rsidR="00000000" w:rsidRDefault="00EE5306">
            <w:pPr>
              <w:spacing w:after="100"/>
              <w:rPr>
                <w:rFonts w:eastAsia="Times New Roman"/>
                <w:sz w:val="20"/>
                <w:szCs w:val="20"/>
              </w:rPr>
            </w:pPr>
          </w:p>
        </w:tc>
        <w:tc>
          <w:tcPr>
            <w:tcW w:w="5" w:type="pct"/>
            <w:vAlign w:val="center"/>
            <w:hideMark/>
          </w:tcPr>
          <w:p w14:paraId="5B124C4A" w14:textId="77777777" w:rsidR="00000000" w:rsidRDefault="00EE5306">
            <w:pPr>
              <w:spacing w:after="100"/>
              <w:rPr>
                <w:rFonts w:eastAsia="Times New Roman"/>
                <w:sz w:val="20"/>
                <w:szCs w:val="20"/>
              </w:rPr>
            </w:pPr>
          </w:p>
        </w:tc>
        <w:tc>
          <w:tcPr>
            <w:tcW w:w="5" w:type="pct"/>
            <w:vAlign w:val="center"/>
            <w:hideMark/>
          </w:tcPr>
          <w:p w14:paraId="6805A3CC" w14:textId="77777777" w:rsidR="00000000" w:rsidRDefault="00EE5306">
            <w:pPr>
              <w:spacing w:after="100"/>
              <w:rPr>
                <w:rFonts w:eastAsia="Times New Roman"/>
                <w:sz w:val="20"/>
                <w:szCs w:val="20"/>
              </w:rPr>
            </w:pPr>
          </w:p>
        </w:tc>
        <w:tc>
          <w:tcPr>
            <w:tcW w:w="28" w:type="pct"/>
            <w:vAlign w:val="center"/>
            <w:hideMark/>
          </w:tcPr>
          <w:p w14:paraId="3B69BF0C" w14:textId="77777777" w:rsidR="00000000" w:rsidRDefault="00EE5306">
            <w:pPr>
              <w:spacing w:after="100"/>
              <w:rPr>
                <w:rFonts w:eastAsia="Times New Roman"/>
                <w:sz w:val="20"/>
                <w:szCs w:val="20"/>
              </w:rPr>
            </w:pPr>
          </w:p>
        </w:tc>
        <w:tc>
          <w:tcPr>
            <w:tcW w:w="5" w:type="pct"/>
            <w:vAlign w:val="center"/>
            <w:hideMark/>
          </w:tcPr>
          <w:p w14:paraId="62D30573" w14:textId="77777777" w:rsidR="00000000" w:rsidRDefault="00EE5306">
            <w:pPr>
              <w:spacing w:after="100"/>
              <w:rPr>
                <w:rFonts w:eastAsia="Times New Roman"/>
                <w:sz w:val="20"/>
                <w:szCs w:val="20"/>
              </w:rPr>
            </w:pPr>
          </w:p>
        </w:tc>
        <w:tc>
          <w:tcPr>
            <w:tcW w:w="50" w:type="pct"/>
            <w:vAlign w:val="center"/>
            <w:hideMark/>
          </w:tcPr>
          <w:p w14:paraId="548501AA" w14:textId="77777777" w:rsidR="00000000" w:rsidRDefault="00EE5306">
            <w:pPr>
              <w:spacing w:after="100"/>
              <w:rPr>
                <w:rFonts w:eastAsia="Times New Roman"/>
                <w:sz w:val="20"/>
                <w:szCs w:val="20"/>
              </w:rPr>
            </w:pPr>
          </w:p>
        </w:tc>
        <w:tc>
          <w:tcPr>
            <w:tcW w:w="718" w:type="pct"/>
            <w:vAlign w:val="center"/>
            <w:hideMark/>
          </w:tcPr>
          <w:p w14:paraId="0D9DBE63" w14:textId="77777777" w:rsidR="00000000" w:rsidRDefault="00EE5306">
            <w:pPr>
              <w:spacing w:after="100"/>
              <w:rPr>
                <w:rFonts w:eastAsia="Times New Roman"/>
                <w:sz w:val="20"/>
                <w:szCs w:val="20"/>
              </w:rPr>
            </w:pPr>
          </w:p>
        </w:tc>
        <w:tc>
          <w:tcPr>
            <w:tcW w:w="5" w:type="pct"/>
            <w:vAlign w:val="center"/>
            <w:hideMark/>
          </w:tcPr>
          <w:p w14:paraId="779D9774" w14:textId="77777777" w:rsidR="00000000" w:rsidRDefault="00EE5306">
            <w:pPr>
              <w:spacing w:after="100"/>
              <w:rPr>
                <w:rFonts w:eastAsia="Times New Roman"/>
                <w:sz w:val="20"/>
                <w:szCs w:val="20"/>
              </w:rPr>
            </w:pPr>
          </w:p>
        </w:tc>
      </w:tr>
      <w:tr w:rsidR="00000000" w14:paraId="33AF6DB4" w14:textId="77777777">
        <w:trPr>
          <w:divId w:val="1753240044"/>
        </w:trPr>
        <w:tc>
          <w:tcPr>
            <w:tcW w:w="0" w:type="auto"/>
            <w:gridSpan w:val="3"/>
            <w:tcMar>
              <w:top w:w="30" w:type="dxa"/>
              <w:left w:w="20" w:type="dxa"/>
              <w:bottom w:w="30" w:type="dxa"/>
              <w:right w:w="20" w:type="dxa"/>
            </w:tcMar>
            <w:vAlign w:val="bottom"/>
            <w:hideMark/>
          </w:tcPr>
          <w:p w14:paraId="652DDBF8"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B5CB673"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1ED02F33"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79757BC1" w14:textId="77777777">
        <w:trPr>
          <w:divId w:val="1753240044"/>
        </w:trPr>
        <w:tc>
          <w:tcPr>
            <w:tcW w:w="0" w:type="auto"/>
            <w:gridSpan w:val="3"/>
            <w:tcMar>
              <w:top w:w="30" w:type="dxa"/>
              <w:left w:w="20" w:type="dxa"/>
              <w:bottom w:w="30" w:type="dxa"/>
              <w:right w:w="20" w:type="dxa"/>
            </w:tcMar>
            <w:vAlign w:val="bottom"/>
            <w:hideMark/>
          </w:tcPr>
          <w:p w14:paraId="6C10526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93531B9"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C161FF"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DD93AA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AC9375"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4A1A11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AE6C16"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079BB05D" w14:textId="77777777">
        <w:trPr>
          <w:divId w:val="1753240044"/>
        </w:trPr>
        <w:tc>
          <w:tcPr>
            <w:tcW w:w="0" w:type="auto"/>
            <w:gridSpan w:val="3"/>
            <w:tcMar>
              <w:top w:w="30" w:type="dxa"/>
              <w:left w:w="20" w:type="dxa"/>
              <w:bottom w:w="30" w:type="dxa"/>
              <w:right w:w="20" w:type="dxa"/>
            </w:tcMar>
            <w:vAlign w:val="bottom"/>
            <w:hideMark/>
          </w:tcPr>
          <w:p w14:paraId="2B198D61"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E519C3B"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BE33CAD"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55662FDD" w14:textId="77777777">
        <w:trPr>
          <w:divId w:val="1753240044"/>
        </w:trPr>
        <w:tc>
          <w:tcPr>
            <w:tcW w:w="0" w:type="auto"/>
            <w:gridSpan w:val="3"/>
            <w:shd w:val="clear" w:color="auto" w:fill="CCEEFF"/>
            <w:tcMar>
              <w:top w:w="30" w:type="dxa"/>
              <w:left w:w="20" w:type="dxa"/>
              <w:bottom w:w="30" w:type="dxa"/>
              <w:right w:w="20" w:type="dxa"/>
            </w:tcMar>
            <w:vAlign w:val="bottom"/>
            <w:hideMark/>
          </w:tcPr>
          <w:p w14:paraId="7AC98878" w14:textId="77777777" w:rsidR="00000000" w:rsidRDefault="00EE5306">
            <w:pPr>
              <w:spacing w:after="100"/>
              <w:divId w:val="1419248978"/>
              <w:rPr>
                <w:rFonts w:eastAsia="Times New Roman"/>
              </w:rPr>
            </w:pPr>
            <w:r>
              <w:rPr>
                <w:rFonts w:eastAsia="Times New Roman"/>
                <w:b/>
                <w:bCs/>
                <w:color w:val="000000"/>
                <w:sz w:val="20"/>
                <w:szCs w:val="20"/>
              </w:rPr>
              <w:t>Operating income (loss</w:t>
            </w:r>
            <w:r>
              <w:rPr>
                <w:rFonts w:eastAsia="Times New Roman"/>
                <w:b/>
                <w:bCs/>
                <w:color w:val="000000"/>
                <w:sz w:val="20"/>
                <w:szCs w:val="20"/>
              </w:rPr>
              <w:t>)</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08555A3"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3136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7B167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192C0A"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BB7BE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8D7249" w14:textId="77777777" w:rsidR="00000000" w:rsidRDefault="00EE5306">
            <w:pPr>
              <w:spacing w:after="100"/>
              <w:rPr>
                <w:rFonts w:eastAsia="Times New Roman"/>
                <w:sz w:val="20"/>
                <w:szCs w:val="20"/>
              </w:rPr>
            </w:pPr>
          </w:p>
        </w:tc>
      </w:tr>
      <w:tr w:rsidR="00000000" w14:paraId="08279F51" w14:textId="77777777">
        <w:trPr>
          <w:divId w:val="1753240044"/>
        </w:trPr>
        <w:tc>
          <w:tcPr>
            <w:tcW w:w="0" w:type="auto"/>
            <w:gridSpan w:val="3"/>
            <w:shd w:val="clear" w:color="auto" w:fill="FFFFFF"/>
            <w:tcMar>
              <w:top w:w="30" w:type="dxa"/>
              <w:left w:w="155" w:type="dxa"/>
              <w:bottom w:w="30" w:type="dxa"/>
              <w:right w:w="20" w:type="dxa"/>
            </w:tcMar>
            <w:vAlign w:val="bottom"/>
            <w:hideMark/>
          </w:tcPr>
          <w:p w14:paraId="4C4706DA"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14:paraId="5BDEC3AB"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C05553C"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3A397AB" w14:textId="77777777" w:rsidR="00000000" w:rsidRDefault="00EE5306">
            <w:pPr>
              <w:spacing w:after="100"/>
              <w:jc w:val="right"/>
              <w:rPr>
                <w:rFonts w:eastAsia="Times New Roman"/>
              </w:rPr>
            </w:pPr>
            <w:r>
              <w:rPr>
                <w:rFonts w:eastAsia="Times New Roman"/>
                <w:color w:val="000000"/>
                <w:sz w:val="20"/>
                <w:szCs w:val="20"/>
              </w:rPr>
              <w:t>334.0 </w:t>
            </w:r>
          </w:p>
        </w:tc>
        <w:tc>
          <w:tcPr>
            <w:tcW w:w="0" w:type="auto"/>
            <w:shd w:val="clear" w:color="auto" w:fill="FFFFFF"/>
            <w:tcMar>
              <w:top w:w="30" w:type="dxa"/>
              <w:left w:w="0" w:type="dxa"/>
              <w:bottom w:w="30" w:type="dxa"/>
              <w:right w:w="20" w:type="dxa"/>
            </w:tcMar>
            <w:vAlign w:val="bottom"/>
            <w:hideMark/>
          </w:tcPr>
          <w:p w14:paraId="75FE4FC9"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47DBF7"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CE55A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B8564A" w14:textId="77777777" w:rsidR="00000000" w:rsidRDefault="00EE5306">
            <w:pPr>
              <w:spacing w:after="100"/>
              <w:jc w:val="right"/>
              <w:rPr>
                <w:rFonts w:eastAsia="Times New Roman"/>
              </w:rPr>
            </w:pPr>
            <w:r>
              <w:rPr>
                <w:rFonts w:eastAsia="Times New Roman"/>
                <w:color w:val="000000"/>
                <w:sz w:val="20"/>
                <w:szCs w:val="20"/>
              </w:rPr>
              <w:t>456.0 </w:t>
            </w:r>
          </w:p>
        </w:tc>
        <w:tc>
          <w:tcPr>
            <w:tcW w:w="0" w:type="auto"/>
            <w:shd w:val="clear" w:color="auto" w:fill="FFFFFF"/>
            <w:tcMar>
              <w:top w:w="30" w:type="dxa"/>
              <w:left w:w="0" w:type="dxa"/>
              <w:bottom w:w="30" w:type="dxa"/>
              <w:right w:w="20" w:type="dxa"/>
            </w:tcMar>
            <w:vAlign w:val="bottom"/>
            <w:hideMark/>
          </w:tcPr>
          <w:p w14:paraId="17D302F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58C69"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8857F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A42F18" w14:textId="77777777" w:rsidR="00000000" w:rsidRDefault="00EE5306">
            <w:pPr>
              <w:spacing w:after="100"/>
              <w:jc w:val="right"/>
              <w:rPr>
                <w:rFonts w:eastAsia="Times New Roman"/>
              </w:rPr>
            </w:pPr>
            <w:r>
              <w:rPr>
                <w:rFonts w:eastAsia="Times New Roman"/>
                <w:color w:val="000000"/>
                <w:sz w:val="20"/>
                <w:szCs w:val="20"/>
              </w:rPr>
              <w:t>655.8 </w:t>
            </w:r>
          </w:p>
        </w:tc>
        <w:tc>
          <w:tcPr>
            <w:tcW w:w="0" w:type="auto"/>
            <w:shd w:val="clear" w:color="auto" w:fill="FFFFFF"/>
            <w:tcMar>
              <w:top w:w="30" w:type="dxa"/>
              <w:left w:w="0" w:type="dxa"/>
              <w:bottom w:w="30" w:type="dxa"/>
              <w:right w:w="20" w:type="dxa"/>
            </w:tcMar>
            <w:vAlign w:val="bottom"/>
            <w:hideMark/>
          </w:tcPr>
          <w:p w14:paraId="36AF8FAD" w14:textId="77777777" w:rsidR="00000000" w:rsidRDefault="00EE5306">
            <w:pPr>
              <w:spacing w:after="100"/>
              <w:jc w:val="right"/>
              <w:rPr>
                <w:rFonts w:eastAsia="Times New Roman"/>
              </w:rPr>
            </w:pPr>
          </w:p>
        </w:tc>
      </w:tr>
      <w:tr w:rsidR="00000000" w14:paraId="487ACFE8" w14:textId="77777777">
        <w:trPr>
          <w:divId w:val="1753240044"/>
        </w:trPr>
        <w:tc>
          <w:tcPr>
            <w:tcW w:w="0" w:type="auto"/>
            <w:gridSpan w:val="3"/>
            <w:shd w:val="clear" w:color="auto" w:fill="CCEEFF"/>
            <w:tcMar>
              <w:top w:w="30" w:type="dxa"/>
              <w:left w:w="155" w:type="dxa"/>
              <w:bottom w:w="30" w:type="dxa"/>
              <w:right w:w="20" w:type="dxa"/>
            </w:tcMar>
            <w:vAlign w:val="bottom"/>
            <w:hideMark/>
          </w:tcPr>
          <w:p w14:paraId="73179421"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14:paraId="6A9AAE8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2714BD" w14:textId="77777777" w:rsidR="00000000" w:rsidRDefault="00EE5306">
            <w:pPr>
              <w:spacing w:after="100"/>
              <w:jc w:val="right"/>
              <w:rPr>
                <w:rFonts w:eastAsia="Times New Roman"/>
              </w:rPr>
            </w:pPr>
            <w:r>
              <w:rPr>
                <w:rFonts w:eastAsia="Times New Roman"/>
                <w:color w:val="000000"/>
                <w:sz w:val="20"/>
                <w:szCs w:val="20"/>
              </w:rPr>
              <w:t>189.3 </w:t>
            </w:r>
          </w:p>
        </w:tc>
        <w:tc>
          <w:tcPr>
            <w:tcW w:w="0" w:type="auto"/>
            <w:shd w:val="clear" w:color="auto" w:fill="CCEEFF"/>
            <w:tcMar>
              <w:top w:w="30" w:type="dxa"/>
              <w:left w:w="0" w:type="dxa"/>
              <w:bottom w:w="30" w:type="dxa"/>
              <w:right w:w="20" w:type="dxa"/>
            </w:tcMar>
            <w:vAlign w:val="bottom"/>
            <w:hideMark/>
          </w:tcPr>
          <w:p w14:paraId="3553755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A87C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C74444" w14:textId="77777777" w:rsidR="00000000" w:rsidRDefault="00EE5306">
            <w:pPr>
              <w:spacing w:after="100"/>
              <w:jc w:val="right"/>
              <w:rPr>
                <w:rFonts w:eastAsia="Times New Roman"/>
              </w:rPr>
            </w:pPr>
            <w:r>
              <w:rPr>
                <w:rFonts w:eastAsia="Times New Roman"/>
                <w:color w:val="000000"/>
                <w:sz w:val="20"/>
                <w:szCs w:val="20"/>
              </w:rPr>
              <w:t>336.3 </w:t>
            </w:r>
          </w:p>
        </w:tc>
        <w:tc>
          <w:tcPr>
            <w:tcW w:w="0" w:type="auto"/>
            <w:shd w:val="clear" w:color="auto" w:fill="CCEEFF"/>
            <w:tcMar>
              <w:top w:w="30" w:type="dxa"/>
              <w:left w:w="0" w:type="dxa"/>
              <w:bottom w:w="30" w:type="dxa"/>
              <w:right w:w="20" w:type="dxa"/>
            </w:tcMar>
            <w:vAlign w:val="bottom"/>
            <w:hideMark/>
          </w:tcPr>
          <w:p w14:paraId="2092CB4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D562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30186C" w14:textId="77777777" w:rsidR="00000000" w:rsidRDefault="00EE5306">
            <w:pPr>
              <w:spacing w:after="100"/>
              <w:jc w:val="right"/>
              <w:rPr>
                <w:rFonts w:eastAsia="Times New Roman"/>
              </w:rPr>
            </w:pPr>
            <w:r>
              <w:rPr>
                <w:rFonts w:eastAsia="Times New Roman"/>
                <w:color w:val="000000"/>
                <w:sz w:val="20"/>
                <w:szCs w:val="20"/>
              </w:rPr>
              <w:t>392.8 </w:t>
            </w:r>
          </w:p>
        </w:tc>
        <w:tc>
          <w:tcPr>
            <w:tcW w:w="0" w:type="auto"/>
            <w:shd w:val="clear" w:color="auto" w:fill="CCEEFF"/>
            <w:tcMar>
              <w:top w:w="30" w:type="dxa"/>
              <w:left w:w="0" w:type="dxa"/>
              <w:bottom w:w="30" w:type="dxa"/>
              <w:right w:w="20" w:type="dxa"/>
            </w:tcMar>
            <w:vAlign w:val="bottom"/>
            <w:hideMark/>
          </w:tcPr>
          <w:p w14:paraId="5F25CEC9" w14:textId="77777777" w:rsidR="00000000" w:rsidRDefault="00EE5306">
            <w:pPr>
              <w:spacing w:after="100"/>
              <w:jc w:val="right"/>
              <w:rPr>
                <w:rFonts w:eastAsia="Times New Roman"/>
              </w:rPr>
            </w:pPr>
          </w:p>
        </w:tc>
      </w:tr>
      <w:tr w:rsidR="00000000" w14:paraId="6903A97A" w14:textId="77777777">
        <w:trPr>
          <w:divId w:val="1753240044"/>
        </w:trPr>
        <w:tc>
          <w:tcPr>
            <w:tcW w:w="0" w:type="auto"/>
            <w:gridSpan w:val="3"/>
            <w:shd w:val="clear" w:color="auto" w:fill="FFFFFF"/>
            <w:tcMar>
              <w:top w:w="30" w:type="dxa"/>
              <w:left w:w="155" w:type="dxa"/>
              <w:bottom w:w="30" w:type="dxa"/>
              <w:right w:w="20" w:type="dxa"/>
            </w:tcMar>
            <w:vAlign w:val="bottom"/>
            <w:hideMark/>
          </w:tcPr>
          <w:p w14:paraId="2A86DDC9"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14:paraId="12F72E15"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AF88BD" w14:textId="77777777" w:rsidR="00000000" w:rsidRDefault="00EE5306">
            <w:pPr>
              <w:spacing w:after="100"/>
              <w:jc w:val="right"/>
              <w:rPr>
                <w:rFonts w:eastAsia="Times New Roman"/>
              </w:rPr>
            </w:pPr>
            <w:r>
              <w:rPr>
                <w:rFonts w:eastAsia="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14:paraId="7C1D7B7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6AF5F"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527DE5" w14:textId="77777777" w:rsidR="00000000" w:rsidRDefault="00EE5306">
            <w:pPr>
              <w:spacing w:after="100"/>
              <w:jc w:val="right"/>
              <w:rPr>
                <w:rFonts w:eastAsia="Times New Roman"/>
              </w:rPr>
            </w:pPr>
            <w:r>
              <w:rPr>
                <w:rFonts w:eastAsia="Times New Roman"/>
                <w:color w:val="000000"/>
                <w:sz w:val="20"/>
                <w:szCs w:val="20"/>
              </w:rPr>
              <w:t>124.8 </w:t>
            </w:r>
          </w:p>
        </w:tc>
        <w:tc>
          <w:tcPr>
            <w:tcW w:w="0" w:type="auto"/>
            <w:shd w:val="clear" w:color="auto" w:fill="FFFFFF"/>
            <w:tcMar>
              <w:top w:w="30" w:type="dxa"/>
              <w:left w:w="0" w:type="dxa"/>
              <w:bottom w:w="30" w:type="dxa"/>
              <w:right w:w="20" w:type="dxa"/>
            </w:tcMar>
            <w:vAlign w:val="bottom"/>
            <w:hideMark/>
          </w:tcPr>
          <w:p w14:paraId="76B47E6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10DF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6124D3" w14:textId="77777777" w:rsidR="00000000" w:rsidRDefault="00EE5306">
            <w:pPr>
              <w:spacing w:after="100"/>
              <w:jc w:val="right"/>
              <w:rPr>
                <w:rFonts w:eastAsia="Times New Roman"/>
              </w:rPr>
            </w:pPr>
            <w:r>
              <w:rPr>
                <w:rFonts w:eastAsia="Times New Roman"/>
                <w:color w:val="000000"/>
                <w:sz w:val="20"/>
                <w:szCs w:val="20"/>
              </w:rPr>
              <w:t>161.0 </w:t>
            </w:r>
          </w:p>
        </w:tc>
        <w:tc>
          <w:tcPr>
            <w:tcW w:w="0" w:type="auto"/>
            <w:shd w:val="clear" w:color="auto" w:fill="FFFFFF"/>
            <w:tcMar>
              <w:top w:w="30" w:type="dxa"/>
              <w:left w:w="0" w:type="dxa"/>
              <w:bottom w:w="30" w:type="dxa"/>
              <w:right w:w="20" w:type="dxa"/>
            </w:tcMar>
            <w:vAlign w:val="bottom"/>
            <w:hideMark/>
          </w:tcPr>
          <w:p w14:paraId="64CEB507" w14:textId="77777777" w:rsidR="00000000" w:rsidRDefault="00EE5306">
            <w:pPr>
              <w:spacing w:after="100"/>
              <w:jc w:val="right"/>
              <w:rPr>
                <w:rFonts w:eastAsia="Times New Roman"/>
              </w:rPr>
            </w:pPr>
          </w:p>
        </w:tc>
      </w:tr>
      <w:tr w:rsidR="00000000" w14:paraId="4E580F66" w14:textId="77777777">
        <w:trPr>
          <w:divId w:val="1753240044"/>
        </w:trPr>
        <w:tc>
          <w:tcPr>
            <w:tcW w:w="0" w:type="auto"/>
            <w:gridSpan w:val="3"/>
            <w:shd w:val="clear" w:color="auto" w:fill="CCEEFF"/>
            <w:tcMar>
              <w:top w:w="30" w:type="dxa"/>
              <w:left w:w="155" w:type="dxa"/>
              <w:bottom w:w="30" w:type="dxa"/>
              <w:right w:w="20" w:type="dxa"/>
            </w:tcMar>
            <w:vAlign w:val="bottom"/>
            <w:hideMark/>
          </w:tcPr>
          <w:p w14:paraId="4C89A8A7"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14:paraId="5817E7C2"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22D632" w14:textId="77777777" w:rsidR="00000000" w:rsidRDefault="00EE5306">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14:paraId="5B7FF20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75341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5D0523" w14:textId="77777777" w:rsidR="00000000" w:rsidRDefault="00EE5306">
            <w:pPr>
              <w:spacing w:after="100"/>
              <w:jc w:val="right"/>
              <w:rPr>
                <w:rFonts w:eastAsia="Times New Roman"/>
              </w:rPr>
            </w:pPr>
            <w:r>
              <w:rPr>
                <w:rFonts w:eastAsia="Times New Roman"/>
                <w:color w:val="000000"/>
                <w:sz w:val="20"/>
                <w:szCs w:val="20"/>
              </w:rPr>
              <w:t>85.2 </w:t>
            </w:r>
          </w:p>
        </w:tc>
        <w:tc>
          <w:tcPr>
            <w:tcW w:w="0" w:type="auto"/>
            <w:shd w:val="clear" w:color="auto" w:fill="CCEEFF"/>
            <w:tcMar>
              <w:top w:w="30" w:type="dxa"/>
              <w:left w:w="0" w:type="dxa"/>
              <w:bottom w:w="30" w:type="dxa"/>
              <w:right w:w="20" w:type="dxa"/>
            </w:tcMar>
            <w:vAlign w:val="bottom"/>
            <w:hideMark/>
          </w:tcPr>
          <w:p w14:paraId="309B104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CCDB6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099CD7" w14:textId="77777777" w:rsidR="00000000" w:rsidRDefault="00EE5306">
            <w:pPr>
              <w:spacing w:after="100"/>
              <w:jc w:val="right"/>
              <w:rPr>
                <w:rFonts w:eastAsia="Times New Roman"/>
              </w:rPr>
            </w:pPr>
            <w:r>
              <w:rPr>
                <w:rFonts w:eastAsia="Times New Roman"/>
                <w:color w:val="000000"/>
                <w:sz w:val="20"/>
                <w:szCs w:val="20"/>
              </w:rPr>
              <w:t>118.7 </w:t>
            </w:r>
          </w:p>
        </w:tc>
        <w:tc>
          <w:tcPr>
            <w:tcW w:w="0" w:type="auto"/>
            <w:shd w:val="clear" w:color="auto" w:fill="CCEEFF"/>
            <w:tcMar>
              <w:top w:w="30" w:type="dxa"/>
              <w:left w:w="0" w:type="dxa"/>
              <w:bottom w:w="30" w:type="dxa"/>
              <w:right w:w="20" w:type="dxa"/>
            </w:tcMar>
            <w:vAlign w:val="bottom"/>
            <w:hideMark/>
          </w:tcPr>
          <w:p w14:paraId="20D2B435" w14:textId="77777777" w:rsidR="00000000" w:rsidRDefault="00EE5306">
            <w:pPr>
              <w:spacing w:after="100"/>
              <w:jc w:val="right"/>
              <w:rPr>
                <w:rFonts w:eastAsia="Times New Roman"/>
              </w:rPr>
            </w:pPr>
          </w:p>
        </w:tc>
      </w:tr>
      <w:tr w:rsidR="00000000" w14:paraId="375BCC9E" w14:textId="77777777">
        <w:trPr>
          <w:divId w:val="1753240044"/>
        </w:trPr>
        <w:tc>
          <w:tcPr>
            <w:tcW w:w="0" w:type="auto"/>
            <w:gridSpan w:val="3"/>
            <w:shd w:val="clear" w:color="auto" w:fill="FFFFFF"/>
            <w:tcMar>
              <w:top w:w="0" w:type="dxa"/>
              <w:left w:w="20" w:type="dxa"/>
              <w:bottom w:w="0" w:type="dxa"/>
              <w:right w:w="20" w:type="dxa"/>
            </w:tcMar>
            <w:vAlign w:val="center"/>
            <w:hideMark/>
          </w:tcPr>
          <w:p w14:paraId="23539419" w14:textId="77777777" w:rsidR="00000000" w:rsidRDefault="00EE530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6546F7" w14:textId="77777777" w:rsidR="00000000" w:rsidRDefault="00EE530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60614D" w14:textId="77777777" w:rsidR="00000000" w:rsidRDefault="00EE5306">
            <w:pPr>
              <w:spacing w:after="100"/>
              <w:jc w:val="right"/>
              <w:rPr>
                <w:rFonts w:eastAsia="Times New Roman"/>
              </w:rPr>
            </w:pPr>
            <w:r>
              <w:rPr>
                <w:rFonts w:eastAsia="Times New Roman"/>
                <w:color w:val="000000"/>
                <w:sz w:val="20"/>
                <w:szCs w:val="20"/>
              </w:rPr>
              <w:t>703.9 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818C3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CA0CD"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E1A041" w14:textId="77777777" w:rsidR="00000000" w:rsidRDefault="00EE5306">
            <w:pPr>
              <w:spacing w:after="100"/>
              <w:jc w:val="right"/>
              <w:rPr>
                <w:rFonts w:eastAsia="Times New Roman"/>
              </w:rPr>
            </w:pPr>
            <w:r>
              <w:rPr>
                <w:rFonts w:eastAsia="Times New Roman"/>
                <w:color w:val="000000"/>
                <w:sz w:val="20"/>
                <w:szCs w:val="20"/>
              </w:rPr>
              <w:t>1,002.3 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CDB7E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14EE0A"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FCB64C" w14:textId="77777777" w:rsidR="00000000" w:rsidRDefault="00EE5306">
            <w:pPr>
              <w:spacing w:after="100"/>
              <w:jc w:val="right"/>
              <w:rPr>
                <w:rFonts w:eastAsia="Times New Roman"/>
              </w:rPr>
            </w:pPr>
            <w:r>
              <w:rPr>
                <w:rFonts w:eastAsia="Times New Roman"/>
                <w:color w:val="000000"/>
                <w:sz w:val="20"/>
                <w:szCs w:val="20"/>
              </w:rPr>
              <w:t>1,328.3 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EA5216" w14:textId="77777777" w:rsidR="00000000" w:rsidRDefault="00EE5306">
            <w:pPr>
              <w:spacing w:after="100"/>
              <w:jc w:val="right"/>
              <w:rPr>
                <w:rFonts w:eastAsia="Times New Roman"/>
              </w:rPr>
            </w:pPr>
          </w:p>
        </w:tc>
      </w:tr>
      <w:tr w:rsidR="00000000" w14:paraId="27C7774E" w14:textId="77777777">
        <w:trPr>
          <w:divId w:val="1753240044"/>
        </w:trPr>
        <w:tc>
          <w:tcPr>
            <w:tcW w:w="0" w:type="auto"/>
            <w:gridSpan w:val="3"/>
            <w:shd w:val="clear" w:color="auto" w:fill="CCEEFF"/>
            <w:tcMar>
              <w:top w:w="30" w:type="dxa"/>
              <w:left w:w="155" w:type="dxa"/>
              <w:bottom w:w="30" w:type="dxa"/>
              <w:right w:w="20" w:type="dxa"/>
            </w:tcMar>
            <w:vAlign w:val="bottom"/>
            <w:hideMark/>
          </w:tcPr>
          <w:p w14:paraId="57C58CD5" w14:textId="77777777" w:rsidR="00000000" w:rsidRDefault="00EE5306">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CCEEFF"/>
            <w:tcMar>
              <w:top w:w="0" w:type="dxa"/>
              <w:left w:w="20" w:type="dxa"/>
              <w:bottom w:w="0" w:type="dxa"/>
              <w:right w:w="20" w:type="dxa"/>
            </w:tcMar>
            <w:vAlign w:val="center"/>
            <w:hideMark/>
          </w:tcPr>
          <w:p w14:paraId="50B8B380"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CB1375" w14:textId="77777777" w:rsidR="00000000" w:rsidRDefault="00EE5306">
            <w:pPr>
              <w:spacing w:after="100"/>
              <w:jc w:val="right"/>
              <w:rPr>
                <w:rFonts w:eastAsia="Times New Roman"/>
              </w:rPr>
            </w:pPr>
            <w:r>
              <w:rPr>
                <w:rFonts w:eastAsia="Times New Roman"/>
                <w:color w:val="000000"/>
                <w:sz w:val="20"/>
                <w:szCs w:val="20"/>
              </w:rPr>
              <w:t>(577.0)</w:t>
            </w:r>
          </w:p>
        </w:tc>
        <w:tc>
          <w:tcPr>
            <w:tcW w:w="0" w:type="auto"/>
            <w:shd w:val="clear" w:color="auto" w:fill="CCEEFF"/>
            <w:tcMar>
              <w:top w:w="30" w:type="dxa"/>
              <w:left w:w="0" w:type="dxa"/>
              <w:bottom w:w="30" w:type="dxa"/>
              <w:right w:w="20" w:type="dxa"/>
            </w:tcMar>
            <w:vAlign w:val="bottom"/>
            <w:hideMark/>
          </w:tcPr>
          <w:p w14:paraId="01B6672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0932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3ABB75" w14:textId="77777777" w:rsidR="00000000" w:rsidRDefault="00EE5306">
            <w:pPr>
              <w:spacing w:after="100"/>
              <w:jc w:val="right"/>
              <w:rPr>
                <w:rFonts w:eastAsia="Times New Roman"/>
              </w:rPr>
            </w:pPr>
            <w:r>
              <w:rPr>
                <w:rFonts w:eastAsia="Times New Roman"/>
                <w:color w:val="000000"/>
                <w:sz w:val="20"/>
                <w:szCs w:val="20"/>
              </w:rPr>
              <w:t>(618.1)</w:t>
            </w:r>
          </w:p>
        </w:tc>
        <w:tc>
          <w:tcPr>
            <w:tcW w:w="0" w:type="auto"/>
            <w:shd w:val="clear" w:color="auto" w:fill="CCEEFF"/>
            <w:tcMar>
              <w:top w:w="30" w:type="dxa"/>
              <w:left w:w="0" w:type="dxa"/>
              <w:bottom w:w="30" w:type="dxa"/>
              <w:right w:w="20" w:type="dxa"/>
            </w:tcMar>
            <w:vAlign w:val="bottom"/>
            <w:hideMark/>
          </w:tcPr>
          <w:p w14:paraId="7C363205"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9E4B3"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77CAB" w14:textId="77777777" w:rsidR="00000000" w:rsidRDefault="00EE5306">
            <w:pPr>
              <w:spacing w:after="100"/>
              <w:jc w:val="right"/>
              <w:rPr>
                <w:rFonts w:eastAsia="Times New Roman"/>
              </w:rPr>
            </w:pPr>
            <w:r>
              <w:rPr>
                <w:rFonts w:eastAsia="Times New Roman"/>
                <w:color w:val="000000"/>
                <w:sz w:val="20"/>
                <w:szCs w:val="20"/>
              </w:rPr>
              <w:t>(636.4)</w:t>
            </w:r>
          </w:p>
        </w:tc>
        <w:tc>
          <w:tcPr>
            <w:tcW w:w="0" w:type="auto"/>
            <w:shd w:val="clear" w:color="auto" w:fill="CCEEFF"/>
            <w:tcMar>
              <w:top w:w="30" w:type="dxa"/>
              <w:left w:w="0" w:type="dxa"/>
              <w:bottom w:w="30" w:type="dxa"/>
              <w:right w:w="20" w:type="dxa"/>
            </w:tcMar>
            <w:vAlign w:val="bottom"/>
            <w:hideMark/>
          </w:tcPr>
          <w:p w14:paraId="7BB69D8F" w14:textId="77777777" w:rsidR="00000000" w:rsidRDefault="00EE5306">
            <w:pPr>
              <w:spacing w:after="100"/>
              <w:jc w:val="right"/>
              <w:rPr>
                <w:rFonts w:eastAsia="Times New Roman"/>
              </w:rPr>
            </w:pPr>
          </w:p>
        </w:tc>
      </w:tr>
      <w:tr w:rsidR="00000000" w14:paraId="4FEA7CF0" w14:textId="77777777">
        <w:trPr>
          <w:divId w:val="1753240044"/>
        </w:trPr>
        <w:tc>
          <w:tcPr>
            <w:tcW w:w="0" w:type="auto"/>
            <w:gridSpan w:val="3"/>
            <w:shd w:val="clear" w:color="auto" w:fill="FFFFFF"/>
            <w:tcMar>
              <w:top w:w="30" w:type="dxa"/>
              <w:left w:w="20" w:type="dxa"/>
              <w:bottom w:w="30" w:type="dxa"/>
              <w:right w:w="20" w:type="dxa"/>
            </w:tcMar>
            <w:vAlign w:val="bottom"/>
            <w:hideMark/>
          </w:tcPr>
          <w:p w14:paraId="2A38A4A8" w14:textId="77777777" w:rsidR="00000000" w:rsidRDefault="00EE5306">
            <w:pPr>
              <w:spacing w:after="100"/>
              <w:ind w:hanging="90"/>
              <w:divId w:val="455373000"/>
              <w:rPr>
                <w:rFonts w:eastAsia="Times New Roman"/>
              </w:rPr>
            </w:pPr>
            <w:r>
              <w:rPr>
                <w:rFonts w:eastAsia="Times New Roman"/>
                <w:color w:val="000000"/>
                <w:sz w:val="20"/>
                <w:szCs w:val="20"/>
              </w:rPr>
              <w:t>Unallocated restructuring and other charge</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A119925" w14:textId="77777777" w:rsidR="00000000" w:rsidRDefault="00EE5306">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2D11A8" w14:textId="77777777" w:rsidR="00000000" w:rsidRDefault="00EE5306">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14:paraId="0C0B457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54572"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F5DE02" w14:textId="77777777" w:rsidR="00000000" w:rsidRDefault="00EE5306">
            <w:pPr>
              <w:spacing w:after="100"/>
              <w:jc w:val="right"/>
              <w:rPr>
                <w:rFonts w:eastAsia="Times New Roman"/>
              </w:rPr>
            </w:pPr>
            <w:r>
              <w:rPr>
                <w:rFonts w:eastAsia="Times New Roman"/>
                <w:color w:val="000000"/>
                <w:sz w:val="20"/>
                <w:szCs w:val="20"/>
              </w:rPr>
              <w:t>(67.2)</w:t>
            </w:r>
          </w:p>
        </w:tc>
        <w:tc>
          <w:tcPr>
            <w:tcW w:w="0" w:type="auto"/>
            <w:shd w:val="clear" w:color="auto" w:fill="FFFFFF"/>
            <w:tcMar>
              <w:top w:w="30" w:type="dxa"/>
              <w:left w:w="0" w:type="dxa"/>
              <w:bottom w:w="30" w:type="dxa"/>
              <w:right w:w="20" w:type="dxa"/>
            </w:tcMar>
            <w:vAlign w:val="bottom"/>
            <w:hideMark/>
          </w:tcPr>
          <w:p w14:paraId="6B52EA6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6B4E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85D835" w14:textId="77777777" w:rsidR="00000000" w:rsidRDefault="00EE5306">
            <w:pPr>
              <w:spacing w:after="100"/>
              <w:jc w:val="right"/>
              <w:rPr>
                <w:rFonts w:eastAsia="Times New Roman"/>
              </w:rPr>
            </w:pPr>
            <w:r>
              <w:rPr>
                <w:rFonts w:eastAsia="Times New Roman"/>
                <w:color w:val="000000"/>
                <w:sz w:val="20"/>
                <w:szCs w:val="20"/>
              </w:rPr>
              <w:t>(130.1)</w:t>
            </w:r>
          </w:p>
        </w:tc>
        <w:tc>
          <w:tcPr>
            <w:tcW w:w="0" w:type="auto"/>
            <w:shd w:val="clear" w:color="auto" w:fill="FFFFFF"/>
            <w:tcMar>
              <w:top w:w="30" w:type="dxa"/>
              <w:left w:w="0" w:type="dxa"/>
              <w:bottom w:w="30" w:type="dxa"/>
              <w:right w:w="20" w:type="dxa"/>
            </w:tcMar>
            <w:vAlign w:val="bottom"/>
            <w:hideMark/>
          </w:tcPr>
          <w:p w14:paraId="26C43323" w14:textId="77777777" w:rsidR="00000000" w:rsidRDefault="00EE5306">
            <w:pPr>
              <w:spacing w:after="100"/>
              <w:jc w:val="right"/>
              <w:rPr>
                <w:rFonts w:eastAsia="Times New Roman"/>
              </w:rPr>
            </w:pPr>
          </w:p>
        </w:tc>
      </w:tr>
      <w:tr w:rsidR="00000000" w14:paraId="4BFC3733" w14:textId="77777777">
        <w:trPr>
          <w:divId w:val="1753240044"/>
        </w:trPr>
        <w:tc>
          <w:tcPr>
            <w:tcW w:w="0" w:type="auto"/>
            <w:gridSpan w:val="3"/>
            <w:shd w:val="clear" w:color="auto" w:fill="CCEEFF"/>
            <w:tcMar>
              <w:top w:w="30" w:type="dxa"/>
              <w:left w:w="515" w:type="dxa"/>
              <w:bottom w:w="30" w:type="dxa"/>
              <w:right w:w="20" w:type="dxa"/>
            </w:tcMar>
            <w:vAlign w:val="bottom"/>
            <w:hideMark/>
          </w:tcPr>
          <w:p w14:paraId="71C7D801" w14:textId="77777777" w:rsidR="00000000" w:rsidRDefault="00EE5306">
            <w:pPr>
              <w:spacing w:after="100"/>
              <w:ind w:hanging="90"/>
              <w:rPr>
                <w:rFonts w:eastAsia="Times New Roman"/>
              </w:rPr>
            </w:pPr>
            <w:r>
              <w:rPr>
                <w:rFonts w:eastAsia="Times New Roman"/>
                <w:color w:val="000000"/>
                <w:sz w:val="20"/>
                <w:szCs w:val="20"/>
              </w:rPr>
              <w:t>Total operating income (loss)</w:t>
            </w:r>
          </w:p>
        </w:tc>
        <w:tc>
          <w:tcPr>
            <w:tcW w:w="0" w:type="auto"/>
            <w:gridSpan w:val="3"/>
            <w:shd w:val="clear" w:color="auto" w:fill="CCEEFF"/>
            <w:tcMar>
              <w:top w:w="0" w:type="dxa"/>
              <w:left w:w="20" w:type="dxa"/>
              <w:bottom w:w="0" w:type="dxa"/>
              <w:right w:w="20" w:type="dxa"/>
            </w:tcMar>
            <w:vAlign w:val="center"/>
            <w:hideMark/>
          </w:tcPr>
          <w:p w14:paraId="1AB68FE2" w14:textId="77777777" w:rsidR="00000000" w:rsidRDefault="00EE5306">
            <w:pPr>
              <w:spacing w:after="100"/>
              <w:ind w:hanging="9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8BA8BC5"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90E705" w14:textId="77777777" w:rsidR="00000000" w:rsidRDefault="00EE5306">
            <w:pPr>
              <w:spacing w:after="100"/>
              <w:jc w:val="right"/>
              <w:rPr>
                <w:rFonts w:eastAsia="Times New Roman"/>
              </w:rPr>
            </w:pPr>
            <w:r>
              <w:rPr>
                <w:rFonts w:eastAsia="Times New Roman"/>
                <w:color w:val="000000"/>
                <w:sz w:val="20"/>
                <w:szCs w:val="20"/>
              </w:rPr>
              <w:t>(43.6)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FB9E9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FF85F6"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C2DAF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56790A" w14:textId="77777777" w:rsidR="00000000" w:rsidRDefault="00EE5306">
            <w:pPr>
              <w:spacing w:after="100"/>
              <w:jc w:val="right"/>
              <w:rPr>
                <w:rFonts w:eastAsia="Times New Roman"/>
              </w:rPr>
            </w:pPr>
            <w:r>
              <w:rPr>
                <w:rFonts w:eastAsia="Times New Roman"/>
                <w:color w:val="000000"/>
                <w:sz w:val="20"/>
                <w:szCs w:val="20"/>
              </w:rPr>
              <w:t>317.0 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6E498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7922B"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7F3218"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B19E95" w14:textId="77777777" w:rsidR="00000000" w:rsidRDefault="00EE5306">
            <w:pPr>
              <w:spacing w:after="100"/>
              <w:jc w:val="right"/>
              <w:rPr>
                <w:rFonts w:eastAsia="Times New Roman"/>
              </w:rPr>
            </w:pPr>
            <w:r>
              <w:rPr>
                <w:rFonts w:eastAsia="Times New Roman"/>
                <w:color w:val="000000"/>
                <w:sz w:val="20"/>
                <w:szCs w:val="20"/>
              </w:rPr>
              <w:t>561.8 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1D8822" w14:textId="77777777" w:rsidR="00000000" w:rsidRDefault="00EE5306">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14:paraId="10DAC662" w14:textId="77777777">
        <w:tc>
          <w:tcPr>
            <w:tcW w:w="50" w:type="pct"/>
            <w:vAlign w:val="center"/>
            <w:hideMark/>
          </w:tcPr>
          <w:p w14:paraId="25DE77DF" w14:textId="77777777" w:rsidR="00000000" w:rsidRDefault="00EE5306">
            <w:pPr>
              <w:rPr>
                <w:rFonts w:eastAsia="Times New Roman"/>
              </w:rPr>
            </w:pPr>
          </w:p>
        </w:tc>
        <w:tc>
          <w:tcPr>
            <w:tcW w:w="4945" w:type="pct"/>
            <w:vAlign w:val="center"/>
            <w:hideMark/>
          </w:tcPr>
          <w:p w14:paraId="62A95F68" w14:textId="77777777" w:rsidR="00000000" w:rsidRDefault="00EE5306">
            <w:pPr>
              <w:spacing w:after="100"/>
              <w:rPr>
                <w:rFonts w:eastAsia="Times New Roman"/>
                <w:sz w:val="20"/>
                <w:szCs w:val="20"/>
              </w:rPr>
            </w:pPr>
          </w:p>
        </w:tc>
        <w:tc>
          <w:tcPr>
            <w:tcW w:w="5" w:type="pct"/>
            <w:vAlign w:val="center"/>
            <w:hideMark/>
          </w:tcPr>
          <w:p w14:paraId="16BDF7DE" w14:textId="77777777" w:rsidR="00000000" w:rsidRDefault="00EE5306">
            <w:pPr>
              <w:spacing w:after="100"/>
              <w:rPr>
                <w:rFonts w:eastAsia="Times New Roman"/>
                <w:sz w:val="20"/>
                <w:szCs w:val="20"/>
              </w:rPr>
            </w:pPr>
          </w:p>
        </w:tc>
      </w:tr>
      <w:tr w:rsidR="00000000" w14:paraId="015A1EE7" w14:textId="77777777">
        <w:trPr>
          <w:trHeight w:val="60"/>
        </w:trPr>
        <w:tc>
          <w:tcPr>
            <w:tcW w:w="0" w:type="auto"/>
            <w:gridSpan w:val="3"/>
            <w:tcBorders>
              <w:bottom w:val="single" w:sz="8" w:space="0" w:color="000000"/>
            </w:tcBorders>
            <w:tcMar>
              <w:top w:w="0" w:type="dxa"/>
              <w:left w:w="20" w:type="dxa"/>
              <w:bottom w:w="0" w:type="dxa"/>
              <w:right w:w="20" w:type="dxa"/>
            </w:tcMar>
            <w:vAlign w:val="center"/>
            <w:hideMark/>
          </w:tcPr>
          <w:p w14:paraId="33F96310" w14:textId="77777777" w:rsidR="00000000" w:rsidRDefault="00EE5306">
            <w:pPr>
              <w:spacing w:after="100"/>
              <w:rPr>
                <w:rFonts w:eastAsia="Times New Roman"/>
                <w:sz w:val="20"/>
                <w:szCs w:val="20"/>
              </w:rPr>
            </w:pPr>
          </w:p>
        </w:tc>
      </w:tr>
    </w:tbl>
    <w:p w14:paraId="79603F55" w14:textId="77777777" w:rsidR="00000000" w:rsidRDefault="00EE5306">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Segment operating income during Fiscal 2021 reflects bad debt expense reversals of $22.0 million, $4.8 million, $0.3 million, and $0.5 million related to North America, Europe, Asia, and other non-reportable segments, respectively, primarily related to adj</w:t>
      </w:r>
      <w:r>
        <w:rPr>
          <w:rFonts w:eastAsia="Times New Roman"/>
          <w:color w:val="000000"/>
          <w:sz w:val="20"/>
          <w:szCs w:val="20"/>
        </w:rPr>
        <w:t>ustments to reserves previously established in connection with COVID-19 business disruptions. Segment operating income during Fiscal 2020 reflects bad debt expense of $38.7 million, $15.2 million, $1.7 million, and $3.1 million related to North America, Eu</w:t>
      </w:r>
      <w:r>
        <w:rPr>
          <w:rFonts w:eastAsia="Times New Roman"/>
          <w:color w:val="000000"/>
          <w:sz w:val="20"/>
          <w:szCs w:val="20"/>
        </w:rPr>
        <w:t>rope, Asia, and other non-reportable segments, respectively, primarily related to adverse impacts associated with COVID-19 business disruptions. Segment operating income during Fiscal 2020 also reflects higher inventory charges of approximately $108 millio</w:t>
      </w:r>
      <w:r>
        <w:rPr>
          <w:rFonts w:eastAsia="Times New Roman"/>
          <w:color w:val="000000"/>
          <w:sz w:val="20"/>
          <w:szCs w:val="20"/>
        </w:rPr>
        <w:t>n, $42 million, $17 million, and $8 million as compared to the prior fiscal year related to North America, Europe, Asia, and other non-reportable segments, respectively, primarily related to adverse impacts associated with COVID-19 business disruptions. Se</w:t>
      </w:r>
      <w:r>
        <w:rPr>
          <w:rFonts w:eastAsia="Times New Roman"/>
          <w:color w:val="000000"/>
          <w:sz w:val="20"/>
          <w:szCs w:val="20"/>
        </w:rPr>
        <w:t>gment operating income and unallocated corporate expenses during the fiscal years presented also included asset impairment charges (see Note 8), which are detailed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2D221098" w14:textId="77777777">
        <w:trPr>
          <w:divId w:val="488600310"/>
          <w:jc w:val="center"/>
        </w:trPr>
        <w:tc>
          <w:tcPr>
            <w:tcW w:w="50" w:type="pct"/>
            <w:vAlign w:val="center"/>
            <w:hideMark/>
          </w:tcPr>
          <w:p w14:paraId="7C6AA1A7" w14:textId="77777777" w:rsidR="00000000" w:rsidRDefault="00EE5306">
            <w:pPr>
              <w:ind w:hanging="360"/>
              <w:jc w:val="both"/>
              <w:rPr>
                <w:rFonts w:eastAsia="Times New Roman"/>
              </w:rPr>
            </w:pPr>
          </w:p>
        </w:tc>
        <w:tc>
          <w:tcPr>
            <w:tcW w:w="1699" w:type="pct"/>
            <w:vAlign w:val="center"/>
            <w:hideMark/>
          </w:tcPr>
          <w:p w14:paraId="21C88020" w14:textId="77777777" w:rsidR="00000000" w:rsidRDefault="00EE5306">
            <w:pPr>
              <w:spacing w:after="100"/>
              <w:rPr>
                <w:rFonts w:eastAsia="Times New Roman"/>
                <w:sz w:val="20"/>
                <w:szCs w:val="20"/>
              </w:rPr>
            </w:pPr>
          </w:p>
        </w:tc>
        <w:tc>
          <w:tcPr>
            <w:tcW w:w="5" w:type="pct"/>
            <w:vAlign w:val="center"/>
            <w:hideMark/>
          </w:tcPr>
          <w:p w14:paraId="23E81A3A" w14:textId="77777777" w:rsidR="00000000" w:rsidRDefault="00EE5306">
            <w:pPr>
              <w:spacing w:after="100"/>
              <w:rPr>
                <w:rFonts w:eastAsia="Times New Roman"/>
                <w:sz w:val="20"/>
                <w:szCs w:val="20"/>
              </w:rPr>
            </w:pPr>
          </w:p>
        </w:tc>
        <w:tc>
          <w:tcPr>
            <w:tcW w:w="50" w:type="pct"/>
            <w:vAlign w:val="center"/>
            <w:hideMark/>
          </w:tcPr>
          <w:p w14:paraId="1A42EB4E" w14:textId="77777777" w:rsidR="00000000" w:rsidRDefault="00EE5306">
            <w:pPr>
              <w:spacing w:after="100"/>
              <w:rPr>
                <w:rFonts w:eastAsia="Times New Roman"/>
                <w:sz w:val="20"/>
                <w:szCs w:val="20"/>
              </w:rPr>
            </w:pPr>
          </w:p>
        </w:tc>
        <w:tc>
          <w:tcPr>
            <w:tcW w:w="1436" w:type="pct"/>
            <w:vAlign w:val="center"/>
            <w:hideMark/>
          </w:tcPr>
          <w:p w14:paraId="1449C6B6" w14:textId="77777777" w:rsidR="00000000" w:rsidRDefault="00EE5306">
            <w:pPr>
              <w:spacing w:after="100"/>
              <w:rPr>
                <w:rFonts w:eastAsia="Times New Roman"/>
                <w:sz w:val="20"/>
                <w:szCs w:val="20"/>
              </w:rPr>
            </w:pPr>
          </w:p>
        </w:tc>
        <w:tc>
          <w:tcPr>
            <w:tcW w:w="5" w:type="pct"/>
            <w:vAlign w:val="center"/>
            <w:hideMark/>
          </w:tcPr>
          <w:p w14:paraId="6D58F082" w14:textId="77777777" w:rsidR="00000000" w:rsidRDefault="00EE5306">
            <w:pPr>
              <w:spacing w:after="100"/>
              <w:rPr>
                <w:rFonts w:eastAsia="Times New Roman"/>
                <w:sz w:val="20"/>
                <w:szCs w:val="20"/>
              </w:rPr>
            </w:pPr>
          </w:p>
        </w:tc>
        <w:tc>
          <w:tcPr>
            <w:tcW w:w="50" w:type="pct"/>
            <w:vAlign w:val="center"/>
            <w:hideMark/>
          </w:tcPr>
          <w:p w14:paraId="080F9481" w14:textId="77777777" w:rsidR="00000000" w:rsidRDefault="00EE5306">
            <w:pPr>
              <w:spacing w:after="100"/>
              <w:rPr>
                <w:rFonts w:eastAsia="Times New Roman"/>
                <w:sz w:val="20"/>
                <w:szCs w:val="20"/>
              </w:rPr>
            </w:pPr>
          </w:p>
        </w:tc>
        <w:tc>
          <w:tcPr>
            <w:tcW w:w="1699" w:type="pct"/>
            <w:vAlign w:val="center"/>
            <w:hideMark/>
          </w:tcPr>
          <w:p w14:paraId="58C0D448" w14:textId="77777777" w:rsidR="00000000" w:rsidRDefault="00EE5306">
            <w:pPr>
              <w:spacing w:after="100"/>
              <w:rPr>
                <w:rFonts w:eastAsia="Times New Roman"/>
                <w:sz w:val="20"/>
                <w:szCs w:val="20"/>
              </w:rPr>
            </w:pPr>
          </w:p>
        </w:tc>
        <w:tc>
          <w:tcPr>
            <w:tcW w:w="5" w:type="pct"/>
            <w:vAlign w:val="center"/>
            <w:hideMark/>
          </w:tcPr>
          <w:p w14:paraId="789CA991" w14:textId="77777777" w:rsidR="00000000" w:rsidRDefault="00EE5306">
            <w:pPr>
              <w:spacing w:after="100"/>
              <w:rPr>
                <w:rFonts w:eastAsia="Times New Roman"/>
                <w:sz w:val="20"/>
                <w:szCs w:val="20"/>
              </w:rPr>
            </w:pPr>
          </w:p>
        </w:tc>
      </w:tr>
      <w:tr w:rsidR="00000000" w14:paraId="73C48D50" w14:textId="77777777">
        <w:trPr>
          <w:divId w:val="488600310"/>
          <w:jc w:val="center"/>
        </w:trPr>
        <w:tc>
          <w:tcPr>
            <w:tcW w:w="0" w:type="auto"/>
            <w:gridSpan w:val="3"/>
            <w:tcMar>
              <w:top w:w="0" w:type="dxa"/>
              <w:left w:w="20" w:type="dxa"/>
              <w:bottom w:w="0" w:type="dxa"/>
              <w:right w:w="20" w:type="dxa"/>
            </w:tcMar>
            <w:vAlign w:val="center"/>
            <w:hideMark/>
          </w:tcPr>
          <w:p w14:paraId="0EE366DF"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EE2FB6" w14:textId="77777777" w:rsidR="00000000" w:rsidRDefault="00EE5306">
            <w:pPr>
              <w:spacing w:after="100"/>
              <w:jc w:val="center"/>
              <w:rPr>
                <w:rFonts w:eastAsia="Times New Roman"/>
              </w:rPr>
            </w:pPr>
            <w:r>
              <w:rPr>
                <w:rFonts w:eastAsia="Times New Roman"/>
                <w:color w:val="000000"/>
                <w:sz w:val="20"/>
                <w:szCs w:val="20"/>
              </w:rPr>
              <w:t>F-54</w:t>
            </w:r>
          </w:p>
        </w:tc>
        <w:tc>
          <w:tcPr>
            <w:tcW w:w="0" w:type="auto"/>
            <w:gridSpan w:val="3"/>
            <w:tcMar>
              <w:top w:w="0" w:type="dxa"/>
              <w:left w:w="20" w:type="dxa"/>
              <w:bottom w:w="0" w:type="dxa"/>
              <w:right w:w="20" w:type="dxa"/>
            </w:tcMar>
            <w:vAlign w:val="center"/>
            <w:hideMark/>
          </w:tcPr>
          <w:p w14:paraId="00A92386" w14:textId="77777777" w:rsidR="00000000" w:rsidRDefault="00EE5306">
            <w:pPr>
              <w:spacing w:after="100"/>
              <w:jc w:val="center"/>
              <w:rPr>
                <w:rFonts w:eastAsia="Times New Roman"/>
              </w:rPr>
            </w:pPr>
          </w:p>
        </w:tc>
      </w:tr>
    </w:tbl>
    <w:p w14:paraId="566E3AC3" w14:textId="77777777" w:rsidR="00000000" w:rsidRDefault="00EE5306">
      <w:pPr>
        <w:rPr>
          <w:rFonts w:eastAsia="Times New Roman"/>
        </w:rPr>
      </w:pPr>
      <w:r>
        <w:rPr>
          <w:rFonts w:eastAsia="Times New Roman"/>
        </w:rPr>
        <w:pict w14:anchorId="7D92C127">
          <v:rect id="_x0000_i1164" style="width:0;height:1.5pt" o:hralign="center" o:hrstd="t" o:hr="t" fillcolor="#a0a0a0" stroked="f"/>
        </w:pict>
      </w:r>
    </w:p>
    <w:p w14:paraId="5DD1243A" w14:textId="77777777" w:rsidR="00000000" w:rsidRDefault="00EE5306">
      <w:pPr>
        <w:jc w:val="center"/>
        <w:divId w:val="288047835"/>
        <w:rPr>
          <w:rFonts w:eastAsia="Times New Roman"/>
        </w:rPr>
      </w:pPr>
    </w:p>
    <w:p w14:paraId="3B67B9A9" w14:textId="77777777" w:rsidR="00000000" w:rsidRDefault="00EE5306">
      <w:pPr>
        <w:jc w:val="center"/>
        <w:divId w:val="288047835"/>
        <w:rPr>
          <w:rFonts w:eastAsia="Times New Roman"/>
        </w:rPr>
      </w:pPr>
      <w:r>
        <w:rPr>
          <w:rFonts w:eastAsia="Times New Roman"/>
          <w:b/>
          <w:bCs/>
          <w:color w:val="000000"/>
          <w:sz w:val="20"/>
          <w:szCs w:val="20"/>
        </w:rPr>
        <w:t>RALPH LAUREN CORPORATION</w:t>
      </w:r>
    </w:p>
    <w:p w14:paraId="154A5426" w14:textId="77777777" w:rsidR="00000000" w:rsidRDefault="00EE5306">
      <w:pPr>
        <w:jc w:val="center"/>
        <w:divId w:val="43529410"/>
        <w:rPr>
          <w:rFonts w:eastAsia="Times New Roman"/>
        </w:rPr>
      </w:pPr>
      <w:r>
        <w:rPr>
          <w:rFonts w:eastAsia="Times New Roman"/>
          <w:b/>
          <w:bCs/>
          <w:color w:val="000000"/>
          <w:sz w:val="20"/>
          <w:szCs w:val="20"/>
        </w:rPr>
        <w:t>NOTES TO CONSOLIDATED FINANCIAL STATEMENTS (Continued)</w:t>
      </w:r>
    </w:p>
    <w:tbl>
      <w:tblPr>
        <w:tblW w:w="4744" w:type="pct"/>
        <w:tblCellMar>
          <w:top w:w="15" w:type="dxa"/>
          <w:left w:w="15" w:type="dxa"/>
          <w:bottom w:w="15" w:type="dxa"/>
          <w:right w:w="15" w:type="dxa"/>
        </w:tblCellMar>
        <w:tblLook w:val="04A0" w:firstRow="1" w:lastRow="0" w:firstColumn="1" w:lastColumn="0" w:noHBand="0" w:noVBand="1"/>
      </w:tblPr>
      <w:tblGrid>
        <w:gridCol w:w="39"/>
        <w:gridCol w:w="3883"/>
        <w:gridCol w:w="38"/>
        <w:gridCol w:w="36"/>
        <w:gridCol w:w="36"/>
        <w:gridCol w:w="36"/>
        <w:gridCol w:w="120"/>
        <w:gridCol w:w="1059"/>
        <w:gridCol w:w="36"/>
        <w:gridCol w:w="36"/>
        <w:gridCol w:w="36"/>
        <w:gridCol w:w="36"/>
        <w:gridCol w:w="120"/>
        <w:gridCol w:w="1035"/>
        <w:gridCol w:w="36"/>
        <w:gridCol w:w="36"/>
        <w:gridCol w:w="36"/>
        <w:gridCol w:w="36"/>
        <w:gridCol w:w="120"/>
        <w:gridCol w:w="1035"/>
        <w:gridCol w:w="36"/>
      </w:tblGrid>
      <w:tr w:rsidR="00000000" w14:paraId="3F18B758" w14:textId="77777777">
        <w:trPr>
          <w:divId w:val="1604876744"/>
        </w:trPr>
        <w:tc>
          <w:tcPr>
            <w:tcW w:w="50" w:type="pct"/>
            <w:vAlign w:val="center"/>
            <w:hideMark/>
          </w:tcPr>
          <w:p w14:paraId="5F8B01C8" w14:textId="77777777" w:rsidR="00000000" w:rsidRDefault="00EE5306">
            <w:pPr>
              <w:jc w:val="center"/>
              <w:rPr>
                <w:rFonts w:eastAsia="Times New Roman"/>
              </w:rPr>
            </w:pPr>
          </w:p>
        </w:tc>
        <w:tc>
          <w:tcPr>
            <w:tcW w:w="2502" w:type="pct"/>
            <w:vAlign w:val="center"/>
            <w:hideMark/>
          </w:tcPr>
          <w:p w14:paraId="72D03689" w14:textId="77777777" w:rsidR="00000000" w:rsidRDefault="00EE5306">
            <w:pPr>
              <w:spacing w:after="100"/>
              <w:rPr>
                <w:rFonts w:eastAsia="Times New Roman"/>
                <w:sz w:val="20"/>
                <w:szCs w:val="20"/>
              </w:rPr>
            </w:pPr>
          </w:p>
        </w:tc>
        <w:tc>
          <w:tcPr>
            <w:tcW w:w="5" w:type="pct"/>
            <w:vAlign w:val="center"/>
            <w:hideMark/>
          </w:tcPr>
          <w:p w14:paraId="38C920A7" w14:textId="77777777" w:rsidR="00000000" w:rsidRDefault="00EE5306">
            <w:pPr>
              <w:spacing w:after="100"/>
              <w:rPr>
                <w:rFonts w:eastAsia="Times New Roman"/>
                <w:sz w:val="20"/>
                <w:szCs w:val="20"/>
              </w:rPr>
            </w:pPr>
          </w:p>
        </w:tc>
        <w:tc>
          <w:tcPr>
            <w:tcW w:w="5" w:type="pct"/>
            <w:vAlign w:val="center"/>
            <w:hideMark/>
          </w:tcPr>
          <w:p w14:paraId="16F67C50" w14:textId="77777777" w:rsidR="00000000" w:rsidRDefault="00EE5306">
            <w:pPr>
              <w:spacing w:after="100"/>
              <w:rPr>
                <w:rFonts w:eastAsia="Times New Roman"/>
                <w:sz w:val="20"/>
                <w:szCs w:val="20"/>
              </w:rPr>
            </w:pPr>
          </w:p>
        </w:tc>
        <w:tc>
          <w:tcPr>
            <w:tcW w:w="43" w:type="pct"/>
            <w:vAlign w:val="center"/>
            <w:hideMark/>
          </w:tcPr>
          <w:p w14:paraId="090BD425" w14:textId="77777777" w:rsidR="00000000" w:rsidRDefault="00EE5306">
            <w:pPr>
              <w:spacing w:after="100"/>
              <w:rPr>
                <w:rFonts w:eastAsia="Times New Roman"/>
                <w:sz w:val="20"/>
                <w:szCs w:val="20"/>
              </w:rPr>
            </w:pPr>
          </w:p>
        </w:tc>
        <w:tc>
          <w:tcPr>
            <w:tcW w:w="5" w:type="pct"/>
            <w:vAlign w:val="center"/>
            <w:hideMark/>
          </w:tcPr>
          <w:p w14:paraId="25D64312" w14:textId="77777777" w:rsidR="00000000" w:rsidRDefault="00EE5306">
            <w:pPr>
              <w:spacing w:after="100"/>
              <w:rPr>
                <w:rFonts w:eastAsia="Times New Roman"/>
                <w:sz w:val="20"/>
                <w:szCs w:val="20"/>
              </w:rPr>
            </w:pPr>
          </w:p>
        </w:tc>
        <w:tc>
          <w:tcPr>
            <w:tcW w:w="50" w:type="pct"/>
            <w:vAlign w:val="center"/>
            <w:hideMark/>
          </w:tcPr>
          <w:p w14:paraId="27D7C2C9" w14:textId="77777777" w:rsidR="00000000" w:rsidRDefault="00EE5306">
            <w:pPr>
              <w:spacing w:after="100"/>
              <w:rPr>
                <w:rFonts w:eastAsia="Times New Roman"/>
                <w:sz w:val="20"/>
                <w:szCs w:val="20"/>
              </w:rPr>
            </w:pPr>
          </w:p>
        </w:tc>
        <w:tc>
          <w:tcPr>
            <w:tcW w:w="715" w:type="pct"/>
            <w:vAlign w:val="center"/>
            <w:hideMark/>
          </w:tcPr>
          <w:p w14:paraId="1B586A2B" w14:textId="77777777" w:rsidR="00000000" w:rsidRDefault="00EE5306">
            <w:pPr>
              <w:spacing w:after="100"/>
              <w:rPr>
                <w:rFonts w:eastAsia="Times New Roman"/>
                <w:sz w:val="20"/>
                <w:szCs w:val="20"/>
              </w:rPr>
            </w:pPr>
          </w:p>
        </w:tc>
        <w:tc>
          <w:tcPr>
            <w:tcW w:w="5" w:type="pct"/>
            <w:vAlign w:val="center"/>
            <w:hideMark/>
          </w:tcPr>
          <w:p w14:paraId="29EDC299" w14:textId="77777777" w:rsidR="00000000" w:rsidRDefault="00EE5306">
            <w:pPr>
              <w:spacing w:after="100"/>
              <w:rPr>
                <w:rFonts w:eastAsia="Times New Roman"/>
                <w:sz w:val="20"/>
                <w:szCs w:val="20"/>
              </w:rPr>
            </w:pPr>
          </w:p>
        </w:tc>
        <w:tc>
          <w:tcPr>
            <w:tcW w:w="5" w:type="pct"/>
            <w:vAlign w:val="center"/>
            <w:hideMark/>
          </w:tcPr>
          <w:p w14:paraId="214F2C4B" w14:textId="77777777" w:rsidR="00000000" w:rsidRDefault="00EE5306">
            <w:pPr>
              <w:spacing w:after="100"/>
              <w:rPr>
                <w:rFonts w:eastAsia="Times New Roman"/>
                <w:sz w:val="20"/>
                <w:szCs w:val="20"/>
              </w:rPr>
            </w:pPr>
          </w:p>
        </w:tc>
        <w:tc>
          <w:tcPr>
            <w:tcW w:w="28" w:type="pct"/>
            <w:vAlign w:val="center"/>
            <w:hideMark/>
          </w:tcPr>
          <w:p w14:paraId="75630260" w14:textId="77777777" w:rsidR="00000000" w:rsidRDefault="00EE5306">
            <w:pPr>
              <w:spacing w:after="100"/>
              <w:rPr>
                <w:rFonts w:eastAsia="Times New Roman"/>
                <w:sz w:val="20"/>
                <w:szCs w:val="20"/>
              </w:rPr>
            </w:pPr>
          </w:p>
        </w:tc>
        <w:tc>
          <w:tcPr>
            <w:tcW w:w="5" w:type="pct"/>
            <w:vAlign w:val="center"/>
            <w:hideMark/>
          </w:tcPr>
          <w:p w14:paraId="725F0180" w14:textId="77777777" w:rsidR="00000000" w:rsidRDefault="00EE5306">
            <w:pPr>
              <w:spacing w:after="100"/>
              <w:rPr>
                <w:rFonts w:eastAsia="Times New Roman"/>
                <w:sz w:val="20"/>
                <w:szCs w:val="20"/>
              </w:rPr>
            </w:pPr>
          </w:p>
        </w:tc>
        <w:tc>
          <w:tcPr>
            <w:tcW w:w="50" w:type="pct"/>
            <w:vAlign w:val="center"/>
            <w:hideMark/>
          </w:tcPr>
          <w:p w14:paraId="41C9899B" w14:textId="77777777" w:rsidR="00000000" w:rsidRDefault="00EE5306">
            <w:pPr>
              <w:spacing w:after="100"/>
              <w:rPr>
                <w:rFonts w:eastAsia="Times New Roman"/>
                <w:sz w:val="20"/>
                <w:szCs w:val="20"/>
              </w:rPr>
            </w:pPr>
          </w:p>
        </w:tc>
        <w:tc>
          <w:tcPr>
            <w:tcW w:w="715" w:type="pct"/>
            <w:vAlign w:val="center"/>
            <w:hideMark/>
          </w:tcPr>
          <w:p w14:paraId="6BB0CDC2" w14:textId="77777777" w:rsidR="00000000" w:rsidRDefault="00EE5306">
            <w:pPr>
              <w:spacing w:after="100"/>
              <w:rPr>
                <w:rFonts w:eastAsia="Times New Roman"/>
                <w:sz w:val="20"/>
                <w:szCs w:val="20"/>
              </w:rPr>
            </w:pPr>
          </w:p>
        </w:tc>
        <w:tc>
          <w:tcPr>
            <w:tcW w:w="5" w:type="pct"/>
            <w:vAlign w:val="center"/>
            <w:hideMark/>
          </w:tcPr>
          <w:p w14:paraId="78D26C22" w14:textId="77777777" w:rsidR="00000000" w:rsidRDefault="00EE5306">
            <w:pPr>
              <w:spacing w:after="100"/>
              <w:rPr>
                <w:rFonts w:eastAsia="Times New Roman"/>
                <w:sz w:val="20"/>
                <w:szCs w:val="20"/>
              </w:rPr>
            </w:pPr>
          </w:p>
        </w:tc>
        <w:tc>
          <w:tcPr>
            <w:tcW w:w="5" w:type="pct"/>
            <w:vAlign w:val="center"/>
            <w:hideMark/>
          </w:tcPr>
          <w:p w14:paraId="3B8B3A7B" w14:textId="77777777" w:rsidR="00000000" w:rsidRDefault="00EE5306">
            <w:pPr>
              <w:spacing w:after="100"/>
              <w:rPr>
                <w:rFonts w:eastAsia="Times New Roman"/>
                <w:sz w:val="20"/>
                <w:szCs w:val="20"/>
              </w:rPr>
            </w:pPr>
          </w:p>
        </w:tc>
        <w:tc>
          <w:tcPr>
            <w:tcW w:w="28" w:type="pct"/>
            <w:vAlign w:val="center"/>
            <w:hideMark/>
          </w:tcPr>
          <w:p w14:paraId="674F4A56" w14:textId="77777777" w:rsidR="00000000" w:rsidRDefault="00EE5306">
            <w:pPr>
              <w:spacing w:after="100"/>
              <w:rPr>
                <w:rFonts w:eastAsia="Times New Roman"/>
                <w:sz w:val="20"/>
                <w:szCs w:val="20"/>
              </w:rPr>
            </w:pPr>
          </w:p>
        </w:tc>
        <w:tc>
          <w:tcPr>
            <w:tcW w:w="5" w:type="pct"/>
            <w:vAlign w:val="center"/>
            <w:hideMark/>
          </w:tcPr>
          <w:p w14:paraId="67E3B449" w14:textId="77777777" w:rsidR="00000000" w:rsidRDefault="00EE5306">
            <w:pPr>
              <w:spacing w:after="100"/>
              <w:rPr>
                <w:rFonts w:eastAsia="Times New Roman"/>
                <w:sz w:val="20"/>
                <w:szCs w:val="20"/>
              </w:rPr>
            </w:pPr>
          </w:p>
        </w:tc>
        <w:tc>
          <w:tcPr>
            <w:tcW w:w="50" w:type="pct"/>
            <w:vAlign w:val="center"/>
            <w:hideMark/>
          </w:tcPr>
          <w:p w14:paraId="258835B4" w14:textId="77777777" w:rsidR="00000000" w:rsidRDefault="00EE5306">
            <w:pPr>
              <w:spacing w:after="100"/>
              <w:rPr>
                <w:rFonts w:eastAsia="Times New Roman"/>
                <w:sz w:val="20"/>
                <w:szCs w:val="20"/>
              </w:rPr>
            </w:pPr>
          </w:p>
        </w:tc>
        <w:tc>
          <w:tcPr>
            <w:tcW w:w="715" w:type="pct"/>
            <w:vAlign w:val="center"/>
            <w:hideMark/>
          </w:tcPr>
          <w:p w14:paraId="7581046B" w14:textId="77777777" w:rsidR="00000000" w:rsidRDefault="00EE5306">
            <w:pPr>
              <w:spacing w:after="100"/>
              <w:rPr>
                <w:rFonts w:eastAsia="Times New Roman"/>
                <w:sz w:val="20"/>
                <w:szCs w:val="20"/>
              </w:rPr>
            </w:pPr>
          </w:p>
        </w:tc>
        <w:tc>
          <w:tcPr>
            <w:tcW w:w="5" w:type="pct"/>
            <w:vAlign w:val="center"/>
            <w:hideMark/>
          </w:tcPr>
          <w:p w14:paraId="71936864" w14:textId="77777777" w:rsidR="00000000" w:rsidRDefault="00EE5306">
            <w:pPr>
              <w:spacing w:after="100"/>
              <w:rPr>
                <w:rFonts w:eastAsia="Times New Roman"/>
                <w:sz w:val="20"/>
                <w:szCs w:val="20"/>
              </w:rPr>
            </w:pPr>
          </w:p>
        </w:tc>
      </w:tr>
      <w:tr w:rsidR="00000000" w14:paraId="2457B8FE" w14:textId="77777777">
        <w:trPr>
          <w:divId w:val="1604876744"/>
        </w:trPr>
        <w:tc>
          <w:tcPr>
            <w:tcW w:w="0" w:type="auto"/>
            <w:gridSpan w:val="3"/>
            <w:tcMar>
              <w:top w:w="30" w:type="dxa"/>
              <w:left w:w="20" w:type="dxa"/>
              <w:bottom w:w="30" w:type="dxa"/>
              <w:right w:w="20" w:type="dxa"/>
            </w:tcMar>
            <w:vAlign w:val="bottom"/>
            <w:hideMark/>
          </w:tcPr>
          <w:p w14:paraId="323E7DEA"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27156C5"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711A9875"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70603914" w14:textId="77777777">
        <w:trPr>
          <w:divId w:val="1604876744"/>
        </w:trPr>
        <w:tc>
          <w:tcPr>
            <w:tcW w:w="0" w:type="auto"/>
            <w:gridSpan w:val="3"/>
            <w:tcMar>
              <w:top w:w="30" w:type="dxa"/>
              <w:left w:w="20" w:type="dxa"/>
              <w:bottom w:w="30" w:type="dxa"/>
              <w:right w:w="20" w:type="dxa"/>
            </w:tcMar>
            <w:vAlign w:val="bottom"/>
            <w:hideMark/>
          </w:tcPr>
          <w:p w14:paraId="54609EBF" w14:textId="77777777" w:rsidR="00000000" w:rsidRDefault="00EE5306">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9B6E140" w14:textId="77777777" w:rsidR="00000000" w:rsidRDefault="00EE5306">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EC2241"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8EACE7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2FF5D35"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9A79A03"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CC442D"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0FA9B4AF" w14:textId="77777777">
        <w:trPr>
          <w:divId w:val="1604876744"/>
        </w:trPr>
        <w:tc>
          <w:tcPr>
            <w:tcW w:w="0" w:type="auto"/>
            <w:gridSpan w:val="3"/>
            <w:tcMar>
              <w:top w:w="30" w:type="dxa"/>
              <w:left w:w="20" w:type="dxa"/>
              <w:bottom w:w="30" w:type="dxa"/>
              <w:right w:w="20" w:type="dxa"/>
            </w:tcMar>
            <w:vAlign w:val="bottom"/>
            <w:hideMark/>
          </w:tcPr>
          <w:p w14:paraId="367AA01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95C5485"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62334B5"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5EF38662" w14:textId="77777777">
        <w:trPr>
          <w:divId w:val="1604876744"/>
        </w:trPr>
        <w:tc>
          <w:tcPr>
            <w:tcW w:w="0" w:type="auto"/>
            <w:gridSpan w:val="3"/>
            <w:shd w:val="clear" w:color="auto" w:fill="CCEEFF"/>
            <w:tcMar>
              <w:top w:w="30" w:type="dxa"/>
              <w:left w:w="20" w:type="dxa"/>
              <w:bottom w:w="30" w:type="dxa"/>
              <w:right w:w="20" w:type="dxa"/>
            </w:tcMar>
            <w:vAlign w:val="bottom"/>
            <w:hideMark/>
          </w:tcPr>
          <w:p w14:paraId="7C856880" w14:textId="77777777" w:rsidR="00000000" w:rsidRDefault="00EE5306">
            <w:pPr>
              <w:spacing w:after="100"/>
              <w:rPr>
                <w:rFonts w:eastAsia="Times New Roman"/>
              </w:rPr>
            </w:pPr>
            <w:r>
              <w:rPr>
                <w:rFonts w:eastAsia="Times New Roman"/>
                <w:b/>
                <w:bCs/>
                <w:color w:val="000000"/>
                <w:sz w:val="20"/>
                <w:szCs w:val="20"/>
              </w:rPr>
              <w:t>Asset impairment charges:</w:t>
            </w:r>
          </w:p>
        </w:tc>
        <w:tc>
          <w:tcPr>
            <w:tcW w:w="0" w:type="auto"/>
            <w:gridSpan w:val="3"/>
            <w:shd w:val="clear" w:color="auto" w:fill="CCEEFF"/>
            <w:tcMar>
              <w:top w:w="0" w:type="dxa"/>
              <w:left w:w="20" w:type="dxa"/>
              <w:bottom w:w="0" w:type="dxa"/>
              <w:right w:w="20" w:type="dxa"/>
            </w:tcMar>
            <w:vAlign w:val="center"/>
            <w:hideMark/>
          </w:tcPr>
          <w:p w14:paraId="2506E8EB"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240F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21E83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D571B2"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77A7F5"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734A3B" w14:textId="77777777" w:rsidR="00000000" w:rsidRDefault="00EE5306">
            <w:pPr>
              <w:spacing w:after="100"/>
              <w:rPr>
                <w:rFonts w:eastAsia="Times New Roman"/>
                <w:sz w:val="20"/>
                <w:szCs w:val="20"/>
              </w:rPr>
            </w:pPr>
          </w:p>
        </w:tc>
      </w:tr>
      <w:tr w:rsidR="00000000" w14:paraId="79F5643E" w14:textId="77777777">
        <w:trPr>
          <w:divId w:val="1604876744"/>
        </w:trPr>
        <w:tc>
          <w:tcPr>
            <w:tcW w:w="0" w:type="auto"/>
            <w:gridSpan w:val="3"/>
            <w:shd w:val="clear" w:color="auto" w:fill="FFFFFF"/>
            <w:tcMar>
              <w:top w:w="30" w:type="dxa"/>
              <w:left w:w="155" w:type="dxa"/>
              <w:bottom w:w="30" w:type="dxa"/>
              <w:right w:w="20" w:type="dxa"/>
            </w:tcMar>
            <w:vAlign w:val="bottom"/>
            <w:hideMark/>
          </w:tcPr>
          <w:p w14:paraId="3F774C59"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14:paraId="5EB8B7A4"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F69E91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200161" w14:textId="77777777" w:rsidR="00000000" w:rsidRDefault="00EE5306">
            <w:pPr>
              <w:spacing w:after="100"/>
              <w:jc w:val="right"/>
              <w:rPr>
                <w:rFonts w:eastAsia="Times New Roman"/>
              </w:rPr>
            </w:pPr>
            <w:r>
              <w:rPr>
                <w:rFonts w:eastAsia="Times New Roman"/>
                <w:color w:val="000000"/>
                <w:sz w:val="20"/>
                <w:szCs w:val="20"/>
              </w:rPr>
              <w:t>(12.2)</w:t>
            </w:r>
          </w:p>
        </w:tc>
        <w:tc>
          <w:tcPr>
            <w:tcW w:w="0" w:type="auto"/>
            <w:shd w:val="clear" w:color="auto" w:fill="FFFFFF"/>
            <w:tcMar>
              <w:top w:w="30" w:type="dxa"/>
              <w:left w:w="0" w:type="dxa"/>
              <w:bottom w:w="30" w:type="dxa"/>
              <w:right w:w="20" w:type="dxa"/>
            </w:tcMar>
            <w:vAlign w:val="bottom"/>
            <w:hideMark/>
          </w:tcPr>
          <w:p w14:paraId="5FE1C0F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50F62"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1C174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B55E7F" w14:textId="77777777" w:rsidR="00000000" w:rsidRDefault="00EE5306">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14:paraId="77F7235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130449"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985C5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1AED5D" w14:textId="77777777" w:rsidR="00000000" w:rsidRDefault="00EE5306">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4310E386" w14:textId="77777777" w:rsidR="00000000" w:rsidRDefault="00EE5306">
            <w:pPr>
              <w:spacing w:after="100"/>
              <w:jc w:val="right"/>
              <w:rPr>
                <w:rFonts w:eastAsia="Times New Roman"/>
              </w:rPr>
            </w:pPr>
          </w:p>
        </w:tc>
      </w:tr>
      <w:tr w:rsidR="00000000" w14:paraId="1465EBE6" w14:textId="77777777">
        <w:trPr>
          <w:divId w:val="1604876744"/>
        </w:trPr>
        <w:tc>
          <w:tcPr>
            <w:tcW w:w="0" w:type="auto"/>
            <w:gridSpan w:val="3"/>
            <w:shd w:val="clear" w:color="auto" w:fill="CCEEFF"/>
            <w:tcMar>
              <w:top w:w="30" w:type="dxa"/>
              <w:left w:w="155" w:type="dxa"/>
              <w:bottom w:w="30" w:type="dxa"/>
              <w:right w:w="20" w:type="dxa"/>
            </w:tcMar>
            <w:vAlign w:val="bottom"/>
            <w:hideMark/>
          </w:tcPr>
          <w:p w14:paraId="56139330"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14:paraId="48026B3C"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D8ABA0" w14:textId="77777777" w:rsidR="00000000" w:rsidRDefault="00EE5306">
            <w:pPr>
              <w:spacing w:after="100"/>
              <w:jc w:val="right"/>
              <w:rPr>
                <w:rFonts w:eastAsia="Times New Roman"/>
              </w:rPr>
            </w:pPr>
            <w:r>
              <w:rPr>
                <w:rFonts w:eastAsia="Times New Roman"/>
                <w:color w:val="000000"/>
                <w:sz w:val="20"/>
                <w:szCs w:val="20"/>
              </w:rPr>
              <w:t>(24.3)</w:t>
            </w:r>
          </w:p>
        </w:tc>
        <w:tc>
          <w:tcPr>
            <w:tcW w:w="0" w:type="auto"/>
            <w:shd w:val="clear" w:color="auto" w:fill="CCEEFF"/>
            <w:tcMar>
              <w:top w:w="30" w:type="dxa"/>
              <w:left w:w="0" w:type="dxa"/>
              <w:bottom w:w="30" w:type="dxa"/>
              <w:right w:w="20" w:type="dxa"/>
            </w:tcMar>
            <w:vAlign w:val="bottom"/>
            <w:hideMark/>
          </w:tcPr>
          <w:p w14:paraId="563CCFE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07BE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9F16FB"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41539A"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31328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6C6159" w14:textId="77777777" w:rsidR="00000000" w:rsidRDefault="00EE5306">
            <w:pPr>
              <w:spacing w:after="100"/>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14:paraId="2CDF7A5C" w14:textId="77777777" w:rsidR="00000000" w:rsidRDefault="00EE5306">
            <w:pPr>
              <w:spacing w:after="100"/>
              <w:jc w:val="right"/>
              <w:rPr>
                <w:rFonts w:eastAsia="Times New Roman"/>
              </w:rPr>
            </w:pPr>
          </w:p>
        </w:tc>
      </w:tr>
      <w:tr w:rsidR="00000000" w14:paraId="067D1A61" w14:textId="77777777">
        <w:trPr>
          <w:divId w:val="1604876744"/>
        </w:trPr>
        <w:tc>
          <w:tcPr>
            <w:tcW w:w="0" w:type="auto"/>
            <w:gridSpan w:val="3"/>
            <w:shd w:val="clear" w:color="auto" w:fill="FFFFFF"/>
            <w:tcMar>
              <w:top w:w="30" w:type="dxa"/>
              <w:left w:w="155" w:type="dxa"/>
              <w:bottom w:w="30" w:type="dxa"/>
              <w:right w:w="20" w:type="dxa"/>
            </w:tcMar>
            <w:vAlign w:val="bottom"/>
            <w:hideMark/>
          </w:tcPr>
          <w:p w14:paraId="25178D2E"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14:paraId="138FE126"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BD3491" w14:textId="77777777" w:rsidR="00000000" w:rsidRDefault="00EE5306">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14:paraId="22965646"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88CB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BB987B" w14:textId="77777777" w:rsidR="00000000" w:rsidRDefault="00EE5306">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14:paraId="32D5898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956D5"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5506F8" w14:textId="77777777" w:rsidR="00000000" w:rsidRDefault="00EE5306">
            <w:pPr>
              <w:spacing w:after="100"/>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14:paraId="62F9068C" w14:textId="77777777" w:rsidR="00000000" w:rsidRDefault="00EE5306">
            <w:pPr>
              <w:spacing w:after="100"/>
              <w:jc w:val="right"/>
              <w:rPr>
                <w:rFonts w:eastAsia="Times New Roman"/>
              </w:rPr>
            </w:pPr>
          </w:p>
        </w:tc>
      </w:tr>
      <w:tr w:rsidR="00000000" w14:paraId="3A89B07B" w14:textId="77777777">
        <w:trPr>
          <w:divId w:val="1604876744"/>
        </w:trPr>
        <w:tc>
          <w:tcPr>
            <w:tcW w:w="0" w:type="auto"/>
            <w:gridSpan w:val="3"/>
            <w:shd w:val="clear" w:color="auto" w:fill="CCEEFF"/>
            <w:tcMar>
              <w:top w:w="30" w:type="dxa"/>
              <w:left w:w="155" w:type="dxa"/>
              <w:bottom w:w="30" w:type="dxa"/>
              <w:right w:w="20" w:type="dxa"/>
            </w:tcMar>
            <w:vAlign w:val="bottom"/>
            <w:hideMark/>
          </w:tcPr>
          <w:p w14:paraId="0869B5D6"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14:paraId="5A7187D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76212B" w14:textId="77777777" w:rsidR="00000000" w:rsidRDefault="00EE5306">
            <w:pPr>
              <w:spacing w:after="100"/>
              <w:jc w:val="right"/>
              <w:rPr>
                <w:rFonts w:eastAsia="Times New Roman"/>
              </w:rPr>
            </w:pPr>
            <w:r>
              <w:rPr>
                <w:rFonts w:eastAsia="Times New Roman"/>
                <w:color w:val="000000"/>
                <w:sz w:val="20"/>
                <w:szCs w:val="20"/>
              </w:rPr>
              <w:t>(18.2)</w:t>
            </w:r>
          </w:p>
        </w:tc>
        <w:tc>
          <w:tcPr>
            <w:tcW w:w="0" w:type="auto"/>
            <w:shd w:val="clear" w:color="auto" w:fill="CCEEFF"/>
            <w:tcMar>
              <w:top w:w="30" w:type="dxa"/>
              <w:left w:w="0" w:type="dxa"/>
              <w:bottom w:w="30" w:type="dxa"/>
              <w:right w:w="20" w:type="dxa"/>
            </w:tcMar>
            <w:vAlign w:val="bottom"/>
            <w:hideMark/>
          </w:tcPr>
          <w:p w14:paraId="5EE3607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77F2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D5EC89" w14:textId="77777777" w:rsidR="00000000" w:rsidRDefault="00EE5306">
            <w:pPr>
              <w:spacing w:after="100"/>
              <w:jc w:val="right"/>
              <w:rPr>
                <w:rFonts w:eastAsia="Times New Roman"/>
              </w:rPr>
            </w:pPr>
            <w:r>
              <w:rPr>
                <w:rFonts w:eastAsia="Times New Roman"/>
                <w:color w:val="000000"/>
                <w:sz w:val="20"/>
                <w:szCs w:val="20"/>
              </w:rPr>
              <w:t>(19.3)</w:t>
            </w:r>
          </w:p>
        </w:tc>
        <w:tc>
          <w:tcPr>
            <w:tcW w:w="0" w:type="auto"/>
            <w:shd w:val="clear" w:color="auto" w:fill="CCEEFF"/>
            <w:tcMar>
              <w:top w:w="30" w:type="dxa"/>
              <w:left w:w="0" w:type="dxa"/>
              <w:bottom w:w="30" w:type="dxa"/>
              <w:right w:w="20" w:type="dxa"/>
            </w:tcMar>
            <w:vAlign w:val="bottom"/>
            <w:hideMark/>
          </w:tcPr>
          <w:p w14:paraId="21E016C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D7271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04544F" w14:textId="77777777" w:rsidR="00000000" w:rsidRDefault="00EE5306">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14:paraId="22232D33" w14:textId="77777777" w:rsidR="00000000" w:rsidRDefault="00EE5306">
            <w:pPr>
              <w:spacing w:after="100"/>
              <w:jc w:val="right"/>
              <w:rPr>
                <w:rFonts w:eastAsia="Times New Roman"/>
              </w:rPr>
            </w:pPr>
          </w:p>
        </w:tc>
      </w:tr>
      <w:tr w:rsidR="00000000" w14:paraId="01177247" w14:textId="77777777">
        <w:trPr>
          <w:divId w:val="1604876744"/>
        </w:trPr>
        <w:tc>
          <w:tcPr>
            <w:tcW w:w="0" w:type="auto"/>
            <w:gridSpan w:val="3"/>
            <w:shd w:val="clear" w:color="auto" w:fill="FFFFFF"/>
            <w:tcMar>
              <w:top w:w="30" w:type="dxa"/>
              <w:left w:w="155" w:type="dxa"/>
              <w:bottom w:w="30" w:type="dxa"/>
              <w:right w:w="20" w:type="dxa"/>
            </w:tcMar>
            <w:vAlign w:val="bottom"/>
            <w:hideMark/>
          </w:tcPr>
          <w:p w14:paraId="4F4425F1" w14:textId="77777777" w:rsidR="00000000" w:rsidRDefault="00EE5306">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FFFFFF"/>
            <w:tcMar>
              <w:top w:w="0" w:type="dxa"/>
              <w:left w:w="20" w:type="dxa"/>
              <w:bottom w:w="0" w:type="dxa"/>
              <w:right w:w="20" w:type="dxa"/>
            </w:tcMar>
            <w:vAlign w:val="center"/>
            <w:hideMark/>
          </w:tcPr>
          <w:p w14:paraId="04705E6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E34733" w14:textId="77777777" w:rsidR="00000000" w:rsidRDefault="00EE5306">
            <w:pPr>
              <w:spacing w:after="100"/>
              <w:jc w:val="right"/>
              <w:rPr>
                <w:rFonts w:eastAsia="Times New Roman"/>
              </w:rPr>
            </w:pPr>
            <w:r>
              <w:rPr>
                <w:rFonts w:eastAsia="Times New Roman"/>
                <w:color w:val="000000"/>
                <w:sz w:val="20"/>
                <w:szCs w:val="20"/>
              </w:rPr>
              <w:t>(39.9)</w:t>
            </w:r>
          </w:p>
        </w:tc>
        <w:tc>
          <w:tcPr>
            <w:tcW w:w="0" w:type="auto"/>
            <w:shd w:val="clear" w:color="auto" w:fill="FFFFFF"/>
            <w:tcMar>
              <w:top w:w="30" w:type="dxa"/>
              <w:left w:w="0" w:type="dxa"/>
              <w:bottom w:w="30" w:type="dxa"/>
              <w:right w:w="20" w:type="dxa"/>
            </w:tcMar>
            <w:vAlign w:val="bottom"/>
            <w:hideMark/>
          </w:tcPr>
          <w:p w14:paraId="5B2F53E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3BA96"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09E044" w14:textId="77777777" w:rsidR="00000000" w:rsidRDefault="00EE5306">
            <w:pPr>
              <w:spacing w:after="100"/>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14:paraId="40ED470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AA577"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3AC2D7" w14:textId="77777777" w:rsidR="00000000" w:rsidRDefault="00EE5306">
            <w:pPr>
              <w:spacing w:after="100"/>
              <w:jc w:val="right"/>
              <w:rPr>
                <w:rFonts w:eastAsia="Times New Roman"/>
              </w:rPr>
            </w:pPr>
            <w:r>
              <w:rPr>
                <w:rFonts w:eastAsia="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14:paraId="4F516834" w14:textId="77777777" w:rsidR="00000000" w:rsidRDefault="00EE5306">
            <w:pPr>
              <w:spacing w:after="100"/>
              <w:jc w:val="right"/>
              <w:rPr>
                <w:rFonts w:eastAsia="Times New Roman"/>
              </w:rPr>
            </w:pPr>
          </w:p>
        </w:tc>
      </w:tr>
      <w:tr w:rsidR="00000000" w14:paraId="1A426C4F" w14:textId="77777777">
        <w:trPr>
          <w:divId w:val="1604876744"/>
        </w:trPr>
        <w:tc>
          <w:tcPr>
            <w:tcW w:w="0" w:type="auto"/>
            <w:gridSpan w:val="3"/>
            <w:shd w:val="clear" w:color="auto" w:fill="CCEEFF"/>
            <w:tcMar>
              <w:top w:w="30" w:type="dxa"/>
              <w:left w:w="380" w:type="dxa"/>
              <w:bottom w:w="30" w:type="dxa"/>
              <w:right w:w="20" w:type="dxa"/>
            </w:tcMar>
            <w:vAlign w:val="bottom"/>
            <w:hideMark/>
          </w:tcPr>
          <w:p w14:paraId="7B87CA08" w14:textId="77777777" w:rsidR="00000000" w:rsidRDefault="00EE5306">
            <w:pPr>
              <w:spacing w:after="100"/>
              <w:rPr>
                <w:rFonts w:eastAsia="Times New Roman"/>
              </w:rPr>
            </w:pPr>
            <w:r>
              <w:rPr>
                <w:rFonts w:eastAsia="Times New Roman"/>
                <w:color w:val="000000"/>
                <w:sz w:val="20"/>
                <w:szCs w:val="20"/>
              </w:rPr>
              <w:t>Total asset impairment charges</w:t>
            </w:r>
          </w:p>
        </w:tc>
        <w:tc>
          <w:tcPr>
            <w:tcW w:w="0" w:type="auto"/>
            <w:gridSpan w:val="3"/>
            <w:shd w:val="clear" w:color="auto" w:fill="CCEEFF"/>
            <w:tcMar>
              <w:top w:w="0" w:type="dxa"/>
              <w:left w:w="20" w:type="dxa"/>
              <w:bottom w:w="0" w:type="dxa"/>
              <w:right w:w="20" w:type="dxa"/>
            </w:tcMar>
            <w:vAlign w:val="center"/>
            <w:hideMark/>
          </w:tcPr>
          <w:p w14:paraId="235E969C"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C4ADD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4F1DA0" w14:textId="77777777" w:rsidR="00000000" w:rsidRDefault="00EE5306">
            <w:pPr>
              <w:spacing w:after="100"/>
              <w:jc w:val="right"/>
              <w:rPr>
                <w:rFonts w:eastAsia="Times New Roman"/>
              </w:rPr>
            </w:pPr>
            <w:r>
              <w:rPr>
                <w:rFonts w:eastAsia="Times New Roman"/>
                <w:color w:val="000000"/>
                <w:sz w:val="20"/>
                <w:szCs w:val="20"/>
              </w:rPr>
              <w:t>(96.0)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306642"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FB15D"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D4304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4BDD92" w14:textId="77777777" w:rsidR="00000000" w:rsidRDefault="00EE5306">
            <w:pPr>
              <w:spacing w:after="100"/>
              <w:jc w:val="right"/>
              <w:rPr>
                <w:rFonts w:eastAsia="Times New Roman"/>
              </w:rPr>
            </w:pPr>
            <w:r>
              <w:rPr>
                <w:rFonts w:eastAsia="Times New Roman"/>
                <w:color w:val="000000"/>
                <w:sz w:val="20"/>
                <w:szCs w:val="20"/>
              </w:rPr>
              <w:t>(31.6)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7FE71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D1D213"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74DF85"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AFC921" w14:textId="77777777" w:rsidR="00000000" w:rsidRDefault="00EE5306">
            <w:pPr>
              <w:spacing w:after="100"/>
              <w:jc w:val="right"/>
              <w:rPr>
                <w:rFonts w:eastAsia="Times New Roman"/>
              </w:rPr>
            </w:pPr>
            <w:r>
              <w:rPr>
                <w:rFonts w:eastAsia="Times New Roman"/>
                <w:color w:val="000000"/>
                <w:sz w:val="20"/>
                <w:szCs w:val="20"/>
              </w:rPr>
              <w:t>(25.8)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C3F2B3" w14:textId="77777777" w:rsidR="00000000" w:rsidRDefault="00EE5306">
            <w:pPr>
              <w:spacing w:after="100"/>
              <w:jc w:val="right"/>
              <w:rPr>
                <w:rFonts w:eastAsia="Times New Roman"/>
              </w:rPr>
            </w:pPr>
          </w:p>
        </w:tc>
      </w:tr>
    </w:tbl>
    <w:p w14:paraId="0141DDC8" w14:textId="77777777" w:rsidR="00000000" w:rsidRDefault="00EE5306">
      <w:pPr>
        <w:jc w:val="both"/>
        <w:divId w:val="508760687"/>
        <w:rPr>
          <w:rFonts w:eastAsia="Times New Roman"/>
        </w:rPr>
      </w:pPr>
    </w:p>
    <w:p w14:paraId="56E5F548" w14:textId="77777777" w:rsidR="00000000" w:rsidRDefault="00EE5306">
      <w:pPr>
        <w:ind w:hanging="360"/>
        <w:jc w:val="both"/>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The fiscal years presented included certain unallocated restructuring and other charges (see Note 9), which are detailed below:</w:t>
      </w:r>
    </w:p>
    <w:tbl>
      <w:tblPr>
        <w:tblW w:w="4729" w:type="pct"/>
        <w:tblCellMar>
          <w:top w:w="15" w:type="dxa"/>
          <w:left w:w="15" w:type="dxa"/>
          <w:bottom w:w="15" w:type="dxa"/>
          <w:right w:w="15" w:type="dxa"/>
        </w:tblCellMar>
        <w:tblLook w:val="04A0" w:firstRow="1" w:lastRow="0" w:firstColumn="1" w:lastColumn="0" w:noHBand="0" w:noVBand="1"/>
      </w:tblPr>
      <w:tblGrid>
        <w:gridCol w:w="37"/>
        <w:gridCol w:w="3887"/>
        <w:gridCol w:w="36"/>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14:paraId="6DA47C97" w14:textId="77777777">
        <w:trPr>
          <w:divId w:val="1740984111"/>
        </w:trPr>
        <w:tc>
          <w:tcPr>
            <w:tcW w:w="50" w:type="pct"/>
            <w:vAlign w:val="center"/>
            <w:hideMark/>
          </w:tcPr>
          <w:p w14:paraId="4EFFAAC4" w14:textId="77777777" w:rsidR="00000000" w:rsidRDefault="00EE5306">
            <w:pPr>
              <w:ind w:hanging="360"/>
              <w:jc w:val="both"/>
              <w:rPr>
                <w:rFonts w:eastAsia="Times New Roman"/>
              </w:rPr>
            </w:pPr>
          </w:p>
        </w:tc>
        <w:tc>
          <w:tcPr>
            <w:tcW w:w="2510" w:type="pct"/>
            <w:vAlign w:val="center"/>
            <w:hideMark/>
          </w:tcPr>
          <w:p w14:paraId="4146FDD1" w14:textId="77777777" w:rsidR="00000000" w:rsidRDefault="00EE5306">
            <w:pPr>
              <w:spacing w:after="100"/>
              <w:rPr>
                <w:rFonts w:eastAsia="Times New Roman"/>
                <w:sz w:val="20"/>
                <w:szCs w:val="20"/>
              </w:rPr>
            </w:pPr>
          </w:p>
        </w:tc>
        <w:tc>
          <w:tcPr>
            <w:tcW w:w="5" w:type="pct"/>
            <w:vAlign w:val="center"/>
            <w:hideMark/>
          </w:tcPr>
          <w:p w14:paraId="5B8401E2" w14:textId="77777777" w:rsidR="00000000" w:rsidRDefault="00EE5306">
            <w:pPr>
              <w:spacing w:after="100"/>
              <w:rPr>
                <w:rFonts w:eastAsia="Times New Roman"/>
                <w:sz w:val="20"/>
                <w:szCs w:val="20"/>
              </w:rPr>
            </w:pPr>
          </w:p>
        </w:tc>
        <w:tc>
          <w:tcPr>
            <w:tcW w:w="5" w:type="pct"/>
            <w:vAlign w:val="center"/>
            <w:hideMark/>
          </w:tcPr>
          <w:p w14:paraId="72491576" w14:textId="77777777" w:rsidR="00000000" w:rsidRDefault="00EE5306">
            <w:pPr>
              <w:spacing w:after="100"/>
              <w:rPr>
                <w:rFonts w:eastAsia="Times New Roman"/>
                <w:sz w:val="20"/>
                <w:szCs w:val="20"/>
              </w:rPr>
            </w:pPr>
          </w:p>
        </w:tc>
        <w:tc>
          <w:tcPr>
            <w:tcW w:w="28" w:type="pct"/>
            <w:vAlign w:val="center"/>
            <w:hideMark/>
          </w:tcPr>
          <w:p w14:paraId="78C95250" w14:textId="77777777" w:rsidR="00000000" w:rsidRDefault="00EE5306">
            <w:pPr>
              <w:spacing w:after="100"/>
              <w:rPr>
                <w:rFonts w:eastAsia="Times New Roman"/>
                <w:sz w:val="20"/>
                <w:szCs w:val="20"/>
              </w:rPr>
            </w:pPr>
          </w:p>
        </w:tc>
        <w:tc>
          <w:tcPr>
            <w:tcW w:w="5" w:type="pct"/>
            <w:vAlign w:val="center"/>
            <w:hideMark/>
          </w:tcPr>
          <w:p w14:paraId="5E67D068" w14:textId="77777777" w:rsidR="00000000" w:rsidRDefault="00EE5306">
            <w:pPr>
              <w:spacing w:after="100"/>
              <w:rPr>
                <w:rFonts w:eastAsia="Times New Roman"/>
                <w:sz w:val="20"/>
                <w:szCs w:val="20"/>
              </w:rPr>
            </w:pPr>
          </w:p>
        </w:tc>
        <w:tc>
          <w:tcPr>
            <w:tcW w:w="50" w:type="pct"/>
            <w:vAlign w:val="center"/>
            <w:hideMark/>
          </w:tcPr>
          <w:p w14:paraId="4FB2FDAC" w14:textId="77777777" w:rsidR="00000000" w:rsidRDefault="00EE5306">
            <w:pPr>
              <w:spacing w:after="100"/>
              <w:rPr>
                <w:rFonts w:eastAsia="Times New Roman"/>
                <w:sz w:val="20"/>
                <w:szCs w:val="20"/>
              </w:rPr>
            </w:pPr>
          </w:p>
        </w:tc>
        <w:tc>
          <w:tcPr>
            <w:tcW w:w="717" w:type="pct"/>
            <w:vAlign w:val="center"/>
            <w:hideMark/>
          </w:tcPr>
          <w:p w14:paraId="20BA8BCC" w14:textId="77777777" w:rsidR="00000000" w:rsidRDefault="00EE5306">
            <w:pPr>
              <w:spacing w:after="100"/>
              <w:rPr>
                <w:rFonts w:eastAsia="Times New Roman"/>
                <w:sz w:val="20"/>
                <w:szCs w:val="20"/>
              </w:rPr>
            </w:pPr>
          </w:p>
        </w:tc>
        <w:tc>
          <w:tcPr>
            <w:tcW w:w="5" w:type="pct"/>
            <w:vAlign w:val="center"/>
            <w:hideMark/>
          </w:tcPr>
          <w:p w14:paraId="2F91E28F" w14:textId="77777777" w:rsidR="00000000" w:rsidRDefault="00EE5306">
            <w:pPr>
              <w:spacing w:after="100"/>
              <w:rPr>
                <w:rFonts w:eastAsia="Times New Roman"/>
                <w:sz w:val="20"/>
                <w:szCs w:val="20"/>
              </w:rPr>
            </w:pPr>
          </w:p>
        </w:tc>
        <w:tc>
          <w:tcPr>
            <w:tcW w:w="5" w:type="pct"/>
            <w:vAlign w:val="center"/>
            <w:hideMark/>
          </w:tcPr>
          <w:p w14:paraId="0AAD4C70" w14:textId="77777777" w:rsidR="00000000" w:rsidRDefault="00EE5306">
            <w:pPr>
              <w:spacing w:after="100"/>
              <w:rPr>
                <w:rFonts w:eastAsia="Times New Roman"/>
                <w:sz w:val="20"/>
                <w:szCs w:val="20"/>
              </w:rPr>
            </w:pPr>
          </w:p>
        </w:tc>
        <w:tc>
          <w:tcPr>
            <w:tcW w:w="28" w:type="pct"/>
            <w:vAlign w:val="center"/>
            <w:hideMark/>
          </w:tcPr>
          <w:p w14:paraId="355A18EA" w14:textId="77777777" w:rsidR="00000000" w:rsidRDefault="00EE5306">
            <w:pPr>
              <w:spacing w:after="100"/>
              <w:rPr>
                <w:rFonts w:eastAsia="Times New Roman"/>
                <w:sz w:val="20"/>
                <w:szCs w:val="20"/>
              </w:rPr>
            </w:pPr>
          </w:p>
        </w:tc>
        <w:tc>
          <w:tcPr>
            <w:tcW w:w="5" w:type="pct"/>
            <w:vAlign w:val="center"/>
            <w:hideMark/>
          </w:tcPr>
          <w:p w14:paraId="5C7A93A3" w14:textId="77777777" w:rsidR="00000000" w:rsidRDefault="00EE5306">
            <w:pPr>
              <w:spacing w:after="100"/>
              <w:rPr>
                <w:rFonts w:eastAsia="Times New Roman"/>
                <w:sz w:val="20"/>
                <w:szCs w:val="20"/>
              </w:rPr>
            </w:pPr>
          </w:p>
        </w:tc>
        <w:tc>
          <w:tcPr>
            <w:tcW w:w="50" w:type="pct"/>
            <w:vAlign w:val="center"/>
            <w:hideMark/>
          </w:tcPr>
          <w:p w14:paraId="657EAAC1" w14:textId="77777777" w:rsidR="00000000" w:rsidRDefault="00EE5306">
            <w:pPr>
              <w:spacing w:after="100"/>
              <w:rPr>
                <w:rFonts w:eastAsia="Times New Roman"/>
                <w:sz w:val="20"/>
                <w:szCs w:val="20"/>
              </w:rPr>
            </w:pPr>
          </w:p>
        </w:tc>
        <w:tc>
          <w:tcPr>
            <w:tcW w:w="717" w:type="pct"/>
            <w:vAlign w:val="center"/>
            <w:hideMark/>
          </w:tcPr>
          <w:p w14:paraId="4769A673" w14:textId="77777777" w:rsidR="00000000" w:rsidRDefault="00EE5306">
            <w:pPr>
              <w:spacing w:after="100"/>
              <w:rPr>
                <w:rFonts w:eastAsia="Times New Roman"/>
                <w:sz w:val="20"/>
                <w:szCs w:val="20"/>
              </w:rPr>
            </w:pPr>
          </w:p>
        </w:tc>
        <w:tc>
          <w:tcPr>
            <w:tcW w:w="5" w:type="pct"/>
            <w:vAlign w:val="center"/>
            <w:hideMark/>
          </w:tcPr>
          <w:p w14:paraId="3B2358AD" w14:textId="77777777" w:rsidR="00000000" w:rsidRDefault="00EE5306">
            <w:pPr>
              <w:spacing w:after="100"/>
              <w:rPr>
                <w:rFonts w:eastAsia="Times New Roman"/>
                <w:sz w:val="20"/>
                <w:szCs w:val="20"/>
              </w:rPr>
            </w:pPr>
          </w:p>
        </w:tc>
        <w:tc>
          <w:tcPr>
            <w:tcW w:w="5" w:type="pct"/>
            <w:vAlign w:val="center"/>
            <w:hideMark/>
          </w:tcPr>
          <w:p w14:paraId="560DC8F3" w14:textId="77777777" w:rsidR="00000000" w:rsidRDefault="00EE5306">
            <w:pPr>
              <w:spacing w:after="100"/>
              <w:rPr>
                <w:rFonts w:eastAsia="Times New Roman"/>
                <w:sz w:val="20"/>
                <w:szCs w:val="20"/>
              </w:rPr>
            </w:pPr>
          </w:p>
        </w:tc>
        <w:tc>
          <w:tcPr>
            <w:tcW w:w="28" w:type="pct"/>
            <w:vAlign w:val="center"/>
            <w:hideMark/>
          </w:tcPr>
          <w:p w14:paraId="69E305E4" w14:textId="77777777" w:rsidR="00000000" w:rsidRDefault="00EE5306">
            <w:pPr>
              <w:spacing w:after="100"/>
              <w:rPr>
                <w:rFonts w:eastAsia="Times New Roman"/>
                <w:sz w:val="20"/>
                <w:szCs w:val="20"/>
              </w:rPr>
            </w:pPr>
          </w:p>
        </w:tc>
        <w:tc>
          <w:tcPr>
            <w:tcW w:w="5" w:type="pct"/>
            <w:vAlign w:val="center"/>
            <w:hideMark/>
          </w:tcPr>
          <w:p w14:paraId="4565E015" w14:textId="77777777" w:rsidR="00000000" w:rsidRDefault="00EE5306">
            <w:pPr>
              <w:spacing w:after="100"/>
              <w:rPr>
                <w:rFonts w:eastAsia="Times New Roman"/>
                <w:sz w:val="20"/>
                <w:szCs w:val="20"/>
              </w:rPr>
            </w:pPr>
          </w:p>
        </w:tc>
        <w:tc>
          <w:tcPr>
            <w:tcW w:w="50" w:type="pct"/>
            <w:vAlign w:val="center"/>
            <w:hideMark/>
          </w:tcPr>
          <w:p w14:paraId="705260D0" w14:textId="77777777" w:rsidR="00000000" w:rsidRDefault="00EE5306">
            <w:pPr>
              <w:spacing w:after="100"/>
              <w:rPr>
                <w:rFonts w:eastAsia="Times New Roman"/>
                <w:sz w:val="20"/>
                <w:szCs w:val="20"/>
              </w:rPr>
            </w:pPr>
          </w:p>
        </w:tc>
        <w:tc>
          <w:tcPr>
            <w:tcW w:w="718" w:type="pct"/>
            <w:vAlign w:val="center"/>
            <w:hideMark/>
          </w:tcPr>
          <w:p w14:paraId="23590DF1" w14:textId="77777777" w:rsidR="00000000" w:rsidRDefault="00EE5306">
            <w:pPr>
              <w:spacing w:after="100"/>
              <w:rPr>
                <w:rFonts w:eastAsia="Times New Roman"/>
                <w:sz w:val="20"/>
                <w:szCs w:val="20"/>
              </w:rPr>
            </w:pPr>
          </w:p>
        </w:tc>
        <w:tc>
          <w:tcPr>
            <w:tcW w:w="5" w:type="pct"/>
            <w:vAlign w:val="center"/>
            <w:hideMark/>
          </w:tcPr>
          <w:p w14:paraId="2A788C20" w14:textId="77777777" w:rsidR="00000000" w:rsidRDefault="00EE5306">
            <w:pPr>
              <w:spacing w:after="100"/>
              <w:rPr>
                <w:rFonts w:eastAsia="Times New Roman"/>
                <w:sz w:val="20"/>
                <w:szCs w:val="20"/>
              </w:rPr>
            </w:pPr>
          </w:p>
        </w:tc>
      </w:tr>
      <w:tr w:rsidR="00000000" w14:paraId="25889CC2" w14:textId="77777777">
        <w:trPr>
          <w:divId w:val="1740984111"/>
        </w:trPr>
        <w:tc>
          <w:tcPr>
            <w:tcW w:w="0" w:type="auto"/>
            <w:gridSpan w:val="3"/>
            <w:tcMar>
              <w:top w:w="30" w:type="dxa"/>
              <w:left w:w="20" w:type="dxa"/>
              <w:bottom w:w="30" w:type="dxa"/>
              <w:right w:w="20" w:type="dxa"/>
            </w:tcMar>
            <w:vAlign w:val="bottom"/>
            <w:hideMark/>
          </w:tcPr>
          <w:p w14:paraId="5A4CAC4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A7B2B7D"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72403D9D"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12A05C47" w14:textId="77777777">
        <w:trPr>
          <w:divId w:val="1740984111"/>
        </w:trPr>
        <w:tc>
          <w:tcPr>
            <w:tcW w:w="0" w:type="auto"/>
            <w:gridSpan w:val="3"/>
            <w:tcMar>
              <w:top w:w="30" w:type="dxa"/>
              <w:left w:w="20" w:type="dxa"/>
              <w:bottom w:w="30" w:type="dxa"/>
              <w:right w:w="20" w:type="dxa"/>
            </w:tcMar>
            <w:vAlign w:val="bottom"/>
            <w:hideMark/>
          </w:tcPr>
          <w:p w14:paraId="04F28789" w14:textId="77777777" w:rsidR="00000000" w:rsidRDefault="00EE5306">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7464A11" w14:textId="77777777" w:rsidR="00000000" w:rsidRDefault="00EE5306">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9449F7"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9E64FC3"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8ECD2C"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861E8F3"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32958F"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7AC6A2FD" w14:textId="77777777">
        <w:trPr>
          <w:divId w:val="1740984111"/>
        </w:trPr>
        <w:tc>
          <w:tcPr>
            <w:tcW w:w="0" w:type="auto"/>
            <w:gridSpan w:val="3"/>
            <w:tcMar>
              <w:top w:w="30" w:type="dxa"/>
              <w:left w:w="20" w:type="dxa"/>
              <w:bottom w:w="30" w:type="dxa"/>
              <w:right w:w="20" w:type="dxa"/>
            </w:tcMar>
            <w:vAlign w:val="bottom"/>
            <w:hideMark/>
          </w:tcPr>
          <w:p w14:paraId="2D00D4A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3EAE1BD"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4E2C5AF"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5489CF9A" w14:textId="77777777">
        <w:trPr>
          <w:divId w:val="1740984111"/>
        </w:trPr>
        <w:tc>
          <w:tcPr>
            <w:tcW w:w="0" w:type="auto"/>
            <w:gridSpan w:val="3"/>
            <w:shd w:val="clear" w:color="auto" w:fill="CCEEFF"/>
            <w:tcMar>
              <w:top w:w="30" w:type="dxa"/>
              <w:left w:w="20" w:type="dxa"/>
              <w:bottom w:w="30" w:type="dxa"/>
              <w:right w:w="20" w:type="dxa"/>
            </w:tcMar>
            <w:vAlign w:val="bottom"/>
            <w:hideMark/>
          </w:tcPr>
          <w:p w14:paraId="3167AAA3" w14:textId="77777777" w:rsidR="00000000" w:rsidRDefault="00EE5306">
            <w:pPr>
              <w:spacing w:after="100"/>
              <w:rPr>
                <w:rFonts w:eastAsia="Times New Roman"/>
              </w:rPr>
            </w:pPr>
            <w:r>
              <w:rPr>
                <w:rFonts w:eastAsia="Times New Roman"/>
                <w:b/>
                <w:bCs/>
                <w:color w:val="000000"/>
                <w:sz w:val="20"/>
                <w:szCs w:val="20"/>
              </w:rPr>
              <w:t>Unallocated restructuring and other charges:</w:t>
            </w:r>
          </w:p>
        </w:tc>
        <w:tc>
          <w:tcPr>
            <w:tcW w:w="0" w:type="auto"/>
            <w:gridSpan w:val="3"/>
            <w:shd w:val="clear" w:color="auto" w:fill="CCEEFF"/>
            <w:tcMar>
              <w:top w:w="0" w:type="dxa"/>
              <w:left w:w="20" w:type="dxa"/>
              <w:bottom w:w="0" w:type="dxa"/>
              <w:right w:w="20" w:type="dxa"/>
            </w:tcMar>
            <w:vAlign w:val="center"/>
            <w:hideMark/>
          </w:tcPr>
          <w:p w14:paraId="710A0A40"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82DB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3D9D44"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C71BD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849EF7"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32D9E" w14:textId="77777777" w:rsidR="00000000" w:rsidRDefault="00EE5306">
            <w:pPr>
              <w:spacing w:after="100"/>
              <w:rPr>
                <w:rFonts w:eastAsia="Times New Roman"/>
                <w:sz w:val="20"/>
                <w:szCs w:val="20"/>
              </w:rPr>
            </w:pPr>
          </w:p>
        </w:tc>
      </w:tr>
      <w:tr w:rsidR="00000000" w14:paraId="53DE60BE" w14:textId="77777777">
        <w:trPr>
          <w:divId w:val="1740984111"/>
        </w:trPr>
        <w:tc>
          <w:tcPr>
            <w:tcW w:w="0" w:type="auto"/>
            <w:gridSpan w:val="3"/>
            <w:shd w:val="clear" w:color="auto" w:fill="FFFFFF"/>
            <w:tcMar>
              <w:top w:w="30" w:type="dxa"/>
              <w:left w:w="155" w:type="dxa"/>
              <w:bottom w:w="30" w:type="dxa"/>
              <w:right w:w="20" w:type="dxa"/>
            </w:tcMar>
            <w:vAlign w:val="bottom"/>
            <w:hideMark/>
          </w:tcPr>
          <w:p w14:paraId="45EE328B" w14:textId="77777777" w:rsidR="00000000" w:rsidRDefault="00EE5306">
            <w:pPr>
              <w:spacing w:after="100"/>
              <w:rPr>
                <w:rFonts w:eastAsia="Times New Roman"/>
              </w:rPr>
            </w:pPr>
            <w:r>
              <w:rPr>
                <w:rFonts w:eastAsia="Times New Roman"/>
                <w:color w:val="000000"/>
                <w:sz w:val="20"/>
                <w:szCs w:val="20"/>
              </w:rPr>
              <w:t>North America-related</w:t>
            </w:r>
          </w:p>
        </w:tc>
        <w:tc>
          <w:tcPr>
            <w:tcW w:w="0" w:type="auto"/>
            <w:gridSpan w:val="3"/>
            <w:shd w:val="clear" w:color="auto" w:fill="FFFFFF"/>
            <w:tcMar>
              <w:top w:w="0" w:type="dxa"/>
              <w:left w:w="20" w:type="dxa"/>
              <w:bottom w:w="0" w:type="dxa"/>
              <w:right w:w="20" w:type="dxa"/>
            </w:tcMar>
            <w:vAlign w:val="center"/>
            <w:hideMark/>
          </w:tcPr>
          <w:p w14:paraId="5E15D20A"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627B7C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C22795" w14:textId="77777777" w:rsidR="00000000" w:rsidRDefault="00EE5306">
            <w:pPr>
              <w:spacing w:after="100"/>
              <w:jc w:val="right"/>
              <w:rPr>
                <w:rFonts w:eastAsia="Times New Roman"/>
              </w:rPr>
            </w:pPr>
            <w:r>
              <w:rPr>
                <w:rFonts w:eastAsia="Times New Roman"/>
                <w:color w:val="000000"/>
                <w:sz w:val="20"/>
                <w:szCs w:val="20"/>
              </w:rPr>
              <w:t>(22.4)</w:t>
            </w:r>
          </w:p>
        </w:tc>
        <w:tc>
          <w:tcPr>
            <w:tcW w:w="0" w:type="auto"/>
            <w:shd w:val="clear" w:color="auto" w:fill="FFFFFF"/>
            <w:tcMar>
              <w:top w:w="30" w:type="dxa"/>
              <w:left w:w="0" w:type="dxa"/>
              <w:bottom w:w="30" w:type="dxa"/>
              <w:right w:w="20" w:type="dxa"/>
            </w:tcMar>
            <w:vAlign w:val="bottom"/>
            <w:hideMark/>
          </w:tcPr>
          <w:p w14:paraId="7F75543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DDBEA"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15A708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59CDB8B" w14:textId="77777777" w:rsidR="00000000" w:rsidRDefault="00EE5306">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0D9F22D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74BB2"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EFC61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88FB681" w14:textId="77777777" w:rsidR="00000000" w:rsidRDefault="00EE5306">
            <w:pPr>
              <w:spacing w:after="100"/>
              <w:jc w:val="right"/>
              <w:rPr>
                <w:rFonts w:eastAsia="Times New Roman"/>
              </w:rPr>
            </w:pPr>
            <w:r>
              <w:rPr>
                <w:rFonts w:eastAsia="Times New Roman"/>
                <w:color w:val="000000"/>
                <w:sz w:val="20"/>
                <w:szCs w:val="20"/>
              </w:rPr>
              <w:t>(27.0)</w:t>
            </w:r>
          </w:p>
        </w:tc>
        <w:tc>
          <w:tcPr>
            <w:tcW w:w="0" w:type="auto"/>
            <w:shd w:val="clear" w:color="auto" w:fill="FFFFFF"/>
            <w:tcMar>
              <w:top w:w="30" w:type="dxa"/>
              <w:left w:w="0" w:type="dxa"/>
              <w:bottom w:w="30" w:type="dxa"/>
              <w:right w:w="20" w:type="dxa"/>
            </w:tcMar>
            <w:vAlign w:val="bottom"/>
            <w:hideMark/>
          </w:tcPr>
          <w:p w14:paraId="0C592B4A" w14:textId="77777777" w:rsidR="00000000" w:rsidRDefault="00EE5306">
            <w:pPr>
              <w:spacing w:after="100"/>
              <w:jc w:val="right"/>
              <w:rPr>
                <w:rFonts w:eastAsia="Times New Roman"/>
              </w:rPr>
            </w:pPr>
          </w:p>
        </w:tc>
      </w:tr>
      <w:tr w:rsidR="00000000" w14:paraId="6C4BDA29" w14:textId="77777777">
        <w:trPr>
          <w:divId w:val="1740984111"/>
        </w:trPr>
        <w:tc>
          <w:tcPr>
            <w:tcW w:w="0" w:type="auto"/>
            <w:gridSpan w:val="3"/>
            <w:shd w:val="clear" w:color="auto" w:fill="CCEEFF"/>
            <w:tcMar>
              <w:top w:w="30" w:type="dxa"/>
              <w:left w:w="155" w:type="dxa"/>
              <w:bottom w:w="30" w:type="dxa"/>
              <w:right w:w="20" w:type="dxa"/>
            </w:tcMar>
            <w:vAlign w:val="bottom"/>
            <w:hideMark/>
          </w:tcPr>
          <w:p w14:paraId="15322EF8" w14:textId="77777777" w:rsidR="00000000" w:rsidRDefault="00EE5306">
            <w:pPr>
              <w:spacing w:after="100"/>
              <w:rPr>
                <w:rFonts w:eastAsia="Times New Roman"/>
              </w:rPr>
            </w:pPr>
            <w:r>
              <w:rPr>
                <w:rFonts w:eastAsia="Times New Roman"/>
                <w:color w:val="000000"/>
                <w:sz w:val="20"/>
                <w:szCs w:val="20"/>
              </w:rPr>
              <w:t>Europe-related</w:t>
            </w:r>
          </w:p>
        </w:tc>
        <w:tc>
          <w:tcPr>
            <w:tcW w:w="0" w:type="auto"/>
            <w:gridSpan w:val="3"/>
            <w:shd w:val="clear" w:color="auto" w:fill="CCEEFF"/>
            <w:tcMar>
              <w:top w:w="0" w:type="dxa"/>
              <w:left w:w="20" w:type="dxa"/>
              <w:bottom w:w="0" w:type="dxa"/>
              <w:right w:w="20" w:type="dxa"/>
            </w:tcMar>
            <w:vAlign w:val="center"/>
            <w:hideMark/>
          </w:tcPr>
          <w:p w14:paraId="4140A0AF"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612314" w14:textId="77777777" w:rsidR="00000000" w:rsidRDefault="00EE5306">
            <w:pPr>
              <w:spacing w:after="100"/>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14:paraId="148B9760"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3B00EF"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9FC077" w14:textId="77777777" w:rsidR="00000000" w:rsidRDefault="00EE5306">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14:paraId="0FA787C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16C8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7D8BEE" w14:textId="77777777" w:rsidR="00000000" w:rsidRDefault="00EE5306">
            <w:pPr>
              <w:spacing w:after="100"/>
              <w:jc w:val="right"/>
              <w:rPr>
                <w:rFonts w:eastAsia="Times New Roman"/>
              </w:rPr>
            </w:pPr>
            <w:r>
              <w:rPr>
                <w:rFonts w:eastAsia="Times New Roman"/>
                <w:color w:val="000000"/>
                <w:sz w:val="20"/>
                <w:szCs w:val="20"/>
              </w:rPr>
              <w:t>(14.9)</w:t>
            </w:r>
          </w:p>
        </w:tc>
        <w:tc>
          <w:tcPr>
            <w:tcW w:w="0" w:type="auto"/>
            <w:shd w:val="clear" w:color="auto" w:fill="CCEEFF"/>
            <w:tcMar>
              <w:top w:w="30" w:type="dxa"/>
              <w:left w:w="0" w:type="dxa"/>
              <w:bottom w:w="30" w:type="dxa"/>
              <w:right w:w="20" w:type="dxa"/>
            </w:tcMar>
            <w:vAlign w:val="bottom"/>
            <w:hideMark/>
          </w:tcPr>
          <w:p w14:paraId="176DD9DE" w14:textId="77777777" w:rsidR="00000000" w:rsidRDefault="00EE5306">
            <w:pPr>
              <w:spacing w:after="100"/>
              <w:jc w:val="right"/>
              <w:rPr>
                <w:rFonts w:eastAsia="Times New Roman"/>
              </w:rPr>
            </w:pPr>
          </w:p>
        </w:tc>
      </w:tr>
      <w:tr w:rsidR="00000000" w14:paraId="1D300863" w14:textId="77777777">
        <w:trPr>
          <w:divId w:val="1740984111"/>
        </w:trPr>
        <w:tc>
          <w:tcPr>
            <w:tcW w:w="0" w:type="auto"/>
            <w:gridSpan w:val="3"/>
            <w:shd w:val="clear" w:color="auto" w:fill="FFFFFF"/>
            <w:tcMar>
              <w:top w:w="30" w:type="dxa"/>
              <w:left w:w="155" w:type="dxa"/>
              <w:bottom w:w="30" w:type="dxa"/>
              <w:right w:w="20" w:type="dxa"/>
            </w:tcMar>
            <w:vAlign w:val="bottom"/>
            <w:hideMark/>
          </w:tcPr>
          <w:p w14:paraId="34FD3FCC" w14:textId="77777777" w:rsidR="00000000" w:rsidRDefault="00EE5306">
            <w:pPr>
              <w:spacing w:after="100"/>
              <w:rPr>
                <w:rFonts w:eastAsia="Times New Roman"/>
              </w:rPr>
            </w:pPr>
            <w:r>
              <w:rPr>
                <w:rFonts w:eastAsia="Times New Roman"/>
                <w:color w:val="000000"/>
                <w:sz w:val="20"/>
                <w:szCs w:val="20"/>
              </w:rPr>
              <w:t>Asia-related</w:t>
            </w:r>
          </w:p>
        </w:tc>
        <w:tc>
          <w:tcPr>
            <w:tcW w:w="0" w:type="auto"/>
            <w:gridSpan w:val="3"/>
            <w:shd w:val="clear" w:color="auto" w:fill="FFFFFF"/>
            <w:tcMar>
              <w:top w:w="0" w:type="dxa"/>
              <w:left w:w="20" w:type="dxa"/>
              <w:bottom w:w="0" w:type="dxa"/>
              <w:right w:w="20" w:type="dxa"/>
            </w:tcMar>
            <w:vAlign w:val="center"/>
            <w:hideMark/>
          </w:tcPr>
          <w:p w14:paraId="728533F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27C081" w14:textId="77777777" w:rsidR="00000000" w:rsidRDefault="00EE5306">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14:paraId="3F11082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3952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2E5EE5" w14:textId="77777777" w:rsidR="00000000" w:rsidRDefault="00EE5306">
            <w:pPr>
              <w:spacing w:after="100"/>
              <w:jc w:val="right"/>
              <w:rPr>
                <w:rFonts w:eastAsia="Times New Roman"/>
              </w:rPr>
            </w:pPr>
            <w:r>
              <w:rPr>
                <w:rFonts w:eastAsia="Times New Roman"/>
                <w:color w:val="000000"/>
                <w:sz w:val="20"/>
                <w:szCs w:val="20"/>
              </w:rPr>
              <w:t>(0.9)</w:t>
            </w:r>
          </w:p>
        </w:tc>
        <w:tc>
          <w:tcPr>
            <w:tcW w:w="0" w:type="auto"/>
            <w:shd w:val="clear" w:color="auto" w:fill="FFFFFF"/>
            <w:tcMar>
              <w:top w:w="30" w:type="dxa"/>
              <w:left w:w="0" w:type="dxa"/>
              <w:bottom w:w="30" w:type="dxa"/>
              <w:right w:w="20" w:type="dxa"/>
            </w:tcMar>
            <w:vAlign w:val="bottom"/>
            <w:hideMark/>
          </w:tcPr>
          <w:p w14:paraId="49FB73F2"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BF56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21B513" w14:textId="77777777" w:rsidR="00000000" w:rsidRDefault="00EE5306">
            <w:pPr>
              <w:spacing w:after="100"/>
              <w:jc w:val="right"/>
              <w:rPr>
                <w:rFonts w:eastAsia="Times New Roman"/>
              </w:rPr>
            </w:pPr>
            <w:r>
              <w:rPr>
                <w:rFonts w:eastAsia="Times New Roman"/>
                <w:color w:val="000000"/>
                <w:sz w:val="20"/>
                <w:szCs w:val="20"/>
              </w:rPr>
              <w:t>(0.9)</w:t>
            </w:r>
          </w:p>
        </w:tc>
        <w:tc>
          <w:tcPr>
            <w:tcW w:w="0" w:type="auto"/>
            <w:shd w:val="clear" w:color="auto" w:fill="FFFFFF"/>
            <w:tcMar>
              <w:top w:w="30" w:type="dxa"/>
              <w:left w:w="0" w:type="dxa"/>
              <w:bottom w:w="30" w:type="dxa"/>
              <w:right w:w="20" w:type="dxa"/>
            </w:tcMar>
            <w:vAlign w:val="bottom"/>
            <w:hideMark/>
          </w:tcPr>
          <w:p w14:paraId="382C7923" w14:textId="77777777" w:rsidR="00000000" w:rsidRDefault="00EE5306">
            <w:pPr>
              <w:spacing w:after="100"/>
              <w:jc w:val="right"/>
              <w:rPr>
                <w:rFonts w:eastAsia="Times New Roman"/>
              </w:rPr>
            </w:pPr>
          </w:p>
        </w:tc>
      </w:tr>
      <w:tr w:rsidR="00000000" w14:paraId="409947FC" w14:textId="77777777">
        <w:trPr>
          <w:divId w:val="1740984111"/>
        </w:trPr>
        <w:tc>
          <w:tcPr>
            <w:tcW w:w="0" w:type="auto"/>
            <w:gridSpan w:val="3"/>
            <w:shd w:val="clear" w:color="auto" w:fill="CCEEFF"/>
            <w:tcMar>
              <w:top w:w="30" w:type="dxa"/>
              <w:left w:w="155" w:type="dxa"/>
              <w:bottom w:w="30" w:type="dxa"/>
              <w:right w:w="20" w:type="dxa"/>
            </w:tcMar>
            <w:vAlign w:val="bottom"/>
            <w:hideMark/>
          </w:tcPr>
          <w:p w14:paraId="56BE7B2E" w14:textId="77777777" w:rsidR="00000000" w:rsidRDefault="00EE5306">
            <w:pPr>
              <w:spacing w:after="100"/>
              <w:rPr>
                <w:rFonts w:eastAsia="Times New Roman"/>
              </w:rPr>
            </w:pPr>
            <w:r>
              <w:rPr>
                <w:rFonts w:eastAsia="Times New Roman"/>
                <w:color w:val="000000"/>
                <w:sz w:val="20"/>
                <w:szCs w:val="20"/>
              </w:rPr>
              <w:t>Other non-reportable segment-related</w:t>
            </w:r>
          </w:p>
        </w:tc>
        <w:tc>
          <w:tcPr>
            <w:tcW w:w="0" w:type="auto"/>
            <w:gridSpan w:val="3"/>
            <w:shd w:val="clear" w:color="auto" w:fill="CCEEFF"/>
            <w:tcMar>
              <w:top w:w="0" w:type="dxa"/>
              <w:left w:w="20" w:type="dxa"/>
              <w:bottom w:w="0" w:type="dxa"/>
              <w:right w:w="20" w:type="dxa"/>
            </w:tcMar>
            <w:vAlign w:val="center"/>
            <w:hideMark/>
          </w:tcPr>
          <w:p w14:paraId="64887CE9"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2CD162" w14:textId="77777777" w:rsidR="00000000" w:rsidRDefault="00EE5306">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14:paraId="4969752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C0C0EB"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B5F075" w14:textId="77777777" w:rsidR="00000000" w:rsidRDefault="00EE5306">
            <w:pPr>
              <w:spacing w:after="100"/>
              <w:jc w:val="right"/>
              <w:rPr>
                <w:rFonts w:eastAsia="Times New Roman"/>
              </w:rPr>
            </w:pPr>
            <w:r>
              <w:rPr>
                <w:rFonts w:eastAsia="Times New Roman"/>
                <w:color w:val="000000"/>
                <w:sz w:val="20"/>
                <w:szCs w:val="20"/>
              </w:rPr>
              <w:t>(0.8)</w:t>
            </w:r>
          </w:p>
        </w:tc>
        <w:tc>
          <w:tcPr>
            <w:tcW w:w="0" w:type="auto"/>
            <w:shd w:val="clear" w:color="auto" w:fill="CCEEFF"/>
            <w:tcMar>
              <w:top w:w="30" w:type="dxa"/>
              <w:left w:w="0" w:type="dxa"/>
              <w:bottom w:w="30" w:type="dxa"/>
              <w:right w:w="20" w:type="dxa"/>
            </w:tcMar>
            <w:vAlign w:val="bottom"/>
            <w:hideMark/>
          </w:tcPr>
          <w:p w14:paraId="5CD6805C"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72AAE"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FD2636" w14:textId="77777777" w:rsidR="00000000" w:rsidRDefault="00EE5306">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14:paraId="6FAFA6A7" w14:textId="77777777" w:rsidR="00000000" w:rsidRDefault="00EE5306">
            <w:pPr>
              <w:spacing w:after="100"/>
              <w:jc w:val="right"/>
              <w:rPr>
                <w:rFonts w:eastAsia="Times New Roman"/>
              </w:rPr>
            </w:pPr>
          </w:p>
        </w:tc>
      </w:tr>
      <w:tr w:rsidR="00000000" w14:paraId="1D95CEDE" w14:textId="77777777">
        <w:trPr>
          <w:divId w:val="1740984111"/>
        </w:trPr>
        <w:tc>
          <w:tcPr>
            <w:tcW w:w="0" w:type="auto"/>
            <w:gridSpan w:val="3"/>
            <w:shd w:val="clear" w:color="auto" w:fill="FFFFFF"/>
            <w:tcMar>
              <w:top w:w="30" w:type="dxa"/>
              <w:left w:w="155" w:type="dxa"/>
              <w:bottom w:w="30" w:type="dxa"/>
              <w:right w:w="20" w:type="dxa"/>
            </w:tcMar>
            <w:vAlign w:val="bottom"/>
            <w:hideMark/>
          </w:tcPr>
          <w:p w14:paraId="536B5700" w14:textId="77777777" w:rsidR="00000000" w:rsidRDefault="00EE5306">
            <w:pPr>
              <w:spacing w:after="100"/>
              <w:rPr>
                <w:rFonts w:eastAsia="Times New Roman"/>
              </w:rPr>
            </w:pPr>
            <w:r>
              <w:rPr>
                <w:rFonts w:eastAsia="Times New Roman"/>
                <w:color w:val="000000"/>
                <w:sz w:val="20"/>
                <w:szCs w:val="20"/>
              </w:rPr>
              <w:t xml:space="preserve">Corporate operations-related </w:t>
            </w:r>
          </w:p>
        </w:tc>
        <w:tc>
          <w:tcPr>
            <w:tcW w:w="0" w:type="auto"/>
            <w:gridSpan w:val="3"/>
            <w:shd w:val="clear" w:color="auto" w:fill="FFFFFF"/>
            <w:tcMar>
              <w:top w:w="0" w:type="dxa"/>
              <w:left w:w="20" w:type="dxa"/>
              <w:bottom w:w="0" w:type="dxa"/>
              <w:right w:w="20" w:type="dxa"/>
            </w:tcMar>
            <w:vAlign w:val="center"/>
            <w:hideMark/>
          </w:tcPr>
          <w:p w14:paraId="57F58DA4"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47A2F9" w14:textId="77777777" w:rsidR="00000000" w:rsidRDefault="00EE5306">
            <w:pPr>
              <w:spacing w:after="100"/>
              <w:jc w:val="right"/>
              <w:rPr>
                <w:rFonts w:eastAsia="Times New Roman"/>
              </w:rPr>
            </w:pPr>
            <w:r>
              <w:rPr>
                <w:rFonts w:eastAsia="Times New Roman"/>
                <w:color w:val="000000"/>
                <w:sz w:val="20"/>
                <w:szCs w:val="20"/>
              </w:rPr>
              <w:t>(96.0)</w:t>
            </w:r>
          </w:p>
        </w:tc>
        <w:tc>
          <w:tcPr>
            <w:tcW w:w="0" w:type="auto"/>
            <w:shd w:val="clear" w:color="auto" w:fill="FFFFFF"/>
            <w:tcMar>
              <w:top w:w="30" w:type="dxa"/>
              <w:left w:w="0" w:type="dxa"/>
              <w:bottom w:w="30" w:type="dxa"/>
              <w:right w:w="20" w:type="dxa"/>
            </w:tcMar>
            <w:vAlign w:val="bottom"/>
            <w:hideMark/>
          </w:tcPr>
          <w:p w14:paraId="1143EE7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212EEA"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11C15D" w14:textId="77777777" w:rsidR="00000000" w:rsidRDefault="00EE5306">
            <w:pPr>
              <w:spacing w:after="100"/>
              <w:jc w:val="right"/>
              <w:rPr>
                <w:rFonts w:eastAsia="Times New Roman"/>
              </w:rPr>
            </w:pPr>
            <w:r>
              <w:rPr>
                <w:rFonts w:eastAsia="Times New Roman"/>
                <w:color w:val="000000"/>
                <w:sz w:val="20"/>
                <w:szCs w:val="20"/>
              </w:rPr>
              <w:t>(31.4)</w:t>
            </w:r>
          </w:p>
        </w:tc>
        <w:tc>
          <w:tcPr>
            <w:tcW w:w="0" w:type="auto"/>
            <w:shd w:val="clear" w:color="auto" w:fill="FFFFFF"/>
            <w:tcMar>
              <w:top w:w="30" w:type="dxa"/>
              <w:left w:w="0" w:type="dxa"/>
              <w:bottom w:w="30" w:type="dxa"/>
              <w:right w:w="20" w:type="dxa"/>
            </w:tcMar>
            <w:vAlign w:val="bottom"/>
            <w:hideMark/>
          </w:tcPr>
          <w:p w14:paraId="2E33FE7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570C0"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B3299A" w14:textId="77777777" w:rsidR="00000000" w:rsidRDefault="00EE5306">
            <w:pPr>
              <w:spacing w:after="100"/>
              <w:jc w:val="right"/>
              <w:rPr>
                <w:rFonts w:eastAsia="Times New Roman"/>
              </w:rPr>
            </w:pPr>
            <w:r>
              <w:rPr>
                <w:rFonts w:eastAsia="Times New Roman"/>
                <w:color w:val="000000"/>
                <w:sz w:val="20"/>
                <w:szCs w:val="20"/>
              </w:rPr>
              <w:t>(46.3)</w:t>
            </w:r>
          </w:p>
        </w:tc>
        <w:tc>
          <w:tcPr>
            <w:tcW w:w="0" w:type="auto"/>
            <w:shd w:val="clear" w:color="auto" w:fill="FFFFFF"/>
            <w:tcMar>
              <w:top w:w="30" w:type="dxa"/>
              <w:left w:w="0" w:type="dxa"/>
              <w:bottom w:w="30" w:type="dxa"/>
              <w:right w:w="20" w:type="dxa"/>
            </w:tcMar>
            <w:vAlign w:val="bottom"/>
            <w:hideMark/>
          </w:tcPr>
          <w:p w14:paraId="664FC718" w14:textId="77777777" w:rsidR="00000000" w:rsidRDefault="00EE5306">
            <w:pPr>
              <w:spacing w:after="100"/>
              <w:jc w:val="right"/>
              <w:rPr>
                <w:rFonts w:eastAsia="Times New Roman"/>
              </w:rPr>
            </w:pPr>
          </w:p>
        </w:tc>
      </w:tr>
      <w:tr w:rsidR="00000000" w14:paraId="1AB4064F" w14:textId="77777777">
        <w:trPr>
          <w:divId w:val="1740984111"/>
        </w:trPr>
        <w:tc>
          <w:tcPr>
            <w:tcW w:w="0" w:type="auto"/>
            <w:gridSpan w:val="3"/>
            <w:shd w:val="clear" w:color="auto" w:fill="CCEEFF"/>
            <w:tcMar>
              <w:top w:w="30" w:type="dxa"/>
              <w:left w:w="20" w:type="dxa"/>
              <w:bottom w:w="30" w:type="dxa"/>
              <w:right w:w="20" w:type="dxa"/>
            </w:tcMar>
            <w:vAlign w:val="bottom"/>
            <w:hideMark/>
          </w:tcPr>
          <w:p w14:paraId="172DEAC0" w14:textId="77777777" w:rsidR="00000000" w:rsidRDefault="00EE5306">
            <w:pPr>
              <w:spacing w:after="100"/>
              <w:ind w:hanging="90"/>
              <w:divId w:val="930552993"/>
              <w:rPr>
                <w:rFonts w:eastAsia="Times New Roman"/>
              </w:rPr>
            </w:pPr>
            <w:r>
              <w:rPr>
                <w:rFonts w:eastAsia="Times New Roman"/>
                <w:color w:val="000000"/>
                <w:sz w:val="20"/>
                <w:szCs w:val="20"/>
              </w:rPr>
              <w:t>Unallocated restructuring charges</w:t>
            </w:r>
          </w:p>
        </w:tc>
        <w:tc>
          <w:tcPr>
            <w:tcW w:w="0" w:type="auto"/>
            <w:gridSpan w:val="3"/>
            <w:shd w:val="clear" w:color="auto" w:fill="CCEEFF"/>
            <w:tcMar>
              <w:top w:w="0" w:type="dxa"/>
              <w:left w:w="20" w:type="dxa"/>
              <w:bottom w:w="0" w:type="dxa"/>
              <w:right w:w="20" w:type="dxa"/>
            </w:tcMar>
            <w:vAlign w:val="center"/>
            <w:hideMark/>
          </w:tcPr>
          <w:p w14:paraId="579381E5" w14:textId="77777777" w:rsidR="00000000" w:rsidRDefault="00EE5306">
            <w:pPr>
              <w:spacing w:after="100"/>
              <w:ind w:hanging="9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EB063B" w14:textId="77777777" w:rsidR="00000000" w:rsidRDefault="00EE5306">
            <w:pPr>
              <w:spacing w:after="100"/>
              <w:jc w:val="right"/>
              <w:rPr>
                <w:rFonts w:eastAsia="Times New Roman"/>
              </w:rPr>
            </w:pPr>
            <w:r>
              <w:rPr>
                <w:rFonts w:eastAsia="Times New Roman"/>
                <w:color w:val="000000"/>
                <w:sz w:val="20"/>
                <w:szCs w:val="20"/>
              </w:rPr>
              <w:t>(159.1)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5AEFA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9D5C8"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7B1EE4" w14:textId="77777777" w:rsidR="00000000" w:rsidRDefault="00EE5306">
            <w:pPr>
              <w:spacing w:after="100"/>
              <w:jc w:val="right"/>
              <w:rPr>
                <w:rFonts w:eastAsia="Times New Roman"/>
              </w:rPr>
            </w:pPr>
            <w:r>
              <w:rPr>
                <w:rFonts w:eastAsia="Times New Roman"/>
                <w:color w:val="000000"/>
                <w:sz w:val="20"/>
                <w:szCs w:val="20"/>
              </w:rPr>
              <w:t>(37.6)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5CE45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B1FEA9" w14:textId="77777777" w:rsidR="00000000" w:rsidRDefault="00EE530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834D53" w14:textId="77777777" w:rsidR="00000000" w:rsidRDefault="00EE5306">
            <w:pPr>
              <w:spacing w:after="100"/>
              <w:jc w:val="right"/>
              <w:rPr>
                <w:rFonts w:eastAsia="Times New Roman"/>
              </w:rPr>
            </w:pPr>
            <w:r>
              <w:rPr>
                <w:rFonts w:eastAsia="Times New Roman"/>
                <w:color w:val="000000"/>
                <w:sz w:val="20"/>
                <w:szCs w:val="20"/>
              </w:rPr>
              <w:t>(93.6)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3A17E8" w14:textId="77777777" w:rsidR="00000000" w:rsidRDefault="00EE5306">
            <w:pPr>
              <w:spacing w:after="100"/>
              <w:jc w:val="right"/>
              <w:rPr>
                <w:rFonts w:eastAsia="Times New Roman"/>
              </w:rPr>
            </w:pPr>
          </w:p>
        </w:tc>
      </w:tr>
      <w:tr w:rsidR="00000000" w14:paraId="576BD120" w14:textId="77777777">
        <w:trPr>
          <w:divId w:val="1740984111"/>
        </w:trPr>
        <w:tc>
          <w:tcPr>
            <w:tcW w:w="0" w:type="auto"/>
            <w:gridSpan w:val="3"/>
            <w:shd w:val="clear" w:color="auto" w:fill="FFFFFF"/>
            <w:tcMar>
              <w:top w:w="30" w:type="dxa"/>
              <w:left w:w="20" w:type="dxa"/>
              <w:bottom w:w="30" w:type="dxa"/>
              <w:right w:w="20" w:type="dxa"/>
            </w:tcMar>
            <w:vAlign w:val="bottom"/>
            <w:hideMark/>
          </w:tcPr>
          <w:p w14:paraId="0762D52D" w14:textId="77777777" w:rsidR="00000000" w:rsidRDefault="00EE5306">
            <w:pPr>
              <w:spacing w:after="100"/>
              <w:ind w:hanging="90"/>
              <w:divId w:val="1734884660"/>
              <w:rPr>
                <w:rFonts w:eastAsia="Times New Roman"/>
              </w:rPr>
            </w:pPr>
            <w:r>
              <w:rPr>
                <w:rFonts w:eastAsia="Times New Roman"/>
                <w:color w:val="000000"/>
                <w:sz w:val="20"/>
                <w:szCs w:val="20"/>
              </w:rPr>
              <w:t>Other charges (see Note 9)</w:t>
            </w:r>
          </w:p>
        </w:tc>
        <w:tc>
          <w:tcPr>
            <w:tcW w:w="0" w:type="auto"/>
            <w:gridSpan w:val="3"/>
            <w:shd w:val="clear" w:color="auto" w:fill="FFFFFF"/>
            <w:tcMar>
              <w:top w:w="0" w:type="dxa"/>
              <w:left w:w="20" w:type="dxa"/>
              <w:bottom w:w="0" w:type="dxa"/>
              <w:right w:w="20" w:type="dxa"/>
            </w:tcMar>
            <w:vAlign w:val="center"/>
            <w:hideMark/>
          </w:tcPr>
          <w:p w14:paraId="7598D5F8" w14:textId="77777777" w:rsidR="00000000" w:rsidRDefault="00EE5306">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5574E6" w14:textId="77777777" w:rsidR="00000000" w:rsidRDefault="00EE5306">
            <w:pPr>
              <w:spacing w:after="100"/>
              <w:jc w:val="right"/>
              <w:rPr>
                <w:rFonts w:eastAsia="Times New Roman"/>
              </w:rPr>
            </w:pPr>
            <w:r>
              <w:rPr>
                <w:rFonts w:eastAsia="Times New Roman"/>
                <w:color w:val="000000"/>
                <w:sz w:val="20"/>
                <w:szCs w:val="20"/>
              </w:rPr>
              <w:t>(11.4)</w:t>
            </w:r>
          </w:p>
        </w:tc>
        <w:tc>
          <w:tcPr>
            <w:tcW w:w="0" w:type="auto"/>
            <w:shd w:val="clear" w:color="auto" w:fill="FFFFFF"/>
            <w:tcMar>
              <w:top w:w="30" w:type="dxa"/>
              <w:left w:w="0" w:type="dxa"/>
              <w:bottom w:w="30" w:type="dxa"/>
              <w:right w:w="20" w:type="dxa"/>
            </w:tcMar>
            <w:vAlign w:val="bottom"/>
            <w:hideMark/>
          </w:tcPr>
          <w:p w14:paraId="00723AF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C5A3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EA775" w14:textId="77777777" w:rsidR="00000000" w:rsidRDefault="00EE5306">
            <w:pPr>
              <w:spacing w:after="100"/>
              <w:jc w:val="right"/>
              <w:rPr>
                <w:rFonts w:eastAsia="Times New Roman"/>
              </w:rPr>
            </w:pPr>
            <w:r>
              <w:rPr>
                <w:rFonts w:eastAsia="Times New Roman"/>
                <w:color w:val="000000"/>
                <w:sz w:val="20"/>
                <w:szCs w:val="20"/>
              </w:rPr>
              <w:t>(29.6)</w:t>
            </w:r>
          </w:p>
        </w:tc>
        <w:tc>
          <w:tcPr>
            <w:tcW w:w="0" w:type="auto"/>
            <w:shd w:val="clear" w:color="auto" w:fill="FFFFFF"/>
            <w:tcMar>
              <w:top w:w="30" w:type="dxa"/>
              <w:left w:w="0" w:type="dxa"/>
              <w:bottom w:w="30" w:type="dxa"/>
              <w:right w:w="20" w:type="dxa"/>
            </w:tcMar>
            <w:vAlign w:val="bottom"/>
            <w:hideMark/>
          </w:tcPr>
          <w:p w14:paraId="35DB1BE1"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9618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B03DC2" w14:textId="77777777" w:rsidR="00000000" w:rsidRDefault="00EE5306">
            <w:pPr>
              <w:spacing w:after="100"/>
              <w:jc w:val="right"/>
              <w:rPr>
                <w:rFonts w:eastAsia="Times New Roman"/>
              </w:rPr>
            </w:pPr>
            <w:r>
              <w:rPr>
                <w:rFonts w:eastAsia="Times New Roman"/>
                <w:color w:val="000000"/>
                <w:sz w:val="20"/>
                <w:szCs w:val="20"/>
              </w:rPr>
              <w:t>(36.5)</w:t>
            </w:r>
          </w:p>
        </w:tc>
        <w:tc>
          <w:tcPr>
            <w:tcW w:w="0" w:type="auto"/>
            <w:shd w:val="clear" w:color="auto" w:fill="FFFFFF"/>
            <w:tcMar>
              <w:top w:w="30" w:type="dxa"/>
              <w:left w:w="0" w:type="dxa"/>
              <w:bottom w:w="30" w:type="dxa"/>
              <w:right w:w="20" w:type="dxa"/>
            </w:tcMar>
            <w:vAlign w:val="bottom"/>
            <w:hideMark/>
          </w:tcPr>
          <w:p w14:paraId="253E05A8" w14:textId="77777777" w:rsidR="00000000" w:rsidRDefault="00EE5306">
            <w:pPr>
              <w:spacing w:after="100"/>
              <w:jc w:val="right"/>
              <w:rPr>
                <w:rFonts w:eastAsia="Times New Roman"/>
              </w:rPr>
            </w:pPr>
          </w:p>
        </w:tc>
      </w:tr>
      <w:tr w:rsidR="00000000" w14:paraId="3E3B83D9" w14:textId="77777777">
        <w:trPr>
          <w:divId w:val="1740984111"/>
        </w:trPr>
        <w:tc>
          <w:tcPr>
            <w:tcW w:w="0" w:type="auto"/>
            <w:gridSpan w:val="3"/>
            <w:shd w:val="clear" w:color="auto" w:fill="CCEEFF"/>
            <w:tcMar>
              <w:top w:w="30" w:type="dxa"/>
              <w:left w:w="20" w:type="dxa"/>
              <w:bottom w:w="30" w:type="dxa"/>
              <w:right w:w="20" w:type="dxa"/>
            </w:tcMar>
            <w:vAlign w:val="bottom"/>
            <w:hideMark/>
          </w:tcPr>
          <w:p w14:paraId="5E42A352" w14:textId="77777777" w:rsidR="00000000" w:rsidRDefault="00EE5306">
            <w:pPr>
              <w:spacing w:after="100"/>
              <w:ind w:hanging="90"/>
              <w:divId w:val="360281752"/>
              <w:rPr>
                <w:rFonts w:eastAsia="Times New Roman"/>
              </w:rPr>
            </w:pPr>
            <w:r>
              <w:rPr>
                <w:rFonts w:eastAsia="Times New Roman"/>
                <w:color w:val="000000"/>
                <w:sz w:val="20"/>
                <w:szCs w:val="20"/>
              </w:rPr>
              <w:t>Total unallocated restructuring and other charges</w:t>
            </w:r>
          </w:p>
        </w:tc>
        <w:tc>
          <w:tcPr>
            <w:tcW w:w="0" w:type="auto"/>
            <w:gridSpan w:val="3"/>
            <w:shd w:val="clear" w:color="auto" w:fill="CCEEFF"/>
            <w:tcMar>
              <w:top w:w="0" w:type="dxa"/>
              <w:left w:w="20" w:type="dxa"/>
              <w:bottom w:w="0" w:type="dxa"/>
              <w:right w:w="20" w:type="dxa"/>
            </w:tcMar>
            <w:vAlign w:val="center"/>
            <w:hideMark/>
          </w:tcPr>
          <w:p w14:paraId="3D8073CE" w14:textId="77777777" w:rsidR="00000000" w:rsidRDefault="00EE5306">
            <w:pPr>
              <w:spacing w:after="100"/>
              <w:ind w:hanging="9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E778B6"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0E8D8C" w14:textId="77777777" w:rsidR="00000000" w:rsidRDefault="00EE5306">
            <w:pPr>
              <w:spacing w:after="100"/>
              <w:jc w:val="right"/>
              <w:rPr>
                <w:rFonts w:eastAsia="Times New Roman"/>
              </w:rPr>
            </w:pPr>
            <w:r>
              <w:rPr>
                <w:rFonts w:eastAsia="Times New Roman"/>
                <w:color w:val="000000"/>
                <w:sz w:val="20"/>
                <w:szCs w:val="20"/>
              </w:rPr>
              <w:t>(170.5)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590CD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FBF1F"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63E89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DFE5DD" w14:textId="77777777" w:rsidR="00000000" w:rsidRDefault="00EE5306">
            <w:pPr>
              <w:spacing w:after="100"/>
              <w:jc w:val="right"/>
              <w:rPr>
                <w:rFonts w:eastAsia="Times New Roman"/>
              </w:rPr>
            </w:pPr>
            <w:r>
              <w:rPr>
                <w:rFonts w:eastAsia="Times New Roman"/>
                <w:color w:val="000000"/>
                <w:sz w:val="20"/>
                <w:szCs w:val="20"/>
              </w:rPr>
              <w:t>(67.2)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8241C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237BF"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C18D0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4C1BEF" w14:textId="77777777" w:rsidR="00000000" w:rsidRDefault="00EE5306">
            <w:pPr>
              <w:spacing w:after="100"/>
              <w:jc w:val="right"/>
              <w:rPr>
                <w:rFonts w:eastAsia="Times New Roman"/>
              </w:rPr>
            </w:pPr>
            <w:r>
              <w:rPr>
                <w:rFonts w:eastAsia="Times New Roman"/>
                <w:color w:val="000000"/>
                <w:sz w:val="20"/>
                <w:szCs w:val="20"/>
              </w:rPr>
              <w:t>(130.1)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D88A38" w14:textId="77777777" w:rsidR="00000000" w:rsidRDefault="00EE5306">
            <w:pPr>
              <w:spacing w:after="100"/>
              <w:jc w:val="right"/>
              <w:rPr>
                <w:rFonts w:eastAsia="Times New Roman"/>
              </w:rPr>
            </w:pPr>
          </w:p>
        </w:tc>
      </w:tr>
    </w:tbl>
    <w:p w14:paraId="0C3DFF44" w14:textId="77777777" w:rsidR="00000000" w:rsidRDefault="00EE5306">
      <w:pPr>
        <w:ind w:firstLine="540"/>
        <w:jc w:val="both"/>
        <w:divId w:val="1446726506"/>
        <w:rPr>
          <w:rFonts w:eastAsia="Times New Roman"/>
        </w:rPr>
      </w:pPr>
      <w:r>
        <w:rPr>
          <w:rFonts w:eastAsia="Times New Roman"/>
          <w:color w:val="000000"/>
          <w:sz w:val="20"/>
          <w:szCs w:val="20"/>
        </w:rPr>
        <w:t>The following tables summarize depreciation and amortization expense and capital expenditures for each of the Company's segme</w:t>
      </w:r>
      <w:r>
        <w:rPr>
          <w:rFonts w:eastAsia="Times New Roman"/>
          <w:color w:val="000000"/>
          <w:sz w:val="20"/>
          <w:szCs w:val="20"/>
        </w:rPr>
        <w:t>nts:</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14:paraId="61B732D2" w14:textId="77777777">
        <w:trPr>
          <w:divId w:val="1774860464"/>
        </w:trPr>
        <w:tc>
          <w:tcPr>
            <w:tcW w:w="50" w:type="pct"/>
            <w:vAlign w:val="center"/>
            <w:hideMark/>
          </w:tcPr>
          <w:p w14:paraId="4176889A" w14:textId="77777777" w:rsidR="00000000" w:rsidRDefault="00EE5306">
            <w:pPr>
              <w:ind w:firstLine="540"/>
              <w:jc w:val="both"/>
              <w:rPr>
                <w:rFonts w:eastAsia="Times New Roman"/>
              </w:rPr>
            </w:pPr>
          </w:p>
        </w:tc>
        <w:tc>
          <w:tcPr>
            <w:tcW w:w="2510" w:type="pct"/>
            <w:vAlign w:val="center"/>
            <w:hideMark/>
          </w:tcPr>
          <w:p w14:paraId="7B635EEC" w14:textId="77777777" w:rsidR="00000000" w:rsidRDefault="00EE5306">
            <w:pPr>
              <w:spacing w:after="100"/>
              <w:rPr>
                <w:rFonts w:eastAsia="Times New Roman"/>
                <w:sz w:val="20"/>
                <w:szCs w:val="20"/>
              </w:rPr>
            </w:pPr>
          </w:p>
        </w:tc>
        <w:tc>
          <w:tcPr>
            <w:tcW w:w="5" w:type="pct"/>
            <w:vAlign w:val="center"/>
            <w:hideMark/>
          </w:tcPr>
          <w:p w14:paraId="2E3D81EA" w14:textId="77777777" w:rsidR="00000000" w:rsidRDefault="00EE5306">
            <w:pPr>
              <w:spacing w:after="100"/>
              <w:rPr>
                <w:rFonts w:eastAsia="Times New Roman"/>
                <w:sz w:val="20"/>
                <w:szCs w:val="20"/>
              </w:rPr>
            </w:pPr>
          </w:p>
        </w:tc>
        <w:tc>
          <w:tcPr>
            <w:tcW w:w="5" w:type="pct"/>
            <w:vAlign w:val="center"/>
            <w:hideMark/>
          </w:tcPr>
          <w:p w14:paraId="08ADC35B" w14:textId="77777777" w:rsidR="00000000" w:rsidRDefault="00EE5306">
            <w:pPr>
              <w:spacing w:after="100"/>
              <w:rPr>
                <w:rFonts w:eastAsia="Times New Roman"/>
                <w:sz w:val="20"/>
                <w:szCs w:val="20"/>
              </w:rPr>
            </w:pPr>
          </w:p>
        </w:tc>
        <w:tc>
          <w:tcPr>
            <w:tcW w:w="28" w:type="pct"/>
            <w:vAlign w:val="center"/>
            <w:hideMark/>
          </w:tcPr>
          <w:p w14:paraId="0D2C2944" w14:textId="77777777" w:rsidR="00000000" w:rsidRDefault="00EE5306">
            <w:pPr>
              <w:spacing w:after="100"/>
              <w:rPr>
                <w:rFonts w:eastAsia="Times New Roman"/>
                <w:sz w:val="20"/>
                <w:szCs w:val="20"/>
              </w:rPr>
            </w:pPr>
          </w:p>
        </w:tc>
        <w:tc>
          <w:tcPr>
            <w:tcW w:w="5" w:type="pct"/>
            <w:vAlign w:val="center"/>
            <w:hideMark/>
          </w:tcPr>
          <w:p w14:paraId="7237D9CF" w14:textId="77777777" w:rsidR="00000000" w:rsidRDefault="00EE5306">
            <w:pPr>
              <w:spacing w:after="100"/>
              <w:rPr>
                <w:rFonts w:eastAsia="Times New Roman"/>
                <w:sz w:val="20"/>
                <w:szCs w:val="20"/>
              </w:rPr>
            </w:pPr>
          </w:p>
        </w:tc>
        <w:tc>
          <w:tcPr>
            <w:tcW w:w="50" w:type="pct"/>
            <w:vAlign w:val="center"/>
            <w:hideMark/>
          </w:tcPr>
          <w:p w14:paraId="63ABDEAC" w14:textId="77777777" w:rsidR="00000000" w:rsidRDefault="00EE5306">
            <w:pPr>
              <w:spacing w:after="100"/>
              <w:rPr>
                <w:rFonts w:eastAsia="Times New Roman"/>
                <w:sz w:val="20"/>
                <w:szCs w:val="20"/>
              </w:rPr>
            </w:pPr>
          </w:p>
        </w:tc>
        <w:tc>
          <w:tcPr>
            <w:tcW w:w="717" w:type="pct"/>
            <w:vAlign w:val="center"/>
            <w:hideMark/>
          </w:tcPr>
          <w:p w14:paraId="538A4BB8" w14:textId="77777777" w:rsidR="00000000" w:rsidRDefault="00EE5306">
            <w:pPr>
              <w:spacing w:after="100"/>
              <w:rPr>
                <w:rFonts w:eastAsia="Times New Roman"/>
                <w:sz w:val="20"/>
                <w:szCs w:val="20"/>
              </w:rPr>
            </w:pPr>
          </w:p>
        </w:tc>
        <w:tc>
          <w:tcPr>
            <w:tcW w:w="5" w:type="pct"/>
            <w:vAlign w:val="center"/>
            <w:hideMark/>
          </w:tcPr>
          <w:p w14:paraId="7B87A682" w14:textId="77777777" w:rsidR="00000000" w:rsidRDefault="00EE5306">
            <w:pPr>
              <w:spacing w:after="100"/>
              <w:rPr>
                <w:rFonts w:eastAsia="Times New Roman"/>
                <w:sz w:val="20"/>
                <w:szCs w:val="20"/>
              </w:rPr>
            </w:pPr>
          </w:p>
        </w:tc>
        <w:tc>
          <w:tcPr>
            <w:tcW w:w="5" w:type="pct"/>
            <w:vAlign w:val="center"/>
            <w:hideMark/>
          </w:tcPr>
          <w:p w14:paraId="1E0BD32C" w14:textId="77777777" w:rsidR="00000000" w:rsidRDefault="00EE5306">
            <w:pPr>
              <w:spacing w:after="100"/>
              <w:rPr>
                <w:rFonts w:eastAsia="Times New Roman"/>
                <w:sz w:val="20"/>
                <w:szCs w:val="20"/>
              </w:rPr>
            </w:pPr>
          </w:p>
        </w:tc>
        <w:tc>
          <w:tcPr>
            <w:tcW w:w="28" w:type="pct"/>
            <w:vAlign w:val="center"/>
            <w:hideMark/>
          </w:tcPr>
          <w:p w14:paraId="46B101E5" w14:textId="77777777" w:rsidR="00000000" w:rsidRDefault="00EE5306">
            <w:pPr>
              <w:spacing w:after="100"/>
              <w:rPr>
                <w:rFonts w:eastAsia="Times New Roman"/>
                <w:sz w:val="20"/>
                <w:szCs w:val="20"/>
              </w:rPr>
            </w:pPr>
          </w:p>
        </w:tc>
        <w:tc>
          <w:tcPr>
            <w:tcW w:w="5" w:type="pct"/>
            <w:vAlign w:val="center"/>
            <w:hideMark/>
          </w:tcPr>
          <w:p w14:paraId="0FA28FE7" w14:textId="77777777" w:rsidR="00000000" w:rsidRDefault="00EE5306">
            <w:pPr>
              <w:spacing w:after="100"/>
              <w:rPr>
                <w:rFonts w:eastAsia="Times New Roman"/>
                <w:sz w:val="20"/>
                <w:szCs w:val="20"/>
              </w:rPr>
            </w:pPr>
          </w:p>
        </w:tc>
        <w:tc>
          <w:tcPr>
            <w:tcW w:w="50" w:type="pct"/>
            <w:vAlign w:val="center"/>
            <w:hideMark/>
          </w:tcPr>
          <w:p w14:paraId="6A773EFF" w14:textId="77777777" w:rsidR="00000000" w:rsidRDefault="00EE5306">
            <w:pPr>
              <w:spacing w:after="100"/>
              <w:rPr>
                <w:rFonts w:eastAsia="Times New Roman"/>
                <w:sz w:val="20"/>
                <w:szCs w:val="20"/>
              </w:rPr>
            </w:pPr>
          </w:p>
        </w:tc>
        <w:tc>
          <w:tcPr>
            <w:tcW w:w="717" w:type="pct"/>
            <w:vAlign w:val="center"/>
            <w:hideMark/>
          </w:tcPr>
          <w:p w14:paraId="7BB8B1AC" w14:textId="77777777" w:rsidR="00000000" w:rsidRDefault="00EE5306">
            <w:pPr>
              <w:spacing w:after="100"/>
              <w:rPr>
                <w:rFonts w:eastAsia="Times New Roman"/>
                <w:sz w:val="20"/>
                <w:szCs w:val="20"/>
              </w:rPr>
            </w:pPr>
          </w:p>
        </w:tc>
        <w:tc>
          <w:tcPr>
            <w:tcW w:w="5" w:type="pct"/>
            <w:vAlign w:val="center"/>
            <w:hideMark/>
          </w:tcPr>
          <w:p w14:paraId="7785090B" w14:textId="77777777" w:rsidR="00000000" w:rsidRDefault="00EE5306">
            <w:pPr>
              <w:spacing w:after="100"/>
              <w:rPr>
                <w:rFonts w:eastAsia="Times New Roman"/>
                <w:sz w:val="20"/>
                <w:szCs w:val="20"/>
              </w:rPr>
            </w:pPr>
          </w:p>
        </w:tc>
        <w:tc>
          <w:tcPr>
            <w:tcW w:w="5" w:type="pct"/>
            <w:vAlign w:val="center"/>
            <w:hideMark/>
          </w:tcPr>
          <w:p w14:paraId="45B8EB0C" w14:textId="77777777" w:rsidR="00000000" w:rsidRDefault="00EE5306">
            <w:pPr>
              <w:spacing w:after="100"/>
              <w:rPr>
                <w:rFonts w:eastAsia="Times New Roman"/>
                <w:sz w:val="20"/>
                <w:szCs w:val="20"/>
              </w:rPr>
            </w:pPr>
          </w:p>
        </w:tc>
        <w:tc>
          <w:tcPr>
            <w:tcW w:w="28" w:type="pct"/>
            <w:vAlign w:val="center"/>
            <w:hideMark/>
          </w:tcPr>
          <w:p w14:paraId="621E1588" w14:textId="77777777" w:rsidR="00000000" w:rsidRDefault="00EE5306">
            <w:pPr>
              <w:spacing w:after="100"/>
              <w:rPr>
                <w:rFonts w:eastAsia="Times New Roman"/>
                <w:sz w:val="20"/>
                <w:szCs w:val="20"/>
              </w:rPr>
            </w:pPr>
          </w:p>
        </w:tc>
        <w:tc>
          <w:tcPr>
            <w:tcW w:w="5" w:type="pct"/>
            <w:vAlign w:val="center"/>
            <w:hideMark/>
          </w:tcPr>
          <w:p w14:paraId="372CEB02" w14:textId="77777777" w:rsidR="00000000" w:rsidRDefault="00EE5306">
            <w:pPr>
              <w:spacing w:after="100"/>
              <w:rPr>
                <w:rFonts w:eastAsia="Times New Roman"/>
                <w:sz w:val="20"/>
                <w:szCs w:val="20"/>
              </w:rPr>
            </w:pPr>
          </w:p>
        </w:tc>
        <w:tc>
          <w:tcPr>
            <w:tcW w:w="50" w:type="pct"/>
            <w:vAlign w:val="center"/>
            <w:hideMark/>
          </w:tcPr>
          <w:p w14:paraId="51407515" w14:textId="77777777" w:rsidR="00000000" w:rsidRDefault="00EE5306">
            <w:pPr>
              <w:spacing w:after="100"/>
              <w:rPr>
                <w:rFonts w:eastAsia="Times New Roman"/>
                <w:sz w:val="20"/>
                <w:szCs w:val="20"/>
              </w:rPr>
            </w:pPr>
          </w:p>
        </w:tc>
        <w:tc>
          <w:tcPr>
            <w:tcW w:w="718" w:type="pct"/>
            <w:vAlign w:val="center"/>
            <w:hideMark/>
          </w:tcPr>
          <w:p w14:paraId="30D879CD" w14:textId="77777777" w:rsidR="00000000" w:rsidRDefault="00EE5306">
            <w:pPr>
              <w:spacing w:after="100"/>
              <w:rPr>
                <w:rFonts w:eastAsia="Times New Roman"/>
                <w:sz w:val="20"/>
                <w:szCs w:val="20"/>
              </w:rPr>
            </w:pPr>
          </w:p>
        </w:tc>
        <w:tc>
          <w:tcPr>
            <w:tcW w:w="5" w:type="pct"/>
            <w:vAlign w:val="center"/>
            <w:hideMark/>
          </w:tcPr>
          <w:p w14:paraId="7BC578C6" w14:textId="77777777" w:rsidR="00000000" w:rsidRDefault="00EE5306">
            <w:pPr>
              <w:spacing w:after="100"/>
              <w:rPr>
                <w:rFonts w:eastAsia="Times New Roman"/>
                <w:sz w:val="20"/>
                <w:szCs w:val="20"/>
              </w:rPr>
            </w:pPr>
          </w:p>
        </w:tc>
      </w:tr>
      <w:tr w:rsidR="00000000" w14:paraId="6D7A4637" w14:textId="77777777">
        <w:trPr>
          <w:divId w:val="1774860464"/>
        </w:trPr>
        <w:tc>
          <w:tcPr>
            <w:tcW w:w="0" w:type="auto"/>
            <w:gridSpan w:val="3"/>
            <w:tcMar>
              <w:top w:w="30" w:type="dxa"/>
              <w:left w:w="20" w:type="dxa"/>
              <w:bottom w:w="30" w:type="dxa"/>
              <w:right w:w="20" w:type="dxa"/>
            </w:tcMar>
            <w:vAlign w:val="bottom"/>
            <w:hideMark/>
          </w:tcPr>
          <w:p w14:paraId="4C259BE6"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9DA98D3"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3225C16D"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305C75AB" w14:textId="77777777">
        <w:trPr>
          <w:divId w:val="1774860464"/>
        </w:trPr>
        <w:tc>
          <w:tcPr>
            <w:tcW w:w="0" w:type="auto"/>
            <w:gridSpan w:val="3"/>
            <w:tcMar>
              <w:top w:w="30" w:type="dxa"/>
              <w:left w:w="20" w:type="dxa"/>
              <w:bottom w:w="30" w:type="dxa"/>
              <w:right w:w="20" w:type="dxa"/>
            </w:tcMar>
            <w:vAlign w:val="bottom"/>
            <w:hideMark/>
          </w:tcPr>
          <w:p w14:paraId="06E4A11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C04EBF7"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DD18D4"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40E5C6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5FB97A8"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FF609BB"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E034F5"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5EBBDC19" w14:textId="77777777">
        <w:trPr>
          <w:divId w:val="1774860464"/>
        </w:trPr>
        <w:tc>
          <w:tcPr>
            <w:tcW w:w="0" w:type="auto"/>
            <w:gridSpan w:val="3"/>
            <w:tcMar>
              <w:top w:w="30" w:type="dxa"/>
              <w:left w:w="20" w:type="dxa"/>
              <w:bottom w:w="30" w:type="dxa"/>
              <w:right w:w="20" w:type="dxa"/>
            </w:tcMar>
            <w:vAlign w:val="bottom"/>
            <w:hideMark/>
          </w:tcPr>
          <w:p w14:paraId="661AF2B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2DE4F44"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593B60D"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2E298A15" w14:textId="77777777">
        <w:trPr>
          <w:divId w:val="1774860464"/>
        </w:trPr>
        <w:tc>
          <w:tcPr>
            <w:tcW w:w="0" w:type="auto"/>
            <w:gridSpan w:val="3"/>
            <w:shd w:val="clear" w:color="auto" w:fill="CCEEFF"/>
            <w:tcMar>
              <w:top w:w="30" w:type="dxa"/>
              <w:left w:w="20" w:type="dxa"/>
              <w:bottom w:w="30" w:type="dxa"/>
              <w:right w:w="20" w:type="dxa"/>
            </w:tcMar>
            <w:vAlign w:val="bottom"/>
            <w:hideMark/>
          </w:tcPr>
          <w:p w14:paraId="67F7A0F1" w14:textId="77777777" w:rsidR="00000000" w:rsidRDefault="00EE5306">
            <w:pPr>
              <w:spacing w:after="100"/>
              <w:rPr>
                <w:rFonts w:eastAsia="Times New Roman"/>
              </w:rPr>
            </w:pPr>
            <w:r>
              <w:rPr>
                <w:rFonts w:eastAsia="Times New Roman"/>
                <w:b/>
                <w:bCs/>
                <w:color w:val="000000"/>
                <w:sz w:val="20"/>
                <w:szCs w:val="20"/>
              </w:rPr>
              <w:t>Depreciation and amortization expense:</w:t>
            </w:r>
          </w:p>
        </w:tc>
        <w:tc>
          <w:tcPr>
            <w:tcW w:w="0" w:type="auto"/>
            <w:gridSpan w:val="3"/>
            <w:shd w:val="clear" w:color="auto" w:fill="CCEEFF"/>
            <w:tcMar>
              <w:top w:w="0" w:type="dxa"/>
              <w:left w:w="20" w:type="dxa"/>
              <w:bottom w:w="0" w:type="dxa"/>
              <w:right w:w="20" w:type="dxa"/>
            </w:tcMar>
            <w:vAlign w:val="center"/>
            <w:hideMark/>
          </w:tcPr>
          <w:p w14:paraId="21E6330A"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0D94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DC600C"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5D6B5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ED127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EB7D0F" w14:textId="77777777" w:rsidR="00000000" w:rsidRDefault="00EE5306">
            <w:pPr>
              <w:spacing w:after="100"/>
              <w:rPr>
                <w:rFonts w:eastAsia="Times New Roman"/>
                <w:sz w:val="20"/>
                <w:szCs w:val="20"/>
              </w:rPr>
            </w:pPr>
          </w:p>
        </w:tc>
      </w:tr>
      <w:tr w:rsidR="00000000" w14:paraId="29390F1D" w14:textId="77777777">
        <w:trPr>
          <w:divId w:val="1774860464"/>
        </w:trPr>
        <w:tc>
          <w:tcPr>
            <w:tcW w:w="0" w:type="auto"/>
            <w:gridSpan w:val="3"/>
            <w:shd w:val="clear" w:color="auto" w:fill="FFFFFF"/>
            <w:tcMar>
              <w:top w:w="30" w:type="dxa"/>
              <w:left w:w="155" w:type="dxa"/>
              <w:bottom w:w="30" w:type="dxa"/>
              <w:right w:w="20" w:type="dxa"/>
            </w:tcMar>
            <w:vAlign w:val="bottom"/>
            <w:hideMark/>
          </w:tcPr>
          <w:p w14:paraId="0AA3151C"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14:paraId="2D6D7F9B"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CC52C2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33AF17E" w14:textId="77777777" w:rsidR="00000000" w:rsidRDefault="00EE5306">
            <w:pPr>
              <w:spacing w:after="100"/>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14:paraId="574F19C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CF18A"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EAF37A"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8B7FF1" w14:textId="77777777" w:rsidR="00000000" w:rsidRDefault="00EE5306">
            <w:pPr>
              <w:spacing w:after="100"/>
              <w:jc w:val="right"/>
              <w:rPr>
                <w:rFonts w:eastAsia="Times New Roman"/>
              </w:rPr>
            </w:pPr>
            <w:r>
              <w:rPr>
                <w:rFonts w:eastAsia="Times New Roman"/>
                <w:color w:val="000000"/>
                <w:sz w:val="20"/>
                <w:szCs w:val="20"/>
              </w:rPr>
              <w:t>74.6 </w:t>
            </w:r>
          </w:p>
        </w:tc>
        <w:tc>
          <w:tcPr>
            <w:tcW w:w="0" w:type="auto"/>
            <w:shd w:val="clear" w:color="auto" w:fill="FFFFFF"/>
            <w:tcMar>
              <w:top w:w="30" w:type="dxa"/>
              <w:left w:w="0" w:type="dxa"/>
              <w:bottom w:w="30" w:type="dxa"/>
              <w:right w:w="20" w:type="dxa"/>
            </w:tcMar>
            <w:vAlign w:val="bottom"/>
            <w:hideMark/>
          </w:tcPr>
          <w:p w14:paraId="39B7F45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501B2"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BEF8EE"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60B88D" w14:textId="77777777" w:rsidR="00000000" w:rsidRDefault="00EE5306">
            <w:pPr>
              <w:spacing w:after="100"/>
              <w:jc w:val="right"/>
              <w:rPr>
                <w:rFonts w:eastAsia="Times New Roman"/>
              </w:rPr>
            </w:pPr>
            <w:r>
              <w:rPr>
                <w:rFonts w:eastAsia="Times New Roman"/>
                <w:color w:val="000000"/>
                <w:sz w:val="20"/>
                <w:szCs w:val="20"/>
              </w:rPr>
              <w:t>81.8 </w:t>
            </w:r>
          </w:p>
        </w:tc>
        <w:tc>
          <w:tcPr>
            <w:tcW w:w="0" w:type="auto"/>
            <w:shd w:val="clear" w:color="auto" w:fill="FFFFFF"/>
            <w:tcMar>
              <w:top w:w="30" w:type="dxa"/>
              <w:left w:w="0" w:type="dxa"/>
              <w:bottom w:w="30" w:type="dxa"/>
              <w:right w:w="20" w:type="dxa"/>
            </w:tcMar>
            <w:vAlign w:val="bottom"/>
            <w:hideMark/>
          </w:tcPr>
          <w:p w14:paraId="0994B6E4" w14:textId="77777777" w:rsidR="00000000" w:rsidRDefault="00EE5306">
            <w:pPr>
              <w:spacing w:after="100"/>
              <w:jc w:val="right"/>
              <w:rPr>
                <w:rFonts w:eastAsia="Times New Roman"/>
              </w:rPr>
            </w:pPr>
          </w:p>
        </w:tc>
      </w:tr>
      <w:tr w:rsidR="00000000" w14:paraId="7443ABF1" w14:textId="77777777">
        <w:trPr>
          <w:divId w:val="1774860464"/>
        </w:trPr>
        <w:tc>
          <w:tcPr>
            <w:tcW w:w="0" w:type="auto"/>
            <w:gridSpan w:val="3"/>
            <w:shd w:val="clear" w:color="auto" w:fill="CCEEFF"/>
            <w:tcMar>
              <w:top w:w="30" w:type="dxa"/>
              <w:left w:w="155" w:type="dxa"/>
              <w:bottom w:w="30" w:type="dxa"/>
              <w:right w:w="20" w:type="dxa"/>
            </w:tcMar>
            <w:vAlign w:val="bottom"/>
            <w:hideMark/>
          </w:tcPr>
          <w:p w14:paraId="0D058D8D"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14:paraId="29140EAD"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83BC06" w14:textId="77777777" w:rsidR="00000000" w:rsidRDefault="00EE5306">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14:paraId="35D0D5F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E6AB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417E18" w14:textId="77777777" w:rsidR="00000000" w:rsidRDefault="00EE5306">
            <w:pPr>
              <w:spacing w:after="100"/>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14:paraId="108F49B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0BDA0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B7411D" w14:textId="77777777" w:rsidR="00000000" w:rsidRDefault="00EE5306">
            <w:pPr>
              <w:spacing w:after="100"/>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14:paraId="5249CCD3" w14:textId="77777777" w:rsidR="00000000" w:rsidRDefault="00EE5306">
            <w:pPr>
              <w:spacing w:after="100"/>
              <w:jc w:val="right"/>
              <w:rPr>
                <w:rFonts w:eastAsia="Times New Roman"/>
              </w:rPr>
            </w:pPr>
          </w:p>
        </w:tc>
      </w:tr>
      <w:tr w:rsidR="00000000" w14:paraId="40F3DCBF" w14:textId="77777777">
        <w:trPr>
          <w:divId w:val="1774860464"/>
        </w:trPr>
        <w:tc>
          <w:tcPr>
            <w:tcW w:w="0" w:type="auto"/>
            <w:gridSpan w:val="3"/>
            <w:shd w:val="clear" w:color="auto" w:fill="FFFFFF"/>
            <w:tcMar>
              <w:top w:w="30" w:type="dxa"/>
              <w:left w:w="155" w:type="dxa"/>
              <w:bottom w:w="30" w:type="dxa"/>
              <w:right w:w="20" w:type="dxa"/>
            </w:tcMar>
            <w:vAlign w:val="bottom"/>
            <w:hideMark/>
          </w:tcPr>
          <w:p w14:paraId="63282EF7"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14:paraId="179EA1A9"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AC8166" w14:textId="77777777" w:rsidR="00000000" w:rsidRDefault="00EE5306">
            <w:pPr>
              <w:spacing w:after="100"/>
              <w:jc w:val="right"/>
              <w:rPr>
                <w:rFonts w:eastAsia="Times New Roman"/>
              </w:rPr>
            </w:pPr>
            <w:r>
              <w:rPr>
                <w:rFonts w:eastAsia="Times New Roman"/>
                <w:color w:val="000000"/>
                <w:sz w:val="20"/>
                <w:szCs w:val="20"/>
              </w:rPr>
              <w:t>56.3 </w:t>
            </w:r>
          </w:p>
        </w:tc>
        <w:tc>
          <w:tcPr>
            <w:tcW w:w="0" w:type="auto"/>
            <w:shd w:val="clear" w:color="auto" w:fill="FFFFFF"/>
            <w:tcMar>
              <w:top w:w="30" w:type="dxa"/>
              <w:left w:w="0" w:type="dxa"/>
              <w:bottom w:w="30" w:type="dxa"/>
              <w:right w:w="20" w:type="dxa"/>
            </w:tcMar>
            <w:vAlign w:val="bottom"/>
            <w:hideMark/>
          </w:tcPr>
          <w:p w14:paraId="63ECF7F3"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1139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88B043" w14:textId="77777777" w:rsidR="00000000" w:rsidRDefault="00EE5306">
            <w:pPr>
              <w:spacing w:after="100"/>
              <w:jc w:val="right"/>
              <w:rPr>
                <w:rFonts w:eastAsia="Times New Roman"/>
              </w:rPr>
            </w:pPr>
            <w:r>
              <w:rPr>
                <w:rFonts w:eastAsia="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14:paraId="39DEED9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4D2EB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513AC" w14:textId="77777777" w:rsidR="00000000" w:rsidRDefault="00EE5306">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bottom"/>
            <w:hideMark/>
          </w:tcPr>
          <w:p w14:paraId="51D05904" w14:textId="77777777" w:rsidR="00000000" w:rsidRDefault="00EE5306">
            <w:pPr>
              <w:spacing w:after="100"/>
              <w:jc w:val="right"/>
              <w:rPr>
                <w:rFonts w:eastAsia="Times New Roman"/>
              </w:rPr>
            </w:pPr>
          </w:p>
        </w:tc>
      </w:tr>
      <w:tr w:rsidR="00000000" w14:paraId="6C7D9ECD" w14:textId="77777777">
        <w:trPr>
          <w:divId w:val="1774860464"/>
        </w:trPr>
        <w:tc>
          <w:tcPr>
            <w:tcW w:w="0" w:type="auto"/>
            <w:gridSpan w:val="3"/>
            <w:shd w:val="clear" w:color="auto" w:fill="CCEEFF"/>
            <w:tcMar>
              <w:top w:w="30" w:type="dxa"/>
              <w:left w:w="155" w:type="dxa"/>
              <w:bottom w:w="30" w:type="dxa"/>
              <w:right w:w="20" w:type="dxa"/>
            </w:tcMar>
            <w:vAlign w:val="bottom"/>
            <w:hideMark/>
          </w:tcPr>
          <w:p w14:paraId="6668739C"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14:paraId="50281AE9"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9D446C" w14:textId="77777777" w:rsidR="00000000" w:rsidRDefault="00EE5306">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0556ACA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2ACFE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7671BD" w14:textId="77777777" w:rsidR="00000000" w:rsidRDefault="00EE5306">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1CF6289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F1267"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F1B715" w14:textId="77777777" w:rsidR="00000000" w:rsidRDefault="00EE5306">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3F098D46" w14:textId="77777777" w:rsidR="00000000" w:rsidRDefault="00EE5306">
            <w:pPr>
              <w:spacing w:after="100"/>
              <w:jc w:val="right"/>
              <w:rPr>
                <w:rFonts w:eastAsia="Times New Roman"/>
              </w:rPr>
            </w:pPr>
          </w:p>
        </w:tc>
      </w:tr>
      <w:tr w:rsidR="00000000" w14:paraId="5E20C372" w14:textId="77777777">
        <w:trPr>
          <w:divId w:val="1774860464"/>
        </w:trPr>
        <w:tc>
          <w:tcPr>
            <w:tcW w:w="0" w:type="auto"/>
            <w:gridSpan w:val="3"/>
            <w:shd w:val="clear" w:color="auto" w:fill="FFFFFF"/>
            <w:tcMar>
              <w:top w:w="30" w:type="dxa"/>
              <w:left w:w="155" w:type="dxa"/>
              <w:bottom w:w="30" w:type="dxa"/>
              <w:right w:w="20" w:type="dxa"/>
            </w:tcMar>
            <w:vAlign w:val="bottom"/>
            <w:hideMark/>
          </w:tcPr>
          <w:p w14:paraId="2A421FA7" w14:textId="77777777" w:rsidR="00000000" w:rsidRDefault="00EE5306">
            <w:pPr>
              <w:spacing w:after="100"/>
              <w:rPr>
                <w:rFonts w:eastAsia="Times New Roman"/>
              </w:rPr>
            </w:pPr>
            <w:r>
              <w:rPr>
                <w:rFonts w:eastAsia="Times New Roman"/>
                <w:color w:val="000000"/>
                <w:sz w:val="20"/>
                <w:szCs w:val="20"/>
              </w:rPr>
              <w:t>Unallocated corporate</w:t>
            </w:r>
          </w:p>
        </w:tc>
        <w:tc>
          <w:tcPr>
            <w:tcW w:w="0" w:type="auto"/>
            <w:gridSpan w:val="3"/>
            <w:shd w:val="clear" w:color="auto" w:fill="FFFFFF"/>
            <w:tcMar>
              <w:top w:w="0" w:type="dxa"/>
              <w:left w:w="20" w:type="dxa"/>
              <w:bottom w:w="0" w:type="dxa"/>
              <w:right w:w="20" w:type="dxa"/>
            </w:tcMar>
            <w:vAlign w:val="center"/>
            <w:hideMark/>
          </w:tcPr>
          <w:p w14:paraId="45C502D7"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0ABC49" w14:textId="77777777" w:rsidR="00000000" w:rsidRDefault="00EE5306">
            <w:pPr>
              <w:spacing w:after="100"/>
              <w:jc w:val="right"/>
              <w:rPr>
                <w:rFonts w:eastAsia="Times New Roman"/>
              </w:rPr>
            </w:pPr>
            <w:r>
              <w:rPr>
                <w:rFonts w:eastAsia="Times New Roman"/>
                <w:color w:val="000000"/>
                <w:sz w:val="20"/>
                <w:szCs w:val="20"/>
              </w:rPr>
              <w:t>82.0 </w:t>
            </w:r>
          </w:p>
        </w:tc>
        <w:tc>
          <w:tcPr>
            <w:tcW w:w="0" w:type="auto"/>
            <w:shd w:val="clear" w:color="auto" w:fill="FFFFFF"/>
            <w:tcMar>
              <w:top w:w="30" w:type="dxa"/>
              <w:left w:w="0" w:type="dxa"/>
              <w:bottom w:w="30" w:type="dxa"/>
              <w:right w:w="20" w:type="dxa"/>
            </w:tcMar>
            <w:vAlign w:val="bottom"/>
            <w:hideMark/>
          </w:tcPr>
          <w:p w14:paraId="60E60F9D"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1E4BB"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E0CCF2" w14:textId="77777777" w:rsidR="00000000" w:rsidRDefault="00EE5306">
            <w:pPr>
              <w:spacing w:after="100"/>
              <w:jc w:val="right"/>
              <w:rPr>
                <w:rFonts w:eastAsia="Times New Roman"/>
              </w:rPr>
            </w:pPr>
            <w:r>
              <w:rPr>
                <w:rFonts w:eastAsia="Times New Roman"/>
                <w:color w:val="000000"/>
                <w:sz w:val="20"/>
                <w:szCs w:val="20"/>
              </w:rPr>
              <w:t>97.4 </w:t>
            </w:r>
          </w:p>
        </w:tc>
        <w:tc>
          <w:tcPr>
            <w:tcW w:w="0" w:type="auto"/>
            <w:shd w:val="clear" w:color="auto" w:fill="FFFFFF"/>
            <w:tcMar>
              <w:top w:w="30" w:type="dxa"/>
              <w:left w:w="0" w:type="dxa"/>
              <w:bottom w:w="30" w:type="dxa"/>
              <w:right w:w="20" w:type="dxa"/>
            </w:tcMar>
            <w:vAlign w:val="bottom"/>
            <w:hideMark/>
          </w:tcPr>
          <w:p w14:paraId="1123593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2BC8C"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A7FC5C" w14:textId="77777777" w:rsidR="00000000" w:rsidRDefault="00EE5306">
            <w:pPr>
              <w:spacing w:after="100"/>
              <w:jc w:val="right"/>
              <w:rPr>
                <w:rFonts w:eastAsia="Times New Roman"/>
              </w:rPr>
            </w:pPr>
            <w:r>
              <w:rPr>
                <w:rFonts w:eastAsia="Times New Roman"/>
                <w:color w:val="000000"/>
                <w:sz w:val="20"/>
                <w:szCs w:val="20"/>
              </w:rPr>
              <w:t>95.5 </w:t>
            </w:r>
          </w:p>
        </w:tc>
        <w:tc>
          <w:tcPr>
            <w:tcW w:w="0" w:type="auto"/>
            <w:shd w:val="clear" w:color="auto" w:fill="FFFFFF"/>
            <w:tcMar>
              <w:top w:w="30" w:type="dxa"/>
              <w:left w:w="0" w:type="dxa"/>
              <w:bottom w:w="30" w:type="dxa"/>
              <w:right w:w="20" w:type="dxa"/>
            </w:tcMar>
            <w:vAlign w:val="bottom"/>
            <w:hideMark/>
          </w:tcPr>
          <w:p w14:paraId="2E89236C" w14:textId="77777777" w:rsidR="00000000" w:rsidRDefault="00EE5306">
            <w:pPr>
              <w:spacing w:after="100"/>
              <w:jc w:val="right"/>
              <w:rPr>
                <w:rFonts w:eastAsia="Times New Roman"/>
              </w:rPr>
            </w:pPr>
          </w:p>
        </w:tc>
      </w:tr>
      <w:tr w:rsidR="00000000" w14:paraId="2E8E1198" w14:textId="77777777">
        <w:trPr>
          <w:divId w:val="1774860464"/>
        </w:trPr>
        <w:tc>
          <w:tcPr>
            <w:tcW w:w="0" w:type="auto"/>
            <w:gridSpan w:val="3"/>
            <w:shd w:val="clear" w:color="auto" w:fill="CCEEFF"/>
            <w:tcMar>
              <w:top w:w="30" w:type="dxa"/>
              <w:left w:w="155" w:type="dxa"/>
              <w:bottom w:w="30" w:type="dxa"/>
              <w:right w:w="20" w:type="dxa"/>
            </w:tcMar>
            <w:vAlign w:val="bottom"/>
            <w:hideMark/>
          </w:tcPr>
          <w:p w14:paraId="29F6C4C2" w14:textId="77777777" w:rsidR="00000000" w:rsidRDefault="00EE5306">
            <w:pPr>
              <w:spacing w:after="100"/>
              <w:rPr>
                <w:rFonts w:eastAsia="Times New Roman"/>
              </w:rPr>
            </w:pPr>
            <w:r>
              <w:rPr>
                <w:rFonts w:eastAsia="Times New Roman"/>
                <w:color w:val="000000"/>
                <w:sz w:val="20"/>
                <w:szCs w:val="20"/>
              </w:rPr>
              <w:t>Unallocated restructuring and other charges (see Note 9)</w:t>
            </w:r>
          </w:p>
        </w:tc>
        <w:tc>
          <w:tcPr>
            <w:tcW w:w="0" w:type="auto"/>
            <w:gridSpan w:val="3"/>
            <w:shd w:val="clear" w:color="auto" w:fill="CCEEFF"/>
            <w:tcMar>
              <w:top w:w="0" w:type="dxa"/>
              <w:left w:w="20" w:type="dxa"/>
              <w:bottom w:w="0" w:type="dxa"/>
              <w:right w:w="20" w:type="dxa"/>
            </w:tcMar>
            <w:vAlign w:val="center"/>
            <w:hideMark/>
          </w:tcPr>
          <w:p w14:paraId="7AE6FFDE"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F2ED19"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7E9EE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25D42"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06AF0" w14:textId="77777777" w:rsidR="00000000" w:rsidRDefault="00EE530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7381B4"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3D4CC"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475A12" w14:textId="77777777" w:rsidR="00000000" w:rsidRDefault="00EE5306">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14:paraId="6A5734B6" w14:textId="77777777" w:rsidR="00000000" w:rsidRDefault="00EE5306">
            <w:pPr>
              <w:spacing w:after="100"/>
              <w:jc w:val="right"/>
              <w:rPr>
                <w:rFonts w:eastAsia="Times New Roman"/>
              </w:rPr>
            </w:pPr>
          </w:p>
        </w:tc>
      </w:tr>
      <w:tr w:rsidR="00000000" w14:paraId="0BDE977C" w14:textId="77777777">
        <w:trPr>
          <w:divId w:val="1774860464"/>
        </w:trPr>
        <w:tc>
          <w:tcPr>
            <w:tcW w:w="0" w:type="auto"/>
            <w:gridSpan w:val="3"/>
            <w:shd w:val="clear" w:color="auto" w:fill="FFFFFF"/>
            <w:tcMar>
              <w:top w:w="30" w:type="dxa"/>
              <w:left w:w="20" w:type="dxa"/>
              <w:bottom w:w="30" w:type="dxa"/>
              <w:right w:w="20" w:type="dxa"/>
            </w:tcMar>
            <w:vAlign w:val="bottom"/>
            <w:hideMark/>
          </w:tcPr>
          <w:p w14:paraId="1B45C824" w14:textId="77777777" w:rsidR="00000000" w:rsidRDefault="00EE5306">
            <w:pPr>
              <w:spacing w:after="100"/>
              <w:ind w:hanging="90"/>
              <w:divId w:val="1330521355"/>
              <w:rPr>
                <w:rFonts w:eastAsia="Times New Roman"/>
              </w:rPr>
            </w:pPr>
            <w:r>
              <w:rPr>
                <w:rFonts w:eastAsia="Times New Roman"/>
                <w:color w:val="000000"/>
                <w:sz w:val="20"/>
                <w:szCs w:val="20"/>
              </w:rPr>
              <w:t>Total depreciation and amortization expense</w:t>
            </w:r>
          </w:p>
        </w:tc>
        <w:tc>
          <w:tcPr>
            <w:tcW w:w="0" w:type="auto"/>
            <w:gridSpan w:val="3"/>
            <w:shd w:val="clear" w:color="auto" w:fill="FFFFFF"/>
            <w:tcMar>
              <w:top w:w="0" w:type="dxa"/>
              <w:left w:w="20" w:type="dxa"/>
              <w:bottom w:w="0" w:type="dxa"/>
              <w:right w:w="20" w:type="dxa"/>
            </w:tcMar>
            <w:vAlign w:val="center"/>
            <w:hideMark/>
          </w:tcPr>
          <w:p w14:paraId="5F1BD156" w14:textId="77777777" w:rsidR="00000000" w:rsidRDefault="00EE5306">
            <w:pPr>
              <w:spacing w:after="100"/>
              <w:ind w:hanging="9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3ABC4A"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5639DF" w14:textId="77777777" w:rsidR="00000000" w:rsidRDefault="00EE5306">
            <w:pPr>
              <w:spacing w:after="100"/>
              <w:jc w:val="right"/>
              <w:rPr>
                <w:rFonts w:eastAsia="Times New Roman"/>
              </w:rPr>
            </w:pPr>
            <w:r>
              <w:rPr>
                <w:rFonts w:eastAsia="Times New Roman"/>
                <w:color w:val="000000"/>
                <w:sz w:val="20"/>
                <w:szCs w:val="20"/>
              </w:rPr>
              <w:t>247.6 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F71BCC"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F21748"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740B8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EA58B6" w14:textId="77777777" w:rsidR="00000000" w:rsidRDefault="00EE5306">
            <w:pPr>
              <w:spacing w:after="100"/>
              <w:jc w:val="right"/>
              <w:rPr>
                <w:rFonts w:eastAsia="Times New Roman"/>
              </w:rPr>
            </w:pPr>
            <w:r>
              <w:rPr>
                <w:rFonts w:eastAsia="Times New Roman"/>
                <w:color w:val="000000"/>
                <w:sz w:val="20"/>
                <w:szCs w:val="20"/>
              </w:rPr>
              <w:t>269.5 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5A19D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DC072"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EC9481"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09F074" w14:textId="77777777" w:rsidR="00000000" w:rsidRDefault="00EE5306">
            <w:pPr>
              <w:spacing w:after="100"/>
              <w:jc w:val="right"/>
              <w:rPr>
                <w:rFonts w:eastAsia="Times New Roman"/>
              </w:rPr>
            </w:pPr>
            <w:r>
              <w:rPr>
                <w:rFonts w:eastAsia="Times New Roman"/>
                <w:color w:val="000000"/>
                <w:sz w:val="20"/>
                <w:szCs w:val="20"/>
              </w:rPr>
              <w:t>281.3 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5A78F1" w14:textId="77777777" w:rsidR="00000000" w:rsidRDefault="00EE5306">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6C38E076" w14:textId="77777777">
        <w:trPr>
          <w:jc w:val="center"/>
        </w:trPr>
        <w:tc>
          <w:tcPr>
            <w:tcW w:w="50" w:type="pct"/>
            <w:vAlign w:val="center"/>
            <w:hideMark/>
          </w:tcPr>
          <w:p w14:paraId="75663308" w14:textId="77777777" w:rsidR="00000000" w:rsidRDefault="00EE5306">
            <w:pPr>
              <w:rPr>
                <w:rFonts w:eastAsia="Times New Roman"/>
              </w:rPr>
            </w:pPr>
          </w:p>
        </w:tc>
        <w:tc>
          <w:tcPr>
            <w:tcW w:w="1699" w:type="pct"/>
            <w:vAlign w:val="center"/>
            <w:hideMark/>
          </w:tcPr>
          <w:p w14:paraId="6CC0A294" w14:textId="77777777" w:rsidR="00000000" w:rsidRDefault="00EE5306">
            <w:pPr>
              <w:spacing w:after="100"/>
              <w:rPr>
                <w:rFonts w:eastAsia="Times New Roman"/>
                <w:sz w:val="20"/>
                <w:szCs w:val="20"/>
              </w:rPr>
            </w:pPr>
          </w:p>
        </w:tc>
        <w:tc>
          <w:tcPr>
            <w:tcW w:w="5" w:type="pct"/>
            <w:vAlign w:val="center"/>
            <w:hideMark/>
          </w:tcPr>
          <w:p w14:paraId="3529FE87" w14:textId="77777777" w:rsidR="00000000" w:rsidRDefault="00EE5306">
            <w:pPr>
              <w:spacing w:after="100"/>
              <w:rPr>
                <w:rFonts w:eastAsia="Times New Roman"/>
                <w:sz w:val="20"/>
                <w:szCs w:val="20"/>
              </w:rPr>
            </w:pPr>
          </w:p>
        </w:tc>
        <w:tc>
          <w:tcPr>
            <w:tcW w:w="50" w:type="pct"/>
            <w:vAlign w:val="center"/>
            <w:hideMark/>
          </w:tcPr>
          <w:p w14:paraId="27165723" w14:textId="77777777" w:rsidR="00000000" w:rsidRDefault="00EE5306">
            <w:pPr>
              <w:spacing w:after="100"/>
              <w:rPr>
                <w:rFonts w:eastAsia="Times New Roman"/>
                <w:sz w:val="20"/>
                <w:szCs w:val="20"/>
              </w:rPr>
            </w:pPr>
          </w:p>
        </w:tc>
        <w:tc>
          <w:tcPr>
            <w:tcW w:w="1436" w:type="pct"/>
            <w:vAlign w:val="center"/>
            <w:hideMark/>
          </w:tcPr>
          <w:p w14:paraId="1F19A83E" w14:textId="77777777" w:rsidR="00000000" w:rsidRDefault="00EE5306">
            <w:pPr>
              <w:spacing w:after="100"/>
              <w:rPr>
                <w:rFonts w:eastAsia="Times New Roman"/>
                <w:sz w:val="20"/>
                <w:szCs w:val="20"/>
              </w:rPr>
            </w:pPr>
          </w:p>
        </w:tc>
        <w:tc>
          <w:tcPr>
            <w:tcW w:w="5" w:type="pct"/>
            <w:vAlign w:val="center"/>
            <w:hideMark/>
          </w:tcPr>
          <w:p w14:paraId="365813C9" w14:textId="77777777" w:rsidR="00000000" w:rsidRDefault="00EE5306">
            <w:pPr>
              <w:spacing w:after="100"/>
              <w:rPr>
                <w:rFonts w:eastAsia="Times New Roman"/>
                <w:sz w:val="20"/>
                <w:szCs w:val="20"/>
              </w:rPr>
            </w:pPr>
          </w:p>
        </w:tc>
        <w:tc>
          <w:tcPr>
            <w:tcW w:w="50" w:type="pct"/>
            <w:vAlign w:val="center"/>
            <w:hideMark/>
          </w:tcPr>
          <w:p w14:paraId="6BFBE7E0" w14:textId="77777777" w:rsidR="00000000" w:rsidRDefault="00EE5306">
            <w:pPr>
              <w:spacing w:after="100"/>
              <w:rPr>
                <w:rFonts w:eastAsia="Times New Roman"/>
                <w:sz w:val="20"/>
                <w:szCs w:val="20"/>
              </w:rPr>
            </w:pPr>
          </w:p>
        </w:tc>
        <w:tc>
          <w:tcPr>
            <w:tcW w:w="1699" w:type="pct"/>
            <w:vAlign w:val="center"/>
            <w:hideMark/>
          </w:tcPr>
          <w:p w14:paraId="39FB5EC2" w14:textId="77777777" w:rsidR="00000000" w:rsidRDefault="00EE5306">
            <w:pPr>
              <w:spacing w:after="100"/>
              <w:rPr>
                <w:rFonts w:eastAsia="Times New Roman"/>
                <w:sz w:val="20"/>
                <w:szCs w:val="20"/>
              </w:rPr>
            </w:pPr>
          </w:p>
        </w:tc>
        <w:tc>
          <w:tcPr>
            <w:tcW w:w="5" w:type="pct"/>
            <w:vAlign w:val="center"/>
            <w:hideMark/>
          </w:tcPr>
          <w:p w14:paraId="7B6EFEFB" w14:textId="77777777" w:rsidR="00000000" w:rsidRDefault="00EE5306">
            <w:pPr>
              <w:spacing w:after="100"/>
              <w:rPr>
                <w:rFonts w:eastAsia="Times New Roman"/>
                <w:sz w:val="20"/>
                <w:szCs w:val="20"/>
              </w:rPr>
            </w:pPr>
          </w:p>
        </w:tc>
      </w:tr>
      <w:tr w:rsidR="00000000" w14:paraId="2FE86206" w14:textId="77777777">
        <w:trPr>
          <w:jc w:val="center"/>
        </w:trPr>
        <w:tc>
          <w:tcPr>
            <w:tcW w:w="0" w:type="auto"/>
            <w:gridSpan w:val="3"/>
            <w:tcMar>
              <w:top w:w="0" w:type="dxa"/>
              <w:left w:w="20" w:type="dxa"/>
              <w:bottom w:w="0" w:type="dxa"/>
              <w:right w:w="20" w:type="dxa"/>
            </w:tcMar>
            <w:vAlign w:val="center"/>
            <w:hideMark/>
          </w:tcPr>
          <w:p w14:paraId="5D0803AE"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7820AF2" w14:textId="77777777" w:rsidR="00000000" w:rsidRDefault="00EE5306">
            <w:pPr>
              <w:spacing w:after="100"/>
              <w:jc w:val="center"/>
              <w:rPr>
                <w:rFonts w:eastAsia="Times New Roman"/>
              </w:rPr>
            </w:pPr>
            <w:r>
              <w:rPr>
                <w:rFonts w:eastAsia="Times New Roman"/>
                <w:color w:val="000000"/>
                <w:sz w:val="20"/>
                <w:szCs w:val="20"/>
              </w:rPr>
              <w:t>F-55</w:t>
            </w:r>
          </w:p>
        </w:tc>
        <w:tc>
          <w:tcPr>
            <w:tcW w:w="0" w:type="auto"/>
            <w:gridSpan w:val="3"/>
            <w:tcMar>
              <w:top w:w="0" w:type="dxa"/>
              <w:left w:w="20" w:type="dxa"/>
              <w:bottom w:w="0" w:type="dxa"/>
              <w:right w:w="20" w:type="dxa"/>
            </w:tcMar>
            <w:vAlign w:val="center"/>
            <w:hideMark/>
          </w:tcPr>
          <w:p w14:paraId="72EAAC7E" w14:textId="77777777" w:rsidR="00000000" w:rsidRDefault="00EE5306">
            <w:pPr>
              <w:spacing w:after="100"/>
              <w:jc w:val="center"/>
              <w:rPr>
                <w:rFonts w:eastAsia="Times New Roman"/>
              </w:rPr>
            </w:pPr>
          </w:p>
        </w:tc>
      </w:tr>
    </w:tbl>
    <w:p w14:paraId="01054A96" w14:textId="77777777" w:rsidR="00000000" w:rsidRDefault="00EE5306">
      <w:pPr>
        <w:rPr>
          <w:rFonts w:eastAsia="Times New Roman"/>
        </w:rPr>
      </w:pPr>
      <w:r>
        <w:rPr>
          <w:rFonts w:eastAsia="Times New Roman"/>
        </w:rPr>
        <w:pict w14:anchorId="0208F60C">
          <v:rect id="_x0000_i1165" style="width:0;height:1.5pt" o:hralign="center" o:hrstd="t" o:hr="t" fillcolor="#a0a0a0" stroked="f"/>
        </w:pict>
      </w:r>
    </w:p>
    <w:p w14:paraId="430B1E21" w14:textId="77777777" w:rsidR="00000000" w:rsidRDefault="00EE5306">
      <w:pPr>
        <w:jc w:val="center"/>
        <w:divId w:val="219291132"/>
        <w:rPr>
          <w:rFonts w:eastAsia="Times New Roman"/>
        </w:rPr>
      </w:pPr>
    </w:p>
    <w:p w14:paraId="1C8FB654" w14:textId="77777777" w:rsidR="00000000" w:rsidRDefault="00EE5306">
      <w:pPr>
        <w:jc w:val="center"/>
        <w:divId w:val="219291132"/>
        <w:rPr>
          <w:rFonts w:eastAsia="Times New Roman"/>
        </w:rPr>
      </w:pPr>
      <w:r>
        <w:rPr>
          <w:rFonts w:eastAsia="Times New Roman"/>
          <w:b/>
          <w:bCs/>
          <w:color w:val="000000"/>
          <w:sz w:val="20"/>
          <w:szCs w:val="20"/>
        </w:rPr>
        <w:t>RALPH LAUREN CORPORATION</w:t>
      </w:r>
    </w:p>
    <w:p w14:paraId="50526764" w14:textId="77777777" w:rsidR="00000000" w:rsidRDefault="00EE5306">
      <w:pPr>
        <w:jc w:val="center"/>
        <w:divId w:val="390269473"/>
        <w:rPr>
          <w:rFonts w:eastAsia="Times New Roman"/>
        </w:rPr>
      </w:pPr>
      <w:r>
        <w:rPr>
          <w:rFonts w:eastAsia="Times New Roman"/>
          <w:b/>
          <w:bCs/>
          <w:color w:val="000000"/>
          <w:sz w:val="20"/>
          <w:szCs w:val="20"/>
        </w:rPr>
        <w:t>NOTES TO CONSOLIDATED FINANCIAL STATEMENTS (Continued)</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14:paraId="7ADA9DC7" w14:textId="77777777">
        <w:trPr>
          <w:divId w:val="2082022405"/>
        </w:trPr>
        <w:tc>
          <w:tcPr>
            <w:tcW w:w="50" w:type="pct"/>
            <w:vAlign w:val="center"/>
            <w:hideMark/>
          </w:tcPr>
          <w:p w14:paraId="04554DFC" w14:textId="77777777" w:rsidR="00000000" w:rsidRDefault="00EE5306">
            <w:pPr>
              <w:jc w:val="center"/>
              <w:rPr>
                <w:rFonts w:eastAsia="Times New Roman"/>
              </w:rPr>
            </w:pPr>
          </w:p>
        </w:tc>
        <w:tc>
          <w:tcPr>
            <w:tcW w:w="2510" w:type="pct"/>
            <w:vAlign w:val="center"/>
            <w:hideMark/>
          </w:tcPr>
          <w:p w14:paraId="579D6A2D" w14:textId="77777777" w:rsidR="00000000" w:rsidRDefault="00EE5306">
            <w:pPr>
              <w:spacing w:after="100"/>
              <w:rPr>
                <w:rFonts w:eastAsia="Times New Roman"/>
                <w:sz w:val="20"/>
                <w:szCs w:val="20"/>
              </w:rPr>
            </w:pPr>
          </w:p>
        </w:tc>
        <w:tc>
          <w:tcPr>
            <w:tcW w:w="5" w:type="pct"/>
            <w:vAlign w:val="center"/>
            <w:hideMark/>
          </w:tcPr>
          <w:p w14:paraId="4CFF31F0" w14:textId="77777777" w:rsidR="00000000" w:rsidRDefault="00EE5306">
            <w:pPr>
              <w:spacing w:after="100"/>
              <w:rPr>
                <w:rFonts w:eastAsia="Times New Roman"/>
                <w:sz w:val="20"/>
                <w:szCs w:val="20"/>
              </w:rPr>
            </w:pPr>
          </w:p>
        </w:tc>
        <w:tc>
          <w:tcPr>
            <w:tcW w:w="5" w:type="pct"/>
            <w:vAlign w:val="center"/>
            <w:hideMark/>
          </w:tcPr>
          <w:p w14:paraId="752BAC1C" w14:textId="77777777" w:rsidR="00000000" w:rsidRDefault="00EE5306">
            <w:pPr>
              <w:spacing w:after="100"/>
              <w:rPr>
                <w:rFonts w:eastAsia="Times New Roman"/>
                <w:sz w:val="20"/>
                <w:szCs w:val="20"/>
              </w:rPr>
            </w:pPr>
          </w:p>
        </w:tc>
        <w:tc>
          <w:tcPr>
            <w:tcW w:w="28" w:type="pct"/>
            <w:vAlign w:val="center"/>
            <w:hideMark/>
          </w:tcPr>
          <w:p w14:paraId="2776ABE7" w14:textId="77777777" w:rsidR="00000000" w:rsidRDefault="00EE5306">
            <w:pPr>
              <w:spacing w:after="100"/>
              <w:rPr>
                <w:rFonts w:eastAsia="Times New Roman"/>
                <w:sz w:val="20"/>
                <w:szCs w:val="20"/>
              </w:rPr>
            </w:pPr>
          </w:p>
        </w:tc>
        <w:tc>
          <w:tcPr>
            <w:tcW w:w="5" w:type="pct"/>
            <w:vAlign w:val="center"/>
            <w:hideMark/>
          </w:tcPr>
          <w:p w14:paraId="0EAD8EF8" w14:textId="77777777" w:rsidR="00000000" w:rsidRDefault="00EE5306">
            <w:pPr>
              <w:spacing w:after="100"/>
              <w:rPr>
                <w:rFonts w:eastAsia="Times New Roman"/>
                <w:sz w:val="20"/>
                <w:szCs w:val="20"/>
              </w:rPr>
            </w:pPr>
          </w:p>
        </w:tc>
        <w:tc>
          <w:tcPr>
            <w:tcW w:w="50" w:type="pct"/>
            <w:vAlign w:val="center"/>
            <w:hideMark/>
          </w:tcPr>
          <w:p w14:paraId="33526F99" w14:textId="77777777" w:rsidR="00000000" w:rsidRDefault="00EE5306">
            <w:pPr>
              <w:spacing w:after="100"/>
              <w:rPr>
                <w:rFonts w:eastAsia="Times New Roman"/>
                <w:sz w:val="20"/>
                <w:szCs w:val="20"/>
              </w:rPr>
            </w:pPr>
          </w:p>
        </w:tc>
        <w:tc>
          <w:tcPr>
            <w:tcW w:w="717" w:type="pct"/>
            <w:vAlign w:val="center"/>
            <w:hideMark/>
          </w:tcPr>
          <w:p w14:paraId="7C902090" w14:textId="77777777" w:rsidR="00000000" w:rsidRDefault="00EE5306">
            <w:pPr>
              <w:spacing w:after="100"/>
              <w:rPr>
                <w:rFonts w:eastAsia="Times New Roman"/>
                <w:sz w:val="20"/>
                <w:szCs w:val="20"/>
              </w:rPr>
            </w:pPr>
          </w:p>
        </w:tc>
        <w:tc>
          <w:tcPr>
            <w:tcW w:w="5" w:type="pct"/>
            <w:vAlign w:val="center"/>
            <w:hideMark/>
          </w:tcPr>
          <w:p w14:paraId="403E284D" w14:textId="77777777" w:rsidR="00000000" w:rsidRDefault="00EE5306">
            <w:pPr>
              <w:spacing w:after="100"/>
              <w:rPr>
                <w:rFonts w:eastAsia="Times New Roman"/>
                <w:sz w:val="20"/>
                <w:szCs w:val="20"/>
              </w:rPr>
            </w:pPr>
          </w:p>
        </w:tc>
        <w:tc>
          <w:tcPr>
            <w:tcW w:w="5" w:type="pct"/>
            <w:vAlign w:val="center"/>
            <w:hideMark/>
          </w:tcPr>
          <w:p w14:paraId="2B9CF2B5" w14:textId="77777777" w:rsidR="00000000" w:rsidRDefault="00EE5306">
            <w:pPr>
              <w:spacing w:after="100"/>
              <w:rPr>
                <w:rFonts w:eastAsia="Times New Roman"/>
                <w:sz w:val="20"/>
                <w:szCs w:val="20"/>
              </w:rPr>
            </w:pPr>
          </w:p>
        </w:tc>
        <w:tc>
          <w:tcPr>
            <w:tcW w:w="28" w:type="pct"/>
            <w:vAlign w:val="center"/>
            <w:hideMark/>
          </w:tcPr>
          <w:p w14:paraId="3F17D056" w14:textId="77777777" w:rsidR="00000000" w:rsidRDefault="00EE5306">
            <w:pPr>
              <w:spacing w:after="100"/>
              <w:rPr>
                <w:rFonts w:eastAsia="Times New Roman"/>
                <w:sz w:val="20"/>
                <w:szCs w:val="20"/>
              </w:rPr>
            </w:pPr>
          </w:p>
        </w:tc>
        <w:tc>
          <w:tcPr>
            <w:tcW w:w="5" w:type="pct"/>
            <w:vAlign w:val="center"/>
            <w:hideMark/>
          </w:tcPr>
          <w:p w14:paraId="0FA05121" w14:textId="77777777" w:rsidR="00000000" w:rsidRDefault="00EE5306">
            <w:pPr>
              <w:spacing w:after="100"/>
              <w:rPr>
                <w:rFonts w:eastAsia="Times New Roman"/>
                <w:sz w:val="20"/>
                <w:szCs w:val="20"/>
              </w:rPr>
            </w:pPr>
          </w:p>
        </w:tc>
        <w:tc>
          <w:tcPr>
            <w:tcW w:w="50" w:type="pct"/>
            <w:vAlign w:val="center"/>
            <w:hideMark/>
          </w:tcPr>
          <w:p w14:paraId="14552952" w14:textId="77777777" w:rsidR="00000000" w:rsidRDefault="00EE5306">
            <w:pPr>
              <w:spacing w:after="100"/>
              <w:rPr>
                <w:rFonts w:eastAsia="Times New Roman"/>
                <w:sz w:val="20"/>
                <w:szCs w:val="20"/>
              </w:rPr>
            </w:pPr>
          </w:p>
        </w:tc>
        <w:tc>
          <w:tcPr>
            <w:tcW w:w="717" w:type="pct"/>
            <w:vAlign w:val="center"/>
            <w:hideMark/>
          </w:tcPr>
          <w:p w14:paraId="221EE976" w14:textId="77777777" w:rsidR="00000000" w:rsidRDefault="00EE5306">
            <w:pPr>
              <w:spacing w:after="100"/>
              <w:rPr>
                <w:rFonts w:eastAsia="Times New Roman"/>
                <w:sz w:val="20"/>
                <w:szCs w:val="20"/>
              </w:rPr>
            </w:pPr>
          </w:p>
        </w:tc>
        <w:tc>
          <w:tcPr>
            <w:tcW w:w="5" w:type="pct"/>
            <w:vAlign w:val="center"/>
            <w:hideMark/>
          </w:tcPr>
          <w:p w14:paraId="16EF0FF6" w14:textId="77777777" w:rsidR="00000000" w:rsidRDefault="00EE5306">
            <w:pPr>
              <w:spacing w:after="100"/>
              <w:rPr>
                <w:rFonts w:eastAsia="Times New Roman"/>
                <w:sz w:val="20"/>
                <w:szCs w:val="20"/>
              </w:rPr>
            </w:pPr>
          </w:p>
        </w:tc>
        <w:tc>
          <w:tcPr>
            <w:tcW w:w="5" w:type="pct"/>
            <w:vAlign w:val="center"/>
            <w:hideMark/>
          </w:tcPr>
          <w:p w14:paraId="6C441DC4" w14:textId="77777777" w:rsidR="00000000" w:rsidRDefault="00EE5306">
            <w:pPr>
              <w:spacing w:after="100"/>
              <w:rPr>
                <w:rFonts w:eastAsia="Times New Roman"/>
                <w:sz w:val="20"/>
                <w:szCs w:val="20"/>
              </w:rPr>
            </w:pPr>
          </w:p>
        </w:tc>
        <w:tc>
          <w:tcPr>
            <w:tcW w:w="28" w:type="pct"/>
            <w:vAlign w:val="center"/>
            <w:hideMark/>
          </w:tcPr>
          <w:p w14:paraId="0C36DA66" w14:textId="77777777" w:rsidR="00000000" w:rsidRDefault="00EE5306">
            <w:pPr>
              <w:spacing w:after="100"/>
              <w:rPr>
                <w:rFonts w:eastAsia="Times New Roman"/>
                <w:sz w:val="20"/>
                <w:szCs w:val="20"/>
              </w:rPr>
            </w:pPr>
          </w:p>
        </w:tc>
        <w:tc>
          <w:tcPr>
            <w:tcW w:w="5" w:type="pct"/>
            <w:vAlign w:val="center"/>
            <w:hideMark/>
          </w:tcPr>
          <w:p w14:paraId="2F6527A3" w14:textId="77777777" w:rsidR="00000000" w:rsidRDefault="00EE5306">
            <w:pPr>
              <w:spacing w:after="100"/>
              <w:rPr>
                <w:rFonts w:eastAsia="Times New Roman"/>
                <w:sz w:val="20"/>
                <w:szCs w:val="20"/>
              </w:rPr>
            </w:pPr>
          </w:p>
        </w:tc>
        <w:tc>
          <w:tcPr>
            <w:tcW w:w="50" w:type="pct"/>
            <w:vAlign w:val="center"/>
            <w:hideMark/>
          </w:tcPr>
          <w:p w14:paraId="56AE74FA" w14:textId="77777777" w:rsidR="00000000" w:rsidRDefault="00EE5306">
            <w:pPr>
              <w:spacing w:after="100"/>
              <w:rPr>
                <w:rFonts w:eastAsia="Times New Roman"/>
                <w:sz w:val="20"/>
                <w:szCs w:val="20"/>
              </w:rPr>
            </w:pPr>
          </w:p>
        </w:tc>
        <w:tc>
          <w:tcPr>
            <w:tcW w:w="718" w:type="pct"/>
            <w:vAlign w:val="center"/>
            <w:hideMark/>
          </w:tcPr>
          <w:p w14:paraId="7DCA6FB6" w14:textId="77777777" w:rsidR="00000000" w:rsidRDefault="00EE5306">
            <w:pPr>
              <w:spacing w:after="100"/>
              <w:rPr>
                <w:rFonts w:eastAsia="Times New Roman"/>
                <w:sz w:val="20"/>
                <w:szCs w:val="20"/>
              </w:rPr>
            </w:pPr>
          </w:p>
        </w:tc>
        <w:tc>
          <w:tcPr>
            <w:tcW w:w="5" w:type="pct"/>
            <w:vAlign w:val="center"/>
            <w:hideMark/>
          </w:tcPr>
          <w:p w14:paraId="5A2C919A" w14:textId="77777777" w:rsidR="00000000" w:rsidRDefault="00EE5306">
            <w:pPr>
              <w:spacing w:after="100"/>
              <w:rPr>
                <w:rFonts w:eastAsia="Times New Roman"/>
                <w:sz w:val="20"/>
                <w:szCs w:val="20"/>
              </w:rPr>
            </w:pPr>
          </w:p>
        </w:tc>
      </w:tr>
      <w:tr w:rsidR="00000000" w14:paraId="5C620656" w14:textId="77777777">
        <w:trPr>
          <w:divId w:val="2082022405"/>
        </w:trPr>
        <w:tc>
          <w:tcPr>
            <w:tcW w:w="0" w:type="auto"/>
            <w:gridSpan w:val="3"/>
            <w:tcMar>
              <w:top w:w="0" w:type="dxa"/>
              <w:left w:w="20" w:type="dxa"/>
              <w:bottom w:w="0" w:type="dxa"/>
              <w:right w:w="20" w:type="dxa"/>
            </w:tcMar>
            <w:vAlign w:val="center"/>
            <w:hideMark/>
          </w:tcPr>
          <w:p w14:paraId="2FE3DD85" w14:textId="77777777" w:rsidR="00000000" w:rsidRDefault="00EE53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B60577" w14:textId="77777777" w:rsidR="00000000" w:rsidRDefault="00EE530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8FC9162"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690F0F48" w14:textId="77777777">
        <w:trPr>
          <w:divId w:val="2082022405"/>
        </w:trPr>
        <w:tc>
          <w:tcPr>
            <w:tcW w:w="0" w:type="auto"/>
            <w:gridSpan w:val="3"/>
            <w:tcMar>
              <w:top w:w="0" w:type="dxa"/>
              <w:left w:w="20" w:type="dxa"/>
              <w:bottom w:w="0" w:type="dxa"/>
              <w:right w:w="20" w:type="dxa"/>
            </w:tcMar>
            <w:vAlign w:val="center"/>
            <w:hideMark/>
          </w:tcPr>
          <w:p w14:paraId="3799F1C0"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7DC2ACB" w14:textId="77777777" w:rsidR="00000000" w:rsidRDefault="00EE53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46271A2"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FAE1D0F"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59D8DAF"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851461F"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0FBDB0B"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721CA89F" w14:textId="77777777">
        <w:trPr>
          <w:divId w:val="2082022405"/>
        </w:trPr>
        <w:tc>
          <w:tcPr>
            <w:tcW w:w="0" w:type="auto"/>
            <w:gridSpan w:val="3"/>
            <w:tcMar>
              <w:top w:w="0" w:type="dxa"/>
              <w:left w:w="20" w:type="dxa"/>
              <w:bottom w:w="0" w:type="dxa"/>
              <w:right w:w="20" w:type="dxa"/>
            </w:tcMar>
            <w:vAlign w:val="center"/>
            <w:hideMark/>
          </w:tcPr>
          <w:p w14:paraId="01CA38A4" w14:textId="77777777" w:rsidR="00000000" w:rsidRDefault="00EE530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5EBAC3E" w14:textId="77777777" w:rsidR="00000000" w:rsidRDefault="00EE530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7D3B96FF"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4A5B6DC0" w14:textId="77777777">
        <w:trPr>
          <w:divId w:val="2082022405"/>
        </w:trPr>
        <w:tc>
          <w:tcPr>
            <w:tcW w:w="0" w:type="auto"/>
            <w:gridSpan w:val="3"/>
            <w:shd w:val="clear" w:color="auto" w:fill="CCEEFF"/>
            <w:tcMar>
              <w:top w:w="30" w:type="dxa"/>
              <w:left w:w="20" w:type="dxa"/>
              <w:bottom w:w="30" w:type="dxa"/>
              <w:right w:w="20" w:type="dxa"/>
            </w:tcMar>
            <w:vAlign w:val="bottom"/>
            <w:hideMark/>
          </w:tcPr>
          <w:p w14:paraId="507DE2DB" w14:textId="77777777" w:rsidR="00000000" w:rsidRDefault="00EE5306">
            <w:pPr>
              <w:spacing w:after="100"/>
              <w:rPr>
                <w:rFonts w:eastAsia="Times New Roman"/>
              </w:rPr>
            </w:pPr>
            <w:r>
              <w:rPr>
                <w:rFonts w:eastAsia="Times New Roman"/>
                <w:b/>
                <w:bCs/>
                <w:color w:val="000000"/>
                <w:sz w:val="20"/>
                <w:szCs w:val="20"/>
              </w:rPr>
              <w:t>Capital expenditures:</w:t>
            </w:r>
          </w:p>
        </w:tc>
        <w:tc>
          <w:tcPr>
            <w:tcW w:w="0" w:type="auto"/>
            <w:gridSpan w:val="3"/>
            <w:shd w:val="clear" w:color="auto" w:fill="CCEEFF"/>
            <w:tcMar>
              <w:top w:w="0" w:type="dxa"/>
              <w:left w:w="20" w:type="dxa"/>
              <w:bottom w:w="0" w:type="dxa"/>
              <w:right w:w="20" w:type="dxa"/>
            </w:tcMar>
            <w:vAlign w:val="center"/>
            <w:hideMark/>
          </w:tcPr>
          <w:p w14:paraId="0874D895"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58A9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3BBF8"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0EFA8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ACDF7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04847C" w14:textId="77777777" w:rsidR="00000000" w:rsidRDefault="00EE5306">
            <w:pPr>
              <w:spacing w:after="100"/>
              <w:rPr>
                <w:rFonts w:eastAsia="Times New Roman"/>
                <w:sz w:val="20"/>
                <w:szCs w:val="20"/>
              </w:rPr>
            </w:pPr>
          </w:p>
        </w:tc>
      </w:tr>
      <w:tr w:rsidR="00000000" w14:paraId="761F27C7" w14:textId="77777777">
        <w:trPr>
          <w:divId w:val="2082022405"/>
        </w:trPr>
        <w:tc>
          <w:tcPr>
            <w:tcW w:w="0" w:type="auto"/>
            <w:gridSpan w:val="3"/>
            <w:shd w:val="clear" w:color="auto" w:fill="FFFFFF"/>
            <w:tcMar>
              <w:top w:w="30" w:type="dxa"/>
              <w:left w:w="155" w:type="dxa"/>
              <w:bottom w:w="30" w:type="dxa"/>
              <w:right w:w="20" w:type="dxa"/>
            </w:tcMar>
            <w:vAlign w:val="bottom"/>
            <w:hideMark/>
          </w:tcPr>
          <w:p w14:paraId="308E3D63" w14:textId="77777777" w:rsidR="00000000" w:rsidRDefault="00EE5306">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14:paraId="5BD5C240" w14:textId="77777777" w:rsidR="00000000" w:rsidRDefault="00EE530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289EF7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B35B86" w14:textId="77777777" w:rsidR="00000000" w:rsidRDefault="00EE5306">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14:paraId="2BCB1A98"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7F6E3"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5728BF"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C30FC3" w14:textId="77777777" w:rsidR="00000000" w:rsidRDefault="00EE5306">
            <w:pPr>
              <w:spacing w:after="100"/>
              <w:jc w:val="right"/>
              <w:rPr>
                <w:rFonts w:eastAsia="Times New Roman"/>
              </w:rPr>
            </w:pPr>
            <w:r>
              <w:rPr>
                <w:rFonts w:eastAsia="Times New Roman"/>
                <w:color w:val="000000"/>
                <w:sz w:val="20"/>
                <w:szCs w:val="20"/>
              </w:rPr>
              <w:t>48.5 </w:t>
            </w:r>
          </w:p>
        </w:tc>
        <w:tc>
          <w:tcPr>
            <w:tcW w:w="0" w:type="auto"/>
            <w:shd w:val="clear" w:color="auto" w:fill="FFFFFF"/>
            <w:tcMar>
              <w:top w:w="30" w:type="dxa"/>
              <w:left w:w="0" w:type="dxa"/>
              <w:bottom w:w="30" w:type="dxa"/>
              <w:right w:w="20" w:type="dxa"/>
            </w:tcMar>
            <w:vAlign w:val="bottom"/>
            <w:hideMark/>
          </w:tcPr>
          <w:p w14:paraId="074086B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D7412"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DAC2F6"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762AD6" w14:textId="77777777" w:rsidR="00000000" w:rsidRDefault="00EE5306">
            <w:pPr>
              <w:spacing w:after="100"/>
              <w:jc w:val="right"/>
              <w:rPr>
                <w:rFonts w:eastAsia="Times New Roman"/>
              </w:rPr>
            </w:pPr>
            <w:r>
              <w:rPr>
                <w:rFonts w:eastAsia="Times New Roman"/>
                <w:color w:val="000000"/>
                <w:sz w:val="20"/>
                <w:szCs w:val="20"/>
              </w:rPr>
              <w:t>74.6 </w:t>
            </w:r>
          </w:p>
        </w:tc>
        <w:tc>
          <w:tcPr>
            <w:tcW w:w="0" w:type="auto"/>
            <w:shd w:val="clear" w:color="auto" w:fill="FFFFFF"/>
            <w:tcMar>
              <w:top w:w="30" w:type="dxa"/>
              <w:left w:w="0" w:type="dxa"/>
              <w:bottom w:w="30" w:type="dxa"/>
              <w:right w:w="20" w:type="dxa"/>
            </w:tcMar>
            <w:vAlign w:val="bottom"/>
            <w:hideMark/>
          </w:tcPr>
          <w:p w14:paraId="3B563AEB" w14:textId="77777777" w:rsidR="00000000" w:rsidRDefault="00EE5306">
            <w:pPr>
              <w:spacing w:after="100"/>
              <w:jc w:val="right"/>
              <w:rPr>
                <w:rFonts w:eastAsia="Times New Roman"/>
              </w:rPr>
            </w:pPr>
          </w:p>
        </w:tc>
      </w:tr>
      <w:tr w:rsidR="00000000" w14:paraId="3A38D05B" w14:textId="77777777">
        <w:trPr>
          <w:divId w:val="2082022405"/>
        </w:trPr>
        <w:tc>
          <w:tcPr>
            <w:tcW w:w="0" w:type="auto"/>
            <w:gridSpan w:val="3"/>
            <w:shd w:val="clear" w:color="auto" w:fill="CCEEFF"/>
            <w:tcMar>
              <w:top w:w="30" w:type="dxa"/>
              <w:left w:w="155" w:type="dxa"/>
              <w:bottom w:w="30" w:type="dxa"/>
              <w:right w:w="20" w:type="dxa"/>
            </w:tcMar>
            <w:vAlign w:val="bottom"/>
            <w:hideMark/>
          </w:tcPr>
          <w:p w14:paraId="2445F867" w14:textId="77777777" w:rsidR="00000000" w:rsidRDefault="00EE5306">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14:paraId="2B574BAE"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FF17E5" w14:textId="77777777" w:rsidR="00000000" w:rsidRDefault="00EE5306">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14:paraId="2B44832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9777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19F950" w14:textId="77777777" w:rsidR="00000000" w:rsidRDefault="00EE5306">
            <w:pPr>
              <w:spacing w:after="100"/>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14:paraId="127E322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55DB15"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C265DC" w14:textId="77777777" w:rsidR="00000000" w:rsidRDefault="00EE5306">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14:paraId="52CA695C" w14:textId="77777777" w:rsidR="00000000" w:rsidRDefault="00EE5306">
            <w:pPr>
              <w:spacing w:after="100"/>
              <w:jc w:val="right"/>
              <w:rPr>
                <w:rFonts w:eastAsia="Times New Roman"/>
              </w:rPr>
            </w:pPr>
          </w:p>
        </w:tc>
      </w:tr>
      <w:tr w:rsidR="00000000" w14:paraId="2D2F7C53" w14:textId="77777777">
        <w:trPr>
          <w:divId w:val="2082022405"/>
        </w:trPr>
        <w:tc>
          <w:tcPr>
            <w:tcW w:w="0" w:type="auto"/>
            <w:gridSpan w:val="3"/>
            <w:shd w:val="clear" w:color="auto" w:fill="FFFFFF"/>
            <w:tcMar>
              <w:top w:w="30" w:type="dxa"/>
              <w:left w:w="155" w:type="dxa"/>
              <w:bottom w:w="30" w:type="dxa"/>
              <w:right w:w="20" w:type="dxa"/>
            </w:tcMar>
            <w:vAlign w:val="bottom"/>
            <w:hideMark/>
          </w:tcPr>
          <w:p w14:paraId="309DF60C" w14:textId="77777777" w:rsidR="00000000" w:rsidRDefault="00EE5306">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14:paraId="36F4ECAC"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2852CE" w14:textId="77777777" w:rsidR="00000000" w:rsidRDefault="00EE5306">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bottom"/>
            <w:hideMark/>
          </w:tcPr>
          <w:p w14:paraId="3EFD9E4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ACC90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7F757" w14:textId="77777777" w:rsidR="00000000" w:rsidRDefault="00EE5306">
            <w:pPr>
              <w:spacing w:after="100"/>
              <w:jc w:val="right"/>
              <w:rPr>
                <w:rFonts w:eastAsia="Times New Roman"/>
              </w:rPr>
            </w:pPr>
            <w:r>
              <w:rPr>
                <w:rFonts w:eastAsia="Times New Roman"/>
                <w:color w:val="000000"/>
                <w:sz w:val="20"/>
                <w:szCs w:val="20"/>
              </w:rPr>
              <w:t>59.6 </w:t>
            </w:r>
          </w:p>
        </w:tc>
        <w:tc>
          <w:tcPr>
            <w:tcW w:w="0" w:type="auto"/>
            <w:shd w:val="clear" w:color="auto" w:fill="FFFFFF"/>
            <w:tcMar>
              <w:top w:w="30" w:type="dxa"/>
              <w:left w:w="0" w:type="dxa"/>
              <w:bottom w:w="30" w:type="dxa"/>
              <w:right w:w="20" w:type="dxa"/>
            </w:tcMar>
            <w:vAlign w:val="bottom"/>
            <w:hideMark/>
          </w:tcPr>
          <w:p w14:paraId="1BC8A57E"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180E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3C001B" w14:textId="77777777" w:rsidR="00000000" w:rsidRDefault="00EE5306">
            <w:pPr>
              <w:spacing w:after="100"/>
              <w:jc w:val="right"/>
              <w:rPr>
                <w:rFonts w:eastAsia="Times New Roman"/>
              </w:rPr>
            </w:pPr>
            <w:r>
              <w:rPr>
                <w:rFonts w:eastAsia="Times New Roman"/>
                <w:color w:val="000000"/>
                <w:sz w:val="20"/>
                <w:szCs w:val="20"/>
              </w:rPr>
              <w:t>45.2 </w:t>
            </w:r>
          </w:p>
        </w:tc>
        <w:tc>
          <w:tcPr>
            <w:tcW w:w="0" w:type="auto"/>
            <w:shd w:val="clear" w:color="auto" w:fill="FFFFFF"/>
            <w:tcMar>
              <w:top w:w="30" w:type="dxa"/>
              <w:left w:w="0" w:type="dxa"/>
              <w:bottom w:w="30" w:type="dxa"/>
              <w:right w:w="20" w:type="dxa"/>
            </w:tcMar>
            <w:vAlign w:val="bottom"/>
            <w:hideMark/>
          </w:tcPr>
          <w:p w14:paraId="42DCD6F6" w14:textId="77777777" w:rsidR="00000000" w:rsidRDefault="00EE5306">
            <w:pPr>
              <w:spacing w:after="100"/>
              <w:jc w:val="right"/>
              <w:rPr>
                <w:rFonts w:eastAsia="Times New Roman"/>
              </w:rPr>
            </w:pPr>
          </w:p>
        </w:tc>
      </w:tr>
      <w:tr w:rsidR="00000000" w14:paraId="2C15A06E" w14:textId="77777777">
        <w:trPr>
          <w:divId w:val="2082022405"/>
        </w:trPr>
        <w:tc>
          <w:tcPr>
            <w:tcW w:w="0" w:type="auto"/>
            <w:gridSpan w:val="3"/>
            <w:shd w:val="clear" w:color="auto" w:fill="CCEEFF"/>
            <w:tcMar>
              <w:top w:w="30" w:type="dxa"/>
              <w:left w:w="155" w:type="dxa"/>
              <w:bottom w:w="30" w:type="dxa"/>
              <w:right w:w="20" w:type="dxa"/>
            </w:tcMar>
            <w:vAlign w:val="bottom"/>
            <w:hideMark/>
          </w:tcPr>
          <w:p w14:paraId="11C157A5" w14:textId="77777777" w:rsidR="00000000" w:rsidRDefault="00EE5306">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14:paraId="414C001A"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ACB0E7" w14:textId="77777777" w:rsidR="00000000" w:rsidRDefault="00EE5306">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4B0B3E0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73730"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ECD918" w14:textId="77777777" w:rsidR="00000000" w:rsidRDefault="00EE5306">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14:paraId="26515173"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E79A1"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7CC896" w14:textId="77777777" w:rsidR="00000000" w:rsidRDefault="00EE5306">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66281E0C" w14:textId="77777777" w:rsidR="00000000" w:rsidRDefault="00EE5306">
            <w:pPr>
              <w:spacing w:after="100"/>
              <w:jc w:val="right"/>
              <w:rPr>
                <w:rFonts w:eastAsia="Times New Roman"/>
              </w:rPr>
            </w:pPr>
          </w:p>
        </w:tc>
      </w:tr>
      <w:tr w:rsidR="00000000" w14:paraId="36066731" w14:textId="77777777">
        <w:trPr>
          <w:divId w:val="2082022405"/>
        </w:trPr>
        <w:tc>
          <w:tcPr>
            <w:tcW w:w="0" w:type="auto"/>
            <w:gridSpan w:val="3"/>
            <w:shd w:val="clear" w:color="auto" w:fill="FFFFFF"/>
            <w:tcMar>
              <w:top w:w="30" w:type="dxa"/>
              <w:left w:w="155" w:type="dxa"/>
              <w:bottom w:w="30" w:type="dxa"/>
              <w:right w:w="20" w:type="dxa"/>
            </w:tcMar>
            <w:vAlign w:val="bottom"/>
            <w:hideMark/>
          </w:tcPr>
          <w:p w14:paraId="54B86F48" w14:textId="77777777" w:rsidR="00000000" w:rsidRDefault="00EE5306">
            <w:pPr>
              <w:spacing w:after="100"/>
              <w:rPr>
                <w:rFonts w:eastAsia="Times New Roman"/>
              </w:rPr>
            </w:pPr>
            <w:r>
              <w:rPr>
                <w:rFonts w:eastAsia="Times New Roman"/>
                <w:color w:val="000000"/>
                <w:sz w:val="20"/>
                <w:szCs w:val="20"/>
              </w:rPr>
              <w:t>Unallocated corporate</w:t>
            </w:r>
          </w:p>
        </w:tc>
        <w:tc>
          <w:tcPr>
            <w:tcW w:w="0" w:type="auto"/>
            <w:gridSpan w:val="3"/>
            <w:shd w:val="clear" w:color="auto" w:fill="FFFFFF"/>
            <w:tcMar>
              <w:top w:w="0" w:type="dxa"/>
              <w:left w:w="20" w:type="dxa"/>
              <w:bottom w:w="0" w:type="dxa"/>
              <w:right w:w="20" w:type="dxa"/>
            </w:tcMar>
            <w:vAlign w:val="center"/>
            <w:hideMark/>
          </w:tcPr>
          <w:p w14:paraId="4291F665"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A66757" w14:textId="77777777" w:rsidR="00000000" w:rsidRDefault="00EE5306">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14:paraId="2ED76EF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C8C50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3BB2CD" w14:textId="77777777" w:rsidR="00000000" w:rsidRDefault="00EE5306">
            <w:pPr>
              <w:spacing w:after="100"/>
              <w:jc w:val="right"/>
              <w:rPr>
                <w:rFonts w:eastAsia="Times New Roman"/>
              </w:rPr>
            </w:pPr>
            <w:r>
              <w:rPr>
                <w:rFonts w:eastAsia="Times New Roman"/>
                <w:color w:val="000000"/>
                <w:sz w:val="20"/>
                <w:szCs w:val="20"/>
              </w:rPr>
              <w:t>120.6 </w:t>
            </w:r>
          </w:p>
        </w:tc>
        <w:tc>
          <w:tcPr>
            <w:tcW w:w="0" w:type="auto"/>
            <w:shd w:val="clear" w:color="auto" w:fill="FFFFFF"/>
            <w:tcMar>
              <w:top w:w="30" w:type="dxa"/>
              <w:left w:w="0" w:type="dxa"/>
              <w:bottom w:w="30" w:type="dxa"/>
              <w:right w:w="20" w:type="dxa"/>
            </w:tcMar>
            <w:vAlign w:val="bottom"/>
            <w:hideMark/>
          </w:tcPr>
          <w:p w14:paraId="7B4735B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4A61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C59175" w14:textId="77777777" w:rsidR="00000000" w:rsidRDefault="00EE5306">
            <w:pPr>
              <w:spacing w:after="100"/>
              <w:jc w:val="right"/>
              <w:rPr>
                <w:rFonts w:eastAsia="Times New Roman"/>
              </w:rPr>
            </w:pPr>
            <w:r>
              <w:rPr>
                <w:rFonts w:eastAsia="Times New Roman"/>
                <w:color w:val="000000"/>
                <w:sz w:val="20"/>
                <w:szCs w:val="20"/>
              </w:rPr>
              <w:t>46.3 </w:t>
            </w:r>
          </w:p>
        </w:tc>
        <w:tc>
          <w:tcPr>
            <w:tcW w:w="0" w:type="auto"/>
            <w:shd w:val="clear" w:color="auto" w:fill="FFFFFF"/>
            <w:tcMar>
              <w:top w:w="30" w:type="dxa"/>
              <w:left w:w="0" w:type="dxa"/>
              <w:bottom w:w="30" w:type="dxa"/>
              <w:right w:w="20" w:type="dxa"/>
            </w:tcMar>
            <w:vAlign w:val="bottom"/>
            <w:hideMark/>
          </w:tcPr>
          <w:p w14:paraId="396A1723" w14:textId="77777777" w:rsidR="00000000" w:rsidRDefault="00EE5306">
            <w:pPr>
              <w:spacing w:after="100"/>
              <w:jc w:val="right"/>
              <w:rPr>
                <w:rFonts w:eastAsia="Times New Roman"/>
              </w:rPr>
            </w:pPr>
          </w:p>
        </w:tc>
      </w:tr>
      <w:tr w:rsidR="00000000" w14:paraId="6C285F18" w14:textId="77777777">
        <w:trPr>
          <w:divId w:val="2082022405"/>
        </w:trPr>
        <w:tc>
          <w:tcPr>
            <w:tcW w:w="0" w:type="auto"/>
            <w:gridSpan w:val="3"/>
            <w:shd w:val="clear" w:color="auto" w:fill="CCEEFF"/>
            <w:tcMar>
              <w:top w:w="30" w:type="dxa"/>
              <w:left w:w="380" w:type="dxa"/>
              <w:bottom w:w="30" w:type="dxa"/>
              <w:right w:w="20" w:type="dxa"/>
            </w:tcMar>
            <w:vAlign w:val="bottom"/>
            <w:hideMark/>
          </w:tcPr>
          <w:p w14:paraId="2EB19599" w14:textId="77777777" w:rsidR="00000000" w:rsidRDefault="00EE5306">
            <w:pPr>
              <w:spacing w:after="100"/>
              <w:rPr>
                <w:rFonts w:eastAsia="Times New Roman"/>
              </w:rPr>
            </w:pPr>
            <w:r>
              <w:rPr>
                <w:rFonts w:eastAsia="Times New Roman"/>
                <w:color w:val="000000"/>
                <w:sz w:val="20"/>
                <w:szCs w:val="20"/>
              </w:rPr>
              <w:t>Total capital expenditures</w:t>
            </w:r>
          </w:p>
        </w:tc>
        <w:tc>
          <w:tcPr>
            <w:tcW w:w="0" w:type="auto"/>
            <w:gridSpan w:val="3"/>
            <w:shd w:val="clear" w:color="auto" w:fill="CCEEFF"/>
            <w:tcMar>
              <w:top w:w="0" w:type="dxa"/>
              <w:left w:w="20" w:type="dxa"/>
              <w:bottom w:w="0" w:type="dxa"/>
              <w:right w:w="20" w:type="dxa"/>
            </w:tcMar>
            <w:vAlign w:val="center"/>
            <w:hideMark/>
          </w:tcPr>
          <w:p w14:paraId="6DC4DD67"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6EBBEB"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2BF7D2" w14:textId="77777777" w:rsidR="00000000" w:rsidRDefault="00EE5306">
            <w:pPr>
              <w:spacing w:after="100"/>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CEF7C7"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44184"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5255F1"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B7FB76" w14:textId="77777777" w:rsidR="00000000" w:rsidRDefault="00EE5306">
            <w:pPr>
              <w:spacing w:after="100"/>
              <w:jc w:val="right"/>
              <w:rPr>
                <w:rFonts w:eastAsia="Times New Roman"/>
              </w:rPr>
            </w:pPr>
            <w:r>
              <w:rPr>
                <w:rFonts w:eastAsia="Times New Roman"/>
                <w:color w:val="000000"/>
                <w:sz w:val="20"/>
                <w:szCs w:val="20"/>
              </w:rPr>
              <w:t>270.3 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36898D"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7BC16"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079E57"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523D4F" w14:textId="77777777" w:rsidR="00000000" w:rsidRDefault="00EE5306">
            <w:pPr>
              <w:spacing w:after="100"/>
              <w:jc w:val="right"/>
              <w:rPr>
                <w:rFonts w:eastAsia="Times New Roman"/>
              </w:rPr>
            </w:pPr>
            <w:r>
              <w:rPr>
                <w:rFonts w:eastAsia="Times New Roman"/>
                <w:color w:val="000000"/>
                <w:sz w:val="20"/>
                <w:szCs w:val="20"/>
              </w:rPr>
              <w:t>197.7 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06C10A" w14:textId="77777777" w:rsidR="00000000" w:rsidRDefault="00EE5306">
            <w:pPr>
              <w:spacing w:after="100"/>
              <w:jc w:val="right"/>
              <w:rPr>
                <w:rFonts w:eastAsia="Times New Roman"/>
              </w:rPr>
            </w:pPr>
          </w:p>
        </w:tc>
      </w:tr>
    </w:tbl>
    <w:p w14:paraId="63D4F9FA" w14:textId="77777777" w:rsidR="00000000" w:rsidRDefault="00EE5306">
      <w:pPr>
        <w:ind w:firstLine="540"/>
        <w:jc w:val="both"/>
        <w:divId w:val="1676762145"/>
        <w:rPr>
          <w:rFonts w:eastAsia="Times New Roman"/>
        </w:rPr>
      </w:pPr>
      <w:r>
        <w:rPr>
          <w:rFonts w:eastAsia="Times New Roman"/>
          <w:color w:val="000000"/>
          <w:sz w:val="20"/>
          <w:szCs w:val="20"/>
        </w:rPr>
        <w:t>Net revenues and long-lived assets by geographic location of the reporting subsidiary are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14:paraId="27001738" w14:textId="77777777">
        <w:trPr>
          <w:divId w:val="495000498"/>
        </w:trPr>
        <w:tc>
          <w:tcPr>
            <w:tcW w:w="50" w:type="pct"/>
            <w:vAlign w:val="center"/>
            <w:hideMark/>
          </w:tcPr>
          <w:p w14:paraId="7C86D923" w14:textId="77777777" w:rsidR="00000000" w:rsidRDefault="00EE5306">
            <w:pPr>
              <w:ind w:firstLine="540"/>
              <w:jc w:val="both"/>
              <w:rPr>
                <w:rFonts w:eastAsia="Times New Roman"/>
              </w:rPr>
            </w:pPr>
          </w:p>
        </w:tc>
        <w:tc>
          <w:tcPr>
            <w:tcW w:w="2510" w:type="pct"/>
            <w:vAlign w:val="center"/>
            <w:hideMark/>
          </w:tcPr>
          <w:p w14:paraId="5C451471" w14:textId="77777777" w:rsidR="00000000" w:rsidRDefault="00EE5306">
            <w:pPr>
              <w:spacing w:after="100"/>
              <w:rPr>
                <w:rFonts w:eastAsia="Times New Roman"/>
                <w:sz w:val="20"/>
                <w:szCs w:val="20"/>
              </w:rPr>
            </w:pPr>
          </w:p>
        </w:tc>
        <w:tc>
          <w:tcPr>
            <w:tcW w:w="5" w:type="pct"/>
            <w:vAlign w:val="center"/>
            <w:hideMark/>
          </w:tcPr>
          <w:p w14:paraId="612E0F49" w14:textId="77777777" w:rsidR="00000000" w:rsidRDefault="00EE5306">
            <w:pPr>
              <w:spacing w:after="100"/>
              <w:rPr>
                <w:rFonts w:eastAsia="Times New Roman"/>
                <w:sz w:val="20"/>
                <w:szCs w:val="20"/>
              </w:rPr>
            </w:pPr>
          </w:p>
        </w:tc>
        <w:tc>
          <w:tcPr>
            <w:tcW w:w="5" w:type="pct"/>
            <w:vAlign w:val="center"/>
            <w:hideMark/>
          </w:tcPr>
          <w:p w14:paraId="3F0D545D" w14:textId="77777777" w:rsidR="00000000" w:rsidRDefault="00EE5306">
            <w:pPr>
              <w:spacing w:after="100"/>
              <w:rPr>
                <w:rFonts w:eastAsia="Times New Roman"/>
                <w:sz w:val="20"/>
                <w:szCs w:val="20"/>
              </w:rPr>
            </w:pPr>
          </w:p>
        </w:tc>
        <w:tc>
          <w:tcPr>
            <w:tcW w:w="28" w:type="pct"/>
            <w:vAlign w:val="center"/>
            <w:hideMark/>
          </w:tcPr>
          <w:p w14:paraId="7D6A3C63" w14:textId="77777777" w:rsidR="00000000" w:rsidRDefault="00EE5306">
            <w:pPr>
              <w:spacing w:after="100"/>
              <w:rPr>
                <w:rFonts w:eastAsia="Times New Roman"/>
                <w:sz w:val="20"/>
                <w:szCs w:val="20"/>
              </w:rPr>
            </w:pPr>
          </w:p>
        </w:tc>
        <w:tc>
          <w:tcPr>
            <w:tcW w:w="5" w:type="pct"/>
            <w:vAlign w:val="center"/>
            <w:hideMark/>
          </w:tcPr>
          <w:p w14:paraId="6F9BA28A" w14:textId="77777777" w:rsidR="00000000" w:rsidRDefault="00EE5306">
            <w:pPr>
              <w:spacing w:after="100"/>
              <w:rPr>
                <w:rFonts w:eastAsia="Times New Roman"/>
                <w:sz w:val="20"/>
                <w:szCs w:val="20"/>
              </w:rPr>
            </w:pPr>
          </w:p>
        </w:tc>
        <w:tc>
          <w:tcPr>
            <w:tcW w:w="50" w:type="pct"/>
            <w:vAlign w:val="center"/>
            <w:hideMark/>
          </w:tcPr>
          <w:p w14:paraId="40B77CA6" w14:textId="77777777" w:rsidR="00000000" w:rsidRDefault="00EE5306">
            <w:pPr>
              <w:spacing w:after="100"/>
              <w:rPr>
                <w:rFonts w:eastAsia="Times New Roman"/>
                <w:sz w:val="20"/>
                <w:szCs w:val="20"/>
              </w:rPr>
            </w:pPr>
          </w:p>
        </w:tc>
        <w:tc>
          <w:tcPr>
            <w:tcW w:w="717" w:type="pct"/>
            <w:vAlign w:val="center"/>
            <w:hideMark/>
          </w:tcPr>
          <w:p w14:paraId="5A35B12A" w14:textId="77777777" w:rsidR="00000000" w:rsidRDefault="00EE5306">
            <w:pPr>
              <w:spacing w:after="100"/>
              <w:rPr>
                <w:rFonts w:eastAsia="Times New Roman"/>
                <w:sz w:val="20"/>
                <w:szCs w:val="20"/>
              </w:rPr>
            </w:pPr>
          </w:p>
        </w:tc>
        <w:tc>
          <w:tcPr>
            <w:tcW w:w="5" w:type="pct"/>
            <w:vAlign w:val="center"/>
            <w:hideMark/>
          </w:tcPr>
          <w:p w14:paraId="58DA6F53" w14:textId="77777777" w:rsidR="00000000" w:rsidRDefault="00EE5306">
            <w:pPr>
              <w:spacing w:after="100"/>
              <w:rPr>
                <w:rFonts w:eastAsia="Times New Roman"/>
                <w:sz w:val="20"/>
                <w:szCs w:val="20"/>
              </w:rPr>
            </w:pPr>
          </w:p>
        </w:tc>
        <w:tc>
          <w:tcPr>
            <w:tcW w:w="5" w:type="pct"/>
            <w:vAlign w:val="center"/>
            <w:hideMark/>
          </w:tcPr>
          <w:p w14:paraId="4EED9F8A" w14:textId="77777777" w:rsidR="00000000" w:rsidRDefault="00EE5306">
            <w:pPr>
              <w:spacing w:after="100"/>
              <w:rPr>
                <w:rFonts w:eastAsia="Times New Roman"/>
                <w:sz w:val="20"/>
                <w:szCs w:val="20"/>
              </w:rPr>
            </w:pPr>
          </w:p>
        </w:tc>
        <w:tc>
          <w:tcPr>
            <w:tcW w:w="28" w:type="pct"/>
            <w:vAlign w:val="center"/>
            <w:hideMark/>
          </w:tcPr>
          <w:p w14:paraId="0D0E498D" w14:textId="77777777" w:rsidR="00000000" w:rsidRDefault="00EE5306">
            <w:pPr>
              <w:spacing w:after="100"/>
              <w:rPr>
                <w:rFonts w:eastAsia="Times New Roman"/>
                <w:sz w:val="20"/>
                <w:szCs w:val="20"/>
              </w:rPr>
            </w:pPr>
          </w:p>
        </w:tc>
        <w:tc>
          <w:tcPr>
            <w:tcW w:w="5" w:type="pct"/>
            <w:vAlign w:val="center"/>
            <w:hideMark/>
          </w:tcPr>
          <w:p w14:paraId="78286695" w14:textId="77777777" w:rsidR="00000000" w:rsidRDefault="00EE5306">
            <w:pPr>
              <w:spacing w:after="100"/>
              <w:rPr>
                <w:rFonts w:eastAsia="Times New Roman"/>
                <w:sz w:val="20"/>
                <w:szCs w:val="20"/>
              </w:rPr>
            </w:pPr>
          </w:p>
        </w:tc>
        <w:tc>
          <w:tcPr>
            <w:tcW w:w="50" w:type="pct"/>
            <w:vAlign w:val="center"/>
            <w:hideMark/>
          </w:tcPr>
          <w:p w14:paraId="40F46375" w14:textId="77777777" w:rsidR="00000000" w:rsidRDefault="00EE5306">
            <w:pPr>
              <w:spacing w:after="100"/>
              <w:rPr>
                <w:rFonts w:eastAsia="Times New Roman"/>
                <w:sz w:val="20"/>
                <w:szCs w:val="20"/>
              </w:rPr>
            </w:pPr>
          </w:p>
        </w:tc>
        <w:tc>
          <w:tcPr>
            <w:tcW w:w="717" w:type="pct"/>
            <w:vAlign w:val="center"/>
            <w:hideMark/>
          </w:tcPr>
          <w:p w14:paraId="7A9846C2" w14:textId="77777777" w:rsidR="00000000" w:rsidRDefault="00EE5306">
            <w:pPr>
              <w:spacing w:after="100"/>
              <w:rPr>
                <w:rFonts w:eastAsia="Times New Roman"/>
                <w:sz w:val="20"/>
                <w:szCs w:val="20"/>
              </w:rPr>
            </w:pPr>
          </w:p>
        </w:tc>
        <w:tc>
          <w:tcPr>
            <w:tcW w:w="5" w:type="pct"/>
            <w:vAlign w:val="center"/>
            <w:hideMark/>
          </w:tcPr>
          <w:p w14:paraId="3EDF76B7" w14:textId="77777777" w:rsidR="00000000" w:rsidRDefault="00EE5306">
            <w:pPr>
              <w:spacing w:after="100"/>
              <w:rPr>
                <w:rFonts w:eastAsia="Times New Roman"/>
                <w:sz w:val="20"/>
                <w:szCs w:val="20"/>
              </w:rPr>
            </w:pPr>
          </w:p>
        </w:tc>
        <w:tc>
          <w:tcPr>
            <w:tcW w:w="5" w:type="pct"/>
            <w:vAlign w:val="center"/>
            <w:hideMark/>
          </w:tcPr>
          <w:p w14:paraId="1DDA163C" w14:textId="77777777" w:rsidR="00000000" w:rsidRDefault="00EE5306">
            <w:pPr>
              <w:spacing w:after="100"/>
              <w:rPr>
                <w:rFonts w:eastAsia="Times New Roman"/>
                <w:sz w:val="20"/>
                <w:szCs w:val="20"/>
              </w:rPr>
            </w:pPr>
          </w:p>
        </w:tc>
        <w:tc>
          <w:tcPr>
            <w:tcW w:w="28" w:type="pct"/>
            <w:vAlign w:val="center"/>
            <w:hideMark/>
          </w:tcPr>
          <w:p w14:paraId="5293C7C6" w14:textId="77777777" w:rsidR="00000000" w:rsidRDefault="00EE5306">
            <w:pPr>
              <w:spacing w:after="100"/>
              <w:rPr>
                <w:rFonts w:eastAsia="Times New Roman"/>
                <w:sz w:val="20"/>
                <w:szCs w:val="20"/>
              </w:rPr>
            </w:pPr>
          </w:p>
        </w:tc>
        <w:tc>
          <w:tcPr>
            <w:tcW w:w="5" w:type="pct"/>
            <w:vAlign w:val="center"/>
            <w:hideMark/>
          </w:tcPr>
          <w:p w14:paraId="0A63D7D1" w14:textId="77777777" w:rsidR="00000000" w:rsidRDefault="00EE5306">
            <w:pPr>
              <w:spacing w:after="100"/>
              <w:rPr>
                <w:rFonts w:eastAsia="Times New Roman"/>
                <w:sz w:val="20"/>
                <w:szCs w:val="20"/>
              </w:rPr>
            </w:pPr>
          </w:p>
        </w:tc>
        <w:tc>
          <w:tcPr>
            <w:tcW w:w="50" w:type="pct"/>
            <w:vAlign w:val="center"/>
            <w:hideMark/>
          </w:tcPr>
          <w:p w14:paraId="335B1B15" w14:textId="77777777" w:rsidR="00000000" w:rsidRDefault="00EE5306">
            <w:pPr>
              <w:spacing w:after="100"/>
              <w:rPr>
                <w:rFonts w:eastAsia="Times New Roman"/>
                <w:sz w:val="20"/>
                <w:szCs w:val="20"/>
              </w:rPr>
            </w:pPr>
          </w:p>
        </w:tc>
        <w:tc>
          <w:tcPr>
            <w:tcW w:w="718" w:type="pct"/>
            <w:vAlign w:val="center"/>
            <w:hideMark/>
          </w:tcPr>
          <w:p w14:paraId="492ACA46" w14:textId="77777777" w:rsidR="00000000" w:rsidRDefault="00EE5306">
            <w:pPr>
              <w:spacing w:after="100"/>
              <w:rPr>
                <w:rFonts w:eastAsia="Times New Roman"/>
                <w:sz w:val="20"/>
                <w:szCs w:val="20"/>
              </w:rPr>
            </w:pPr>
          </w:p>
        </w:tc>
        <w:tc>
          <w:tcPr>
            <w:tcW w:w="5" w:type="pct"/>
            <w:vAlign w:val="center"/>
            <w:hideMark/>
          </w:tcPr>
          <w:p w14:paraId="099EAA83" w14:textId="77777777" w:rsidR="00000000" w:rsidRDefault="00EE5306">
            <w:pPr>
              <w:spacing w:after="100"/>
              <w:rPr>
                <w:rFonts w:eastAsia="Times New Roman"/>
                <w:sz w:val="20"/>
                <w:szCs w:val="20"/>
              </w:rPr>
            </w:pPr>
          </w:p>
        </w:tc>
      </w:tr>
      <w:tr w:rsidR="00000000" w14:paraId="1090A978" w14:textId="77777777">
        <w:trPr>
          <w:divId w:val="495000498"/>
        </w:trPr>
        <w:tc>
          <w:tcPr>
            <w:tcW w:w="0" w:type="auto"/>
            <w:gridSpan w:val="3"/>
            <w:tcMar>
              <w:top w:w="30" w:type="dxa"/>
              <w:left w:w="20" w:type="dxa"/>
              <w:bottom w:w="30" w:type="dxa"/>
              <w:right w:w="20" w:type="dxa"/>
            </w:tcMar>
            <w:vAlign w:val="bottom"/>
            <w:hideMark/>
          </w:tcPr>
          <w:p w14:paraId="4987789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D2A0A00"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00CE9758"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0FB37884" w14:textId="77777777">
        <w:trPr>
          <w:divId w:val="495000498"/>
        </w:trPr>
        <w:tc>
          <w:tcPr>
            <w:tcW w:w="0" w:type="auto"/>
            <w:gridSpan w:val="3"/>
            <w:tcMar>
              <w:top w:w="30" w:type="dxa"/>
              <w:left w:w="20" w:type="dxa"/>
              <w:bottom w:w="30" w:type="dxa"/>
              <w:right w:w="20" w:type="dxa"/>
            </w:tcMar>
            <w:vAlign w:val="bottom"/>
            <w:hideMark/>
          </w:tcPr>
          <w:p w14:paraId="18C2114D"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81E787F"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018733"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9AC96A0"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1B75ED"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1880466"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A1DAE45"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46D85DD1" w14:textId="77777777">
        <w:trPr>
          <w:divId w:val="495000498"/>
        </w:trPr>
        <w:tc>
          <w:tcPr>
            <w:tcW w:w="0" w:type="auto"/>
            <w:gridSpan w:val="3"/>
            <w:tcMar>
              <w:top w:w="30" w:type="dxa"/>
              <w:left w:w="20" w:type="dxa"/>
              <w:bottom w:w="30" w:type="dxa"/>
              <w:right w:w="20" w:type="dxa"/>
            </w:tcMar>
            <w:vAlign w:val="bottom"/>
            <w:hideMark/>
          </w:tcPr>
          <w:p w14:paraId="7323258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664D556"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5591DC9"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2CB64B08" w14:textId="77777777">
        <w:trPr>
          <w:divId w:val="495000498"/>
        </w:trPr>
        <w:tc>
          <w:tcPr>
            <w:tcW w:w="0" w:type="auto"/>
            <w:gridSpan w:val="3"/>
            <w:shd w:val="clear" w:color="auto" w:fill="CCEEFF"/>
            <w:tcMar>
              <w:top w:w="30" w:type="dxa"/>
              <w:left w:w="20" w:type="dxa"/>
              <w:bottom w:w="30" w:type="dxa"/>
              <w:right w:w="20" w:type="dxa"/>
            </w:tcMar>
            <w:vAlign w:val="bottom"/>
            <w:hideMark/>
          </w:tcPr>
          <w:p w14:paraId="759404CC" w14:textId="77777777" w:rsidR="00000000" w:rsidRDefault="00EE5306">
            <w:pPr>
              <w:spacing w:after="100"/>
              <w:divId w:val="345524206"/>
              <w:rPr>
                <w:rFonts w:eastAsia="Times New Roman"/>
              </w:rPr>
            </w:pPr>
            <w:r>
              <w:rPr>
                <w:rFonts w:eastAsia="Times New Roman"/>
                <w:b/>
                <w:bCs/>
                <w:color w:val="000000"/>
                <w:sz w:val="20"/>
                <w:szCs w:val="20"/>
              </w:rPr>
              <w:t>Net revenue</w:t>
            </w:r>
            <w:r>
              <w:rPr>
                <w:rFonts w:eastAsia="Times New Roman"/>
                <w:b/>
                <w:bCs/>
                <w:color w:val="000000"/>
                <w:sz w:val="20"/>
                <w:szCs w:val="20"/>
              </w:rPr>
              <w:t>s</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A88F933"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CF35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A12ED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8E07AF"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C96C71"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51D071" w14:textId="77777777" w:rsidR="00000000" w:rsidRDefault="00EE5306">
            <w:pPr>
              <w:spacing w:after="100"/>
              <w:rPr>
                <w:rFonts w:eastAsia="Times New Roman"/>
                <w:sz w:val="20"/>
                <w:szCs w:val="20"/>
              </w:rPr>
            </w:pPr>
          </w:p>
        </w:tc>
      </w:tr>
      <w:tr w:rsidR="00000000" w14:paraId="0E32202F" w14:textId="77777777">
        <w:trPr>
          <w:divId w:val="495000498"/>
        </w:trPr>
        <w:tc>
          <w:tcPr>
            <w:tcW w:w="0" w:type="auto"/>
            <w:gridSpan w:val="3"/>
            <w:shd w:val="clear" w:color="auto" w:fill="FFFFFF"/>
            <w:tcMar>
              <w:top w:w="30" w:type="dxa"/>
              <w:left w:w="20" w:type="dxa"/>
              <w:bottom w:w="30" w:type="dxa"/>
              <w:right w:w="20" w:type="dxa"/>
            </w:tcMar>
            <w:vAlign w:val="bottom"/>
            <w:hideMark/>
          </w:tcPr>
          <w:p w14:paraId="68692C6C" w14:textId="77777777" w:rsidR="00000000" w:rsidRDefault="00EE5306">
            <w:pPr>
              <w:spacing w:after="100"/>
              <w:ind w:firstLine="180"/>
              <w:divId w:val="391269012"/>
              <w:rPr>
                <w:rFonts w:eastAsia="Times New Roman"/>
              </w:rPr>
            </w:pPr>
            <w:r>
              <w:rPr>
                <w:rFonts w:eastAsia="Times New Roman"/>
                <w:color w:val="000000"/>
                <w:sz w:val="20"/>
                <w:szCs w:val="20"/>
              </w:rPr>
              <w:t>The America</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5DA261E" w14:textId="77777777" w:rsidR="00000000" w:rsidRDefault="00EE5306">
            <w:pPr>
              <w:spacing w:after="100"/>
              <w:ind w:firstLine="180"/>
              <w:rPr>
                <w:rFonts w:eastAsia="Times New Roman"/>
              </w:rPr>
            </w:pPr>
          </w:p>
        </w:tc>
        <w:tc>
          <w:tcPr>
            <w:tcW w:w="0" w:type="auto"/>
            <w:shd w:val="clear" w:color="auto" w:fill="FFFFFF"/>
            <w:tcMar>
              <w:top w:w="30" w:type="dxa"/>
              <w:left w:w="20" w:type="dxa"/>
              <w:bottom w:w="30" w:type="dxa"/>
              <w:right w:w="0" w:type="dxa"/>
            </w:tcMar>
            <w:vAlign w:val="bottom"/>
            <w:hideMark/>
          </w:tcPr>
          <w:p w14:paraId="3CF5228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3AF994" w14:textId="77777777" w:rsidR="00000000" w:rsidRDefault="00EE5306">
            <w:pPr>
              <w:spacing w:after="100"/>
              <w:jc w:val="right"/>
              <w:rPr>
                <w:rFonts w:eastAsia="Times New Roman"/>
              </w:rPr>
            </w:pPr>
            <w:r>
              <w:rPr>
                <w:rFonts w:eastAsia="Times New Roman"/>
                <w:color w:val="000000"/>
                <w:sz w:val="20"/>
                <w:szCs w:val="20"/>
              </w:rPr>
              <w:t>2,208.4 </w:t>
            </w:r>
          </w:p>
        </w:tc>
        <w:tc>
          <w:tcPr>
            <w:tcW w:w="0" w:type="auto"/>
            <w:shd w:val="clear" w:color="auto" w:fill="FFFFFF"/>
            <w:tcMar>
              <w:top w:w="30" w:type="dxa"/>
              <w:left w:w="0" w:type="dxa"/>
              <w:bottom w:w="30" w:type="dxa"/>
              <w:right w:w="20" w:type="dxa"/>
            </w:tcMar>
            <w:vAlign w:val="bottom"/>
            <w:hideMark/>
          </w:tcPr>
          <w:p w14:paraId="28855665"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5019F0"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FFDD57"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DAFB37" w14:textId="77777777" w:rsidR="00000000" w:rsidRDefault="00EE5306">
            <w:pPr>
              <w:spacing w:after="100"/>
              <w:jc w:val="right"/>
              <w:rPr>
                <w:rFonts w:eastAsia="Times New Roman"/>
              </w:rPr>
            </w:pPr>
            <w:r>
              <w:rPr>
                <w:rFonts w:eastAsia="Times New Roman"/>
                <w:color w:val="000000"/>
                <w:sz w:val="20"/>
                <w:szCs w:val="20"/>
              </w:rPr>
              <w:t>3,516.4 </w:t>
            </w:r>
          </w:p>
        </w:tc>
        <w:tc>
          <w:tcPr>
            <w:tcW w:w="0" w:type="auto"/>
            <w:shd w:val="clear" w:color="auto" w:fill="FFFFFF"/>
            <w:tcMar>
              <w:top w:w="30" w:type="dxa"/>
              <w:left w:w="0" w:type="dxa"/>
              <w:bottom w:w="30" w:type="dxa"/>
              <w:right w:w="20" w:type="dxa"/>
            </w:tcMar>
            <w:vAlign w:val="bottom"/>
            <w:hideMark/>
          </w:tcPr>
          <w:p w14:paraId="1EE4580F"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2F138"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BCCCE8"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0DB8C6" w14:textId="77777777" w:rsidR="00000000" w:rsidRDefault="00EE5306">
            <w:pPr>
              <w:spacing w:after="100"/>
              <w:jc w:val="right"/>
              <w:rPr>
                <w:rFonts w:eastAsia="Times New Roman"/>
              </w:rPr>
            </w:pPr>
            <w:r>
              <w:rPr>
                <w:rFonts w:eastAsia="Times New Roman"/>
                <w:color w:val="000000"/>
                <w:sz w:val="20"/>
                <w:szCs w:val="20"/>
              </w:rPr>
              <w:t>3,602.2 </w:t>
            </w:r>
          </w:p>
        </w:tc>
        <w:tc>
          <w:tcPr>
            <w:tcW w:w="0" w:type="auto"/>
            <w:shd w:val="clear" w:color="auto" w:fill="FFFFFF"/>
            <w:tcMar>
              <w:top w:w="30" w:type="dxa"/>
              <w:left w:w="0" w:type="dxa"/>
              <w:bottom w:w="30" w:type="dxa"/>
              <w:right w:w="20" w:type="dxa"/>
            </w:tcMar>
            <w:vAlign w:val="bottom"/>
            <w:hideMark/>
          </w:tcPr>
          <w:p w14:paraId="0D764B44" w14:textId="77777777" w:rsidR="00000000" w:rsidRDefault="00EE5306">
            <w:pPr>
              <w:spacing w:after="100"/>
              <w:jc w:val="right"/>
              <w:rPr>
                <w:rFonts w:eastAsia="Times New Roman"/>
              </w:rPr>
            </w:pPr>
          </w:p>
        </w:tc>
      </w:tr>
      <w:tr w:rsidR="00000000" w14:paraId="68E1CEBD" w14:textId="77777777">
        <w:trPr>
          <w:divId w:val="495000498"/>
        </w:trPr>
        <w:tc>
          <w:tcPr>
            <w:tcW w:w="0" w:type="auto"/>
            <w:gridSpan w:val="3"/>
            <w:shd w:val="clear" w:color="auto" w:fill="CCEEFF"/>
            <w:tcMar>
              <w:top w:w="30" w:type="dxa"/>
              <w:left w:w="20" w:type="dxa"/>
              <w:bottom w:w="30" w:type="dxa"/>
              <w:right w:w="20" w:type="dxa"/>
            </w:tcMar>
            <w:vAlign w:val="bottom"/>
            <w:hideMark/>
          </w:tcPr>
          <w:p w14:paraId="3409728F" w14:textId="77777777" w:rsidR="00000000" w:rsidRDefault="00EE5306">
            <w:pPr>
              <w:spacing w:after="100"/>
              <w:ind w:firstLine="180"/>
              <w:divId w:val="538055276"/>
              <w:rPr>
                <w:rFonts w:eastAsia="Times New Roman"/>
              </w:rPr>
            </w:pPr>
            <w:r>
              <w:rPr>
                <w:rFonts w:eastAsia="Times New Roman"/>
                <w:color w:val="000000"/>
                <w:sz w:val="20"/>
                <w:szCs w:val="20"/>
              </w:rPr>
              <w:t>Europ</w:t>
            </w:r>
            <w:r>
              <w:rPr>
                <w:rFonts w:eastAsia="Times New Roman"/>
                <w:color w:val="000000"/>
                <w:sz w:val="20"/>
                <w:szCs w:val="20"/>
              </w:rPr>
              <w:t>e</w:t>
            </w:r>
            <w:r>
              <w:rPr>
                <w:rFonts w:eastAsia="Times New Roman"/>
                <w:b/>
                <w:bCs/>
                <w:color w:val="000000"/>
                <w:sz w:val="13"/>
                <w:szCs w:val="13"/>
              </w:rPr>
              <w:t>(c</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697C965D" w14:textId="77777777" w:rsidR="00000000" w:rsidRDefault="00EE5306">
            <w:pPr>
              <w:spacing w:after="100"/>
              <w:ind w:firstLine="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A15363" w14:textId="77777777" w:rsidR="00000000" w:rsidRDefault="00EE5306">
            <w:pPr>
              <w:spacing w:after="100"/>
              <w:jc w:val="right"/>
              <w:rPr>
                <w:rFonts w:eastAsia="Times New Roman"/>
              </w:rPr>
            </w:pPr>
            <w:r>
              <w:rPr>
                <w:rFonts w:eastAsia="Times New Roman"/>
                <w:color w:val="000000"/>
                <w:sz w:val="20"/>
                <w:szCs w:val="20"/>
              </w:rPr>
              <w:t>1,164.3 </w:t>
            </w:r>
          </w:p>
        </w:tc>
        <w:tc>
          <w:tcPr>
            <w:tcW w:w="0" w:type="auto"/>
            <w:shd w:val="clear" w:color="auto" w:fill="CCEEFF"/>
            <w:tcMar>
              <w:top w:w="30" w:type="dxa"/>
              <w:left w:w="0" w:type="dxa"/>
              <w:bottom w:w="30" w:type="dxa"/>
              <w:right w:w="20" w:type="dxa"/>
            </w:tcMar>
            <w:vAlign w:val="bottom"/>
            <w:hideMark/>
          </w:tcPr>
          <w:p w14:paraId="2708E27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5DA69"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F8B16D" w14:textId="77777777" w:rsidR="00000000" w:rsidRDefault="00EE5306">
            <w:pPr>
              <w:spacing w:after="100"/>
              <w:jc w:val="right"/>
              <w:rPr>
                <w:rFonts w:eastAsia="Times New Roman"/>
              </w:rPr>
            </w:pPr>
            <w:r>
              <w:rPr>
                <w:rFonts w:eastAsia="Times New Roman"/>
                <w:color w:val="000000"/>
                <w:sz w:val="20"/>
                <w:szCs w:val="20"/>
              </w:rPr>
              <w:t>1,625.3 </w:t>
            </w:r>
          </w:p>
        </w:tc>
        <w:tc>
          <w:tcPr>
            <w:tcW w:w="0" w:type="auto"/>
            <w:shd w:val="clear" w:color="auto" w:fill="CCEEFF"/>
            <w:tcMar>
              <w:top w:w="30" w:type="dxa"/>
              <w:left w:w="0" w:type="dxa"/>
              <w:bottom w:w="30" w:type="dxa"/>
              <w:right w:w="20" w:type="dxa"/>
            </w:tcMar>
            <w:vAlign w:val="bottom"/>
            <w:hideMark/>
          </w:tcPr>
          <w:p w14:paraId="25BBA72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81CB8"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42965B" w14:textId="77777777" w:rsidR="00000000" w:rsidRDefault="00EE5306">
            <w:pPr>
              <w:spacing w:after="100"/>
              <w:jc w:val="right"/>
              <w:rPr>
                <w:rFonts w:eastAsia="Times New Roman"/>
              </w:rPr>
            </w:pPr>
            <w:r>
              <w:rPr>
                <w:rFonts w:eastAsia="Times New Roman"/>
                <w:color w:val="000000"/>
                <w:sz w:val="20"/>
                <w:szCs w:val="20"/>
              </w:rPr>
              <w:t>1,668.6 </w:t>
            </w:r>
          </w:p>
        </w:tc>
        <w:tc>
          <w:tcPr>
            <w:tcW w:w="0" w:type="auto"/>
            <w:shd w:val="clear" w:color="auto" w:fill="CCEEFF"/>
            <w:tcMar>
              <w:top w:w="30" w:type="dxa"/>
              <w:left w:w="0" w:type="dxa"/>
              <w:bottom w:w="30" w:type="dxa"/>
              <w:right w:w="20" w:type="dxa"/>
            </w:tcMar>
            <w:vAlign w:val="bottom"/>
            <w:hideMark/>
          </w:tcPr>
          <w:p w14:paraId="228F2742" w14:textId="77777777" w:rsidR="00000000" w:rsidRDefault="00EE5306">
            <w:pPr>
              <w:spacing w:after="100"/>
              <w:jc w:val="right"/>
              <w:rPr>
                <w:rFonts w:eastAsia="Times New Roman"/>
              </w:rPr>
            </w:pPr>
          </w:p>
        </w:tc>
      </w:tr>
      <w:tr w:rsidR="00000000" w14:paraId="37FC6239" w14:textId="77777777">
        <w:trPr>
          <w:divId w:val="495000498"/>
        </w:trPr>
        <w:tc>
          <w:tcPr>
            <w:tcW w:w="0" w:type="auto"/>
            <w:gridSpan w:val="3"/>
            <w:shd w:val="clear" w:color="auto" w:fill="FFFFFF"/>
            <w:tcMar>
              <w:top w:w="30" w:type="dxa"/>
              <w:left w:w="20" w:type="dxa"/>
              <w:bottom w:w="30" w:type="dxa"/>
              <w:right w:w="20" w:type="dxa"/>
            </w:tcMar>
            <w:vAlign w:val="bottom"/>
            <w:hideMark/>
          </w:tcPr>
          <w:p w14:paraId="39C5189B" w14:textId="77777777" w:rsidR="00000000" w:rsidRDefault="00EE5306">
            <w:pPr>
              <w:spacing w:after="100"/>
              <w:ind w:firstLine="180"/>
              <w:divId w:val="1361853333"/>
              <w:rPr>
                <w:rFonts w:eastAsia="Times New Roman"/>
              </w:rPr>
            </w:pPr>
            <w:r>
              <w:rPr>
                <w:rFonts w:eastAsia="Times New Roman"/>
                <w:color w:val="000000"/>
                <w:sz w:val="20"/>
                <w:szCs w:val="20"/>
              </w:rPr>
              <w:t>Asi</w:t>
            </w:r>
            <w:r>
              <w:rPr>
                <w:rFonts w:eastAsia="Times New Roman"/>
                <w:color w:val="000000"/>
                <w:sz w:val="20"/>
                <w:szCs w:val="20"/>
              </w:rPr>
              <w:t>a</w:t>
            </w:r>
            <w:r>
              <w:rPr>
                <w:rFonts w:eastAsia="Times New Roman"/>
                <w:b/>
                <w:bCs/>
                <w:color w:val="000000"/>
                <w:sz w:val="13"/>
                <w:szCs w:val="13"/>
              </w:rPr>
              <w:t>(d</w:t>
            </w:r>
            <w:r>
              <w:rPr>
                <w:rFonts w:eastAsia="Times New Roman"/>
                <w:b/>
                <w:bCs/>
                <w:color w:val="000000"/>
                <w:sz w:val="13"/>
                <w:szCs w:val="13"/>
              </w:rPr>
              <w:t>)</w:t>
            </w:r>
            <w:r>
              <w:rPr>
                <w:rFonts w:eastAsia="Times New Roman"/>
                <w:color w:val="000000"/>
                <w:sz w:val="13"/>
                <w:szCs w:val="13"/>
              </w:rPr>
              <w:t xml:space="preserve"> </w:t>
            </w:r>
          </w:p>
        </w:tc>
        <w:tc>
          <w:tcPr>
            <w:tcW w:w="0" w:type="auto"/>
            <w:gridSpan w:val="3"/>
            <w:shd w:val="clear" w:color="auto" w:fill="FFFFFF"/>
            <w:tcMar>
              <w:top w:w="0" w:type="dxa"/>
              <w:left w:w="20" w:type="dxa"/>
              <w:bottom w:w="0" w:type="dxa"/>
              <w:right w:w="20" w:type="dxa"/>
            </w:tcMar>
            <w:vAlign w:val="center"/>
            <w:hideMark/>
          </w:tcPr>
          <w:p w14:paraId="594DB405" w14:textId="77777777" w:rsidR="00000000" w:rsidRDefault="00EE5306">
            <w:pPr>
              <w:spacing w:after="100"/>
              <w:ind w:firstLine="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00091F" w14:textId="77777777" w:rsidR="00000000" w:rsidRDefault="00EE5306">
            <w:pPr>
              <w:spacing w:after="100"/>
              <w:jc w:val="right"/>
              <w:rPr>
                <w:rFonts w:eastAsia="Times New Roman"/>
              </w:rPr>
            </w:pPr>
            <w:r>
              <w:rPr>
                <w:rFonts w:eastAsia="Times New Roman"/>
                <w:color w:val="000000"/>
                <w:sz w:val="20"/>
                <w:szCs w:val="20"/>
              </w:rPr>
              <w:t>1,028.1 </w:t>
            </w:r>
          </w:p>
        </w:tc>
        <w:tc>
          <w:tcPr>
            <w:tcW w:w="0" w:type="auto"/>
            <w:shd w:val="clear" w:color="auto" w:fill="FFFFFF"/>
            <w:tcMar>
              <w:top w:w="30" w:type="dxa"/>
              <w:left w:w="0" w:type="dxa"/>
              <w:bottom w:w="30" w:type="dxa"/>
              <w:right w:w="20" w:type="dxa"/>
            </w:tcMar>
            <w:vAlign w:val="bottom"/>
            <w:hideMark/>
          </w:tcPr>
          <w:p w14:paraId="3D6AB3E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5070D"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6C5EE8" w14:textId="77777777" w:rsidR="00000000" w:rsidRDefault="00EE5306">
            <w:pPr>
              <w:spacing w:after="100"/>
              <w:jc w:val="right"/>
              <w:rPr>
                <w:rFonts w:eastAsia="Times New Roman"/>
              </w:rPr>
            </w:pPr>
            <w:r>
              <w:rPr>
                <w:rFonts w:eastAsia="Times New Roman"/>
                <w:color w:val="000000"/>
                <w:sz w:val="20"/>
                <w:szCs w:val="20"/>
              </w:rPr>
              <w:t>1,018.1 </w:t>
            </w:r>
          </w:p>
        </w:tc>
        <w:tc>
          <w:tcPr>
            <w:tcW w:w="0" w:type="auto"/>
            <w:shd w:val="clear" w:color="auto" w:fill="FFFFFF"/>
            <w:tcMar>
              <w:top w:w="30" w:type="dxa"/>
              <w:left w:w="0" w:type="dxa"/>
              <w:bottom w:w="30" w:type="dxa"/>
              <w:right w:w="20" w:type="dxa"/>
            </w:tcMar>
            <w:vAlign w:val="bottom"/>
            <w:hideMark/>
          </w:tcPr>
          <w:p w14:paraId="0381B450"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F263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9A2548" w14:textId="77777777" w:rsidR="00000000" w:rsidRDefault="00EE5306">
            <w:pPr>
              <w:spacing w:after="100"/>
              <w:jc w:val="right"/>
              <w:rPr>
                <w:rFonts w:eastAsia="Times New Roman"/>
              </w:rPr>
            </w:pPr>
            <w:r>
              <w:rPr>
                <w:rFonts w:eastAsia="Times New Roman"/>
                <w:color w:val="000000"/>
                <w:sz w:val="20"/>
                <w:szCs w:val="20"/>
              </w:rPr>
              <w:t>1,042.2 </w:t>
            </w:r>
          </w:p>
        </w:tc>
        <w:tc>
          <w:tcPr>
            <w:tcW w:w="0" w:type="auto"/>
            <w:shd w:val="clear" w:color="auto" w:fill="FFFFFF"/>
            <w:tcMar>
              <w:top w:w="30" w:type="dxa"/>
              <w:left w:w="0" w:type="dxa"/>
              <w:bottom w:w="30" w:type="dxa"/>
              <w:right w:w="20" w:type="dxa"/>
            </w:tcMar>
            <w:vAlign w:val="bottom"/>
            <w:hideMark/>
          </w:tcPr>
          <w:p w14:paraId="2A952D6C" w14:textId="77777777" w:rsidR="00000000" w:rsidRDefault="00EE5306">
            <w:pPr>
              <w:spacing w:after="100"/>
              <w:jc w:val="right"/>
              <w:rPr>
                <w:rFonts w:eastAsia="Times New Roman"/>
              </w:rPr>
            </w:pPr>
          </w:p>
        </w:tc>
      </w:tr>
      <w:tr w:rsidR="00000000" w14:paraId="52885D76" w14:textId="77777777">
        <w:trPr>
          <w:divId w:val="495000498"/>
        </w:trPr>
        <w:tc>
          <w:tcPr>
            <w:tcW w:w="0" w:type="auto"/>
            <w:gridSpan w:val="3"/>
            <w:shd w:val="clear" w:color="auto" w:fill="CCEEFF"/>
            <w:tcMar>
              <w:top w:w="30" w:type="dxa"/>
              <w:left w:w="380" w:type="dxa"/>
              <w:bottom w:w="30" w:type="dxa"/>
              <w:right w:w="20" w:type="dxa"/>
            </w:tcMar>
            <w:vAlign w:val="bottom"/>
            <w:hideMark/>
          </w:tcPr>
          <w:p w14:paraId="68510450" w14:textId="77777777" w:rsidR="00000000" w:rsidRDefault="00EE5306">
            <w:pPr>
              <w:spacing w:after="100"/>
              <w:rPr>
                <w:rFonts w:eastAsia="Times New Roman"/>
              </w:rPr>
            </w:pPr>
            <w:r>
              <w:rPr>
                <w:rFonts w:eastAsia="Times New Roman"/>
                <w:color w:val="000000"/>
                <w:sz w:val="20"/>
                <w:szCs w:val="20"/>
              </w:rPr>
              <w:t>Total net revenues</w:t>
            </w:r>
          </w:p>
        </w:tc>
        <w:tc>
          <w:tcPr>
            <w:tcW w:w="0" w:type="auto"/>
            <w:gridSpan w:val="3"/>
            <w:shd w:val="clear" w:color="auto" w:fill="CCEEFF"/>
            <w:tcMar>
              <w:top w:w="0" w:type="dxa"/>
              <w:left w:w="20" w:type="dxa"/>
              <w:bottom w:w="0" w:type="dxa"/>
              <w:right w:w="20" w:type="dxa"/>
            </w:tcMar>
            <w:vAlign w:val="center"/>
            <w:hideMark/>
          </w:tcPr>
          <w:p w14:paraId="071F6894"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FB9E6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F7B3F4" w14:textId="77777777" w:rsidR="00000000" w:rsidRDefault="00EE5306">
            <w:pPr>
              <w:spacing w:after="100"/>
              <w:jc w:val="right"/>
              <w:rPr>
                <w:rFonts w:eastAsia="Times New Roman"/>
              </w:rPr>
            </w:pPr>
            <w:r>
              <w:rPr>
                <w:rFonts w:eastAsia="Times New Roman"/>
                <w:color w:val="000000"/>
                <w:sz w:val="20"/>
                <w:szCs w:val="20"/>
              </w:rPr>
              <w:t>4,400.8 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BF3A6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08C6A"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8786CF"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4BBE44" w14:textId="77777777" w:rsidR="00000000" w:rsidRDefault="00EE5306">
            <w:pPr>
              <w:spacing w:after="100"/>
              <w:jc w:val="right"/>
              <w:rPr>
                <w:rFonts w:eastAsia="Times New Roman"/>
              </w:rPr>
            </w:pPr>
            <w:r>
              <w:rPr>
                <w:rFonts w:eastAsia="Times New Roman"/>
                <w:color w:val="000000"/>
                <w:sz w:val="20"/>
                <w:szCs w:val="20"/>
              </w:rPr>
              <w:t>6,159.8 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CF1556"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26DE3"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EEA202"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CA335F" w14:textId="77777777" w:rsidR="00000000" w:rsidRDefault="00EE5306">
            <w:pPr>
              <w:spacing w:after="100"/>
              <w:jc w:val="right"/>
              <w:rPr>
                <w:rFonts w:eastAsia="Times New Roman"/>
              </w:rPr>
            </w:pPr>
            <w:r>
              <w:rPr>
                <w:rFonts w:eastAsia="Times New Roman"/>
                <w:color w:val="000000"/>
                <w:sz w:val="20"/>
                <w:szCs w:val="20"/>
              </w:rPr>
              <w:t>6,313.0 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2174BD" w14:textId="77777777" w:rsidR="00000000" w:rsidRDefault="00EE5306">
            <w:pPr>
              <w:spacing w:after="100"/>
              <w:jc w:val="right"/>
              <w:rPr>
                <w:rFonts w:eastAsia="Times New Roman"/>
              </w:rPr>
            </w:pPr>
          </w:p>
        </w:tc>
      </w:tr>
    </w:tbl>
    <w:tbl>
      <w:tblPr>
        <w:tblW w:w="4729" w:type="pct"/>
        <w:tblCellMar>
          <w:top w:w="15" w:type="dxa"/>
          <w:left w:w="15" w:type="dxa"/>
          <w:bottom w:w="15" w:type="dxa"/>
          <w:right w:w="15" w:type="dxa"/>
        </w:tblCellMar>
        <w:tblLook w:val="04A0" w:firstRow="1" w:lastRow="0" w:firstColumn="1" w:lastColumn="0" w:noHBand="0" w:noVBand="1"/>
      </w:tblPr>
      <w:tblGrid>
        <w:gridCol w:w="144"/>
        <w:gridCol w:w="5218"/>
        <w:gridCol w:w="144"/>
        <w:gridCol w:w="144"/>
        <w:gridCol w:w="144"/>
        <w:gridCol w:w="144"/>
        <w:gridCol w:w="144"/>
        <w:gridCol w:w="1126"/>
        <w:gridCol w:w="144"/>
        <w:gridCol w:w="144"/>
        <w:gridCol w:w="144"/>
        <w:gridCol w:w="144"/>
        <w:gridCol w:w="144"/>
        <w:gridCol w:w="1126"/>
        <w:gridCol w:w="144"/>
      </w:tblGrid>
      <w:tr w:rsidR="00000000" w14:paraId="5129E76A" w14:textId="77777777">
        <w:tc>
          <w:tcPr>
            <w:tcW w:w="50" w:type="pct"/>
            <w:vAlign w:val="center"/>
            <w:hideMark/>
          </w:tcPr>
          <w:p w14:paraId="547659CC" w14:textId="77777777" w:rsidR="00000000" w:rsidRDefault="00EE5306">
            <w:pPr>
              <w:rPr>
                <w:rFonts w:eastAsia="Times New Roman"/>
              </w:rPr>
            </w:pPr>
          </w:p>
        </w:tc>
        <w:tc>
          <w:tcPr>
            <w:tcW w:w="3322" w:type="pct"/>
            <w:vAlign w:val="center"/>
            <w:hideMark/>
          </w:tcPr>
          <w:p w14:paraId="5B5FD075" w14:textId="77777777" w:rsidR="00000000" w:rsidRDefault="00EE5306">
            <w:pPr>
              <w:spacing w:after="100"/>
              <w:rPr>
                <w:rFonts w:eastAsia="Times New Roman"/>
                <w:sz w:val="20"/>
                <w:szCs w:val="20"/>
              </w:rPr>
            </w:pPr>
          </w:p>
        </w:tc>
        <w:tc>
          <w:tcPr>
            <w:tcW w:w="5" w:type="pct"/>
            <w:vAlign w:val="center"/>
            <w:hideMark/>
          </w:tcPr>
          <w:p w14:paraId="05CD012F" w14:textId="77777777" w:rsidR="00000000" w:rsidRDefault="00EE5306">
            <w:pPr>
              <w:spacing w:after="100"/>
              <w:rPr>
                <w:rFonts w:eastAsia="Times New Roman"/>
                <w:sz w:val="20"/>
                <w:szCs w:val="20"/>
              </w:rPr>
            </w:pPr>
          </w:p>
        </w:tc>
        <w:tc>
          <w:tcPr>
            <w:tcW w:w="5" w:type="pct"/>
            <w:vAlign w:val="center"/>
            <w:hideMark/>
          </w:tcPr>
          <w:p w14:paraId="24B31209" w14:textId="77777777" w:rsidR="00000000" w:rsidRDefault="00EE5306">
            <w:pPr>
              <w:spacing w:after="100"/>
              <w:rPr>
                <w:rFonts w:eastAsia="Times New Roman"/>
                <w:sz w:val="20"/>
                <w:szCs w:val="20"/>
              </w:rPr>
            </w:pPr>
          </w:p>
        </w:tc>
        <w:tc>
          <w:tcPr>
            <w:tcW w:w="28" w:type="pct"/>
            <w:vAlign w:val="center"/>
            <w:hideMark/>
          </w:tcPr>
          <w:p w14:paraId="04C7B253" w14:textId="77777777" w:rsidR="00000000" w:rsidRDefault="00EE5306">
            <w:pPr>
              <w:spacing w:after="100"/>
              <w:rPr>
                <w:rFonts w:eastAsia="Times New Roman"/>
                <w:sz w:val="20"/>
                <w:szCs w:val="20"/>
              </w:rPr>
            </w:pPr>
          </w:p>
        </w:tc>
        <w:tc>
          <w:tcPr>
            <w:tcW w:w="5" w:type="pct"/>
            <w:vAlign w:val="center"/>
            <w:hideMark/>
          </w:tcPr>
          <w:p w14:paraId="7C10BF77" w14:textId="77777777" w:rsidR="00000000" w:rsidRDefault="00EE5306">
            <w:pPr>
              <w:spacing w:after="100"/>
              <w:rPr>
                <w:rFonts w:eastAsia="Times New Roman"/>
                <w:sz w:val="20"/>
                <w:szCs w:val="20"/>
              </w:rPr>
            </w:pPr>
          </w:p>
        </w:tc>
        <w:tc>
          <w:tcPr>
            <w:tcW w:w="50" w:type="pct"/>
            <w:vAlign w:val="center"/>
            <w:hideMark/>
          </w:tcPr>
          <w:p w14:paraId="298E239B" w14:textId="77777777" w:rsidR="00000000" w:rsidRDefault="00EE5306">
            <w:pPr>
              <w:spacing w:after="100"/>
              <w:rPr>
                <w:rFonts w:eastAsia="Times New Roman"/>
                <w:sz w:val="20"/>
                <w:szCs w:val="20"/>
              </w:rPr>
            </w:pPr>
          </w:p>
        </w:tc>
        <w:tc>
          <w:tcPr>
            <w:tcW w:w="717" w:type="pct"/>
            <w:vAlign w:val="center"/>
            <w:hideMark/>
          </w:tcPr>
          <w:p w14:paraId="4CF8B006" w14:textId="77777777" w:rsidR="00000000" w:rsidRDefault="00EE5306">
            <w:pPr>
              <w:spacing w:after="100"/>
              <w:rPr>
                <w:rFonts w:eastAsia="Times New Roman"/>
                <w:sz w:val="20"/>
                <w:szCs w:val="20"/>
              </w:rPr>
            </w:pPr>
          </w:p>
        </w:tc>
        <w:tc>
          <w:tcPr>
            <w:tcW w:w="5" w:type="pct"/>
            <w:vAlign w:val="center"/>
            <w:hideMark/>
          </w:tcPr>
          <w:p w14:paraId="7B85B14A" w14:textId="77777777" w:rsidR="00000000" w:rsidRDefault="00EE5306">
            <w:pPr>
              <w:spacing w:after="100"/>
              <w:rPr>
                <w:rFonts w:eastAsia="Times New Roman"/>
                <w:sz w:val="20"/>
                <w:szCs w:val="20"/>
              </w:rPr>
            </w:pPr>
          </w:p>
        </w:tc>
        <w:tc>
          <w:tcPr>
            <w:tcW w:w="5" w:type="pct"/>
            <w:vAlign w:val="center"/>
            <w:hideMark/>
          </w:tcPr>
          <w:p w14:paraId="52EF5F4A" w14:textId="77777777" w:rsidR="00000000" w:rsidRDefault="00EE5306">
            <w:pPr>
              <w:spacing w:after="100"/>
              <w:rPr>
                <w:rFonts w:eastAsia="Times New Roman"/>
                <w:sz w:val="20"/>
                <w:szCs w:val="20"/>
              </w:rPr>
            </w:pPr>
          </w:p>
        </w:tc>
        <w:tc>
          <w:tcPr>
            <w:tcW w:w="28" w:type="pct"/>
            <w:vAlign w:val="center"/>
            <w:hideMark/>
          </w:tcPr>
          <w:p w14:paraId="44277A04" w14:textId="77777777" w:rsidR="00000000" w:rsidRDefault="00EE5306">
            <w:pPr>
              <w:spacing w:after="100"/>
              <w:rPr>
                <w:rFonts w:eastAsia="Times New Roman"/>
                <w:sz w:val="20"/>
                <w:szCs w:val="20"/>
              </w:rPr>
            </w:pPr>
          </w:p>
        </w:tc>
        <w:tc>
          <w:tcPr>
            <w:tcW w:w="5" w:type="pct"/>
            <w:vAlign w:val="center"/>
            <w:hideMark/>
          </w:tcPr>
          <w:p w14:paraId="3980C704" w14:textId="77777777" w:rsidR="00000000" w:rsidRDefault="00EE5306">
            <w:pPr>
              <w:spacing w:after="100"/>
              <w:rPr>
                <w:rFonts w:eastAsia="Times New Roman"/>
                <w:sz w:val="20"/>
                <w:szCs w:val="20"/>
              </w:rPr>
            </w:pPr>
          </w:p>
        </w:tc>
        <w:tc>
          <w:tcPr>
            <w:tcW w:w="50" w:type="pct"/>
            <w:vAlign w:val="center"/>
            <w:hideMark/>
          </w:tcPr>
          <w:p w14:paraId="1C5FBCF2" w14:textId="77777777" w:rsidR="00000000" w:rsidRDefault="00EE5306">
            <w:pPr>
              <w:spacing w:after="100"/>
              <w:rPr>
                <w:rFonts w:eastAsia="Times New Roman"/>
                <w:sz w:val="20"/>
                <w:szCs w:val="20"/>
              </w:rPr>
            </w:pPr>
          </w:p>
        </w:tc>
        <w:tc>
          <w:tcPr>
            <w:tcW w:w="717" w:type="pct"/>
            <w:vAlign w:val="center"/>
            <w:hideMark/>
          </w:tcPr>
          <w:p w14:paraId="1FE05740" w14:textId="77777777" w:rsidR="00000000" w:rsidRDefault="00EE5306">
            <w:pPr>
              <w:spacing w:after="100"/>
              <w:rPr>
                <w:rFonts w:eastAsia="Times New Roman"/>
                <w:sz w:val="20"/>
                <w:szCs w:val="20"/>
              </w:rPr>
            </w:pPr>
          </w:p>
        </w:tc>
        <w:tc>
          <w:tcPr>
            <w:tcW w:w="5" w:type="pct"/>
            <w:vAlign w:val="center"/>
            <w:hideMark/>
          </w:tcPr>
          <w:p w14:paraId="7C7FE2BA" w14:textId="77777777" w:rsidR="00000000" w:rsidRDefault="00EE5306">
            <w:pPr>
              <w:spacing w:after="100"/>
              <w:rPr>
                <w:rFonts w:eastAsia="Times New Roman"/>
                <w:sz w:val="20"/>
                <w:szCs w:val="20"/>
              </w:rPr>
            </w:pPr>
          </w:p>
        </w:tc>
      </w:tr>
      <w:tr w:rsidR="00000000" w14:paraId="05ABEC8E" w14:textId="77777777">
        <w:tc>
          <w:tcPr>
            <w:tcW w:w="0" w:type="auto"/>
            <w:gridSpan w:val="3"/>
            <w:tcMar>
              <w:top w:w="30" w:type="dxa"/>
              <w:left w:w="20" w:type="dxa"/>
              <w:bottom w:w="30" w:type="dxa"/>
              <w:right w:w="20" w:type="dxa"/>
            </w:tcMar>
            <w:vAlign w:val="bottom"/>
            <w:hideMark/>
          </w:tcPr>
          <w:p w14:paraId="4F9FB270"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C8D3FDD"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11D7DE93"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2182665A"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29D3FF9"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1A151992" w14:textId="77777777">
        <w:tc>
          <w:tcPr>
            <w:tcW w:w="0" w:type="auto"/>
            <w:gridSpan w:val="3"/>
            <w:tcMar>
              <w:top w:w="30" w:type="dxa"/>
              <w:left w:w="20" w:type="dxa"/>
              <w:bottom w:w="30" w:type="dxa"/>
              <w:right w:w="20" w:type="dxa"/>
            </w:tcMar>
            <w:vAlign w:val="bottom"/>
            <w:hideMark/>
          </w:tcPr>
          <w:p w14:paraId="2F9EC6CC"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93D5753" w14:textId="77777777" w:rsidR="00000000" w:rsidRDefault="00EE530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14BF57A"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4A61B3A1" w14:textId="77777777">
        <w:tc>
          <w:tcPr>
            <w:tcW w:w="0" w:type="auto"/>
            <w:gridSpan w:val="3"/>
            <w:shd w:val="clear" w:color="auto" w:fill="CCEEFF"/>
            <w:tcMar>
              <w:top w:w="30" w:type="dxa"/>
              <w:left w:w="20" w:type="dxa"/>
              <w:bottom w:w="30" w:type="dxa"/>
              <w:right w:w="20" w:type="dxa"/>
            </w:tcMar>
            <w:vAlign w:val="bottom"/>
            <w:hideMark/>
          </w:tcPr>
          <w:p w14:paraId="3682BE1F" w14:textId="77777777" w:rsidR="00000000" w:rsidRDefault="00EE5306">
            <w:pPr>
              <w:spacing w:after="100"/>
              <w:divId w:val="76900752"/>
              <w:rPr>
                <w:rFonts w:eastAsia="Times New Roman"/>
              </w:rPr>
            </w:pPr>
            <w:r>
              <w:rPr>
                <w:rFonts w:eastAsia="Times New Roman"/>
                <w:b/>
                <w:bCs/>
                <w:color w:val="000000"/>
                <w:sz w:val="20"/>
                <w:szCs w:val="20"/>
              </w:rPr>
              <w:t>Long-lived asset</w:t>
            </w:r>
            <w:r>
              <w:rPr>
                <w:rFonts w:eastAsia="Times New Roman"/>
                <w:b/>
                <w:bCs/>
                <w:color w:val="000000"/>
                <w:sz w:val="20"/>
                <w:szCs w:val="20"/>
              </w:rPr>
              <w:t>s</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0C47B0F" w14:textId="77777777" w:rsidR="00000000" w:rsidRDefault="00EE530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1D973"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EFD2F0" w14:textId="77777777" w:rsidR="00000000" w:rsidRDefault="00EE530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7C29F0" w14:textId="77777777" w:rsidR="00000000" w:rsidRDefault="00EE5306">
            <w:pPr>
              <w:spacing w:after="100"/>
              <w:rPr>
                <w:rFonts w:eastAsia="Times New Roman"/>
                <w:sz w:val="20"/>
                <w:szCs w:val="20"/>
              </w:rPr>
            </w:pPr>
          </w:p>
        </w:tc>
      </w:tr>
      <w:tr w:rsidR="00000000" w14:paraId="5088C8B7" w14:textId="77777777">
        <w:tc>
          <w:tcPr>
            <w:tcW w:w="0" w:type="auto"/>
            <w:gridSpan w:val="3"/>
            <w:shd w:val="clear" w:color="auto" w:fill="FFFFFF"/>
            <w:tcMar>
              <w:top w:w="30" w:type="dxa"/>
              <w:left w:w="20" w:type="dxa"/>
              <w:bottom w:w="30" w:type="dxa"/>
              <w:right w:w="20" w:type="dxa"/>
            </w:tcMar>
            <w:vAlign w:val="bottom"/>
            <w:hideMark/>
          </w:tcPr>
          <w:p w14:paraId="2135005B" w14:textId="77777777" w:rsidR="00000000" w:rsidRDefault="00EE5306">
            <w:pPr>
              <w:spacing w:after="100"/>
              <w:ind w:firstLine="180"/>
              <w:divId w:val="1428844442"/>
              <w:rPr>
                <w:rFonts w:eastAsia="Times New Roman"/>
              </w:rPr>
            </w:pPr>
            <w:r>
              <w:rPr>
                <w:rFonts w:eastAsia="Times New Roman"/>
                <w:color w:val="000000"/>
                <w:sz w:val="20"/>
                <w:szCs w:val="20"/>
              </w:rPr>
              <w:t>The America</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95B66DF" w14:textId="77777777" w:rsidR="00000000" w:rsidRDefault="00EE5306">
            <w:pPr>
              <w:spacing w:after="100"/>
              <w:ind w:firstLine="180"/>
              <w:rPr>
                <w:rFonts w:eastAsia="Times New Roman"/>
              </w:rPr>
            </w:pPr>
          </w:p>
        </w:tc>
        <w:tc>
          <w:tcPr>
            <w:tcW w:w="0" w:type="auto"/>
            <w:shd w:val="clear" w:color="auto" w:fill="FFFFFF"/>
            <w:tcMar>
              <w:top w:w="30" w:type="dxa"/>
              <w:left w:w="20" w:type="dxa"/>
              <w:bottom w:w="30" w:type="dxa"/>
              <w:right w:w="0" w:type="dxa"/>
            </w:tcMar>
            <w:vAlign w:val="bottom"/>
            <w:hideMark/>
          </w:tcPr>
          <w:p w14:paraId="12863B40"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29BCF9B" w14:textId="77777777" w:rsidR="00000000" w:rsidRDefault="00EE5306">
            <w:pPr>
              <w:spacing w:after="100"/>
              <w:jc w:val="right"/>
              <w:rPr>
                <w:rFonts w:eastAsia="Times New Roman"/>
              </w:rPr>
            </w:pPr>
            <w:r>
              <w:rPr>
                <w:rFonts w:eastAsia="Times New Roman"/>
                <w:color w:val="000000"/>
                <w:sz w:val="20"/>
                <w:szCs w:val="20"/>
              </w:rPr>
              <w:t>1,253.6 </w:t>
            </w:r>
          </w:p>
        </w:tc>
        <w:tc>
          <w:tcPr>
            <w:tcW w:w="0" w:type="auto"/>
            <w:shd w:val="clear" w:color="auto" w:fill="FFFFFF"/>
            <w:tcMar>
              <w:top w:w="30" w:type="dxa"/>
              <w:left w:w="0" w:type="dxa"/>
              <w:bottom w:w="30" w:type="dxa"/>
              <w:right w:w="20" w:type="dxa"/>
            </w:tcMar>
            <w:vAlign w:val="bottom"/>
            <w:hideMark/>
          </w:tcPr>
          <w:p w14:paraId="6E78407A"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E79FD" w14:textId="77777777" w:rsidR="00000000" w:rsidRDefault="00EE530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AAA784"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E94D2B" w14:textId="77777777" w:rsidR="00000000" w:rsidRDefault="00EE5306">
            <w:pPr>
              <w:spacing w:after="100"/>
              <w:jc w:val="right"/>
              <w:rPr>
                <w:rFonts w:eastAsia="Times New Roman"/>
              </w:rPr>
            </w:pPr>
            <w:r>
              <w:rPr>
                <w:rFonts w:eastAsia="Times New Roman"/>
                <w:color w:val="000000"/>
                <w:sz w:val="20"/>
                <w:szCs w:val="20"/>
              </w:rPr>
              <w:t>1,383.6 </w:t>
            </w:r>
          </w:p>
        </w:tc>
        <w:tc>
          <w:tcPr>
            <w:tcW w:w="0" w:type="auto"/>
            <w:shd w:val="clear" w:color="auto" w:fill="FFFFFF"/>
            <w:tcMar>
              <w:top w:w="30" w:type="dxa"/>
              <w:left w:w="0" w:type="dxa"/>
              <w:bottom w:w="30" w:type="dxa"/>
              <w:right w:w="20" w:type="dxa"/>
            </w:tcMar>
            <w:vAlign w:val="bottom"/>
            <w:hideMark/>
          </w:tcPr>
          <w:p w14:paraId="5D4238C5" w14:textId="77777777" w:rsidR="00000000" w:rsidRDefault="00EE5306">
            <w:pPr>
              <w:spacing w:after="100"/>
              <w:jc w:val="right"/>
              <w:rPr>
                <w:rFonts w:eastAsia="Times New Roman"/>
              </w:rPr>
            </w:pPr>
          </w:p>
        </w:tc>
      </w:tr>
      <w:tr w:rsidR="00000000" w14:paraId="45C13821" w14:textId="77777777">
        <w:tc>
          <w:tcPr>
            <w:tcW w:w="0" w:type="auto"/>
            <w:gridSpan w:val="3"/>
            <w:shd w:val="clear" w:color="auto" w:fill="CCEEFF"/>
            <w:tcMar>
              <w:top w:w="30" w:type="dxa"/>
              <w:left w:w="20" w:type="dxa"/>
              <w:bottom w:w="30" w:type="dxa"/>
              <w:right w:w="20" w:type="dxa"/>
            </w:tcMar>
            <w:vAlign w:val="bottom"/>
            <w:hideMark/>
          </w:tcPr>
          <w:p w14:paraId="2A88E495" w14:textId="77777777" w:rsidR="00000000" w:rsidRDefault="00EE5306">
            <w:pPr>
              <w:spacing w:after="100"/>
              <w:ind w:firstLine="180"/>
              <w:divId w:val="256139337"/>
              <w:rPr>
                <w:rFonts w:eastAsia="Times New Roman"/>
              </w:rPr>
            </w:pPr>
            <w:r>
              <w:rPr>
                <w:rFonts w:eastAsia="Times New Roman"/>
                <w:color w:val="000000"/>
                <w:sz w:val="20"/>
                <w:szCs w:val="20"/>
              </w:rPr>
              <w:t>Europ</w:t>
            </w:r>
            <w:r>
              <w:rPr>
                <w:rFonts w:eastAsia="Times New Roman"/>
                <w:color w:val="000000"/>
                <w:sz w:val="20"/>
                <w:szCs w:val="20"/>
              </w:rPr>
              <w:t>e</w:t>
            </w:r>
            <w:r>
              <w:rPr>
                <w:rFonts w:eastAsia="Times New Roman"/>
                <w:b/>
                <w:bCs/>
                <w:color w:val="000000"/>
                <w:sz w:val="13"/>
                <w:szCs w:val="13"/>
              </w:rPr>
              <w:t>(c</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60B5E246" w14:textId="77777777" w:rsidR="00000000" w:rsidRDefault="00EE5306">
            <w:pPr>
              <w:spacing w:after="100"/>
              <w:ind w:firstLine="18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B66F79" w14:textId="77777777" w:rsidR="00000000" w:rsidRDefault="00EE5306">
            <w:pPr>
              <w:spacing w:after="100"/>
              <w:jc w:val="right"/>
              <w:rPr>
                <w:rFonts w:eastAsia="Times New Roman"/>
              </w:rPr>
            </w:pPr>
            <w:r>
              <w:rPr>
                <w:rFonts w:eastAsia="Times New Roman"/>
                <w:color w:val="000000"/>
                <w:sz w:val="20"/>
                <w:szCs w:val="20"/>
              </w:rPr>
              <w:t>682.1 </w:t>
            </w:r>
          </w:p>
        </w:tc>
        <w:tc>
          <w:tcPr>
            <w:tcW w:w="0" w:type="auto"/>
            <w:shd w:val="clear" w:color="auto" w:fill="CCEEFF"/>
            <w:tcMar>
              <w:top w:w="30" w:type="dxa"/>
              <w:left w:w="0" w:type="dxa"/>
              <w:bottom w:w="30" w:type="dxa"/>
              <w:right w:w="20" w:type="dxa"/>
            </w:tcMar>
            <w:vAlign w:val="bottom"/>
            <w:hideMark/>
          </w:tcPr>
          <w:p w14:paraId="3DDF38D8"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47FAD"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F2D515" w14:textId="77777777" w:rsidR="00000000" w:rsidRDefault="00EE5306">
            <w:pPr>
              <w:spacing w:after="100"/>
              <w:jc w:val="right"/>
              <w:rPr>
                <w:rFonts w:eastAsia="Times New Roman"/>
              </w:rPr>
            </w:pPr>
            <w:r>
              <w:rPr>
                <w:rFonts w:eastAsia="Times New Roman"/>
                <w:color w:val="000000"/>
                <w:sz w:val="20"/>
                <w:szCs w:val="20"/>
              </w:rPr>
              <w:t>772.9 </w:t>
            </w:r>
          </w:p>
        </w:tc>
        <w:tc>
          <w:tcPr>
            <w:tcW w:w="0" w:type="auto"/>
            <w:shd w:val="clear" w:color="auto" w:fill="CCEEFF"/>
            <w:tcMar>
              <w:top w:w="30" w:type="dxa"/>
              <w:left w:w="0" w:type="dxa"/>
              <w:bottom w:w="30" w:type="dxa"/>
              <w:right w:w="20" w:type="dxa"/>
            </w:tcMar>
            <w:vAlign w:val="bottom"/>
            <w:hideMark/>
          </w:tcPr>
          <w:p w14:paraId="3CE55A2D" w14:textId="77777777" w:rsidR="00000000" w:rsidRDefault="00EE5306">
            <w:pPr>
              <w:spacing w:after="100"/>
              <w:jc w:val="right"/>
              <w:rPr>
                <w:rFonts w:eastAsia="Times New Roman"/>
              </w:rPr>
            </w:pPr>
          </w:p>
        </w:tc>
      </w:tr>
      <w:tr w:rsidR="00000000" w14:paraId="034DA1C9" w14:textId="77777777">
        <w:tc>
          <w:tcPr>
            <w:tcW w:w="0" w:type="auto"/>
            <w:gridSpan w:val="3"/>
            <w:shd w:val="clear" w:color="auto" w:fill="FFFFFF"/>
            <w:tcMar>
              <w:top w:w="30" w:type="dxa"/>
              <w:left w:w="20" w:type="dxa"/>
              <w:bottom w:w="30" w:type="dxa"/>
              <w:right w:w="20" w:type="dxa"/>
            </w:tcMar>
            <w:vAlign w:val="bottom"/>
            <w:hideMark/>
          </w:tcPr>
          <w:p w14:paraId="20932447" w14:textId="77777777" w:rsidR="00000000" w:rsidRDefault="00EE5306">
            <w:pPr>
              <w:spacing w:after="100"/>
              <w:ind w:firstLine="180"/>
              <w:divId w:val="1819958740"/>
              <w:rPr>
                <w:rFonts w:eastAsia="Times New Roman"/>
              </w:rPr>
            </w:pPr>
            <w:r>
              <w:rPr>
                <w:rFonts w:eastAsia="Times New Roman"/>
                <w:color w:val="000000"/>
                <w:sz w:val="20"/>
                <w:szCs w:val="20"/>
              </w:rPr>
              <w:t>Asi</w:t>
            </w:r>
            <w:r>
              <w:rPr>
                <w:rFonts w:eastAsia="Times New Roman"/>
                <w:color w:val="000000"/>
                <w:sz w:val="20"/>
                <w:szCs w:val="20"/>
              </w:rPr>
              <w:t>a</w:t>
            </w:r>
            <w:r>
              <w:rPr>
                <w:rFonts w:eastAsia="Times New Roman"/>
                <w:b/>
                <w:bCs/>
                <w:color w:val="000000"/>
                <w:sz w:val="13"/>
                <w:szCs w:val="13"/>
              </w:rPr>
              <w:t>(d</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47E38CE9" w14:textId="77777777" w:rsidR="00000000" w:rsidRDefault="00EE5306">
            <w:pPr>
              <w:spacing w:after="100"/>
              <w:ind w:firstLine="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A1ADAB" w14:textId="77777777" w:rsidR="00000000" w:rsidRDefault="00EE5306">
            <w:pPr>
              <w:spacing w:after="100"/>
              <w:jc w:val="right"/>
              <w:rPr>
                <w:rFonts w:eastAsia="Times New Roman"/>
              </w:rPr>
            </w:pPr>
            <w:r>
              <w:rPr>
                <w:rFonts w:eastAsia="Times New Roman"/>
                <w:color w:val="000000"/>
                <w:sz w:val="20"/>
                <w:szCs w:val="20"/>
              </w:rPr>
              <w:t>317.8 </w:t>
            </w:r>
          </w:p>
        </w:tc>
        <w:tc>
          <w:tcPr>
            <w:tcW w:w="0" w:type="auto"/>
            <w:shd w:val="clear" w:color="auto" w:fill="FFFFFF"/>
            <w:tcMar>
              <w:top w:w="30" w:type="dxa"/>
              <w:left w:w="0" w:type="dxa"/>
              <w:bottom w:w="30" w:type="dxa"/>
              <w:right w:w="20" w:type="dxa"/>
            </w:tcMar>
            <w:vAlign w:val="bottom"/>
            <w:hideMark/>
          </w:tcPr>
          <w:p w14:paraId="78906FF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23E723"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672186" w14:textId="77777777" w:rsidR="00000000" w:rsidRDefault="00EE5306">
            <w:pPr>
              <w:spacing w:after="100"/>
              <w:jc w:val="right"/>
              <w:rPr>
                <w:rFonts w:eastAsia="Times New Roman"/>
              </w:rPr>
            </w:pPr>
            <w:r>
              <w:rPr>
                <w:rFonts w:eastAsia="Times New Roman"/>
                <w:color w:val="000000"/>
                <w:sz w:val="20"/>
                <w:szCs w:val="20"/>
              </w:rPr>
              <w:t>334.6 </w:t>
            </w:r>
          </w:p>
        </w:tc>
        <w:tc>
          <w:tcPr>
            <w:tcW w:w="0" w:type="auto"/>
            <w:shd w:val="clear" w:color="auto" w:fill="FFFFFF"/>
            <w:tcMar>
              <w:top w:w="30" w:type="dxa"/>
              <w:left w:w="0" w:type="dxa"/>
              <w:bottom w:w="30" w:type="dxa"/>
              <w:right w:w="20" w:type="dxa"/>
            </w:tcMar>
            <w:vAlign w:val="bottom"/>
            <w:hideMark/>
          </w:tcPr>
          <w:p w14:paraId="337DFC87" w14:textId="77777777" w:rsidR="00000000" w:rsidRDefault="00EE5306">
            <w:pPr>
              <w:spacing w:after="100"/>
              <w:jc w:val="right"/>
              <w:rPr>
                <w:rFonts w:eastAsia="Times New Roman"/>
              </w:rPr>
            </w:pPr>
          </w:p>
        </w:tc>
      </w:tr>
      <w:tr w:rsidR="00000000" w14:paraId="43DBC2E4" w14:textId="77777777">
        <w:tc>
          <w:tcPr>
            <w:tcW w:w="0" w:type="auto"/>
            <w:gridSpan w:val="3"/>
            <w:shd w:val="clear" w:color="auto" w:fill="CCEEFF"/>
            <w:tcMar>
              <w:top w:w="30" w:type="dxa"/>
              <w:left w:w="380" w:type="dxa"/>
              <w:bottom w:w="30" w:type="dxa"/>
              <w:right w:w="20" w:type="dxa"/>
            </w:tcMar>
            <w:vAlign w:val="bottom"/>
            <w:hideMark/>
          </w:tcPr>
          <w:p w14:paraId="54444E38" w14:textId="77777777" w:rsidR="00000000" w:rsidRDefault="00EE5306">
            <w:pPr>
              <w:spacing w:after="100"/>
              <w:rPr>
                <w:rFonts w:eastAsia="Times New Roman"/>
              </w:rPr>
            </w:pPr>
            <w:r>
              <w:rPr>
                <w:rFonts w:eastAsia="Times New Roman"/>
                <w:color w:val="000000"/>
                <w:sz w:val="20"/>
                <w:szCs w:val="20"/>
              </w:rPr>
              <w:t>Total long-lived assets</w:t>
            </w:r>
          </w:p>
        </w:tc>
        <w:tc>
          <w:tcPr>
            <w:tcW w:w="0" w:type="auto"/>
            <w:gridSpan w:val="3"/>
            <w:shd w:val="clear" w:color="auto" w:fill="CCEEFF"/>
            <w:tcMar>
              <w:top w:w="0" w:type="dxa"/>
              <w:left w:w="20" w:type="dxa"/>
              <w:bottom w:w="0" w:type="dxa"/>
              <w:right w:w="20" w:type="dxa"/>
            </w:tcMar>
            <w:vAlign w:val="center"/>
            <w:hideMark/>
          </w:tcPr>
          <w:p w14:paraId="5B79AF02"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3BC973"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AC25EF" w14:textId="77777777" w:rsidR="00000000" w:rsidRDefault="00EE5306">
            <w:pPr>
              <w:spacing w:after="100"/>
              <w:jc w:val="right"/>
              <w:rPr>
                <w:rFonts w:eastAsia="Times New Roman"/>
              </w:rPr>
            </w:pPr>
            <w:r>
              <w:rPr>
                <w:rFonts w:eastAsia="Times New Roman"/>
                <w:color w:val="000000"/>
                <w:sz w:val="20"/>
                <w:szCs w:val="20"/>
              </w:rPr>
              <w:t>2,253.5 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37FD8B"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68E6A"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927F4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2AA47C" w14:textId="77777777" w:rsidR="00000000" w:rsidRDefault="00EE5306">
            <w:pPr>
              <w:spacing w:after="100"/>
              <w:jc w:val="right"/>
              <w:rPr>
                <w:rFonts w:eastAsia="Times New Roman"/>
              </w:rPr>
            </w:pPr>
            <w:r>
              <w:rPr>
                <w:rFonts w:eastAsia="Times New Roman"/>
                <w:color w:val="000000"/>
                <w:sz w:val="20"/>
                <w:szCs w:val="20"/>
              </w:rPr>
              <w:t>2,491.1 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F4F806" w14:textId="77777777" w:rsidR="00000000" w:rsidRDefault="00EE5306">
            <w:pPr>
              <w:spacing w:after="100"/>
              <w:jc w:val="right"/>
              <w:rPr>
                <w:rFonts w:eastAsia="Times New Roman"/>
              </w:rPr>
            </w:pPr>
          </w:p>
        </w:tc>
      </w:tr>
    </w:tbl>
    <w:p w14:paraId="60D06DF5" w14:textId="77777777" w:rsidR="00000000" w:rsidRDefault="00EE5306">
      <w:pPr>
        <w:divId w:val="1556237981"/>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14:paraId="7A46EA04" w14:textId="77777777">
        <w:trPr>
          <w:divId w:val="1556237981"/>
        </w:trPr>
        <w:tc>
          <w:tcPr>
            <w:tcW w:w="50" w:type="pct"/>
            <w:vAlign w:val="center"/>
            <w:hideMark/>
          </w:tcPr>
          <w:p w14:paraId="371734A2" w14:textId="77777777" w:rsidR="00000000" w:rsidRDefault="00EE5306">
            <w:pPr>
              <w:rPr>
                <w:rFonts w:eastAsia="Times New Roman"/>
              </w:rPr>
            </w:pPr>
          </w:p>
        </w:tc>
        <w:tc>
          <w:tcPr>
            <w:tcW w:w="4945" w:type="pct"/>
            <w:vAlign w:val="center"/>
            <w:hideMark/>
          </w:tcPr>
          <w:p w14:paraId="104B0285" w14:textId="77777777" w:rsidR="00000000" w:rsidRDefault="00EE5306">
            <w:pPr>
              <w:spacing w:after="100"/>
              <w:rPr>
                <w:rFonts w:eastAsia="Times New Roman"/>
                <w:sz w:val="20"/>
                <w:szCs w:val="20"/>
              </w:rPr>
            </w:pPr>
          </w:p>
        </w:tc>
        <w:tc>
          <w:tcPr>
            <w:tcW w:w="5" w:type="pct"/>
            <w:vAlign w:val="center"/>
            <w:hideMark/>
          </w:tcPr>
          <w:p w14:paraId="28AC6FBA" w14:textId="77777777" w:rsidR="00000000" w:rsidRDefault="00EE5306">
            <w:pPr>
              <w:spacing w:after="100"/>
              <w:rPr>
                <w:rFonts w:eastAsia="Times New Roman"/>
                <w:sz w:val="20"/>
                <w:szCs w:val="20"/>
              </w:rPr>
            </w:pPr>
          </w:p>
        </w:tc>
      </w:tr>
      <w:tr w:rsidR="00000000" w14:paraId="62DDF493" w14:textId="77777777">
        <w:trPr>
          <w:divId w:val="1556237981"/>
          <w:trHeight w:val="60"/>
        </w:trPr>
        <w:tc>
          <w:tcPr>
            <w:tcW w:w="0" w:type="auto"/>
            <w:gridSpan w:val="3"/>
            <w:tcBorders>
              <w:bottom w:val="single" w:sz="8" w:space="0" w:color="000000"/>
            </w:tcBorders>
            <w:tcMar>
              <w:top w:w="0" w:type="dxa"/>
              <w:left w:w="20" w:type="dxa"/>
              <w:bottom w:w="0" w:type="dxa"/>
              <w:right w:w="20" w:type="dxa"/>
            </w:tcMar>
            <w:vAlign w:val="center"/>
            <w:hideMark/>
          </w:tcPr>
          <w:p w14:paraId="0D8C852E" w14:textId="77777777" w:rsidR="00000000" w:rsidRDefault="00EE5306">
            <w:pPr>
              <w:spacing w:after="100"/>
              <w:rPr>
                <w:rFonts w:eastAsia="Times New Roman"/>
                <w:sz w:val="20"/>
                <w:szCs w:val="20"/>
              </w:rPr>
            </w:pPr>
          </w:p>
        </w:tc>
      </w:tr>
    </w:tbl>
    <w:p w14:paraId="77FC9473" w14:textId="77777777" w:rsidR="00000000" w:rsidRDefault="00EE5306">
      <w:pPr>
        <w:ind w:hanging="360"/>
        <w:jc w:val="both"/>
        <w:divId w:val="46951212"/>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For certain of the Company's licensed operations, net revenues and long-lived assets, which is comprised of property and equipment and lease ROU assets, are included within the geographic location of the reporting subsidiary which holds the respective lice</w:t>
      </w:r>
      <w:r>
        <w:rPr>
          <w:rFonts w:eastAsia="Times New Roman"/>
          <w:color w:val="000000"/>
          <w:sz w:val="20"/>
          <w:szCs w:val="20"/>
        </w:rPr>
        <w:t>nse.</w:t>
      </w:r>
    </w:p>
    <w:p w14:paraId="2FD7F2F2" w14:textId="77777777" w:rsidR="00000000" w:rsidRDefault="00EE5306">
      <w:pPr>
        <w:ind w:hanging="360"/>
        <w:jc w:val="both"/>
        <w:divId w:val="706835142"/>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Includes the U.S., Canada, and Latin America. Net revenues earned in the U.S. were $2.103 billion, $3.308 billion, and $3.379 billion in Fiscal 2021, Fiscal 2020, and Fiscal 2019, respectively. Long-lived assets located in the U.S. were $1.210 bill</w:t>
      </w:r>
      <w:r>
        <w:rPr>
          <w:rFonts w:eastAsia="Times New Roman"/>
          <w:color w:val="000000"/>
          <w:sz w:val="20"/>
          <w:szCs w:val="20"/>
        </w:rPr>
        <w:t>ion and $1.327 billion as of March 27, 2021 and March 28, 2020, respectively.</w:t>
      </w:r>
    </w:p>
    <w:p w14:paraId="0A8FE870" w14:textId="77777777" w:rsidR="00000000" w:rsidRDefault="00EE5306">
      <w:pPr>
        <w:ind w:hanging="360"/>
        <w:jc w:val="both"/>
        <w:divId w:val="1324431659"/>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Includes the Middle East.</w:t>
      </w:r>
    </w:p>
    <w:p w14:paraId="4DD4BED8" w14:textId="77777777" w:rsidR="00000000" w:rsidRDefault="00EE5306">
      <w:pPr>
        <w:ind w:hanging="360"/>
        <w:jc w:val="both"/>
        <w:divId w:val="1223176744"/>
        <w:rPr>
          <w:rFonts w:eastAsia="Times New Roman"/>
        </w:rPr>
      </w:pPr>
      <w:r>
        <w:rPr>
          <w:rFonts w:eastAsia="Times New Roman"/>
          <w:b/>
          <w:bCs/>
          <w:color w:val="000000"/>
          <w:sz w:val="13"/>
          <w:szCs w:val="13"/>
        </w:rPr>
        <w:t>(d</w:t>
      </w:r>
      <w:r>
        <w:rPr>
          <w:rFonts w:eastAsia="Times New Roman"/>
          <w:b/>
          <w:bCs/>
          <w:color w:val="000000"/>
          <w:sz w:val="13"/>
          <w:szCs w:val="13"/>
        </w:rPr>
        <w:t>)</w:t>
      </w:r>
      <w:r>
        <w:rPr>
          <w:rFonts w:eastAsia="Times New Roman"/>
          <w:color w:val="000000"/>
          <w:sz w:val="20"/>
          <w:szCs w:val="20"/>
        </w:rPr>
        <w:t>Includes Australia and New Zealand.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7EDA701E" w14:textId="77777777">
        <w:trPr>
          <w:divId w:val="1108888249"/>
          <w:jc w:val="center"/>
        </w:trPr>
        <w:tc>
          <w:tcPr>
            <w:tcW w:w="50" w:type="pct"/>
            <w:vAlign w:val="center"/>
            <w:hideMark/>
          </w:tcPr>
          <w:p w14:paraId="75AA3A1C" w14:textId="77777777" w:rsidR="00000000" w:rsidRDefault="00EE5306">
            <w:pPr>
              <w:ind w:hanging="360"/>
              <w:jc w:val="both"/>
              <w:rPr>
                <w:rFonts w:eastAsia="Times New Roman"/>
              </w:rPr>
            </w:pPr>
          </w:p>
        </w:tc>
        <w:tc>
          <w:tcPr>
            <w:tcW w:w="1699" w:type="pct"/>
            <w:vAlign w:val="center"/>
            <w:hideMark/>
          </w:tcPr>
          <w:p w14:paraId="1E84359E" w14:textId="77777777" w:rsidR="00000000" w:rsidRDefault="00EE5306">
            <w:pPr>
              <w:spacing w:after="100"/>
              <w:rPr>
                <w:rFonts w:eastAsia="Times New Roman"/>
                <w:sz w:val="20"/>
                <w:szCs w:val="20"/>
              </w:rPr>
            </w:pPr>
          </w:p>
        </w:tc>
        <w:tc>
          <w:tcPr>
            <w:tcW w:w="5" w:type="pct"/>
            <w:vAlign w:val="center"/>
            <w:hideMark/>
          </w:tcPr>
          <w:p w14:paraId="5109A22C" w14:textId="77777777" w:rsidR="00000000" w:rsidRDefault="00EE5306">
            <w:pPr>
              <w:spacing w:after="100"/>
              <w:rPr>
                <w:rFonts w:eastAsia="Times New Roman"/>
                <w:sz w:val="20"/>
                <w:szCs w:val="20"/>
              </w:rPr>
            </w:pPr>
          </w:p>
        </w:tc>
        <w:tc>
          <w:tcPr>
            <w:tcW w:w="50" w:type="pct"/>
            <w:vAlign w:val="center"/>
            <w:hideMark/>
          </w:tcPr>
          <w:p w14:paraId="799F5F87" w14:textId="77777777" w:rsidR="00000000" w:rsidRDefault="00EE5306">
            <w:pPr>
              <w:spacing w:after="100"/>
              <w:rPr>
                <w:rFonts w:eastAsia="Times New Roman"/>
                <w:sz w:val="20"/>
                <w:szCs w:val="20"/>
              </w:rPr>
            </w:pPr>
          </w:p>
        </w:tc>
        <w:tc>
          <w:tcPr>
            <w:tcW w:w="1436" w:type="pct"/>
            <w:vAlign w:val="center"/>
            <w:hideMark/>
          </w:tcPr>
          <w:p w14:paraId="7220AD4F" w14:textId="77777777" w:rsidR="00000000" w:rsidRDefault="00EE5306">
            <w:pPr>
              <w:spacing w:after="100"/>
              <w:rPr>
                <w:rFonts w:eastAsia="Times New Roman"/>
                <w:sz w:val="20"/>
                <w:szCs w:val="20"/>
              </w:rPr>
            </w:pPr>
          </w:p>
        </w:tc>
        <w:tc>
          <w:tcPr>
            <w:tcW w:w="5" w:type="pct"/>
            <w:vAlign w:val="center"/>
            <w:hideMark/>
          </w:tcPr>
          <w:p w14:paraId="6AA5A5DC" w14:textId="77777777" w:rsidR="00000000" w:rsidRDefault="00EE5306">
            <w:pPr>
              <w:spacing w:after="100"/>
              <w:rPr>
                <w:rFonts w:eastAsia="Times New Roman"/>
                <w:sz w:val="20"/>
                <w:szCs w:val="20"/>
              </w:rPr>
            </w:pPr>
          </w:p>
        </w:tc>
        <w:tc>
          <w:tcPr>
            <w:tcW w:w="50" w:type="pct"/>
            <w:vAlign w:val="center"/>
            <w:hideMark/>
          </w:tcPr>
          <w:p w14:paraId="6FD8D3FE" w14:textId="77777777" w:rsidR="00000000" w:rsidRDefault="00EE5306">
            <w:pPr>
              <w:spacing w:after="100"/>
              <w:rPr>
                <w:rFonts w:eastAsia="Times New Roman"/>
                <w:sz w:val="20"/>
                <w:szCs w:val="20"/>
              </w:rPr>
            </w:pPr>
          </w:p>
        </w:tc>
        <w:tc>
          <w:tcPr>
            <w:tcW w:w="1699" w:type="pct"/>
            <w:vAlign w:val="center"/>
            <w:hideMark/>
          </w:tcPr>
          <w:p w14:paraId="6C49A6C4" w14:textId="77777777" w:rsidR="00000000" w:rsidRDefault="00EE5306">
            <w:pPr>
              <w:spacing w:after="100"/>
              <w:rPr>
                <w:rFonts w:eastAsia="Times New Roman"/>
                <w:sz w:val="20"/>
                <w:szCs w:val="20"/>
              </w:rPr>
            </w:pPr>
          </w:p>
        </w:tc>
        <w:tc>
          <w:tcPr>
            <w:tcW w:w="5" w:type="pct"/>
            <w:vAlign w:val="center"/>
            <w:hideMark/>
          </w:tcPr>
          <w:p w14:paraId="608F91D5" w14:textId="77777777" w:rsidR="00000000" w:rsidRDefault="00EE5306">
            <w:pPr>
              <w:spacing w:after="100"/>
              <w:rPr>
                <w:rFonts w:eastAsia="Times New Roman"/>
                <w:sz w:val="20"/>
                <w:szCs w:val="20"/>
              </w:rPr>
            </w:pPr>
          </w:p>
        </w:tc>
      </w:tr>
      <w:tr w:rsidR="00000000" w14:paraId="5A955C04" w14:textId="77777777">
        <w:trPr>
          <w:divId w:val="1108888249"/>
          <w:jc w:val="center"/>
        </w:trPr>
        <w:tc>
          <w:tcPr>
            <w:tcW w:w="0" w:type="auto"/>
            <w:gridSpan w:val="3"/>
            <w:tcMar>
              <w:top w:w="0" w:type="dxa"/>
              <w:left w:w="20" w:type="dxa"/>
              <w:bottom w:w="0" w:type="dxa"/>
              <w:right w:w="20" w:type="dxa"/>
            </w:tcMar>
            <w:vAlign w:val="center"/>
            <w:hideMark/>
          </w:tcPr>
          <w:p w14:paraId="1D0C23A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BFFE0D" w14:textId="77777777" w:rsidR="00000000" w:rsidRDefault="00EE5306">
            <w:pPr>
              <w:spacing w:after="100"/>
              <w:jc w:val="center"/>
              <w:rPr>
                <w:rFonts w:eastAsia="Times New Roman"/>
              </w:rPr>
            </w:pPr>
            <w:r>
              <w:rPr>
                <w:rFonts w:eastAsia="Times New Roman"/>
                <w:color w:val="000000"/>
                <w:sz w:val="20"/>
                <w:szCs w:val="20"/>
              </w:rPr>
              <w:t>F-56</w:t>
            </w:r>
          </w:p>
        </w:tc>
        <w:tc>
          <w:tcPr>
            <w:tcW w:w="0" w:type="auto"/>
            <w:gridSpan w:val="3"/>
            <w:tcMar>
              <w:top w:w="0" w:type="dxa"/>
              <w:left w:w="20" w:type="dxa"/>
              <w:bottom w:w="0" w:type="dxa"/>
              <w:right w:w="20" w:type="dxa"/>
            </w:tcMar>
            <w:vAlign w:val="center"/>
            <w:hideMark/>
          </w:tcPr>
          <w:p w14:paraId="618230C2" w14:textId="77777777" w:rsidR="00000000" w:rsidRDefault="00EE5306">
            <w:pPr>
              <w:spacing w:after="100"/>
              <w:jc w:val="center"/>
              <w:rPr>
                <w:rFonts w:eastAsia="Times New Roman"/>
              </w:rPr>
            </w:pPr>
          </w:p>
        </w:tc>
      </w:tr>
    </w:tbl>
    <w:p w14:paraId="2EF7E19E" w14:textId="77777777" w:rsidR="00000000" w:rsidRDefault="00EE5306">
      <w:pPr>
        <w:rPr>
          <w:rFonts w:eastAsia="Times New Roman"/>
        </w:rPr>
      </w:pPr>
      <w:r>
        <w:rPr>
          <w:rFonts w:eastAsia="Times New Roman"/>
        </w:rPr>
        <w:pict w14:anchorId="2CD3EE05">
          <v:rect id="_x0000_i1166" style="width:0;height:1.5pt" o:hralign="center" o:hrstd="t" o:hr="t" fillcolor="#a0a0a0" stroked="f"/>
        </w:pict>
      </w:r>
    </w:p>
    <w:p w14:paraId="76972DE8" w14:textId="77777777" w:rsidR="00000000" w:rsidRDefault="00EE5306">
      <w:pPr>
        <w:jc w:val="center"/>
        <w:divId w:val="104813660"/>
        <w:rPr>
          <w:rFonts w:eastAsia="Times New Roman"/>
        </w:rPr>
      </w:pPr>
    </w:p>
    <w:p w14:paraId="20C91060" w14:textId="77777777" w:rsidR="00000000" w:rsidRDefault="00EE5306">
      <w:pPr>
        <w:jc w:val="center"/>
        <w:divId w:val="104813660"/>
        <w:rPr>
          <w:rFonts w:eastAsia="Times New Roman"/>
        </w:rPr>
      </w:pPr>
      <w:r>
        <w:rPr>
          <w:rFonts w:eastAsia="Times New Roman"/>
          <w:b/>
          <w:bCs/>
          <w:color w:val="000000"/>
          <w:sz w:val="20"/>
          <w:szCs w:val="20"/>
        </w:rPr>
        <w:t>RALPH LAUREN CORPORATION</w:t>
      </w:r>
    </w:p>
    <w:p w14:paraId="5C85E659" w14:textId="77777777" w:rsidR="00000000" w:rsidRDefault="00EE5306">
      <w:pPr>
        <w:jc w:val="center"/>
        <w:divId w:val="1954432986"/>
        <w:rPr>
          <w:rFonts w:eastAsia="Times New Roman"/>
        </w:rPr>
      </w:pPr>
      <w:r>
        <w:rPr>
          <w:rFonts w:eastAsia="Times New Roman"/>
          <w:b/>
          <w:bCs/>
          <w:color w:val="000000"/>
          <w:sz w:val="20"/>
          <w:szCs w:val="20"/>
        </w:rPr>
        <w:t>NOTES TO CONSOLIDATED FINANCIAL STATEMENTS (Continued)</w:t>
      </w:r>
    </w:p>
    <w:p w14:paraId="17E2DC5F" w14:textId="77777777" w:rsidR="00000000" w:rsidRDefault="00EE5306">
      <w:pPr>
        <w:ind w:hanging="540"/>
        <w:divId w:val="1963074537"/>
        <w:rPr>
          <w:rFonts w:eastAsia="Times New Roman"/>
        </w:rPr>
      </w:pPr>
      <w:r>
        <w:rPr>
          <w:rFonts w:eastAsia="Times New Roman"/>
          <w:b/>
          <w:bCs/>
          <w:color w:val="000000"/>
          <w:sz w:val="20"/>
          <w:szCs w:val="20"/>
        </w:rPr>
        <w:t>21.    Additional Financial Information</w:t>
      </w:r>
    </w:p>
    <w:p w14:paraId="752CDB89" w14:textId="77777777" w:rsidR="00000000" w:rsidRDefault="00EE5306">
      <w:pPr>
        <w:ind w:firstLine="360"/>
        <w:divId w:val="685837110"/>
        <w:rPr>
          <w:rFonts w:eastAsia="Times New Roman"/>
        </w:rPr>
      </w:pPr>
      <w:r>
        <w:rPr>
          <w:rFonts w:eastAsia="Times New Roman"/>
          <w:b/>
          <w:bCs/>
          <w:i/>
          <w:iCs/>
          <w:color w:val="000000"/>
          <w:sz w:val="20"/>
          <w:szCs w:val="20"/>
        </w:rPr>
        <w:t>Reconciliation of Cash, Cash Equivalents, and Restricted Cash</w:t>
      </w:r>
    </w:p>
    <w:p w14:paraId="54EF0B5B" w14:textId="77777777" w:rsidR="00000000" w:rsidRDefault="00EE5306">
      <w:pPr>
        <w:ind w:firstLine="540"/>
        <w:jc w:val="both"/>
        <w:divId w:val="452676022"/>
        <w:rPr>
          <w:rFonts w:eastAsia="Times New Roman"/>
        </w:rPr>
      </w:pPr>
      <w:r>
        <w:rPr>
          <w:rFonts w:eastAsia="Times New Roman"/>
          <w:color w:val="000000"/>
          <w:sz w:val="20"/>
          <w:szCs w:val="20"/>
        </w:rPr>
        <w:t>A reconciliation of cash, cash equiv</w:t>
      </w:r>
      <w:r>
        <w:rPr>
          <w:rFonts w:eastAsia="Times New Roman"/>
          <w:color w:val="000000"/>
          <w:sz w:val="20"/>
          <w:szCs w:val="20"/>
        </w:rPr>
        <w:t>alents, and restricted cash as of March 27, 2021 and March 28, 2020 from the consolidated balance sheets to the consolidated statements of cash flows is as follows:</w:t>
      </w:r>
    </w:p>
    <w:tbl>
      <w:tblPr>
        <w:tblW w:w="4736" w:type="pct"/>
        <w:tblCellMar>
          <w:top w:w="15" w:type="dxa"/>
          <w:left w:w="15" w:type="dxa"/>
          <w:bottom w:w="15" w:type="dxa"/>
          <w:right w:w="15" w:type="dxa"/>
        </w:tblCellMar>
        <w:tblLook w:val="04A0" w:firstRow="1" w:lastRow="0" w:firstColumn="1" w:lastColumn="0" w:noHBand="0" w:noVBand="1"/>
      </w:tblPr>
      <w:tblGrid>
        <w:gridCol w:w="38"/>
        <w:gridCol w:w="5108"/>
        <w:gridCol w:w="37"/>
        <w:gridCol w:w="36"/>
        <w:gridCol w:w="69"/>
        <w:gridCol w:w="36"/>
        <w:gridCol w:w="120"/>
        <w:gridCol w:w="1080"/>
        <w:gridCol w:w="36"/>
        <w:gridCol w:w="36"/>
        <w:gridCol w:w="36"/>
        <w:gridCol w:w="36"/>
        <w:gridCol w:w="120"/>
        <w:gridCol w:w="1043"/>
        <w:gridCol w:w="36"/>
      </w:tblGrid>
      <w:tr w:rsidR="00000000" w14:paraId="1EA5FDCB" w14:textId="77777777">
        <w:trPr>
          <w:divId w:val="141506428"/>
        </w:trPr>
        <w:tc>
          <w:tcPr>
            <w:tcW w:w="50" w:type="pct"/>
            <w:vAlign w:val="center"/>
            <w:hideMark/>
          </w:tcPr>
          <w:p w14:paraId="7193942C" w14:textId="77777777" w:rsidR="00000000" w:rsidRDefault="00EE5306">
            <w:pPr>
              <w:ind w:firstLine="540"/>
              <w:jc w:val="both"/>
              <w:rPr>
                <w:rFonts w:eastAsia="Times New Roman"/>
              </w:rPr>
            </w:pPr>
          </w:p>
        </w:tc>
        <w:tc>
          <w:tcPr>
            <w:tcW w:w="3278" w:type="pct"/>
            <w:vAlign w:val="center"/>
            <w:hideMark/>
          </w:tcPr>
          <w:p w14:paraId="45A84E53" w14:textId="77777777" w:rsidR="00000000" w:rsidRDefault="00EE5306">
            <w:pPr>
              <w:spacing w:after="100"/>
              <w:rPr>
                <w:rFonts w:eastAsia="Times New Roman"/>
                <w:sz w:val="20"/>
                <w:szCs w:val="20"/>
              </w:rPr>
            </w:pPr>
          </w:p>
        </w:tc>
        <w:tc>
          <w:tcPr>
            <w:tcW w:w="5" w:type="pct"/>
            <w:vAlign w:val="center"/>
            <w:hideMark/>
          </w:tcPr>
          <w:p w14:paraId="64D1A72F" w14:textId="77777777" w:rsidR="00000000" w:rsidRDefault="00EE5306">
            <w:pPr>
              <w:spacing w:after="100"/>
              <w:rPr>
                <w:rFonts w:eastAsia="Times New Roman"/>
                <w:sz w:val="20"/>
                <w:szCs w:val="20"/>
              </w:rPr>
            </w:pPr>
          </w:p>
        </w:tc>
        <w:tc>
          <w:tcPr>
            <w:tcW w:w="5" w:type="pct"/>
            <w:vAlign w:val="center"/>
            <w:hideMark/>
          </w:tcPr>
          <w:p w14:paraId="5A079887" w14:textId="77777777" w:rsidR="00000000" w:rsidRDefault="00EE5306">
            <w:pPr>
              <w:spacing w:after="100"/>
              <w:rPr>
                <w:rFonts w:eastAsia="Times New Roman"/>
                <w:sz w:val="20"/>
                <w:szCs w:val="20"/>
              </w:rPr>
            </w:pPr>
          </w:p>
        </w:tc>
        <w:tc>
          <w:tcPr>
            <w:tcW w:w="74" w:type="pct"/>
            <w:vAlign w:val="center"/>
            <w:hideMark/>
          </w:tcPr>
          <w:p w14:paraId="707366CE" w14:textId="77777777" w:rsidR="00000000" w:rsidRDefault="00EE5306">
            <w:pPr>
              <w:spacing w:after="100"/>
              <w:rPr>
                <w:rFonts w:eastAsia="Times New Roman"/>
                <w:sz w:val="20"/>
                <w:szCs w:val="20"/>
              </w:rPr>
            </w:pPr>
          </w:p>
        </w:tc>
        <w:tc>
          <w:tcPr>
            <w:tcW w:w="5" w:type="pct"/>
            <w:vAlign w:val="center"/>
            <w:hideMark/>
          </w:tcPr>
          <w:p w14:paraId="163BDF08" w14:textId="77777777" w:rsidR="00000000" w:rsidRDefault="00EE5306">
            <w:pPr>
              <w:spacing w:after="100"/>
              <w:rPr>
                <w:rFonts w:eastAsia="Times New Roman"/>
                <w:sz w:val="20"/>
                <w:szCs w:val="20"/>
              </w:rPr>
            </w:pPr>
          </w:p>
        </w:tc>
        <w:tc>
          <w:tcPr>
            <w:tcW w:w="50" w:type="pct"/>
            <w:vAlign w:val="center"/>
            <w:hideMark/>
          </w:tcPr>
          <w:p w14:paraId="11E7E27E" w14:textId="77777777" w:rsidR="00000000" w:rsidRDefault="00EE5306">
            <w:pPr>
              <w:spacing w:after="100"/>
              <w:rPr>
                <w:rFonts w:eastAsia="Times New Roman"/>
                <w:sz w:val="20"/>
                <w:szCs w:val="20"/>
              </w:rPr>
            </w:pPr>
          </w:p>
        </w:tc>
        <w:tc>
          <w:tcPr>
            <w:tcW w:w="716" w:type="pct"/>
            <w:vAlign w:val="center"/>
            <w:hideMark/>
          </w:tcPr>
          <w:p w14:paraId="07E8B22D" w14:textId="77777777" w:rsidR="00000000" w:rsidRDefault="00EE5306">
            <w:pPr>
              <w:spacing w:after="100"/>
              <w:rPr>
                <w:rFonts w:eastAsia="Times New Roman"/>
                <w:sz w:val="20"/>
                <w:szCs w:val="20"/>
              </w:rPr>
            </w:pPr>
          </w:p>
        </w:tc>
        <w:tc>
          <w:tcPr>
            <w:tcW w:w="5" w:type="pct"/>
            <w:vAlign w:val="center"/>
            <w:hideMark/>
          </w:tcPr>
          <w:p w14:paraId="050816E2" w14:textId="77777777" w:rsidR="00000000" w:rsidRDefault="00EE5306">
            <w:pPr>
              <w:spacing w:after="100"/>
              <w:rPr>
                <w:rFonts w:eastAsia="Times New Roman"/>
                <w:sz w:val="20"/>
                <w:szCs w:val="20"/>
              </w:rPr>
            </w:pPr>
          </w:p>
        </w:tc>
        <w:tc>
          <w:tcPr>
            <w:tcW w:w="5" w:type="pct"/>
            <w:vAlign w:val="center"/>
            <w:hideMark/>
          </w:tcPr>
          <w:p w14:paraId="226287DD" w14:textId="77777777" w:rsidR="00000000" w:rsidRDefault="00EE5306">
            <w:pPr>
              <w:spacing w:after="100"/>
              <w:rPr>
                <w:rFonts w:eastAsia="Times New Roman"/>
                <w:sz w:val="20"/>
                <w:szCs w:val="20"/>
              </w:rPr>
            </w:pPr>
          </w:p>
        </w:tc>
        <w:tc>
          <w:tcPr>
            <w:tcW w:w="28" w:type="pct"/>
            <w:vAlign w:val="center"/>
            <w:hideMark/>
          </w:tcPr>
          <w:p w14:paraId="3902DFC2" w14:textId="77777777" w:rsidR="00000000" w:rsidRDefault="00EE5306">
            <w:pPr>
              <w:spacing w:after="100"/>
              <w:rPr>
                <w:rFonts w:eastAsia="Times New Roman"/>
                <w:sz w:val="20"/>
                <w:szCs w:val="20"/>
              </w:rPr>
            </w:pPr>
          </w:p>
        </w:tc>
        <w:tc>
          <w:tcPr>
            <w:tcW w:w="5" w:type="pct"/>
            <w:vAlign w:val="center"/>
            <w:hideMark/>
          </w:tcPr>
          <w:p w14:paraId="3E4EF157" w14:textId="77777777" w:rsidR="00000000" w:rsidRDefault="00EE5306">
            <w:pPr>
              <w:spacing w:after="100"/>
              <w:rPr>
                <w:rFonts w:eastAsia="Times New Roman"/>
                <w:sz w:val="20"/>
                <w:szCs w:val="20"/>
              </w:rPr>
            </w:pPr>
          </w:p>
        </w:tc>
        <w:tc>
          <w:tcPr>
            <w:tcW w:w="50" w:type="pct"/>
            <w:vAlign w:val="center"/>
            <w:hideMark/>
          </w:tcPr>
          <w:p w14:paraId="758D649A" w14:textId="77777777" w:rsidR="00000000" w:rsidRDefault="00EE5306">
            <w:pPr>
              <w:spacing w:after="100"/>
              <w:rPr>
                <w:rFonts w:eastAsia="Times New Roman"/>
                <w:sz w:val="20"/>
                <w:szCs w:val="20"/>
              </w:rPr>
            </w:pPr>
          </w:p>
        </w:tc>
        <w:tc>
          <w:tcPr>
            <w:tcW w:w="716" w:type="pct"/>
            <w:vAlign w:val="center"/>
            <w:hideMark/>
          </w:tcPr>
          <w:p w14:paraId="4C596B85" w14:textId="77777777" w:rsidR="00000000" w:rsidRDefault="00EE5306">
            <w:pPr>
              <w:spacing w:after="100"/>
              <w:rPr>
                <w:rFonts w:eastAsia="Times New Roman"/>
                <w:sz w:val="20"/>
                <w:szCs w:val="20"/>
              </w:rPr>
            </w:pPr>
          </w:p>
        </w:tc>
        <w:tc>
          <w:tcPr>
            <w:tcW w:w="5" w:type="pct"/>
            <w:vAlign w:val="center"/>
            <w:hideMark/>
          </w:tcPr>
          <w:p w14:paraId="1D7EA5A9" w14:textId="77777777" w:rsidR="00000000" w:rsidRDefault="00EE5306">
            <w:pPr>
              <w:spacing w:after="100"/>
              <w:rPr>
                <w:rFonts w:eastAsia="Times New Roman"/>
                <w:sz w:val="20"/>
                <w:szCs w:val="20"/>
              </w:rPr>
            </w:pPr>
          </w:p>
        </w:tc>
      </w:tr>
      <w:tr w:rsidR="00000000" w14:paraId="79AFB939" w14:textId="77777777">
        <w:trPr>
          <w:divId w:val="141506428"/>
        </w:trPr>
        <w:tc>
          <w:tcPr>
            <w:tcW w:w="0" w:type="auto"/>
            <w:gridSpan w:val="3"/>
            <w:tcMar>
              <w:top w:w="30" w:type="dxa"/>
              <w:left w:w="20" w:type="dxa"/>
              <w:bottom w:w="30" w:type="dxa"/>
              <w:right w:w="20" w:type="dxa"/>
            </w:tcMar>
            <w:vAlign w:val="bottom"/>
            <w:hideMark/>
          </w:tcPr>
          <w:p w14:paraId="61060D77"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03F7B54" w14:textId="77777777" w:rsidR="00000000" w:rsidRDefault="00EE5306">
            <w:pPr>
              <w:spacing w:after="100"/>
              <w:rPr>
                <w:rFonts w:eastAsia="Times New Roman"/>
              </w:rPr>
            </w:pPr>
          </w:p>
        </w:tc>
        <w:tc>
          <w:tcPr>
            <w:tcW w:w="0" w:type="auto"/>
            <w:gridSpan w:val="3"/>
            <w:tcMar>
              <w:top w:w="30" w:type="dxa"/>
              <w:left w:w="20" w:type="dxa"/>
              <w:bottom w:w="30" w:type="dxa"/>
              <w:right w:w="20" w:type="dxa"/>
            </w:tcMar>
            <w:vAlign w:val="bottom"/>
            <w:hideMark/>
          </w:tcPr>
          <w:p w14:paraId="5E6B0AF9"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4B90DAE8" w14:textId="77777777" w:rsidR="00000000" w:rsidRDefault="00EE530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F2AD811"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r>
      <w:tr w:rsidR="00000000" w14:paraId="158583D4" w14:textId="77777777">
        <w:trPr>
          <w:divId w:val="141506428"/>
        </w:trPr>
        <w:tc>
          <w:tcPr>
            <w:tcW w:w="0" w:type="auto"/>
            <w:gridSpan w:val="3"/>
            <w:tcMar>
              <w:top w:w="30" w:type="dxa"/>
              <w:left w:w="20" w:type="dxa"/>
              <w:bottom w:w="30" w:type="dxa"/>
              <w:right w:w="20" w:type="dxa"/>
            </w:tcMar>
            <w:vAlign w:val="bottom"/>
            <w:hideMark/>
          </w:tcPr>
          <w:p w14:paraId="6561B09F"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FC1B9C5" w14:textId="77777777" w:rsidR="00000000" w:rsidRDefault="00EE530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600BDFD"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763A07F3" w14:textId="77777777">
        <w:trPr>
          <w:divId w:val="141506428"/>
        </w:trPr>
        <w:tc>
          <w:tcPr>
            <w:tcW w:w="0" w:type="auto"/>
            <w:gridSpan w:val="3"/>
            <w:shd w:val="clear" w:color="auto" w:fill="CCEEFF"/>
            <w:tcMar>
              <w:top w:w="30" w:type="dxa"/>
              <w:left w:w="20" w:type="dxa"/>
              <w:bottom w:w="30" w:type="dxa"/>
              <w:right w:w="20" w:type="dxa"/>
            </w:tcMar>
            <w:vAlign w:val="bottom"/>
            <w:hideMark/>
          </w:tcPr>
          <w:p w14:paraId="3E1F2BAA" w14:textId="77777777" w:rsidR="00000000" w:rsidRDefault="00EE5306">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4CDAF5D1"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71543B2"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D2C54D" w14:textId="77777777" w:rsidR="00000000" w:rsidRDefault="00EE5306">
            <w:pPr>
              <w:spacing w:after="100"/>
              <w:jc w:val="right"/>
              <w:rPr>
                <w:rFonts w:eastAsia="Times New Roman"/>
              </w:rPr>
            </w:pPr>
            <w:r>
              <w:rPr>
                <w:rFonts w:eastAsia="Times New Roman"/>
                <w:color w:val="000000"/>
                <w:sz w:val="20"/>
                <w:szCs w:val="20"/>
              </w:rPr>
              <w:t>2,579.0 </w:t>
            </w:r>
          </w:p>
        </w:tc>
        <w:tc>
          <w:tcPr>
            <w:tcW w:w="0" w:type="auto"/>
            <w:shd w:val="clear" w:color="auto" w:fill="CCEEFF"/>
            <w:tcMar>
              <w:top w:w="30" w:type="dxa"/>
              <w:left w:w="0" w:type="dxa"/>
              <w:bottom w:w="30" w:type="dxa"/>
              <w:right w:w="20" w:type="dxa"/>
            </w:tcMar>
            <w:vAlign w:val="bottom"/>
            <w:hideMark/>
          </w:tcPr>
          <w:p w14:paraId="11E7F94F"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54197A"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6225A1"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4A4FD4" w14:textId="77777777" w:rsidR="00000000" w:rsidRDefault="00EE5306">
            <w:pPr>
              <w:spacing w:after="100"/>
              <w:jc w:val="right"/>
              <w:rPr>
                <w:rFonts w:eastAsia="Times New Roman"/>
              </w:rPr>
            </w:pPr>
            <w:r>
              <w:rPr>
                <w:rFonts w:eastAsia="Times New Roman"/>
                <w:color w:val="000000"/>
                <w:sz w:val="20"/>
                <w:szCs w:val="20"/>
              </w:rPr>
              <w:t>1,620.4 </w:t>
            </w:r>
          </w:p>
        </w:tc>
        <w:tc>
          <w:tcPr>
            <w:tcW w:w="0" w:type="auto"/>
            <w:shd w:val="clear" w:color="auto" w:fill="CCEEFF"/>
            <w:tcMar>
              <w:top w:w="30" w:type="dxa"/>
              <w:left w:w="0" w:type="dxa"/>
              <w:bottom w:w="30" w:type="dxa"/>
              <w:right w:w="20" w:type="dxa"/>
            </w:tcMar>
            <w:vAlign w:val="bottom"/>
            <w:hideMark/>
          </w:tcPr>
          <w:p w14:paraId="21E556A7" w14:textId="77777777" w:rsidR="00000000" w:rsidRDefault="00EE5306">
            <w:pPr>
              <w:spacing w:after="100"/>
              <w:jc w:val="right"/>
              <w:rPr>
                <w:rFonts w:eastAsia="Times New Roman"/>
              </w:rPr>
            </w:pPr>
          </w:p>
        </w:tc>
      </w:tr>
      <w:tr w:rsidR="00000000" w14:paraId="5DEF06F8" w14:textId="77777777">
        <w:trPr>
          <w:divId w:val="141506428"/>
        </w:trPr>
        <w:tc>
          <w:tcPr>
            <w:tcW w:w="0" w:type="auto"/>
            <w:gridSpan w:val="3"/>
            <w:shd w:val="clear" w:color="auto" w:fill="FFFFFF"/>
            <w:tcMar>
              <w:top w:w="30" w:type="dxa"/>
              <w:left w:w="20" w:type="dxa"/>
              <w:bottom w:w="30" w:type="dxa"/>
              <w:right w:w="20" w:type="dxa"/>
            </w:tcMar>
            <w:vAlign w:val="bottom"/>
            <w:hideMark/>
          </w:tcPr>
          <w:p w14:paraId="2B4FF9D4" w14:textId="77777777" w:rsidR="00000000" w:rsidRDefault="00EE5306">
            <w:pPr>
              <w:spacing w:after="100"/>
              <w:rPr>
                <w:rFonts w:eastAsia="Times New Roman"/>
              </w:rPr>
            </w:pPr>
            <w:r>
              <w:rPr>
                <w:rFonts w:eastAsia="Times New Roman"/>
                <w:color w:val="000000"/>
                <w:sz w:val="20"/>
                <w:szCs w:val="20"/>
              </w:rPr>
              <w:t>Restricted cash included within prepaid expenses and other current assets</w:t>
            </w:r>
          </w:p>
        </w:tc>
        <w:tc>
          <w:tcPr>
            <w:tcW w:w="0" w:type="auto"/>
            <w:gridSpan w:val="3"/>
            <w:shd w:val="clear" w:color="auto" w:fill="FFFFFF"/>
            <w:tcMar>
              <w:top w:w="0" w:type="dxa"/>
              <w:left w:w="20" w:type="dxa"/>
              <w:bottom w:w="0" w:type="dxa"/>
              <w:right w:w="20" w:type="dxa"/>
            </w:tcMar>
            <w:vAlign w:val="center"/>
            <w:hideMark/>
          </w:tcPr>
          <w:p w14:paraId="362FF9EE"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93F6FA" w14:textId="77777777" w:rsidR="00000000" w:rsidRDefault="00EE5306">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6C76B4A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D50B9"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0E8BF8" w14:textId="77777777" w:rsidR="00000000" w:rsidRDefault="00EE5306">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161C7CDE" w14:textId="77777777" w:rsidR="00000000" w:rsidRDefault="00EE5306">
            <w:pPr>
              <w:spacing w:after="100"/>
              <w:jc w:val="right"/>
              <w:rPr>
                <w:rFonts w:eastAsia="Times New Roman"/>
              </w:rPr>
            </w:pPr>
          </w:p>
        </w:tc>
      </w:tr>
      <w:tr w:rsidR="00000000" w14:paraId="19C17905" w14:textId="77777777">
        <w:trPr>
          <w:divId w:val="141506428"/>
        </w:trPr>
        <w:tc>
          <w:tcPr>
            <w:tcW w:w="0" w:type="auto"/>
            <w:gridSpan w:val="3"/>
            <w:shd w:val="clear" w:color="auto" w:fill="CCEEFF"/>
            <w:tcMar>
              <w:top w:w="30" w:type="dxa"/>
              <w:left w:w="20" w:type="dxa"/>
              <w:bottom w:w="30" w:type="dxa"/>
              <w:right w:w="20" w:type="dxa"/>
            </w:tcMar>
            <w:vAlign w:val="bottom"/>
            <w:hideMark/>
          </w:tcPr>
          <w:p w14:paraId="35EB4C62" w14:textId="77777777" w:rsidR="00000000" w:rsidRDefault="00EE5306">
            <w:pPr>
              <w:spacing w:after="100"/>
              <w:rPr>
                <w:rFonts w:eastAsia="Times New Roman"/>
              </w:rPr>
            </w:pPr>
            <w:r>
              <w:rPr>
                <w:rFonts w:eastAsia="Times New Roman"/>
                <w:color w:val="000000"/>
                <w:sz w:val="20"/>
                <w:szCs w:val="20"/>
              </w:rPr>
              <w:t>Restricted cash included within other non-current assets</w:t>
            </w:r>
          </w:p>
        </w:tc>
        <w:tc>
          <w:tcPr>
            <w:tcW w:w="0" w:type="auto"/>
            <w:gridSpan w:val="3"/>
            <w:shd w:val="clear" w:color="auto" w:fill="CCEEFF"/>
            <w:tcMar>
              <w:top w:w="0" w:type="dxa"/>
              <w:left w:w="20" w:type="dxa"/>
              <w:bottom w:w="0" w:type="dxa"/>
              <w:right w:w="20" w:type="dxa"/>
            </w:tcMar>
            <w:vAlign w:val="center"/>
            <w:hideMark/>
          </w:tcPr>
          <w:p w14:paraId="1EDE21D9" w14:textId="77777777" w:rsidR="00000000" w:rsidRDefault="00EE530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C537EE" w14:textId="77777777" w:rsidR="00000000" w:rsidRDefault="00EE5306">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0AFF84D9"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83514" w14:textId="77777777" w:rsidR="00000000" w:rsidRDefault="00EE530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38F53D" w14:textId="77777777" w:rsidR="00000000" w:rsidRDefault="00EE5306">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14:paraId="25250F1C" w14:textId="77777777" w:rsidR="00000000" w:rsidRDefault="00EE5306">
            <w:pPr>
              <w:spacing w:after="100"/>
              <w:jc w:val="right"/>
              <w:rPr>
                <w:rFonts w:eastAsia="Times New Roman"/>
              </w:rPr>
            </w:pPr>
          </w:p>
        </w:tc>
      </w:tr>
      <w:tr w:rsidR="00000000" w14:paraId="674C6B93" w14:textId="77777777">
        <w:trPr>
          <w:divId w:val="141506428"/>
        </w:trPr>
        <w:tc>
          <w:tcPr>
            <w:tcW w:w="0" w:type="auto"/>
            <w:gridSpan w:val="3"/>
            <w:shd w:val="clear" w:color="auto" w:fill="FFFFFF"/>
            <w:tcMar>
              <w:top w:w="30" w:type="dxa"/>
              <w:left w:w="245" w:type="dxa"/>
              <w:bottom w:w="30" w:type="dxa"/>
              <w:right w:w="20" w:type="dxa"/>
            </w:tcMar>
            <w:vAlign w:val="bottom"/>
            <w:hideMark/>
          </w:tcPr>
          <w:p w14:paraId="2E4C721C" w14:textId="77777777" w:rsidR="00000000" w:rsidRDefault="00EE5306">
            <w:pPr>
              <w:spacing w:after="100"/>
              <w:rPr>
                <w:rFonts w:eastAsia="Times New Roman"/>
              </w:rPr>
            </w:pPr>
            <w:r>
              <w:rPr>
                <w:rFonts w:eastAsia="Times New Roman"/>
                <w:color w:val="000000"/>
                <w:sz w:val="20"/>
                <w:szCs w:val="20"/>
              </w:rPr>
              <w:t>Total cash, cash equivalents, and restricted cash</w:t>
            </w:r>
          </w:p>
        </w:tc>
        <w:tc>
          <w:tcPr>
            <w:tcW w:w="0" w:type="auto"/>
            <w:gridSpan w:val="3"/>
            <w:shd w:val="clear" w:color="auto" w:fill="FFFFFF"/>
            <w:tcMar>
              <w:top w:w="0" w:type="dxa"/>
              <w:left w:w="20" w:type="dxa"/>
              <w:bottom w:w="0" w:type="dxa"/>
              <w:right w:w="20" w:type="dxa"/>
            </w:tcMar>
            <w:vAlign w:val="center"/>
            <w:hideMark/>
          </w:tcPr>
          <w:p w14:paraId="45C265FA" w14:textId="77777777" w:rsidR="00000000" w:rsidRDefault="00EE530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CEFE70"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03E7A1" w14:textId="77777777" w:rsidR="00000000" w:rsidRDefault="00EE5306">
            <w:pPr>
              <w:spacing w:after="100"/>
              <w:jc w:val="right"/>
              <w:rPr>
                <w:rFonts w:eastAsia="Times New Roman"/>
              </w:rPr>
            </w:pPr>
            <w:r>
              <w:rPr>
                <w:rFonts w:eastAsia="Times New Roman"/>
                <w:color w:val="000000"/>
                <w:sz w:val="20"/>
                <w:szCs w:val="20"/>
              </w:rPr>
              <w:t>2,588.0 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D9D644"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DD32E" w14:textId="77777777" w:rsidR="00000000" w:rsidRDefault="00EE530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9B7BCE" w14:textId="77777777" w:rsidR="00000000" w:rsidRDefault="00EE530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E95D7C" w14:textId="77777777" w:rsidR="00000000" w:rsidRDefault="00EE5306">
            <w:pPr>
              <w:spacing w:after="100"/>
              <w:jc w:val="right"/>
              <w:rPr>
                <w:rFonts w:eastAsia="Times New Roman"/>
              </w:rPr>
            </w:pPr>
            <w:r>
              <w:rPr>
                <w:rFonts w:eastAsia="Times New Roman"/>
                <w:color w:val="000000"/>
                <w:sz w:val="20"/>
                <w:szCs w:val="20"/>
              </w:rPr>
              <w:t>1,629.8 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B43B1B" w14:textId="77777777" w:rsidR="00000000" w:rsidRDefault="00EE5306">
            <w:pPr>
              <w:spacing w:after="100"/>
              <w:jc w:val="right"/>
              <w:rPr>
                <w:rFonts w:eastAsia="Times New Roman"/>
              </w:rPr>
            </w:pPr>
          </w:p>
        </w:tc>
      </w:tr>
    </w:tbl>
    <w:p w14:paraId="79C7CE66" w14:textId="77777777" w:rsidR="00000000" w:rsidRDefault="00EE5306">
      <w:pPr>
        <w:ind w:firstLine="540"/>
        <w:jc w:val="both"/>
        <w:divId w:val="876240794"/>
        <w:rPr>
          <w:rFonts w:eastAsia="Times New Roman"/>
        </w:rPr>
      </w:pPr>
      <w:r>
        <w:rPr>
          <w:rFonts w:eastAsia="Times New Roman"/>
          <w:color w:val="000000"/>
          <w:sz w:val="20"/>
          <w:szCs w:val="20"/>
        </w:rPr>
        <w:t>Restricted cash relates to cash held in escrow with certain banks as collateral, primarily to secure guarantees in connection with certain international tax matters and real estate leases.</w:t>
      </w:r>
    </w:p>
    <w:p w14:paraId="014623C2" w14:textId="77777777" w:rsidR="00000000" w:rsidRDefault="00EE5306">
      <w:pPr>
        <w:ind w:firstLine="360"/>
        <w:divId w:val="967860637"/>
        <w:rPr>
          <w:rFonts w:eastAsia="Times New Roman"/>
        </w:rPr>
      </w:pPr>
      <w:r>
        <w:rPr>
          <w:rFonts w:eastAsia="Times New Roman"/>
          <w:b/>
          <w:bCs/>
          <w:i/>
          <w:iCs/>
          <w:color w:val="000000"/>
          <w:sz w:val="20"/>
          <w:szCs w:val="20"/>
        </w:rPr>
        <w:t>Cash Interest and Taxes</w:t>
      </w:r>
    </w:p>
    <w:p w14:paraId="7AD670F6" w14:textId="77777777" w:rsidR="00000000" w:rsidRDefault="00EE5306">
      <w:pPr>
        <w:ind w:firstLine="540"/>
        <w:divId w:val="1608384702"/>
        <w:rPr>
          <w:rFonts w:eastAsia="Times New Roman"/>
        </w:rPr>
      </w:pPr>
      <w:r>
        <w:rPr>
          <w:rFonts w:eastAsia="Times New Roman"/>
          <w:color w:val="000000"/>
          <w:sz w:val="20"/>
          <w:szCs w:val="20"/>
        </w:rPr>
        <w:t>Cash paid for interest and income taxes is</w:t>
      </w:r>
      <w:r>
        <w:rPr>
          <w:rFonts w:eastAsia="Times New Roman"/>
          <w:color w:val="000000"/>
          <w:sz w:val="20"/>
          <w:szCs w:val="20"/>
        </w:rPr>
        <w:t xml:space="preserve"> as follows:</w:t>
      </w:r>
    </w:p>
    <w:tbl>
      <w:tblPr>
        <w:tblW w:w="4729" w:type="pct"/>
        <w:tblCellMar>
          <w:top w:w="15" w:type="dxa"/>
          <w:left w:w="15" w:type="dxa"/>
          <w:bottom w:w="15" w:type="dxa"/>
          <w:right w:w="15" w:type="dxa"/>
        </w:tblCellMar>
        <w:tblLook w:val="04A0" w:firstRow="1" w:lastRow="0" w:firstColumn="1" w:lastColumn="0" w:noHBand="0" w:noVBand="1"/>
      </w:tblPr>
      <w:tblGrid>
        <w:gridCol w:w="37"/>
        <w:gridCol w:w="3887"/>
        <w:gridCol w:w="36"/>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14:paraId="580FD59C" w14:textId="77777777">
        <w:trPr>
          <w:divId w:val="975447535"/>
        </w:trPr>
        <w:tc>
          <w:tcPr>
            <w:tcW w:w="50" w:type="pct"/>
            <w:vAlign w:val="center"/>
            <w:hideMark/>
          </w:tcPr>
          <w:p w14:paraId="0FB88302" w14:textId="77777777" w:rsidR="00000000" w:rsidRDefault="00EE5306">
            <w:pPr>
              <w:ind w:firstLine="540"/>
              <w:rPr>
                <w:rFonts w:eastAsia="Times New Roman"/>
              </w:rPr>
            </w:pPr>
          </w:p>
        </w:tc>
        <w:tc>
          <w:tcPr>
            <w:tcW w:w="2510" w:type="pct"/>
            <w:vAlign w:val="center"/>
            <w:hideMark/>
          </w:tcPr>
          <w:p w14:paraId="3486A97C" w14:textId="77777777" w:rsidR="00000000" w:rsidRDefault="00EE5306">
            <w:pPr>
              <w:spacing w:after="100"/>
              <w:rPr>
                <w:rFonts w:eastAsia="Times New Roman"/>
                <w:sz w:val="20"/>
                <w:szCs w:val="20"/>
              </w:rPr>
            </w:pPr>
          </w:p>
        </w:tc>
        <w:tc>
          <w:tcPr>
            <w:tcW w:w="5" w:type="pct"/>
            <w:vAlign w:val="center"/>
            <w:hideMark/>
          </w:tcPr>
          <w:p w14:paraId="2D20D802" w14:textId="77777777" w:rsidR="00000000" w:rsidRDefault="00EE5306">
            <w:pPr>
              <w:spacing w:after="100"/>
              <w:rPr>
                <w:rFonts w:eastAsia="Times New Roman"/>
                <w:sz w:val="20"/>
                <w:szCs w:val="20"/>
              </w:rPr>
            </w:pPr>
          </w:p>
        </w:tc>
        <w:tc>
          <w:tcPr>
            <w:tcW w:w="5" w:type="pct"/>
            <w:vAlign w:val="center"/>
            <w:hideMark/>
          </w:tcPr>
          <w:p w14:paraId="600B9606" w14:textId="77777777" w:rsidR="00000000" w:rsidRDefault="00EE5306">
            <w:pPr>
              <w:spacing w:after="100"/>
              <w:rPr>
                <w:rFonts w:eastAsia="Times New Roman"/>
                <w:sz w:val="20"/>
                <w:szCs w:val="20"/>
              </w:rPr>
            </w:pPr>
          </w:p>
        </w:tc>
        <w:tc>
          <w:tcPr>
            <w:tcW w:w="28" w:type="pct"/>
            <w:vAlign w:val="center"/>
            <w:hideMark/>
          </w:tcPr>
          <w:p w14:paraId="37874117" w14:textId="77777777" w:rsidR="00000000" w:rsidRDefault="00EE5306">
            <w:pPr>
              <w:spacing w:after="100"/>
              <w:rPr>
                <w:rFonts w:eastAsia="Times New Roman"/>
                <w:sz w:val="20"/>
                <w:szCs w:val="20"/>
              </w:rPr>
            </w:pPr>
          </w:p>
        </w:tc>
        <w:tc>
          <w:tcPr>
            <w:tcW w:w="5" w:type="pct"/>
            <w:vAlign w:val="center"/>
            <w:hideMark/>
          </w:tcPr>
          <w:p w14:paraId="5AD8F22F" w14:textId="77777777" w:rsidR="00000000" w:rsidRDefault="00EE5306">
            <w:pPr>
              <w:spacing w:after="100"/>
              <w:rPr>
                <w:rFonts w:eastAsia="Times New Roman"/>
                <w:sz w:val="20"/>
                <w:szCs w:val="20"/>
              </w:rPr>
            </w:pPr>
          </w:p>
        </w:tc>
        <w:tc>
          <w:tcPr>
            <w:tcW w:w="50" w:type="pct"/>
            <w:vAlign w:val="center"/>
            <w:hideMark/>
          </w:tcPr>
          <w:p w14:paraId="4FCFE551" w14:textId="77777777" w:rsidR="00000000" w:rsidRDefault="00EE5306">
            <w:pPr>
              <w:spacing w:after="100"/>
              <w:rPr>
                <w:rFonts w:eastAsia="Times New Roman"/>
                <w:sz w:val="20"/>
                <w:szCs w:val="20"/>
              </w:rPr>
            </w:pPr>
          </w:p>
        </w:tc>
        <w:tc>
          <w:tcPr>
            <w:tcW w:w="717" w:type="pct"/>
            <w:vAlign w:val="center"/>
            <w:hideMark/>
          </w:tcPr>
          <w:p w14:paraId="759D3202" w14:textId="77777777" w:rsidR="00000000" w:rsidRDefault="00EE5306">
            <w:pPr>
              <w:spacing w:after="100"/>
              <w:rPr>
                <w:rFonts w:eastAsia="Times New Roman"/>
                <w:sz w:val="20"/>
                <w:szCs w:val="20"/>
              </w:rPr>
            </w:pPr>
          </w:p>
        </w:tc>
        <w:tc>
          <w:tcPr>
            <w:tcW w:w="5" w:type="pct"/>
            <w:vAlign w:val="center"/>
            <w:hideMark/>
          </w:tcPr>
          <w:p w14:paraId="2A9471E9" w14:textId="77777777" w:rsidR="00000000" w:rsidRDefault="00EE5306">
            <w:pPr>
              <w:spacing w:after="100"/>
              <w:rPr>
                <w:rFonts w:eastAsia="Times New Roman"/>
                <w:sz w:val="20"/>
                <w:szCs w:val="20"/>
              </w:rPr>
            </w:pPr>
          </w:p>
        </w:tc>
        <w:tc>
          <w:tcPr>
            <w:tcW w:w="5" w:type="pct"/>
            <w:vAlign w:val="center"/>
            <w:hideMark/>
          </w:tcPr>
          <w:p w14:paraId="1BE2C2CD" w14:textId="77777777" w:rsidR="00000000" w:rsidRDefault="00EE5306">
            <w:pPr>
              <w:spacing w:after="100"/>
              <w:rPr>
                <w:rFonts w:eastAsia="Times New Roman"/>
                <w:sz w:val="20"/>
                <w:szCs w:val="20"/>
              </w:rPr>
            </w:pPr>
          </w:p>
        </w:tc>
        <w:tc>
          <w:tcPr>
            <w:tcW w:w="28" w:type="pct"/>
            <w:vAlign w:val="center"/>
            <w:hideMark/>
          </w:tcPr>
          <w:p w14:paraId="6557ED11" w14:textId="77777777" w:rsidR="00000000" w:rsidRDefault="00EE5306">
            <w:pPr>
              <w:spacing w:after="100"/>
              <w:rPr>
                <w:rFonts w:eastAsia="Times New Roman"/>
                <w:sz w:val="20"/>
                <w:szCs w:val="20"/>
              </w:rPr>
            </w:pPr>
          </w:p>
        </w:tc>
        <w:tc>
          <w:tcPr>
            <w:tcW w:w="5" w:type="pct"/>
            <w:vAlign w:val="center"/>
            <w:hideMark/>
          </w:tcPr>
          <w:p w14:paraId="792E80A9" w14:textId="77777777" w:rsidR="00000000" w:rsidRDefault="00EE5306">
            <w:pPr>
              <w:spacing w:after="100"/>
              <w:rPr>
                <w:rFonts w:eastAsia="Times New Roman"/>
                <w:sz w:val="20"/>
                <w:szCs w:val="20"/>
              </w:rPr>
            </w:pPr>
          </w:p>
        </w:tc>
        <w:tc>
          <w:tcPr>
            <w:tcW w:w="50" w:type="pct"/>
            <w:vAlign w:val="center"/>
            <w:hideMark/>
          </w:tcPr>
          <w:p w14:paraId="080ACB49" w14:textId="77777777" w:rsidR="00000000" w:rsidRDefault="00EE5306">
            <w:pPr>
              <w:spacing w:after="100"/>
              <w:rPr>
                <w:rFonts w:eastAsia="Times New Roman"/>
                <w:sz w:val="20"/>
                <w:szCs w:val="20"/>
              </w:rPr>
            </w:pPr>
          </w:p>
        </w:tc>
        <w:tc>
          <w:tcPr>
            <w:tcW w:w="717" w:type="pct"/>
            <w:vAlign w:val="center"/>
            <w:hideMark/>
          </w:tcPr>
          <w:p w14:paraId="2125549C" w14:textId="77777777" w:rsidR="00000000" w:rsidRDefault="00EE5306">
            <w:pPr>
              <w:spacing w:after="100"/>
              <w:rPr>
                <w:rFonts w:eastAsia="Times New Roman"/>
                <w:sz w:val="20"/>
                <w:szCs w:val="20"/>
              </w:rPr>
            </w:pPr>
          </w:p>
        </w:tc>
        <w:tc>
          <w:tcPr>
            <w:tcW w:w="5" w:type="pct"/>
            <w:vAlign w:val="center"/>
            <w:hideMark/>
          </w:tcPr>
          <w:p w14:paraId="302BBB24" w14:textId="77777777" w:rsidR="00000000" w:rsidRDefault="00EE5306">
            <w:pPr>
              <w:spacing w:after="100"/>
              <w:rPr>
                <w:rFonts w:eastAsia="Times New Roman"/>
                <w:sz w:val="20"/>
                <w:szCs w:val="20"/>
              </w:rPr>
            </w:pPr>
          </w:p>
        </w:tc>
        <w:tc>
          <w:tcPr>
            <w:tcW w:w="5" w:type="pct"/>
            <w:vAlign w:val="center"/>
            <w:hideMark/>
          </w:tcPr>
          <w:p w14:paraId="18B71F16" w14:textId="77777777" w:rsidR="00000000" w:rsidRDefault="00EE5306">
            <w:pPr>
              <w:spacing w:after="100"/>
              <w:rPr>
                <w:rFonts w:eastAsia="Times New Roman"/>
                <w:sz w:val="20"/>
                <w:szCs w:val="20"/>
              </w:rPr>
            </w:pPr>
          </w:p>
        </w:tc>
        <w:tc>
          <w:tcPr>
            <w:tcW w:w="28" w:type="pct"/>
            <w:vAlign w:val="center"/>
            <w:hideMark/>
          </w:tcPr>
          <w:p w14:paraId="44303BA6" w14:textId="77777777" w:rsidR="00000000" w:rsidRDefault="00EE5306">
            <w:pPr>
              <w:spacing w:after="100"/>
              <w:rPr>
                <w:rFonts w:eastAsia="Times New Roman"/>
                <w:sz w:val="20"/>
                <w:szCs w:val="20"/>
              </w:rPr>
            </w:pPr>
          </w:p>
        </w:tc>
        <w:tc>
          <w:tcPr>
            <w:tcW w:w="5" w:type="pct"/>
            <w:vAlign w:val="center"/>
            <w:hideMark/>
          </w:tcPr>
          <w:p w14:paraId="096D330A" w14:textId="77777777" w:rsidR="00000000" w:rsidRDefault="00EE5306">
            <w:pPr>
              <w:spacing w:after="100"/>
              <w:rPr>
                <w:rFonts w:eastAsia="Times New Roman"/>
                <w:sz w:val="20"/>
                <w:szCs w:val="20"/>
              </w:rPr>
            </w:pPr>
          </w:p>
        </w:tc>
        <w:tc>
          <w:tcPr>
            <w:tcW w:w="50" w:type="pct"/>
            <w:vAlign w:val="center"/>
            <w:hideMark/>
          </w:tcPr>
          <w:p w14:paraId="3D4BB10B" w14:textId="77777777" w:rsidR="00000000" w:rsidRDefault="00EE5306">
            <w:pPr>
              <w:spacing w:after="100"/>
              <w:rPr>
                <w:rFonts w:eastAsia="Times New Roman"/>
                <w:sz w:val="20"/>
                <w:szCs w:val="20"/>
              </w:rPr>
            </w:pPr>
          </w:p>
        </w:tc>
        <w:tc>
          <w:tcPr>
            <w:tcW w:w="718" w:type="pct"/>
            <w:vAlign w:val="center"/>
            <w:hideMark/>
          </w:tcPr>
          <w:p w14:paraId="1BD3C57F" w14:textId="77777777" w:rsidR="00000000" w:rsidRDefault="00EE5306">
            <w:pPr>
              <w:spacing w:after="100"/>
              <w:rPr>
                <w:rFonts w:eastAsia="Times New Roman"/>
                <w:sz w:val="20"/>
                <w:szCs w:val="20"/>
              </w:rPr>
            </w:pPr>
          </w:p>
        </w:tc>
        <w:tc>
          <w:tcPr>
            <w:tcW w:w="5" w:type="pct"/>
            <w:vAlign w:val="center"/>
            <w:hideMark/>
          </w:tcPr>
          <w:p w14:paraId="264C4C17" w14:textId="77777777" w:rsidR="00000000" w:rsidRDefault="00EE5306">
            <w:pPr>
              <w:spacing w:after="100"/>
              <w:rPr>
                <w:rFonts w:eastAsia="Times New Roman"/>
                <w:sz w:val="20"/>
                <w:szCs w:val="20"/>
              </w:rPr>
            </w:pPr>
          </w:p>
        </w:tc>
      </w:tr>
      <w:tr w:rsidR="00000000" w14:paraId="4F2F39E1" w14:textId="77777777">
        <w:trPr>
          <w:divId w:val="975447535"/>
        </w:trPr>
        <w:tc>
          <w:tcPr>
            <w:tcW w:w="0" w:type="auto"/>
            <w:gridSpan w:val="3"/>
            <w:tcMar>
              <w:top w:w="30" w:type="dxa"/>
              <w:left w:w="20" w:type="dxa"/>
              <w:bottom w:w="30" w:type="dxa"/>
              <w:right w:w="20" w:type="dxa"/>
            </w:tcMar>
            <w:vAlign w:val="bottom"/>
            <w:hideMark/>
          </w:tcPr>
          <w:p w14:paraId="7282B7E8"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BD63140" w14:textId="77777777" w:rsidR="00000000" w:rsidRDefault="00EE5306">
            <w:pPr>
              <w:spacing w:after="100"/>
              <w:rPr>
                <w:rFonts w:eastAsia="Times New Roman"/>
              </w:rPr>
            </w:pPr>
          </w:p>
        </w:tc>
        <w:tc>
          <w:tcPr>
            <w:tcW w:w="0" w:type="auto"/>
            <w:gridSpan w:val="15"/>
            <w:tcMar>
              <w:top w:w="30" w:type="dxa"/>
              <w:left w:w="20" w:type="dxa"/>
              <w:bottom w:w="30" w:type="dxa"/>
              <w:right w:w="20" w:type="dxa"/>
            </w:tcMar>
            <w:vAlign w:val="bottom"/>
            <w:hideMark/>
          </w:tcPr>
          <w:p w14:paraId="032C225F" w14:textId="77777777" w:rsidR="00000000" w:rsidRDefault="00EE5306">
            <w:pPr>
              <w:spacing w:after="100"/>
              <w:jc w:val="center"/>
              <w:rPr>
                <w:rFonts w:eastAsia="Times New Roman"/>
              </w:rPr>
            </w:pPr>
            <w:r>
              <w:rPr>
                <w:rFonts w:eastAsia="Times New Roman"/>
                <w:b/>
                <w:bCs/>
                <w:color w:val="000000"/>
                <w:sz w:val="16"/>
                <w:szCs w:val="16"/>
              </w:rPr>
              <w:t>Fiscal Years Ended</w:t>
            </w:r>
          </w:p>
        </w:tc>
      </w:tr>
      <w:tr w:rsidR="00000000" w14:paraId="7D95095A" w14:textId="77777777">
        <w:trPr>
          <w:divId w:val="975447535"/>
        </w:trPr>
        <w:tc>
          <w:tcPr>
            <w:tcW w:w="0" w:type="auto"/>
            <w:gridSpan w:val="3"/>
            <w:tcMar>
              <w:top w:w="30" w:type="dxa"/>
              <w:left w:w="20" w:type="dxa"/>
              <w:bottom w:w="30" w:type="dxa"/>
              <w:right w:w="20" w:type="dxa"/>
            </w:tcMar>
            <w:vAlign w:val="bottom"/>
            <w:hideMark/>
          </w:tcPr>
          <w:p w14:paraId="61CC3C63"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3359607" w14:textId="77777777" w:rsidR="00000000" w:rsidRDefault="00EE530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C9723E" w14:textId="77777777" w:rsidR="00000000" w:rsidRDefault="00EE5306">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0309D58"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4113D98" w14:textId="77777777" w:rsidR="00000000" w:rsidRDefault="00EE5306">
            <w:pPr>
              <w:spacing w:after="100"/>
              <w:jc w:val="center"/>
              <w:rPr>
                <w:rFonts w:eastAsia="Times New Roman"/>
              </w:rPr>
            </w:pPr>
            <w:r>
              <w:rPr>
                <w:rFonts w:eastAsia="Times New Roman"/>
                <w:b/>
                <w:bCs/>
                <w:color w:val="000000"/>
                <w:sz w:val="16"/>
                <w:szCs w:val="16"/>
              </w:rPr>
              <w:t>March 28,</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474B72C" w14:textId="77777777" w:rsidR="00000000" w:rsidRDefault="00EE530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CA413B6" w14:textId="77777777" w:rsidR="00000000" w:rsidRDefault="00EE5306">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2019</w:t>
            </w:r>
          </w:p>
        </w:tc>
      </w:tr>
      <w:tr w:rsidR="00000000" w14:paraId="1E934F4F" w14:textId="77777777">
        <w:trPr>
          <w:divId w:val="975447535"/>
        </w:trPr>
        <w:tc>
          <w:tcPr>
            <w:tcW w:w="0" w:type="auto"/>
            <w:gridSpan w:val="3"/>
            <w:tcMar>
              <w:top w:w="30" w:type="dxa"/>
              <w:left w:w="20" w:type="dxa"/>
              <w:bottom w:w="30" w:type="dxa"/>
              <w:right w:w="20" w:type="dxa"/>
            </w:tcMar>
            <w:vAlign w:val="bottom"/>
            <w:hideMark/>
          </w:tcPr>
          <w:p w14:paraId="5994B289" w14:textId="77777777" w:rsidR="00000000" w:rsidRDefault="00EE530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89220E4" w14:textId="77777777" w:rsidR="00000000" w:rsidRDefault="00EE530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9048C9D" w14:textId="77777777" w:rsidR="00000000" w:rsidRDefault="00EE5306">
            <w:pPr>
              <w:spacing w:after="100"/>
              <w:jc w:val="center"/>
              <w:rPr>
                <w:rFonts w:eastAsia="Times New Roman"/>
              </w:rPr>
            </w:pPr>
            <w:r>
              <w:rPr>
                <w:rFonts w:eastAsia="Times New Roman"/>
                <w:b/>
                <w:bCs/>
                <w:color w:val="000000"/>
                <w:sz w:val="16"/>
                <w:szCs w:val="16"/>
              </w:rPr>
              <w:t>(millions)</w:t>
            </w:r>
          </w:p>
        </w:tc>
      </w:tr>
      <w:tr w:rsidR="00000000" w14:paraId="7F5864B3" w14:textId="77777777">
        <w:trPr>
          <w:divId w:val="975447535"/>
        </w:trPr>
        <w:tc>
          <w:tcPr>
            <w:tcW w:w="0" w:type="auto"/>
            <w:gridSpan w:val="3"/>
            <w:shd w:val="clear" w:color="auto" w:fill="CCEEFF"/>
            <w:tcMar>
              <w:top w:w="30" w:type="dxa"/>
              <w:left w:w="20" w:type="dxa"/>
              <w:bottom w:w="30" w:type="dxa"/>
              <w:right w:w="20" w:type="dxa"/>
            </w:tcMar>
            <w:vAlign w:val="bottom"/>
            <w:hideMark/>
          </w:tcPr>
          <w:p w14:paraId="14564F3C" w14:textId="77777777" w:rsidR="00000000" w:rsidRDefault="00EE5306">
            <w:pPr>
              <w:spacing w:after="100"/>
              <w:rPr>
                <w:rFonts w:eastAsia="Times New Roman"/>
              </w:rPr>
            </w:pPr>
            <w:r>
              <w:rPr>
                <w:rFonts w:eastAsia="Times New Roman"/>
                <w:color w:val="000000"/>
                <w:sz w:val="20"/>
                <w:szCs w:val="20"/>
              </w:rPr>
              <w:t>Cash paid for interest</w:t>
            </w:r>
          </w:p>
        </w:tc>
        <w:tc>
          <w:tcPr>
            <w:tcW w:w="0" w:type="auto"/>
            <w:gridSpan w:val="3"/>
            <w:shd w:val="clear" w:color="auto" w:fill="CCEEFF"/>
            <w:tcMar>
              <w:top w:w="0" w:type="dxa"/>
              <w:left w:w="20" w:type="dxa"/>
              <w:bottom w:w="0" w:type="dxa"/>
              <w:right w:w="20" w:type="dxa"/>
            </w:tcMar>
            <w:vAlign w:val="center"/>
            <w:hideMark/>
          </w:tcPr>
          <w:p w14:paraId="4E2A79DA" w14:textId="77777777" w:rsidR="00000000" w:rsidRDefault="00EE530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E917DDB"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961659" w14:textId="77777777" w:rsidR="00000000" w:rsidRDefault="00EE5306">
            <w:pPr>
              <w:spacing w:after="100"/>
              <w:jc w:val="right"/>
              <w:rPr>
                <w:rFonts w:eastAsia="Times New Roman"/>
              </w:rPr>
            </w:pPr>
            <w:r>
              <w:rPr>
                <w:rFonts w:eastAsia="Times New Roman"/>
                <w:color w:val="000000"/>
                <w:sz w:val="20"/>
                <w:szCs w:val="20"/>
              </w:rPr>
              <w:t>33.5 </w:t>
            </w:r>
          </w:p>
        </w:tc>
        <w:tc>
          <w:tcPr>
            <w:tcW w:w="0" w:type="auto"/>
            <w:shd w:val="clear" w:color="auto" w:fill="CCEEFF"/>
            <w:tcMar>
              <w:top w:w="30" w:type="dxa"/>
              <w:left w:w="0" w:type="dxa"/>
              <w:bottom w:w="30" w:type="dxa"/>
              <w:right w:w="20" w:type="dxa"/>
            </w:tcMar>
            <w:vAlign w:val="bottom"/>
            <w:hideMark/>
          </w:tcPr>
          <w:p w14:paraId="1EE41B5E"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AA01E"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DD76DD"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25DF91" w14:textId="77777777" w:rsidR="00000000" w:rsidRDefault="00EE5306">
            <w:pPr>
              <w:spacing w:after="100"/>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14:paraId="22FE8B01" w14:textId="77777777" w:rsidR="00000000" w:rsidRDefault="00EE530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76A3A" w14:textId="77777777" w:rsidR="00000000" w:rsidRDefault="00EE530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22E3C5" w14:textId="77777777" w:rsidR="00000000" w:rsidRDefault="00EE530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88FF51" w14:textId="77777777" w:rsidR="00000000" w:rsidRDefault="00EE5306">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14:paraId="60B79EEA" w14:textId="77777777" w:rsidR="00000000" w:rsidRDefault="00EE5306">
            <w:pPr>
              <w:spacing w:after="100"/>
              <w:jc w:val="right"/>
              <w:rPr>
                <w:rFonts w:eastAsia="Times New Roman"/>
              </w:rPr>
            </w:pPr>
          </w:p>
        </w:tc>
      </w:tr>
      <w:tr w:rsidR="00000000" w14:paraId="7AA72D0F" w14:textId="77777777">
        <w:trPr>
          <w:divId w:val="975447535"/>
        </w:trPr>
        <w:tc>
          <w:tcPr>
            <w:tcW w:w="0" w:type="auto"/>
            <w:gridSpan w:val="3"/>
            <w:shd w:val="clear" w:color="auto" w:fill="FFFFFF"/>
            <w:tcMar>
              <w:top w:w="30" w:type="dxa"/>
              <w:left w:w="20" w:type="dxa"/>
              <w:bottom w:w="30" w:type="dxa"/>
              <w:right w:w="20" w:type="dxa"/>
            </w:tcMar>
            <w:vAlign w:val="bottom"/>
            <w:hideMark/>
          </w:tcPr>
          <w:p w14:paraId="7D1C243B" w14:textId="77777777" w:rsidR="00000000" w:rsidRDefault="00EE5306">
            <w:pPr>
              <w:spacing w:after="100"/>
              <w:rPr>
                <w:rFonts w:eastAsia="Times New Roman"/>
              </w:rPr>
            </w:pPr>
            <w:r>
              <w:rPr>
                <w:rFonts w:eastAsia="Times New Roman"/>
                <w:color w:val="000000"/>
                <w:sz w:val="20"/>
                <w:szCs w:val="20"/>
              </w:rPr>
              <w:t>Cash paid for income taxes, net of refunds</w:t>
            </w:r>
          </w:p>
        </w:tc>
        <w:tc>
          <w:tcPr>
            <w:tcW w:w="0" w:type="auto"/>
            <w:gridSpan w:val="3"/>
            <w:shd w:val="clear" w:color="auto" w:fill="FFFFFF"/>
            <w:tcMar>
              <w:top w:w="0" w:type="dxa"/>
              <w:left w:w="20" w:type="dxa"/>
              <w:bottom w:w="0" w:type="dxa"/>
              <w:right w:w="20" w:type="dxa"/>
            </w:tcMar>
            <w:vAlign w:val="center"/>
            <w:hideMark/>
          </w:tcPr>
          <w:p w14:paraId="3BA6D95B" w14:textId="77777777" w:rsidR="00000000" w:rsidRDefault="00EE530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ED3D85" w14:textId="77777777" w:rsidR="00000000" w:rsidRDefault="00EE5306">
            <w:pPr>
              <w:spacing w:after="100"/>
              <w:jc w:val="right"/>
              <w:rPr>
                <w:rFonts w:eastAsia="Times New Roman"/>
              </w:rPr>
            </w:pPr>
            <w:r>
              <w:rPr>
                <w:rFonts w:eastAsia="Times New Roman"/>
                <w:color w:val="000000"/>
                <w:sz w:val="20"/>
                <w:szCs w:val="20"/>
              </w:rPr>
              <w:t>47.8 </w:t>
            </w:r>
          </w:p>
        </w:tc>
        <w:tc>
          <w:tcPr>
            <w:tcW w:w="0" w:type="auto"/>
            <w:shd w:val="clear" w:color="auto" w:fill="FFFFFF"/>
            <w:tcMar>
              <w:top w:w="30" w:type="dxa"/>
              <w:left w:w="0" w:type="dxa"/>
              <w:bottom w:w="30" w:type="dxa"/>
              <w:right w:w="20" w:type="dxa"/>
            </w:tcMar>
            <w:vAlign w:val="bottom"/>
            <w:hideMark/>
          </w:tcPr>
          <w:p w14:paraId="4A5DD967"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A2634"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484DF1" w14:textId="77777777" w:rsidR="00000000" w:rsidRDefault="00EE5306">
            <w:pPr>
              <w:spacing w:after="100"/>
              <w:jc w:val="right"/>
              <w:rPr>
                <w:rFonts w:eastAsia="Times New Roman"/>
              </w:rPr>
            </w:pPr>
            <w:r>
              <w:rPr>
                <w:rFonts w:eastAsia="Times New Roman"/>
                <w:color w:val="000000"/>
                <w:sz w:val="20"/>
                <w:szCs w:val="20"/>
              </w:rPr>
              <w:t>135.5 </w:t>
            </w:r>
          </w:p>
        </w:tc>
        <w:tc>
          <w:tcPr>
            <w:tcW w:w="0" w:type="auto"/>
            <w:shd w:val="clear" w:color="auto" w:fill="FFFFFF"/>
            <w:tcMar>
              <w:top w:w="30" w:type="dxa"/>
              <w:left w:w="0" w:type="dxa"/>
              <w:bottom w:w="30" w:type="dxa"/>
              <w:right w:w="20" w:type="dxa"/>
            </w:tcMar>
            <w:vAlign w:val="bottom"/>
            <w:hideMark/>
          </w:tcPr>
          <w:p w14:paraId="3CE2E11B" w14:textId="77777777" w:rsidR="00000000" w:rsidRDefault="00EE530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29861" w14:textId="77777777" w:rsidR="00000000" w:rsidRDefault="00EE53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FCBDB2" w14:textId="77777777" w:rsidR="00000000" w:rsidRDefault="00EE5306">
            <w:pPr>
              <w:spacing w:after="100"/>
              <w:jc w:val="right"/>
              <w:rPr>
                <w:rFonts w:eastAsia="Times New Roman"/>
              </w:rPr>
            </w:pPr>
            <w:r>
              <w:rPr>
                <w:rFonts w:eastAsia="Times New Roman"/>
                <w:color w:val="000000"/>
                <w:sz w:val="20"/>
                <w:szCs w:val="20"/>
              </w:rPr>
              <w:t>102.0 </w:t>
            </w:r>
          </w:p>
        </w:tc>
        <w:tc>
          <w:tcPr>
            <w:tcW w:w="0" w:type="auto"/>
            <w:shd w:val="clear" w:color="auto" w:fill="FFFFFF"/>
            <w:tcMar>
              <w:top w:w="30" w:type="dxa"/>
              <w:left w:w="0" w:type="dxa"/>
              <w:bottom w:w="30" w:type="dxa"/>
              <w:right w:w="20" w:type="dxa"/>
            </w:tcMar>
            <w:vAlign w:val="bottom"/>
            <w:hideMark/>
          </w:tcPr>
          <w:p w14:paraId="04062431" w14:textId="77777777" w:rsidR="00000000" w:rsidRDefault="00EE5306">
            <w:pPr>
              <w:spacing w:after="100"/>
              <w:jc w:val="right"/>
              <w:rPr>
                <w:rFonts w:eastAsia="Times New Roman"/>
              </w:rPr>
            </w:pPr>
          </w:p>
        </w:tc>
      </w:tr>
    </w:tbl>
    <w:p w14:paraId="7A78A0AA" w14:textId="77777777" w:rsidR="00000000" w:rsidRDefault="00EE5306">
      <w:pPr>
        <w:ind w:firstLine="360"/>
        <w:divId w:val="1667200474"/>
        <w:rPr>
          <w:rFonts w:eastAsia="Times New Roman"/>
        </w:rPr>
      </w:pPr>
      <w:r>
        <w:rPr>
          <w:rFonts w:eastAsia="Times New Roman"/>
          <w:b/>
          <w:bCs/>
          <w:i/>
          <w:iCs/>
          <w:color w:val="000000"/>
          <w:sz w:val="20"/>
          <w:szCs w:val="20"/>
        </w:rPr>
        <w:t>Non-cash Transactions</w:t>
      </w:r>
    </w:p>
    <w:p w14:paraId="00B8A2A8" w14:textId="77777777" w:rsidR="00000000" w:rsidRDefault="00EE5306">
      <w:pPr>
        <w:ind w:firstLine="540"/>
        <w:jc w:val="both"/>
        <w:divId w:val="1607083150"/>
        <w:rPr>
          <w:rFonts w:eastAsia="Times New Roman"/>
        </w:rPr>
      </w:pPr>
      <w:r>
        <w:rPr>
          <w:rFonts w:eastAsia="Times New Roman"/>
          <w:color w:val="000000"/>
          <w:sz w:val="20"/>
          <w:szCs w:val="20"/>
        </w:rPr>
        <w:t>Operating and finance lease ROU assets recorded in connection with the recognition of new lease liabilities were $66.7 million and $133.2 million, respectively, during Fiscal 2021,</w:t>
      </w:r>
      <w:r>
        <w:rPr>
          <w:rFonts w:eastAsia="Times New Roman"/>
          <w:color w:val="000000"/>
          <w:sz w:val="20"/>
          <w:szCs w:val="20"/>
        </w:rPr>
        <w:t xml:space="preserve"> and $374.0 million and $64.0 million, respectively, during Fiscal 2020. Additionally, $55.7 million of operating lease ROU assets were reclassified and reflected as finance lease ROU assets as a result of certain lease amendments executed during Fiscal 20</w:t>
      </w:r>
      <w:r>
        <w:rPr>
          <w:rFonts w:eastAsia="Times New Roman"/>
          <w:color w:val="000000"/>
          <w:sz w:val="20"/>
          <w:szCs w:val="20"/>
        </w:rPr>
        <w:t>21.</w:t>
      </w:r>
    </w:p>
    <w:p w14:paraId="4644B51D" w14:textId="77777777" w:rsidR="00000000" w:rsidRDefault="00EE5306">
      <w:pPr>
        <w:ind w:firstLine="540"/>
        <w:jc w:val="both"/>
        <w:divId w:val="2073651797"/>
        <w:rPr>
          <w:rFonts w:eastAsia="Times New Roman"/>
        </w:rPr>
      </w:pPr>
      <w:r>
        <w:rPr>
          <w:rFonts w:eastAsia="Times New Roman"/>
          <w:color w:val="000000"/>
          <w:sz w:val="20"/>
          <w:szCs w:val="20"/>
        </w:rPr>
        <w:t xml:space="preserve">Non-cash investing activities also included capital expenditures incurred but not yet paid of $21.3 million, $29.1 million, and $47.6 million as of the end of Fiscal 2021, Fiscal 2020, and Fiscal 2019, respectively. </w:t>
      </w:r>
    </w:p>
    <w:p w14:paraId="54E4E836" w14:textId="77777777" w:rsidR="00000000" w:rsidRDefault="00EE5306">
      <w:pPr>
        <w:ind w:firstLine="540"/>
        <w:jc w:val="both"/>
        <w:divId w:val="1471971285"/>
        <w:rPr>
          <w:rFonts w:eastAsia="Times New Roman"/>
        </w:rPr>
      </w:pPr>
      <w:r>
        <w:rPr>
          <w:rFonts w:eastAsia="Times New Roman"/>
          <w:color w:val="000000"/>
          <w:sz w:val="20"/>
          <w:szCs w:val="20"/>
        </w:rPr>
        <w:t>Non-cash financing activities inclu</w:t>
      </w:r>
      <w:r>
        <w:rPr>
          <w:rFonts w:eastAsia="Times New Roman"/>
          <w:color w:val="000000"/>
          <w:sz w:val="20"/>
          <w:szCs w:val="20"/>
        </w:rPr>
        <w:t>ded the conversion of 1.0 million shares of Class B common stock into an equal number of shares of Class A common stock during Fiscal 2020, as discussed in Note 16.</w:t>
      </w:r>
    </w:p>
    <w:p w14:paraId="6CAD3A47" w14:textId="77777777" w:rsidR="00000000" w:rsidRDefault="00EE5306">
      <w:pPr>
        <w:ind w:firstLine="540"/>
        <w:jc w:val="both"/>
        <w:divId w:val="1046218397"/>
        <w:rPr>
          <w:rFonts w:eastAsia="Times New Roman"/>
        </w:rPr>
      </w:pPr>
      <w:r>
        <w:rPr>
          <w:rFonts w:eastAsia="Times New Roman"/>
          <w:color w:val="000000"/>
          <w:sz w:val="20"/>
          <w:szCs w:val="20"/>
        </w:rPr>
        <w:t>There were no other significant non-cash investing or financing activities for any of the f</w:t>
      </w:r>
      <w:r>
        <w:rPr>
          <w:rFonts w:eastAsia="Times New Roman"/>
          <w:color w:val="000000"/>
          <w:sz w:val="20"/>
          <w:szCs w:val="20"/>
        </w:rPr>
        <w:t>iscal years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6543A3B0" w14:textId="77777777">
        <w:trPr>
          <w:divId w:val="633483274"/>
          <w:jc w:val="center"/>
        </w:trPr>
        <w:tc>
          <w:tcPr>
            <w:tcW w:w="50" w:type="pct"/>
            <w:vAlign w:val="center"/>
            <w:hideMark/>
          </w:tcPr>
          <w:p w14:paraId="4CA1ADC1" w14:textId="77777777" w:rsidR="00000000" w:rsidRDefault="00EE5306">
            <w:pPr>
              <w:ind w:firstLine="540"/>
              <w:jc w:val="both"/>
              <w:rPr>
                <w:rFonts w:eastAsia="Times New Roman"/>
              </w:rPr>
            </w:pPr>
          </w:p>
        </w:tc>
        <w:tc>
          <w:tcPr>
            <w:tcW w:w="1699" w:type="pct"/>
            <w:vAlign w:val="center"/>
            <w:hideMark/>
          </w:tcPr>
          <w:p w14:paraId="7193979B" w14:textId="77777777" w:rsidR="00000000" w:rsidRDefault="00EE5306">
            <w:pPr>
              <w:spacing w:after="100"/>
              <w:rPr>
                <w:rFonts w:eastAsia="Times New Roman"/>
                <w:sz w:val="20"/>
                <w:szCs w:val="20"/>
              </w:rPr>
            </w:pPr>
          </w:p>
        </w:tc>
        <w:tc>
          <w:tcPr>
            <w:tcW w:w="5" w:type="pct"/>
            <w:vAlign w:val="center"/>
            <w:hideMark/>
          </w:tcPr>
          <w:p w14:paraId="462C14FD" w14:textId="77777777" w:rsidR="00000000" w:rsidRDefault="00EE5306">
            <w:pPr>
              <w:spacing w:after="100"/>
              <w:rPr>
                <w:rFonts w:eastAsia="Times New Roman"/>
                <w:sz w:val="20"/>
                <w:szCs w:val="20"/>
              </w:rPr>
            </w:pPr>
          </w:p>
        </w:tc>
        <w:tc>
          <w:tcPr>
            <w:tcW w:w="50" w:type="pct"/>
            <w:vAlign w:val="center"/>
            <w:hideMark/>
          </w:tcPr>
          <w:p w14:paraId="242DF52B" w14:textId="77777777" w:rsidR="00000000" w:rsidRDefault="00EE5306">
            <w:pPr>
              <w:spacing w:after="100"/>
              <w:rPr>
                <w:rFonts w:eastAsia="Times New Roman"/>
                <w:sz w:val="20"/>
                <w:szCs w:val="20"/>
              </w:rPr>
            </w:pPr>
          </w:p>
        </w:tc>
        <w:tc>
          <w:tcPr>
            <w:tcW w:w="1436" w:type="pct"/>
            <w:vAlign w:val="center"/>
            <w:hideMark/>
          </w:tcPr>
          <w:p w14:paraId="1223427F" w14:textId="77777777" w:rsidR="00000000" w:rsidRDefault="00EE5306">
            <w:pPr>
              <w:spacing w:after="100"/>
              <w:rPr>
                <w:rFonts w:eastAsia="Times New Roman"/>
                <w:sz w:val="20"/>
                <w:szCs w:val="20"/>
              </w:rPr>
            </w:pPr>
          </w:p>
        </w:tc>
        <w:tc>
          <w:tcPr>
            <w:tcW w:w="5" w:type="pct"/>
            <w:vAlign w:val="center"/>
            <w:hideMark/>
          </w:tcPr>
          <w:p w14:paraId="6DBACDBD" w14:textId="77777777" w:rsidR="00000000" w:rsidRDefault="00EE5306">
            <w:pPr>
              <w:spacing w:after="100"/>
              <w:rPr>
                <w:rFonts w:eastAsia="Times New Roman"/>
                <w:sz w:val="20"/>
                <w:szCs w:val="20"/>
              </w:rPr>
            </w:pPr>
          </w:p>
        </w:tc>
        <w:tc>
          <w:tcPr>
            <w:tcW w:w="50" w:type="pct"/>
            <w:vAlign w:val="center"/>
            <w:hideMark/>
          </w:tcPr>
          <w:p w14:paraId="3273B011" w14:textId="77777777" w:rsidR="00000000" w:rsidRDefault="00EE5306">
            <w:pPr>
              <w:spacing w:after="100"/>
              <w:rPr>
                <w:rFonts w:eastAsia="Times New Roman"/>
                <w:sz w:val="20"/>
                <w:szCs w:val="20"/>
              </w:rPr>
            </w:pPr>
          </w:p>
        </w:tc>
        <w:tc>
          <w:tcPr>
            <w:tcW w:w="1699" w:type="pct"/>
            <w:vAlign w:val="center"/>
            <w:hideMark/>
          </w:tcPr>
          <w:p w14:paraId="1B363EF1" w14:textId="77777777" w:rsidR="00000000" w:rsidRDefault="00EE5306">
            <w:pPr>
              <w:spacing w:after="100"/>
              <w:rPr>
                <w:rFonts w:eastAsia="Times New Roman"/>
                <w:sz w:val="20"/>
                <w:szCs w:val="20"/>
              </w:rPr>
            </w:pPr>
          </w:p>
        </w:tc>
        <w:tc>
          <w:tcPr>
            <w:tcW w:w="5" w:type="pct"/>
            <w:vAlign w:val="center"/>
            <w:hideMark/>
          </w:tcPr>
          <w:p w14:paraId="0B1950F6" w14:textId="77777777" w:rsidR="00000000" w:rsidRDefault="00EE5306">
            <w:pPr>
              <w:spacing w:after="100"/>
              <w:rPr>
                <w:rFonts w:eastAsia="Times New Roman"/>
                <w:sz w:val="20"/>
                <w:szCs w:val="20"/>
              </w:rPr>
            </w:pPr>
          </w:p>
        </w:tc>
      </w:tr>
      <w:tr w:rsidR="00000000" w14:paraId="45245EEF" w14:textId="77777777">
        <w:trPr>
          <w:divId w:val="633483274"/>
          <w:jc w:val="center"/>
        </w:trPr>
        <w:tc>
          <w:tcPr>
            <w:tcW w:w="0" w:type="auto"/>
            <w:gridSpan w:val="3"/>
            <w:tcMar>
              <w:top w:w="0" w:type="dxa"/>
              <w:left w:w="20" w:type="dxa"/>
              <w:bottom w:w="0" w:type="dxa"/>
              <w:right w:w="20" w:type="dxa"/>
            </w:tcMar>
            <w:vAlign w:val="center"/>
            <w:hideMark/>
          </w:tcPr>
          <w:p w14:paraId="6EEB8B3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D490650" w14:textId="77777777" w:rsidR="00000000" w:rsidRDefault="00EE5306">
            <w:pPr>
              <w:spacing w:after="100"/>
              <w:jc w:val="center"/>
              <w:rPr>
                <w:rFonts w:eastAsia="Times New Roman"/>
              </w:rPr>
            </w:pPr>
            <w:r>
              <w:rPr>
                <w:rFonts w:eastAsia="Times New Roman"/>
                <w:color w:val="000000"/>
                <w:sz w:val="20"/>
                <w:szCs w:val="20"/>
              </w:rPr>
              <w:t>F-57</w:t>
            </w:r>
          </w:p>
        </w:tc>
        <w:tc>
          <w:tcPr>
            <w:tcW w:w="0" w:type="auto"/>
            <w:gridSpan w:val="3"/>
            <w:tcMar>
              <w:top w:w="0" w:type="dxa"/>
              <w:left w:w="20" w:type="dxa"/>
              <w:bottom w:w="0" w:type="dxa"/>
              <w:right w:w="20" w:type="dxa"/>
            </w:tcMar>
            <w:vAlign w:val="center"/>
            <w:hideMark/>
          </w:tcPr>
          <w:p w14:paraId="55840799" w14:textId="77777777" w:rsidR="00000000" w:rsidRDefault="00EE5306">
            <w:pPr>
              <w:spacing w:after="100"/>
              <w:jc w:val="center"/>
              <w:rPr>
                <w:rFonts w:eastAsia="Times New Roman"/>
              </w:rPr>
            </w:pPr>
          </w:p>
        </w:tc>
      </w:tr>
    </w:tbl>
    <w:p w14:paraId="1F5AD550" w14:textId="77777777" w:rsidR="00000000" w:rsidRDefault="00EE5306">
      <w:pPr>
        <w:rPr>
          <w:rFonts w:eastAsia="Times New Roman"/>
        </w:rPr>
      </w:pPr>
      <w:r>
        <w:rPr>
          <w:rFonts w:eastAsia="Times New Roman"/>
        </w:rPr>
        <w:pict w14:anchorId="595F107B">
          <v:rect id="_x0000_i1167" style="width:0;height:1.5pt" o:hralign="center" o:hrstd="t" o:hr="t" fillcolor="#a0a0a0" stroked="f"/>
        </w:pict>
      </w:r>
    </w:p>
    <w:p w14:paraId="7AB61368" w14:textId="77777777" w:rsidR="00000000" w:rsidRDefault="00EE5306">
      <w:pPr>
        <w:divId w:val="121315500"/>
        <w:rPr>
          <w:rFonts w:eastAsia="Times New Roman"/>
        </w:rPr>
      </w:pPr>
    </w:p>
    <w:p w14:paraId="36138993" w14:textId="77777777" w:rsidR="00000000" w:rsidRDefault="00EE5306">
      <w:pPr>
        <w:jc w:val="center"/>
        <w:divId w:val="1511872610"/>
        <w:rPr>
          <w:rFonts w:eastAsia="Times New Roman"/>
        </w:rPr>
      </w:pPr>
      <w:r>
        <w:rPr>
          <w:rFonts w:eastAsia="Times New Roman"/>
          <w:b/>
          <w:bCs/>
          <w:color w:val="000000"/>
          <w:sz w:val="20"/>
          <w:szCs w:val="20"/>
        </w:rPr>
        <w:t>MANAGEMENT'S REPORT ON RESPONSIBILITY FOR FINANCIAL STATEMENTS</w:t>
      </w:r>
    </w:p>
    <w:p w14:paraId="26918B92" w14:textId="77777777" w:rsidR="00000000" w:rsidRDefault="00EE5306">
      <w:pPr>
        <w:ind w:firstLine="540"/>
        <w:jc w:val="both"/>
        <w:divId w:val="1554265718"/>
        <w:rPr>
          <w:rFonts w:eastAsia="Times New Roman"/>
        </w:rPr>
      </w:pPr>
      <w:r>
        <w:rPr>
          <w:rFonts w:eastAsia="Times New Roman"/>
          <w:color w:val="000000"/>
          <w:sz w:val="20"/>
          <w:szCs w:val="20"/>
        </w:rPr>
        <w:t>The management of Ralph Lauren Corporation is responsible for the preparation, objectivity, and integrity of the consolidated financial statements and othe</w:t>
      </w:r>
      <w:r>
        <w:rPr>
          <w:rFonts w:eastAsia="Times New Roman"/>
          <w:color w:val="000000"/>
          <w:sz w:val="20"/>
          <w:szCs w:val="20"/>
        </w:rPr>
        <w:t>r information contained in this Annual Report. The consolidated financial statements have been prepared in accordance with accounting principles generally accepted in the United States and include some amounts that are based on management's informed judgme</w:t>
      </w:r>
      <w:r>
        <w:rPr>
          <w:rFonts w:eastAsia="Times New Roman"/>
          <w:color w:val="000000"/>
          <w:sz w:val="20"/>
          <w:szCs w:val="20"/>
        </w:rPr>
        <w:t xml:space="preserve">nts and best estimates. </w:t>
      </w:r>
    </w:p>
    <w:p w14:paraId="38A4183C" w14:textId="77777777" w:rsidR="00000000" w:rsidRDefault="00EE5306">
      <w:pPr>
        <w:ind w:firstLine="540"/>
        <w:jc w:val="both"/>
        <w:divId w:val="1462729622"/>
        <w:rPr>
          <w:rFonts w:eastAsia="Times New Roman"/>
        </w:rPr>
      </w:pPr>
      <w:r>
        <w:rPr>
          <w:rFonts w:eastAsia="Times New Roman"/>
          <w:color w:val="000000"/>
          <w:sz w:val="20"/>
          <w:szCs w:val="20"/>
        </w:rPr>
        <w:t xml:space="preserve">These consolidated financial statements have been audited by Ernst &amp; Young LLP in Fiscal 2021, Fiscal 2020, and Fiscal 2019, which is an independent registered public accounting firm. They conducted their audits in accordance with </w:t>
      </w:r>
      <w:r>
        <w:rPr>
          <w:rFonts w:eastAsia="Times New Roman"/>
          <w:color w:val="000000"/>
          <w:sz w:val="20"/>
          <w:szCs w:val="20"/>
        </w:rPr>
        <w:t xml:space="preserve">the standards of the Public Company Accounting Oversight Board (United States) and have expressed herein their unqualified opinions on those financial statements. </w:t>
      </w:r>
    </w:p>
    <w:p w14:paraId="0A42987B" w14:textId="77777777" w:rsidR="00000000" w:rsidRDefault="00EE5306">
      <w:pPr>
        <w:ind w:firstLine="540"/>
        <w:jc w:val="both"/>
        <w:divId w:val="1244292264"/>
        <w:rPr>
          <w:rFonts w:eastAsia="Times New Roman"/>
        </w:rPr>
      </w:pPr>
      <w:r>
        <w:rPr>
          <w:rFonts w:eastAsia="Times New Roman"/>
          <w:color w:val="000000"/>
          <w:sz w:val="20"/>
          <w:szCs w:val="20"/>
        </w:rPr>
        <w:t>The Audit Committee of the Board of Directors, which oversees all of the Company's financial</w:t>
      </w:r>
      <w:r>
        <w:rPr>
          <w:rFonts w:eastAsia="Times New Roman"/>
          <w:color w:val="000000"/>
          <w:sz w:val="20"/>
          <w:szCs w:val="20"/>
        </w:rPr>
        <w:t xml:space="preserve"> reporting process on behalf of the Board of Directors, consists solely of independent directors, meets with the independent registered accountants, internal auditors, and management periodically to review their respective activities and the discharge of t</w:t>
      </w:r>
      <w:r>
        <w:rPr>
          <w:rFonts w:eastAsia="Times New Roman"/>
          <w:color w:val="000000"/>
          <w:sz w:val="20"/>
          <w:szCs w:val="20"/>
        </w:rPr>
        <w:t>heir respective responsibilities. Both the independent registered public accountants and the internal auditors have unrestricted access to the Audit Committee, with or without management, to discuss the scope and results of their audits and any recommendat</w:t>
      </w:r>
      <w:r>
        <w:rPr>
          <w:rFonts w:eastAsia="Times New Roman"/>
          <w:color w:val="000000"/>
          <w:sz w:val="20"/>
          <w:szCs w:val="20"/>
        </w:rPr>
        <w:t xml:space="preserve">ions regarding the system of internal controls. </w:t>
      </w:r>
    </w:p>
    <w:p w14:paraId="37E062A1" w14:textId="77777777" w:rsidR="00000000" w:rsidRDefault="00EE5306">
      <w:pPr>
        <w:jc w:val="both"/>
        <w:divId w:val="716006182"/>
        <w:rPr>
          <w:rFonts w:eastAsia="Times New Roman"/>
        </w:rPr>
      </w:pPr>
      <w:r>
        <w:rPr>
          <w:rFonts w:eastAsia="Times New Roman"/>
          <w:color w:val="000000"/>
          <w:sz w:val="20"/>
          <w:szCs w:val="20"/>
        </w:rPr>
        <w:t xml:space="preserve">May 20, 2021 </w:t>
      </w:r>
    </w:p>
    <w:p w14:paraId="363479F4" w14:textId="77777777" w:rsidR="00000000" w:rsidRDefault="00EE5306">
      <w:pPr>
        <w:divId w:val="546181800"/>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37"/>
        <w:gridCol w:w="113"/>
        <w:gridCol w:w="37"/>
        <w:gridCol w:w="55"/>
        <w:gridCol w:w="3803"/>
        <w:gridCol w:w="36"/>
        <w:gridCol w:w="36"/>
        <w:gridCol w:w="88"/>
        <w:gridCol w:w="36"/>
        <w:gridCol w:w="55"/>
        <w:gridCol w:w="3961"/>
        <w:gridCol w:w="36"/>
      </w:tblGrid>
      <w:tr w:rsidR="00000000" w14:paraId="37AAA86D" w14:textId="77777777">
        <w:trPr>
          <w:divId w:val="546181800"/>
        </w:trPr>
        <w:tc>
          <w:tcPr>
            <w:tcW w:w="5" w:type="pct"/>
            <w:vAlign w:val="center"/>
            <w:hideMark/>
          </w:tcPr>
          <w:p w14:paraId="163759B7" w14:textId="77777777" w:rsidR="00000000" w:rsidRDefault="00EE5306">
            <w:pPr>
              <w:rPr>
                <w:rFonts w:eastAsia="Times New Roman"/>
              </w:rPr>
            </w:pPr>
          </w:p>
        </w:tc>
        <w:tc>
          <w:tcPr>
            <w:tcW w:w="85" w:type="pct"/>
            <w:vAlign w:val="center"/>
            <w:hideMark/>
          </w:tcPr>
          <w:p w14:paraId="64796D50" w14:textId="77777777" w:rsidR="00000000" w:rsidRDefault="00EE5306">
            <w:pPr>
              <w:spacing w:after="100"/>
              <w:rPr>
                <w:rFonts w:eastAsia="Times New Roman"/>
                <w:sz w:val="20"/>
                <w:szCs w:val="20"/>
              </w:rPr>
            </w:pPr>
          </w:p>
        </w:tc>
        <w:tc>
          <w:tcPr>
            <w:tcW w:w="5" w:type="pct"/>
            <w:vAlign w:val="center"/>
            <w:hideMark/>
          </w:tcPr>
          <w:p w14:paraId="216379DF" w14:textId="77777777" w:rsidR="00000000" w:rsidRDefault="00EE5306">
            <w:pPr>
              <w:spacing w:after="100"/>
              <w:rPr>
                <w:rFonts w:eastAsia="Times New Roman"/>
                <w:sz w:val="20"/>
                <w:szCs w:val="20"/>
              </w:rPr>
            </w:pPr>
          </w:p>
        </w:tc>
        <w:tc>
          <w:tcPr>
            <w:tcW w:w="50" w:type="pct"/>
            <w:vAlign w:val="center"/>
            <w:hideMark/>
          </w:tcPr>
          <w:p w14:paraId="00471165" w14:textId="77777777" w:rsidR="00000000" w:rsidRDefault="00EE5306">
            <w:pPr>
              <w:spacing w:after="100"/>
              <w:rPr>
                <w:rFonts w:eastAsia="Times New Roman"/>
                <w:sz w:val="20"/>
                <w:szCs w:val="20"/>
              </w:rPr>
            </w:pPr>
          </w:p>
        </w:tc>
        <w:tc>
          <w:tcPr>
            <w:tcW w:w="2309" w:type="pct"/>
            <w:vAlign w:val="center"/>
            <w:hideMark/>
          </w:tcPr>
          <w:p w14:paraId="4172F7B4" w14:textId="77777777" w:rsidR="00000000" w:rsidRDefault="00EE5306">
            <w:pPr>
              <w:spacing w:after="100"/>
              <w:rPr>
                <w:rFonts w:eastAsia="Times New Roman"/>
                <w:sz w:val="20"/>
                <w:szCs w:val="20"/>
              </w:rPr>
            </w:pPr>
          </w:p>
        </w:tc>
        <w:tc>
          <w:tcPr>
            <w:tcW w:w="5" w:type="pct"/>
            <w:vAlign w:val="center"/>
            <w:hideMark/>
          </w:tcPr>
          <w:p w14:paraId="72958E14" w14:textId="77777777" w:rsidR="00000000" w:rsidRDefault="00EE5306">
            <w:pPr>
              <w:spacing w:after="100"/>
              <w:rPr>
                <w:rFonts w:eastAsia="Times New Roman"/>
                <w:sz w:val="20"/>
                <w:szCs w:val="20"/>
              </w:rPr>
            </w:pPr>
          </w:p>
        </w:tc>
        <w:tc>
          <w:tcPr>
            <w:tcW w:w="5" w:type="pct"/>
            <w:vAlign w:val="center"/>
            <w:hideMark/>
          </w:tcPr>
          <w:p w14:paraId="6E788DBF" w14:textId="77777777" w:rsidR="00000000" w:rsidRDefault="00EE5306">
            <w:pPr>
              <w:spacing w:after="100"/>
              <w:rPr>
                <w:rFonts w:eastAsia="Times New Roman"/>
                <w:sz w:val="20"/>
                <w:szCs w:val="20"/>
              </w:rPr>
            </w:pPr>
          </w:p>
        </w:tc>
        <w:tc>
          <w:tcPr>
            <w:tcW w:w="70" w:type="pct"/>
            <w:vAlign w:val="center"/>
            <w:hideMark/>
          </w:tcPr>
          <w:p w14:paraId="21E2DB97" w14:textId="77777777" w:rsidR="00000000" w:rsidRDefault="00EE5306">
            <w:pPr>
              <w:spacing w:after="100"/>
              <w:rPr>
                <w:rFonts w:eastAsia="Times New Roman"/>
                <w:sz w:val="20"/>
                <w:szCs w:val="20"/>
              </w:rPr>
            </w:pPr>
          </w:p>
        </w:tc>
        <w:tc>
          <w:tcPr>
            <w:tcW w:w="5" w:type="pct"/>
            <w:vAlign w:val="center"/>
            <w:hideMark/>
          </w:tcPr>
          <w:p w14:paraId="170EE56F" w14:textId="77777777" w:rsidR="00000000" w:rsidRDefault="00EE5306">
            <w:pPr>
              <w:spacing w:after="100"/>
              <w:rPr>
                <w:rFonts w:eastAsia="Times New Roman"/>
                <w:sz w:val="20"/>
                <w:szCs w:val="20"/>
              </w:rPr>
            </w:pPr>
          </w:p>
        </w:tc>
        <w:tc>
          <w:tcPr>
            <w:tcW w:w="50" w:type="pct"/>
            <w:vAlign w:val="center"/>
            <w:hideMark/>
          </w:tcPr>
          <w:p w14:paraId="318481EE" w14:textId="77777777" w:rsidR="00000000" w:rsidRDefault="00EE5306">
            <w:pPr>
              <w:spacing w:after="100"/>
              <w:rPr>
                <w:rFonts w:eastAsia="Times New Roman"/>
                <w:sz w:val="20"/>
                <w:szCs w:val="20"/>
              </w:rPr>
            </w:pPr>
          </w:p>
        </w:tc>
        <w:tc>
          <w:tcPr>
            <w:tcW w:w="2404" w:type="pct"/>
            <w:vAlign w:val="center"/>
            <w:hideMark/>
          </w:tcPr>
          <w:p w14:paraId="4379608D" w14:textId="77777777" w:rsidR="00000000" w:rsidRDefault="00EE5306">
            <w:pPr>
              <w:spacing w:after="100"/>
              <w:rPr>
                <w:rFonts w:eastAsia="Times New Roman"/>
                <w:sz w:val="20"/>
                <w:szCs w:val="20"/>
              </w:rPr>
            </w:pPr>
          </w:p>
        </w:tc>
        <w:tc>
          <w:tcPr>
            <w:tcW w:w="5" w:type="pct"/>
            <w:vAlign w:val="center"/>
            <w:hideMark/>
          </w:tcPr>
          <w:p w14:paraId="2279D9F1" w14:textId="77777777" w:rsidR="00000000" w:rsidRDefault="00EE5306">
            <w:pPr>
              <w:spacing w:after="100"/>
              <w:rPr>
                <w:rFonts w:eastAsia="Times New Roman"/>
                <w:sz w:val="20"/>
                <w:szCs w:val="20"/>
              </w:rPr>
            </w:pPr>
          </w:p>
        </w:tc>
      </w:tr>
      <w:tr w:rsidR="00000000" w14:paraId="7BED9738" w14:textId="77777777">
        <w:trPr>
          <w:divId w:val="546181800"/>
        </w:trPr>
        <w:tc>
          <w:tcPr>
            <w:tcW w:w="0" w:type="auto"/>
            <w:gridSpan w:val="6"/>
            <w:tcBorders>
              <w:bottom w:val="single" w:sz="8" w:space="0" w:color="000000"/>
            </w:tcBorders>
            <w:tcMar>
              <w:top w:w="30" w:type="dxa"/>
              <w:left w:w="20" w:type="dxa"/>
              <w:bottom w:w="30" w:type="dxa"/>
              <w:right w:w="20" w:type="dxa"/>
            </w:tcMar>
            <w:vAlign w:val="bottom"/>
            <w:hideMark/>
          </w:tcPr>
          <w:p w14:paraId="290C2814" w14:textId="77777777" w:rsidR="00000000" w:rsidRDefault="00EE5306">
            <w:pPr>
              <w:spacing w:after="100"/>
              <w:jc w:val="center"/>
              <w:rPr>
                <w:rFonts w:eastAsia="Times New Roman"/>
              </w:rPr>
            </w:pPr>
            <w:r>
              <w:rPr>
                <w:rFonts w:eastAsia="Times New Roman"/>
                <w:color w:val="000000"/>
                <w:sz w:val="20"/>
                <w:szCs w:val="20"/>
              </w:rPr>
              <w:t>/s/ PATRICE LOUVET</w:t>
            </w:r>
          </w:p>
        </w:tc>
        <w:tc>
          <w:tcPr>
            <w:tcW w:w="0" w:type="auto"/>
            <w:gridSpan w:val="3"/>
            <w:tcMar>
              <w:top w:w="0" w:type="dxa"/>
              <w:left w:w="20" w:type="dxa"/>
              <w:bottom w:w="0" w:type="dxa"/>
              <w:right w:w="20" w:type="dxa"/>
            </w:tcMar>
            <w:vAlign w:val="center"/>
            <w:hideMark/>
          </w:tcPr>
          <w:p w14:paraId="526A4FDF"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386F839" w14:textId="77777777" w:rsidR="00000000" w:rsidRDefault="00EE5306">
            <w:pPr>
              <w:spacing w:after="100"/>
              <w:jc w:val="center"/>
              <w:rPr>
                <w:rFonts w:eastAsia="Times New Roman"/>
              </w:rPr>
            </w:pPr>
            <w:r>
              <w:rPr>
                <w:rFonts w:eastAsia="Times New Roman"/>
                <w:color w:val="000000"/>
                <w:sz w:val="20"/>
                <w:szCs w:val="20"/>
              </w:rPr>
              <w:t>/s/ JANE HAMILTON NIELSEN</w:t>
            </w:r>
          </w:p>
        </w:tc>
      </w:tr>
      <w:tr w:rsidR="00000000" w14:paraId="660BA449" w14:textId="77777777">
        <w:trPr>
          <w:divId w:val="546181800"/>
        </w:trPr>
        <w:tc>
          <w:tcPr>
            <w:tcW w:w="0" w:type="auto"/>
            <w:gridSpan w:val="6"/>
            <w:tcBorders>
              <w:top w:val="single" w:sz="8" w:space="0" w:color="000000"/>
            </w:tcBorders>
            <w:tcMar>
              <w:top w:w="30" w:type="dxa"/>
              <w:left w:w="20" w:type="dxa"/>
              <w:bottom w:w="30" w:type="dxa"/>
              <w:right w:w="20" w:type="dxa"/>
            </w:tcMar>
            <w:vAlign w:val="bottom"/>
            <w:hideMark/>
          </w:tcPr>
          <w:p w14:paraId="64CF2A7D" w14:textId="77777777" w:rsidR="00000000" w:rsidRDefault="00EE5306">
            <w:pPr>
              <w:spacing w:after="100"/>
              <w:jc w:val="center"/>
              <w:rPr>
                <w:rFonts w:eastAsia="Times New Roman"/>
              </w:rPr>
            </w:pPr>
            <w:r>
              <w:rPr>
                <w:rFonts w:eastAsia="Times New Roman"/>
                <w:color w:val="000000"/>
                <w:sz w:val="20"/>
                <w:szCs w:val="20"/>
              </w:rPr>
              <w:t>Patrice Louvet</w:t>
            </w:r>
          </w:p>
        </w:tc>
        <w:tc>
          <w:tcPr>
            <w:tcW w:w="0" w:type="auto"/>
            <w:gridSpan w:val="3"/>
            <w:tcMar>
              <w:top w:w="0" w:type="dxa"/>
              <w:left w:w="20" w:type="dxa"/>
              <w:bottom w:w="0" w:type="dxa"/>
              <w:right w:w="20" w:type="dxa"/>
            </w:tcMar>
            <w:vAlign w:val="center"/>
            <w:hideMark/>
          </w:tcPr>
          <w:p w14:paraId="7A9DF405" w14:textId="77777777" w:rsidR="00000000" w:rsidRDefault="00EE530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A75243" w14:textId="77777777" w:rsidR="00000000" w:rsidRDefault="00EE5306">
            <w:pPr>
              <w:spacing w:after="100"/>
              <w:jc w:val="center"/>
              <w:rPr>
                <w:rFonts w:eastAsia="Times New Roman"/>
              </w:rPr>
            </w:pPr>
            <w:r>
              <w:rPr>
                <w:rFonts w:eastAsia="Times New Roman"/>
                <w:color w:val="000000"/>
                <w:sz w:val="20"/>
                <w:szCs w:val="20"/>
              </w:rPr>
              <w:t>Jane Hamilton Nielsen</w:t>
            </w:r>
          </w:p>
        </w:tc>
      </w:tr>
      <w:tr w:rsidR="00000000" w14:paraId="64C2F78B" w14:textId="77777777">
        <w:trPr>
          <w:divId w:val="546181800"/>
        </w:trPr>
        <w:tc>
          <w:tcPr>
            <w:tcW w:w="0" w:type="auto"/>
            <w:gridSpan w:val="6"/>
            <w:tcMar>
              <w:top w:w="30" w:type="dxa"/>
              <w:left w:w="20" w:type="dxa"/>
              <w:bottom w:w="30" w:type="dxa"/>
              <w:right w:w="20" w:type="dxa"/>
            </w:tcMar>
            <w:hideMark/>
          </w:tcPr>
          <w:p w14:paraId="67AA7D74" w14:textId="77777777" w:rsidR="00000000" w:rsidRDefault="00EE5306">
            <w:pPr>
              <w:spacing w:after="100"/>
              <w:jc w:val="center"/>
              <w:rPr>
                <w:rFonts w:eastAsia="Times New Roman"/>
              </w:rPr>
            </w:pPr>
            <w:r>
              <w:rPr>
                <w:rFonts w:eastAsia="Times New Roman"/>
                <w:i/>
                <w:iCs/>
                <w:color w:val="000000"/>
                <w:sz w:val="20"/>
                <w:szCs w:val="20"/>
              </w:rPr>
              <w:t>President and Chief Executive Officer</w:t>
            </w:r>
          </w:p>
        </w:tc>
        <w:tc>
          <w:tcPr>
            <w:tcW w:w="0" w:type="auto"/>
            <w:gridSpan w:val="3"/>
            <w:tcMar>
              <w:top w:w="0" w:type="dxa"/>
              <w:left w:w="20" w:type="dxa"/>
              <w:bottom w:w="0" w:type="dxa"/>
              <w:right w:w="20" w:type="dxa"/>
            </w:tcMar>
            <w:vAlign w:val="center"/>
            <w:hideMark/>
          </w:tcPr>
          <w:p w14:paraId="129BAB6D"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0C37BB" w14:textId="77777777" w:rsidR="00000000" w:rsidRDefault="00EE5306">
            <w:pPr>
              <w:spacing w:after="100"/>
              <w:jc w:val="center"/>
              <w:rPr>
                <w:rFonts w:eastAsia="Times New Roman"/>
              </w:rPr>
            </w:pPr>
            <w:r>
              <w:rPr>
                <w:rFonts w:eastAsia="Times New Roman"/>
                <w:i/>
                <w:iCs/>
                <w:color w:val="000000"/>
                <w:sz w:val="20"/>
                <w:szCs w:val="20"/>
              </w:rPr>
              <w:t>Chief Operating Officer and Chief Financial Officer</w:t>
            </w:r>
          </w:p>
        </w:tc>
      </w:tr>
      <w:tr w:rsidR="00000000" w14:paraId="09BDF23F" w14:textId="77777777">
        <w:trPr>
          <w:divId w:val="546181800"/>
        </w:trPr>
        <w:tc>
          <w:tcPr>
            <w:tcW w:w="0" w:type="auto"/>
            <w:gridSpan w:val="6"/>
            <w:tcMar>
              <w:top w:w="30" w:type="dxa"/>
              <w:left w:w="20" w:type="dxa"/>
              <w:bottom w:w="30" w:type="dxa"/>
              <w:right w:w="20" w:type="dxa"/>
            </w:tcMar>
            <w:hideMark/>
          </w:tcPr>
          <w:p w14:paraId="269F7E04" w14:textId="77777777" w:rsidR="00000000" w:rsidRDefault="00EE5306">
            <w:pPr>
              <w:spacing w:after="100"/>
              <w:jc w:val="center"/>
              <w:rPr>
                <w:rFonts w:eastAsia="Times New Roman"/>
              </w:rPr>
            </w:pPr>
            <w:r>
              <w:rPr>
                <w:rFonts w:eastAsia="Times New Roman"/>
                <w:i/>
                <w:iCs/>
                <w:color w:val="000000"/>
                <w:sz w:val="20"/>
                <w:szCs w:val="20"/>
              </w:rPr>
              <w:t>(Principal Executive Officer)</w:t>
            </w:r>
          </w:p>
        </w:tc>
        <w:tc>
          <w:tcPr>
            <w:tcW w:w="0" w:type="auto"/>
            <w:gridSpan w:val="3"/>
            <w:tcMar>
              <w:top w:w="0" w:type="dxa"/>
              <w:left w:w="20" w:type="dxa"/>
              <w:bottom w:w="0" w:type="dxa"/>
              <w:right w:w="20" w:type="dxa"/>
            </w:tcMar>
            <w:vAlign w:val="center"/>
            <w:hideMark/>
          </w:tcPr>
          <w:p w14:paraId="4FB23638" w14:textId="77777777" w:rsidR="00000000" w:rsidRDefault="00EE5306">
            <w:pPr>
              <w:spacing w:after="100"/>
              <w:jc w:val="center"/>
              <w:rPr>
                <w:rFonts w:eastAsia="Times New Roman"/>
              </w:rPr>
            </w:pPr>
          </w:p>
        </w:tc>
        <w:tc>
          <w:tcPr>
            <w:tcW w:w="0" w:type="auto"/>
            <w:gridSpan w:val="3"/>
            <w:tcMar>
              <w:top w:w="30" w:type="dxa"/>
              <w:left w:w="20" w:type="dxa"/>
              <w:bottom w:w="30" w:type="dxa"/>
              <w:right w:w="20" w:type="dxa"/>
            </w:tcMar>
            <w:hideMark/>
          </w:tcPr>
          <w:p w14:paraId="02D6E939" w14:textId="77777777" w:rsidR="00000000" w:rsidRDefault="00EE5306">
            <w:pPr>
              <w:spacing w:after="100"/>
              <w:jc w:val="center"/>
              <w:rPr>
                <w:rFonts w:eastAsia="Times New Roman"/>
              </w:rPr>
            </w:pPr>
            <w:r>
              <w:rPr>
                <w:rFonts w:eastAsia="Times New Roman"/>
                <w:i/>
                <w:iCs/>
                <w:color w:val="000000"/>
                <w:sz w:val="20"/>
                <w:szCs w:val="20"/>
              </w:rPr>
              <w:t>(Principal Financial and Accounting Officer)</w:t>
            </w:r>
          </w:p>
        </w:tc>
      </w:tr>
    </w:tbl>
    <w:p w14:paraId="570319C1" w14:textId="77777777" w:rsidR="00000000" w:rsidRDefault="00EE5306">
      <w:pPr>
        <w:divId w:val="844054926"/>
        <w:rPr>
          <w:rFonts w:eastAsia="Times New Roman"/>
        </w:rPr>
      </w:pPr>
    </w:p>
    <w:p w14:paraId="2CFFDACB" w14:textId="77777777" w:rsidR="00000000" w:rsidRDefault="00EE5306">
      <w:pPr>
        <w:divId w:val="1508171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D64D30F" w14:textId="77777777">
        <w:trPr>
          <w:divId w:val="27071227"/>
          <w:jc w:val="center"/>
        </w:trPr>
        <w:tc>
          <w:tcPr>
            <w:tcW w:w="50" w:type="pct"/>
            <w:vAlign w:val="center"/>
            <w:hideMark/>
          </w:tcPr>
          <w:p w14:paraId="6E79788F" w14:textId="77777777" w:rsidR="00000000" w:rsidRDefault="00EE5306">
            <w:pPr>
              <w:rPr>
                <w:rFonts w:eastAsia="Times New Roman"/>
              </w:rPr>
            </w:pPr>
          </w:p>
        </w:tc>
        <w:tc>
          <w:tcPr>
            <w:tcW w:w="1699" w:type="pct"/>
            <w:vAlign w:val="center"/>
            <w:hideMark/>
          </w:tcPr>
          <w:p w14:paraId="4512E57C" w14:textId="77777777" w:rsidR="00000000" w:rsidRDefault="00EE5306">
            <w:pPr>
              <w:spacing w:after="100"/>
              <w:rPr>
                <w:rFonts w:eastAsia="Times New Roman"/>
                <w:sz w:val="20"/>
                <w:szCs w:val="20"/>
              </w:rPr>
            </w:pPr>
          </w:p>
        </w:tc>
        <w:tc>
          <w:tcPr>
            <w:tcW w:w="5" w:type="pct"/>
            <w:vAlign w:val="center"/>
            <w:hideMark/>
          </w:tcPr>
          <w:p w14:paraId="00FA904E" w14:textId="77777777" w:rsidR="00000000" w:rsidRDefault="00EE5306">
            <w:pPr>
              <w:spacing w:after="100"/>
              <w:rPr>
                <w:rFonts w:eastAsia="Times New Roman"/>
                <w:sz w:val="20"/>
                <w:szCs w:val="20"/>
              </w:rPr>
            </w:pPr>
          </w:p>
        </w:tc>
        <w:tc>
          <w:tcPr>
            <w:tcW w:w="50" w:type="pct"/>
            <w:vAlign w:val="center"/>
            <w:hideMark/>
          </w:tcPr>
          <w:p w14:paraId="277EB40A" w14:textId="77777777" w:rsidR="00000000" w:rsidRDefault="00EE5306">
            <w:pPr>
              <w:spacing w:after="100"/>
              <w:rPr>
                <w:rFonts w:eastAsia="Times New Roman"/>
                <w:sz w:val="20"/>
                <w:szCs w:val="20"/>
              </w:rPr>
            </w:pPr>
          </w:p>
        </w:tc>
        <w:tc>
          <w:tcPr>
            <w:tcW w:w="1436" w:type="pct"/>
            <w:vAlign w:val="center"/>
            <w:hideMark/>
          </w:tcPr>
          <w:p w14:paraId="42CDA3D9" w14:textId="77777777" w:rsidR="00000000" w:rsidRDefault="00EE5306">
            <w:pPr>
              <w:spacing w:after="100"/>
              <w:rPr>
                <w:rFonts w:eastAsia="Times New Roman"/>
                <w:sz w:val="20"/>
                <w:szCs w:val="20"/>
              </w:rPr>
            </w:pPr>
          </w:p>
        </w:tc>
        <w:tc>
          <w:tcPr>
            <w:tcW w:w="5" w:type="pct"/>
            <w:vAlign w:val="center"/>
            <w:hideMark/>
          </w:tcPr>
          <w:p w14:paraId="6613945C" w14:textId="77777777" w:rsidR="00000000" w:rsidRDefault="00EE5306">
            <w:pPr>
              <w:spacing w:after="100"/>
              <w:rPr>
                <w:rFonts w:eastAsia="Times New Roman"/>
                <w:sz w:val="20"/>
                <w:szCs w:val="20"/>
              </w:rPr>
            </w:pPr>
          </w:p>
        </w:tc>
        <w:tc>
          <w:tcPr>
            <w:tcW w:w="50" w:type="pct"/>
            <w:vAlign w:val="center"/>
            <w:hideMark/>
          </w:tcPr>
          <w:p w14:paraId="182F6B62" w14:textId="77777777" w:rsidR="00000000" w:rsidRDefault="00EE5306">
            <w:pPr>
              <w:spacing w:after="100"/>
              <w:rPr>
                <w:rFonts w:eastAsia="Times New Roman"/>
                <w:sz w:val="20"/>
                <w:szCs w:val="20"/>
              </w:rPr>
            </w:pPr>
          </w:p>
        </w:tc>
        <w:tc>
          <w:tcPr>
            <w:tcW w:w="1699" w:type="pct"/>
            <w:vAlign w:val="center"/>
            <w:hideMark/>
          </w:tcPr>
          <w:p w14:paraId="6E375FE5" w14:textId="77777777" w:rsidR="00000000" w:rsidRDefault="00EE5306">
            <w:pPr>
              <w:spacing w:after="100"/>
              <w:rPr>
                <w:rFonts w:eastAsia="Times New Roman"/>
                <w:sz w:val="20"/>
                <w:szCs w:val="20"/>
              </w:rPr>
            </w:pPr>
          </w:p>
        </w:tc>
        <w:tc>
          <w:tcPr>
            <w:tcW w:w="5" w:type="pct"/>
            <w:vAlign w:val="center"/>
            <w:hideMark/>
          </w:tcPr>
          <w:p w14:paraId="5D66D777" w14:textId="77777777" w:rsidR="00000000" w:rsidRDefault="00EE5306">
            <w:pPr>
              <w:spacing w:after="100"/>
              <w:rPr>
                <w:rFonts w:eastAsia="Times New Roman"/>
                <w:sz w:val="20"/>
                <w:szCs w:val="20"/>
              </w:rPr>
            </w:pPr>
          </w:p>
        </w:tc>
      </w:tr>
      <w:tr w:rsidR="00000000" w14:paraId="738F79AB" w14:textId="77777777">
        <w:trPr>
          <w:divId w:val="27071227"/>
          <w:jc w:val="center"/>
        </w:trPr>
        <w:tc>
          <w:tcPr>
            <w:tcW w:w="0" w:type="auto"/>
            <w:gridSpan w:val="3"/>
            <w:tcMar>
              <w:top w:w="0" w:type="dxa"/>
              <w:left w:w="20" w:type="dxa"/>
              <w:bottom w:w="0" w:type="dxa"/>
              <w:right w:w="20" w:type="dxa"/>
            </w:tcMar>
            <w:vAlign w:val="center"/>
            <w:hideMark/>
          </w:tcPr>
          <w:p w14:paraId="3001D6B1"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19621E3" w14:textId="77777777" w:rsidR="00000000" w:rsidRDefault="00EE5306">
            <w:pPr>
              <w:spacing w:after="100"/>
              <w:jc w:val="center"/>
              <w:rPr>
                <w:rFonts w:eastAsia="Times New Roman"/>
              </w:rPr>
            </w:pPr>
            <w:r>
              <w:rPr>
                <w:rFonts w:eastAsia="Times New Roman"/>
                <w:color w:val="000000"/>
                <w:sz w:val="20"/>
                <w:szCs w:val="20"/>
              </w:rPr>
              <w:t>F-58</w:t>
            </w:r>
          </w:p>
        </w:tc>
        <w:tc>
          <w:tcPr>
            <w:tcW w:w="0" w:type="auto"/>
            <w:gridSpan w:val="3"/>
            <w:tcMar>
              <w:top w:w="0" w:type="dxa"/>
              <w:left w:w="20" w:type="dxa"/>
              <w:bottom w:w="0" w:type="dxa"/>
              <w:right w:w="20" w:type="dxa"/>
            </w:tcMar>
            <w:vAlign w:val="center"/>
            <w:hideMark/>
          </w:tcPr>
          <w:p w14:paraId="079ED64A" w14:textId="77777777" w:rsidR="00000000" w:rsidRDefault="00EE5306">
            <w:pPr>
              <w:spacing w:after="100"/>
              <w:jc w:val="center"/>
              <w:rPr>
                <w:rFonts w:eastAsia="Times New Roman"/>
              </w:rPr>
            </w:pPr>
          </w:p>
        </w:tc>
      </w:tr>
    </w:tbl>
    <w:p w14:paraId="623B9C71" w14:textId="77777777" w:rsidR="00000000" w:rsidRDefault="00EE5306">
      <w:pPr>
        <w:rPr>
          <w:rFonts w:eastAsia="Times New Roman"/>
        </w:rPr>
      </w:pPr>
      <w:r>
        <w:rPr>
          <w:rFonts w:eastAsia="Times New Roman"/>
        </w:rPr>
        <w:pict w14:anchorId="2F082749">
          <v:rect id="_x0000_i1168" style="width:0;height:1.5pt" o:hralign="center" o:hrstd="t" o:hr="t" fillcolor="#a0a0a0" stroked="f"/>
        </w:pict>
      </w:r>
    </w:p>
    <w:p w14:paraId="23ED76B1" w14:textId="77777777" w:rsidR="00000000" w:rsidRDefault="00EE5306">
      <w:pPr>
        <w:divId w:val="1339698171"/>
        <w:rPr>
          <w:rFonts w:eastAsia="Times New Roman"/>
        </w:rPr>
      </w:pPr>
    </w:p>
    <w:p w14:paraId="67EF1D65" w14:textId="77777777" w:rsidR="00000000" w:rsidRDefault="00EE5306">
      <w:pPr>
        <w:jc w:val="center"/>
        <w:divId w:val="1500729128"/>
        <w:rPr>
          <w:rFonts w:eastAsia="Times New Roman"/>
        </w:rPr>
      </w:pPr>
      <w:r>
        <w:rPr>
          <w:rFonts w:eastAsia="Times New Roman"/>
          <w:b/>
          <w:bCs/>
          <w:color w:val="000000"/>
          <w:sz w:val="20"/>
          <w:szCs w:val="20"/>
        </w:rPr>
        <w:t>REPORT OF INDEPENDENT REGISTERED PUBLIC ACCOUNTING FIRM</w:t>
      </w:r>
    </w:p>
    <w:p w14:paraId="5B479544" w14:textId="77777777" w:rsidR="00000000" w:rsidRDefault="00EE5306">
      <w:pPr>
        <w:jc w:val="both"/>
        <w:divId w:val="1337921957"/>
        <w:rPr>
          <w:rFonts w:eastAsia="Times New Roman"/>
        </w:rPr>
      </w:pPr>
      <w:r>
        <w:rPr>
          <w:rFonts w:eastAsia="Times New Roman"/>
          <w:color w:val="000000"/>
          <w:sz w:val="20"/>
          <w:szCs w:val="20"/>
        </w:rPr>
        <w:t>The Board of Directors and Shareholders of Ralph Lauren Corporation</w:t>
      </w:r>
    </w:p>
    <w:p w14:paraId="643628EB" w14:textId="77777777" w:rsidR="00000000" w:rsidRDefault="00EE5306">
      <w:pPr>
        <w:jc w:val="both"/>
        <w:divId w:val="1812556007"/>
        <w:rPr>
          <w:rFonts w:eastAsia="Times New Roman"/>
        </w:rPr>
      </w:pPr>
      <w:r>
        <w:rPr>
          <w:rFonts w:eastAsia="Times New Roman"/>
          <w:b/>
          <w:bCs/>
          <w:color w:val="000000"/>
          <w:sz w:val="20"/>
          <w:szCs w:val="20"/>
        </w:rPr>
        <w:t>Opinion on the Financial Statements</w:t>
      </w:r>
    </w:p>
    <w:p w14:paraId="0CCCA9B3" w14:textId="77777777" w:rsidR="00000000" w:rsidRDefault="00EE5306">
      <w:pPr>
        <w:ind w:firstLine="450"/>
        <w:jc w:val="both"/>
        <w:divId w:val="104346991"/>
        <w:rPr>
          <w:rFonts w:eastAsia="Times New Roman"/>
        </w:rPr>
      </w:pPr>
      <w:r>
        <w:rPr>
          <w:rFonts w:eastAsia="Times New Roman"/>
          <w:color w:val="000000"/>
          <w:sz w:val="20"/>
          <w:szCs w:val="20"/>
        </w:rPr>
        <w:t>We have audited the accompanying consolidated balance shee</w:t>
      </w:r>
      <w:r>
        <w:rPr>
          <w:rFonts w:eastAsia="Times New Roman"/>
          <w:color w:val="000000"/>
          <w:sz w:val="20"/>
          <w:szCs w:val="20"/>
        </w:rPr>
        <w:t>ts of Ralph Lauren Corporation (the "Company") as of March 27, 2021 and March 28, 2020, and the related consolidated statements of operations, comprehensive income (loss), equity, and cash flows for each of the three years in the period ended March 27, 202</w:t>
      </w:r>
      <w:r>
        <w:rPr>
          <w:rFonts w:eastAsia="Times New Roman"/>
          <w:color w:val="000000"/>
          <w:sz w:val="20"/>
          <w:szCs w:val="20"/>
        </w:rPr>
        <w:t>1, and the related notes (collectively referred to as the "consolidated financial statements"). In our opinion, the consolidated financial statements present fairly, in all material respects, the financial position of the Company at March 27, 2021 and Marc</w:t>
      </w:r>
      <w:r>
        <w:rPr>
          <w:rFonts w:eastAsia="Times New Roman"/>
          <w:color w:val="000000"/>
          <w:sz w:val="20"/>
          <w:szCs w:val="20"/>
        </w:rPr>
        <w:t xml:space="preserve">h 28, 2020, and the results of its operations and its cash flows for each of the three years in the period ended March 27, 2021, in conformity with U.S. generally accepted accounting principles. </w:t>
      </w:r>
    </w:p>
    <w:p w14:paraId="2296E1D7" w14:textId="77777777" w:rsidR="00000000" w:rsidRDefault="00EE5306">
      <w:pPr>
        <w:ind w:firstLine="450"/>
        <w:jc w:val="both"/>
        <w:divId w:val="1807115706"/>
        <w:rPr>
          <w:rFonts w:eastAsia="Times New Roman"/>
        </w:rPr>
      </w:pPr>
      <w:r>
        <w:rPr>
          <w:rFonts w:eastAsia="Times New Roman"/>
          <w:color w:val="000000"/>
          <w:sz w:val="20"/>
          <w:szCs w:val="20"/>
        </w:rPr>
        <w:t>We also have audited, in accordance with the standards of th</w:t>
      </w:r>
      <w:r>
        <w:rPr>
          <w:rFonts w:eastAsia="Times New Roman"/>
          <w:color w:val="000000"/>
          <w:sz w:val="20"/>
          <w:szCs w:val="20"/>
        </w:rPr>
        <w:t>e Public Company Accounting Oversight Board (United States) (PCAOB), the Company's internal control over financial reporting as of March 27, 2021, based on the criteria established in Internal Control-Integrated Framework issued by the Committee of Sponsor</w:t>
      </w:r>
      <w:r>
        <w:rPr>
          <w:rFonts w:eastAsia="Times New Roman"/>
          <w:color w:val="000000"/>
          <w:sz w:val="20"/>
          <w:szCs w:val="20"/>
        </w:rPr>
        <w:t>ing Organizations of the Treadway Commission (2013 framework) and our report dated May 20, 2021 expressed an unqualified opinion thereon.</w:t>
      </w:r>
    </w:p>
    <w:p w14:paraId="1162B639" w14:textId="77777777" w:rsidR="00000000" w:rsidRDefault="00EE5306">
      <w:pPr>
        <w:jc w:val="both"/>
        <w:divId w:val="1039891643"/>
        <w:rPr>
          <w:rFonts w:eastAsia="Times New Roman"/>
        </w:rPr>
      </w:pPr>
      <w:r>
        <w:rPr>
          <w:rFonts w:eastAsia="Times New Roman"/>
          <w:b/>
          <w:bCs/>
          <w:color w:val="000000"/>
          <w:sz w:val="20"/>
          <w:szCs w:val="20"/>
        </w:rPr>
        <w:t>Basis for Opinion</w:t>
      </w:r>
    </w:p>
    <w:p w14:paraId="12F55644" w14:textId="77777777" w:rsidR="00000000" w:rsidRDefault="00EE5306">
      <w:pPr>
        <w:ind w:firstLine="450"/>
        <w:jc w:val="both"/>
        <w:divId w:val="1203713406"/>
        <w:rPr>
          <w:rFonts w:eastAsia="Times New Roman"/>
        </w:rPr>
      </w:pPr>
      <w:r>
        <w:rPr>
          <w:rFonts w:eastAsia="Times New Roman"/>
          <w:color w:val="000000"/>
          <w:sz w:val="20"/>
          <w:szCs w:val="20"/>
        </w:rPr>
        <w:t>These financial statements are the responsibility of the Company's management. Our responsibility is</w:t>
      </w:r>
      <w:r>
        <w:rPr>
          <w:rFonts w:eastAsia="Times New Roman"/>
          <w:color w:val="000000"/>
          <w:sz w:val="20"/>
          <w:szCs w:val="20"/>
        </w:rPr>
        <w:t xml:space="preserve"> to express an opinion on the Company's financial statements based on our audits. We are a public accounting firm registered with the PCAOB and are required to be independent with respect to the Company in accordance with the U.S. federal securities laws a</w:t>
      </w:r>
      <w:r>
        <w:rPr>
          <w:rFonts w:eastAsia="Times New Roman"/>
          <w:color w:val="000000"/>
          <w:sz w:val="20"/>
          <w:szCs w:val="20"/>
        </w:rPr>
        <w:t>nd the applicable rules and regulations of the Securities and Exchange Commission and the PCAOB.</w:t>
      </w:r>
    </w:p>
    <w:p w14:paraId="68FB32F6" w14:textId="77777777" w:rsidR="00000000" w:rsidRDefault="00EE5306">
      <w:pPr>
        <w:ind w:firstLine="450"/>
        <w:jc w:val="both"/>
        <w:divId w:val="977496667"/>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 assuranc</w:t>
      </w:r>
      <w:r>
        <w:rPr>
          <w:rFonts w:eastAsia="Times New Roman"/>
          <w:color w:val="000000"/>
          <w:sz w:val="20"/>
          <w:szCs w:val="20"/>
        </w:rPr>
        <w:t>e about whether the financial statements are free of material misstatement, whether due to error or fraud. Our audits included performing procedures to assess the risks of material misstatement of the financial statements, whether due to error or fraud, an</w:t>
      </w:r>
      <w:r>
        <w:rPr>
          <w:rFonts w:eastAsia="Times New Roman"/>
          <w:color w:val="000000"/>
          <w:sz w:val="20"/>
          <w:szCs w:val="20"/>
        </w:rPr>
        <w:t>d performing procedures that respond to those risks. Such procedures included examining, on a test basis, evidence regarding the amounts and disclosures in the financial statements. Our audits also included evaluating the accounting principles used and sig</w:t>
      </w:r>
      <w:r>
        <w:rPr>
          <w:rFonts w:eastAsia="Times New Roman"/>
          <w:color w:val="000000"/>
          <w:sz w:val="20"/>
          <w:szCs w:val="20"/>
        </w:rPr>
        <w:t>nificant estimates made by management, as well as evaluating the overall presentation of the financial statements. We believe that our audits provide a reasonable basis for our opinion.</w:t>
      </w:r>
    </w:p>
    <w:p w14:paraId="07DEF36B" w14:textId="77777777" w:rsidR="00000000" w:rsidRDefault="00EE5306">
      <w:pPr>
        <w:jc w:val="both"/>
        <w:divId w:val="1592011731"/>
        <w:rPr>
          <w:rFonts w:eastAsia="Times New Roman"/>
        </w:rPr>
      </w:pPr>
      <w:r>
        <w:rPr>
          <w:rFonts w:eastAsia="Times New Roman"/>
          <w:b/>
          <w:bCs/>
          <w:color w:val="000000"/>
          <w:sz w:val="20"/>
          <w:szCs w:val="20"/>
        </w:rPr>
        <w:t>Critical Audit Matters</w:t>
      </w:r>
    </w:p>
    <w:p w14:paraId="0F2D0081" w14:textId="77777777" w:rsidR="00000000" w:rsidRDefault="00EE5306">
      <w:pPr>
        <w:ind w:firstLine="450"/>
        <w:jc w:val="both"/>
        <w:divId w:val="1499615512"/>
        <w:rPr>
          <w:rFonts w:eastAsia="Times New Roman"/>
        </w:rPr>
      </w:pPr>
      <w:r>
        <w:rPr>
          <w:rFonts w:eastAsia="Times New Roman"/>
          <w:color w:val="000000"/>
          <w:sz w:val="20"/>
          <w:szCs w:val="20"/>
        </w:rPr>
        <w:t>The critical audit matters communicated below a</w:t>
      </w:r>
      <w:r>
        <w:rPr>
          <w:rFonts w:eastAsia="Times New Roman"/>
          <w:color w:val="000000"/>
          <w:sz w:val="20"/>
          <w:szCs w:val="20"/>
        </w:rPr>
        <w:t xml:space="preserve">re matters arising from the current period audit of the financial statements that were communicated or required to be communicated to the audit committee and that: (1) relate to accounts or disclosures that are material to the financial statements and (2) </w:t>
      </w:r>
      <w:r>
        <w:rPr>
          <w:rFonts w:eastAsia="Times New Roman"/>
          <w:color w:val="000000"/>
          <w:sz w:val="20"/>
          <w:szCs w:val="20"/>
        </w:rPr>
        <w:t>involved our especially challenging, subjective or complex judgments. The communication of critical audit matters does not alter in any way our opinion on the consolidated financial statements, taken as a whole, and we are not, by communicating the critica</w:t>
      </w:r>
      <w:r>
        <w:rPr>
          <w:rFonts w:eastAsia="Times New Roman"/>
          <w:color w:val="000000"/>
          <w:sz w:val="20"/>
          <w:szCs w:val="20"/>
        </w:rPr>
        <w:t>l audit matters below, providing separate opinions on the critical audit matters or on the accounts or disclosures to which they relate.</w:t>
      </w:r>
    </w:p>
    <w:tbl>
      <w:tblPr>
        <w:tblW w:w="4766" w:type="pct"/>
        <w:jc w:val="center"/>
        <w:tblCellMar>
          <w:top w:w="15" w:type="dxa"/>
          <w:left w:w="15" w:type="dxa"/>
          <w:bottom w:w="15" w:type="dxa"/>
          <w:right w:w="15" w:type="dxa"/>
        </w:tblCellMar>
        <w:tblLook w:val="04A0" w:firstRow="1" w:lastRow="0" w:firstColumn="1" w:lastColumn="0" w:noHBand="0" w:noVBand="1"/>
      </w:tblPr>
      <w:tblGrid>
        <w:gridCol w:w="67"/>
        <w:gridCol w:w="1073"/>
        <w:gridCol w:w="36"/>
        <w:gridCol w:w="65"/>
        <w:gridCol w:w="6639"/>
        <w:gridCol w:w="37"/>
      </w:tblGrid>
      <w:tr w:rsidR="00000000" w14:paraId="45D63FA1" w14:textId="77777777">
        <w:trPr>
          <w:divId w:val="242572256"/>
          <w:jc w:val="center"/>
        </w:trPr>
        <w:tc>
          <w:tcPr>
            <w:tcW w:w="50" w:type="pct"/>
            <w:vAlign w:val="center"/>
            <w:hideMark/>
          </w:tcPr>
          <w:p w14:paraId="4C7903EB" w14:textId="77777777" w:rsidR="00000000" w:rsidRDefault="00EE5306">
            <w:pPr>
              <w:ind w:firstLine="450"/>
              <w:jc w:val="both"/>
              <w:rPr>
                <w:rFonts w:eastAsia="Times New Roman"/>
              </w:rPr>
            </w:pPr>
          </w:p>
        </w:tc>
        <w:tc>
          <w:tcPr>
            <w:tcW w:w="688" w:type="pct"/>
            <w:vAlign w:val="center"/>
            <w:hideMark/>
          </w:tcPr>
          <w:p w14:paraId="59982AE8" w14:textId="77777777" w:rsidR="00000000" w:rsidRDefault="00EE5306">
            <w:pPr>
              <w:spacing w:after="100"/>
              <w:rPr>
                <w:rFonts w:eastAsia="Times New Roman"/>
                <w:sz w:val="20"/>
                <w:szCs w:val="20"/>
              </w:rPr>
            </w:pPr>
          </w:p>
        </w:tc>
        <w:tc>
          <w:tcPr>
            <w:tcW w:w="5" w:type="pct"/>
            <w:vAlign w:val="center"/>
            <w:hideMark/>
          </w:tcPr>
          <w:p w14:paraId="3DB2ECA2" w14:textId="77777777" w:rsidR="00000000" w:rsidRDefault="00EE5306">
            <w:pPr>
              <w:spacing w:after="100"/>
              <w:rPr>
                <w:rFonts w:eastAsia="Times New Roman"/>
                <w:sz w:val="20"/>
                <w:szCs w:val="20"/>
              </w:rPr>
            </w:pPr>
          </w:p>
        </w:tc>
        <w:tc>
          <w:tcPr>
            <w:tcW w:w="50" w:type="pct"/>
            <w:vAlign w:val="center"/>
            <w:hideMark/>
          </w:tcPr>
          <w:p w14:paraId="142CE157" w14:textId="77777777" w:rsidR="00000000" w:rsidRDefault="00EE5306">
            <w:pPr>
              <w:spacing w:after="100"/>
              <w:rPr>
                <w:rFonts w:eastAsia="Times New Roman"/>
                <w:sz w:val="20"/>
                <w:szCs w:val="20"/>
              </w:rPr>
            </w:pPr>
          </w:p>
        </w:tc>
        <w:tc>
          <w:tcPr>
            <w:tcW w:w="4201" w:type="pct"/>
            <w:vAlign w:val="center"/>
            <w:hideMark/>
          </w:tcPr>
          <w:p w14:paraId="18CD7BF5" w14:textId="77777777" w:rsidR="00000000" w:rsidRDefault="00EE5306">
            <w:pPr>
              <w:spacing w:after="100"/>
              <w:rPr>
                <w:rFonts w:eastAsia="Times New Roman"/>
                <w:sz w:val="20"/>
                <w:szCs w:val="20"/>
              </w:rPr>
            </w:pPr>
          </w:p>
        </w:tc>
        <w:tc>
          <w:tcPr>
            <w:tcW w:w="5" w:type="pct"/>
            <w:vAlign w:val="center"/>
            <w:hideMark/>
          </w:tcPr>
          <w:p w14:paraId="1E192612" w14:textId="77777777" w:rsidR="00000000" w:rsidRDefault="00EE5306">
            <w:pPr>
              <w:spacing w:after="100"/>
              <w:rPr>
                <w:rFonts w:eastAsia="Times New Roman"/>
                <w:sz w:val="20"/>
                <w:szCs w:val="20"/>
              </w:rPr>
            </w:pPr>
          </w:p>
        </w:tc>
      </w:tr>
      <w:tr w:rsidR="00000000" w14:paraId="1A7FEF1C" w14:textId="77777777">
        <w:trPr>
          <w:divId w:val="242572256"/>
          <w:jc w:val="center"/>
        </w:trPr>
        <w:tc>
          <w:tcPr>
            <w:tcW w:w="0" w:type="auto"/>
            <w:gridSpan w:val="3"/>
            <w:tcMar>
              <w:top w:w="0" w:type="dxa"/>
              <w:left w:w="20" w:type="dxa"/>
              <w:bottom w:w="0" w:type="dxa"/>
              <w:right w:w="20" w:type="dxa"/>
            </w:tcMar>
            <w:vAlign w:val="center"/>
            <w:hideMark/>
          </w:tcPr>
          <w:p w14:paraId="4753DB1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77087510" w14:textId="77777777" w:rsidR="00000000" w:rsidRDefault="00EE5306">
            <w:pPr>
              <w:spacing w:after="100"/>
              <w:rPr>
                <w:rFonts w:eastAsia="Times New Roman"/>
              </w:rPr>
            </w:pPr>
            <w:r>
              <w:rPr>
                <w:rFonts w:eastAsia="Times New Roman"/>
                <w:b/>
                <w:bCs/>
                <w:color w:val="000000"/>
                <w:sz w:val="20"/>
                <w:szCs w:val="20"/>
              </w:rPr>
              <w:t>End-of-season Markdown Reserves</w:t>
            </w:r>
          </w:p>
        </w:tc>
      </w:tr>
      <w:tr w:rsidR="00000000" w14:paraId="31EC1E78" w14:textId="77777777">
        <w:trPr>
          <w:divId w:val="242572256"/>
          <w:trHeight w:val="240"/>
          <w:jc w:val="center"/>
        </w:trPr>
        <w:tc>
          <w:tcPr>
            <w:tcW w:w="0" w:type="auto"/>
            <w:gridSpan w:val="3"/>
            <w:tcMar>
              <w:top w:w="0" w:type="dxa"/>
              <w:left w:w="20" w:type="dxa"/>
              <w:bottom w:w="0" w:type="dxa"/>
              <w:right w:w="20" w:type="dxa"/>
            </w:tcMar>
            <w:vAlign w:val="center"/>
            <w:hideMark/>
          </w:tcPr>
          <w:p w14:paraId="3904C83C"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07826F15" w14:textId="77777777" w:rsidR="00000000" w:rsidRDefault="00EE5306">
            <w:pPr>
              <w:spacing w:after="100"/>
              <w:rPr>
                <w:rFonts w:eastAsia="Times New Roman"/>
                <w:sz w:val="20"/>
                <w:szCs w:val="20"/>
              </w:rPr>
            </w:pPr>
          </w:p>
        </w:tc>
      </w:tr>
      <w:tr w:rsidR="00000000" w14:paraId="4A6A10BC" w14:textId="77777777">
        <w:trPr>
          <w:divId w:val="242572256"/>
          <w:jc w:val="center"/>
        </w:trPr>
        <w:tc>
          <w:tcPr>
            <w:tcW w:w="0" w:type="auto"/>
            <w:gridSpan w:val="3"/>
            <w:tcMar>
              <w:top w:w="30" w:type="dxa"/>
              <w:left w:w="20" w:type="dxa"/>
              <w:bottom w:w="30" w:type="dxa"/>
              <w:right w:w="20" w:type="dxa"/>
            </w:tcMar>
            <w:hideMark/>
          </w:tcPr>
          <w:p w14:paraId="4A59B104" w14:textId="77777777" w:rsidR="00000000" w:rsidRDefault="00EE5306">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14:paraId="6DE8D4F8" w14:textId="77777777" w:rsidR="00000000" w:rsidRDefault="00EE5306">
            <w:pPr>
              <w:spacing w:after="100"/>
              <w:jc w:val="both"/>
              <w:divId w:val="511338445"/>
              <w:rPr>
                <w:rFonts w:eastAsia="Times New Roman"/>
              </w:rPr>
            </w:pPr>
            <w:r>
              <w:rPr>
                <w:rFonts w:eastAsia="Times New Roman"/>
                <w:color w:val="000000"/>
                <w:sz w:val="20"/>
                <w:szCs w:val="20"/>
              </w:rPr>
              <w:t>As disclosed in Note 3 of the consolidated financial statements, estimates for end-of-season markdown reserves are based on historical trends, actual and forecasted seasonal results, an evaluation of current economic and market conditions, retailer perform</w:t>
            </w:r>
            <w:r>
              <w:rPr>
                <w:rFonts w:eastAsia="Times New Roman"/>
                <w:color w:val="000000"/>
                <w:sz w:val="20"/>
                <w:szCs w:val="20"/>
              </w:rPr>
              <w:t xml:space="preserve">ance, and, in certain cases, contractual terms. </w:t>
            </w:r>
          </w:p>
          <w:p w14:paraId="183F2B3A" w14:textId="77777777" w:rsidR="00000000" w:rsidRDefault="00EE5306">
            <w:pPr>
              <w:spacing w:after="100"/>
              <w:jc w:val="both"/>
              <w:divId w:val="1066994366"/>
              <w:rPr>
                <w:rFonts w:eastAsia="Times New Roman"/>
              </w:rPr>
            </w:pPr>
            <w:r>
              <w:rPr>
                <w:rFonts w:eastAsia="Times New Roman"/>
                <w:color w:val="000000"/>
                <w:sz w:val="20"/>
                <w:szCs w:val="20"/>
              </w:rPr>
              <w:t xml:space="preserve">Auditing management's estimate of end-of-season markdown reserves was complex and judgmental as reserve amounts are sensitive to changes in market or economic conditions (including the effects of the global </w:t>
            </w:r>
            <w:r>
              <w:rPr>
                <w:rFonts w:eastAsia="Times New Roman"/>
                <w:color w:val="000000"/>
                <w:sz w:val="20"/>
                <w:szCs w:val="20"/>
              </w:rPr>
              <w:t>pandemic), and have a direct, material impact on the amount of revenue recognized by the Company. There is also significant estimation required to establish markdown reserve rates by brand and customer, which are based on the Company's review of the season</w:t>
            </w:r>
            <w:r>
              <w:rPr>
                <w:rFonts w:eastAsia="Times New Roman"/>
                <w:color w:val="000000"/>
                <w:sz w:val="20"/>
                <w:szCs w:val="20"/>
              </w:rPr>
              <w:t>al negotiations with each customer and the expected performance of the products in the customers' stores.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332E6306" w14:textId="77777777">
        <w:trPr>
          <w:jc w:val="center"/>
        </w:trPr>
        <w:tc>
          <w:tcPr>
            <w:tcW w:w="50" w:type="pct"/>
            <w:vAlign w:val="center"/>
            <w:hideMark/>
          </w:tcPr>
          <w:p w14:paraId="6210CCC5" w14:textId="77777777" w:rsidR="00000000" w:rsidRDefault="00EE5306">
            <w:pPr>
              <w:ind w:firstLine="180"/>
              <w:jc w:val="center"/>
              <w:rPr>
                <w:rFonts w:eastAsia="Times New Roman"/>
              </w:rPr>
            </w:pPr>
          </w:p>
        </w:tc>
        <w:tc>
          <w:tcPr>
            <w:tcW w:w="1699" w:type="pct"/>
            <w:vAlign w:val="center"/>
            <w:hideMark/>
          </w:tcPr>
          <w:p w14:paraId="398C7E8E" w14:textId="77777777" w:rsidR="00000000" w:rsidRDefault="00EE5306">
            <w:pPr>
              <w:spacing w:after="100"/>
              <w:rPr>
                <w:rFonts w:eastAsia="Times New Roman"/>
                <w:sz w:val="20"/>
                <w:szCs w:val="20"/>
              </w:rPr>
            </w:pPr>
          </w:p>
        </w:tc>
        <w:tc>
          <w:tcPr>
            <w:tcW w:w="5" w:type="pct"/>
            <w:vAlign w:val="center"/>
            <w:hideMark/>
          </w:tcPr>
          <w:p w14:paraId="5DDFD105" w14:textId="77777777" w:rsidR="00000000" w:rsidRDefault="00EE5306">
            <w:pPr>
              <w:spacing w:after="100"/>
              <w:rPr>
                <w:rFonts w:eastAsia="Times New Roman"/>
                <w:sz w:val="20"/>
                <w:szCs w:val="20"/>
              </w:rPr>
            </w:pPr>
          </w:p>
        </w:tc>
        <w:tc>
          <w:tcPr>
            <w:tcW w:w="50" w:type="pct"/>
            <w:vAlign w:val="center"/>
            <w:hideMark/>
          </w:tcPr>
          <w:p w14:paraId="6E6298EF" w14:textId="77777777" w:rsidR="00000000" w:rsidRDefault="00EE5306">
            <w:pPr>
              <w:spacing w:after="100"/>
              <w:rPr>
                <w:rFonts w:eastAsia="Times New Roman"/>
                <w:sz w:val="20"/>
                <w:szCs w:val="20"/>
              </w:rPr>
            </w:pPr>
          </w:p>
        </w:tc>
        <w:tc>
          <w:tcPr>
            <w:tcW w:w="1436" w:type="pct"/>
            <w:vAlign w:val="center"/>
            <w:hideMark/>
          </w:tcPr>
          <w:p w14:paraId="57920D25" w14:textId="77777777" w:rsidR="00000000" w:rsidRDefault="00EE5306">
            <w:pPr>
              <w:spacing w:after="100"/>
              <w:rPr>
                <w:rFonts w:eastAsia="Times New Roman"/>
                <w:sz w:val="20"/>
                <w:szCs w:val="20"/>
              </w:rPr>
            </w:pPr>
          </w:p>
        </w:tc>
        <w:tc>
          <w:tcPr>
            <w:tcW w:w="5" w:type="pct"/>
            <w:vAlign w:val="center"/>
            <w:hideMark/>
          </w:tcPr>
          <w:p w14:paraId="190F3C41" w14:textId="77777777" w:rsidR="00000000" w:rsidRDefault="00EE5306">
            <w:pPr>
              <w:spacing w:after="100"/>
              <w:rPr>
                <w:rFonts w:eastAsia="Times New Roman"/>
                <w:sz w:val="20"/>
                <w:szCs w:val="20"/>
              </w:rPr>
            </w:pPr>
          </w:p>
        </w:tc>
        <w:tc>
          <w:tcPr>
            <w:tcW w:w="50" w:type="pct"/>
            <w:vAlign w:val="center"/>
            <w:hideMark/>
          </w:tcPr>
          <w:p w14:paraId="78874E18" w14:textId="77777777" w:rsidR="00000000" w:rsidRDefault="00EE5306">
            <w:pPr>
              <w:spacing w:after="100"/>
              <w:rPr>
                <w:rFonts w:eastAsia="Times New Roman"/>
                <w:sz w:val="20"/>
                <w:szCs w:val="20"/>
              </w:rPr>
            </w:pPr>
          </w:p>
        </w:tc>
        <w:tc>
          <w:tcPr>
            <w:tcW w:w="1699" w:type="pct"/>
            <w:vAlign w:val="center"/>
            <w:hideMark/>
          </w:tcPr>
          <w:p w14:paraId="79CBEFAB" w14:textId="77777777" w:rsidR="00000000" w:rsidRDefault="00EE5306">
            <w:pPr>
              <w:spacing w:after="100"/>
              <w:rPr>
                <w:rFonts w:eastAsia="Times New Roman"/>
                <w:sz w:val="20"/>
                <w:szCs w:val="20"/>
              </w:rPr>
            </w:pPr>
          </w:p>
        </w:tc>
        <w:tc>
          <w:tcPr>
            <w:tcW w:w="5" w:type="pct"/>
            <w:vAlign w:val="center"/>
            <w:hideMark/>
          </w:tcPr>
          <w:p w14:paraId="1FB66431" w14:textId="77777777" w:rsidR="00000000" w:rsidRDefault="00EE5306">
            <w:pPr>
              <w:spacing w:after="100"/>
              <w:rPr>
                <w:rFonts w:eastAsia="Times New Roman"/>
                <w:sz w:val="20"/>
                <w:szCs w:val="20"/>
              </w:rPr>
            </w:pPr>
          </w:p>
        </w:tc>
      </w:tr>
      <w:tr w:rsidR="00000000" w14:paraId="114FB91E" w14:textId="77777777">
        <w:trPr>
          <w:jc w:val="center"/>
        </w:trPr>
        <w:tc>
          <w:tcPr>
            <w:tcW w:w="0" w:type="auto"/>
            <w:gridSpan w:val="3"/>
            <w:tcMar>
              <w:top w:w="0" w:type="dxa"/>
              <w:left w:w="20" w:type="dxa"/>
              <w:bottom w:w="0" w:type="dxa"/>
              <w:right w:w="20" w:type="dxa"/>
            </w:tcMar>
            <w:vAlign w:val="center"/>
            <w:hideMark/>
          </w:tcPr>
          <w:p w14:paraId="1599B200"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4E7527" w14:textId="77777777" w:rsidR="00000000" w:rsidRDefault="00EE5306">
            <w:pPr>
              <w:spacing w:after="100"/>
              <w:jc w:val="center"/>
              <w:rPr>
                <w:rFonts w:eastAsia="Times New Roman"/>
              </w:rPr>
            </w:pPr>
            <w:r>
              <w:rPr>
                <w:rFonts w:eastAsia="Times New Roman"/>
                <w:color w:val="000000"/>
                <w:sz w:val="20"/>
                <w:szCs w:val="20"/>
              </w:rPr>
              <w:t>F-59</w:t>
            </w:r>
          </w:p>
        </w:tc>
        <w:tc>
          <w:tcPr>
            <w:tcW w:w="0" w:type="auto"/>
            <w:gridSpan w:val="3"/>
            <w:tcMar>
              <w:top w:w="0" w:type="dxa"/>
              <w:left w:w="20" w:type="dxa"/>
              <w:bottom w:w="0" w:type="dxa"/>
              <w:right w:w="20" w:type="dxa"/>
            </w:tcMar>
            <w:vAlign w:val="center"/>
            <w:hideMark/>
          </w:tcPr>
          <w:p w14:paraId="10F13A21" w14:textId="77777777" w:rsidR="00000000" w:rsidRDefault="00EE5306">
            <w:pPr>
              <w:spacing w:after="100"/>
              <w:jc w:val="center"/>
              <w:rPr>
                <w:rFonts w:eastAsia="Times New Roman"/>
              </w:rPr>
            </w:pPr>
          </w:p>
        </w:tc>
      </w:tr>
    </w:tbl>
    <w:p w14:paraId="3A7D5F0F" w14:textId="77777777" w:rsidR="00000000" w:rsidRDefault="00EE5306">
      <w:pPr>
        <w:rPr>
          <w:rFonts w:eastAsia="Times New Roman"/>
        </w:rPr>
      </w:pPr>
      <w:r>
        <w:rPr>
          <w:rFonts w:eastAsia="Times New Roman"/>
        </w:rPr>
        <w:pict w14:anchorId="66D7E4DF">
          <v:rect id="_x0000_i1169" style="width:0;height:1.5pt" o:hralign="center" o:hrstd="t" o:hr="t" fillcolor="#a0a0a0" stroked="f"/>
        </w:pict>
      </w:r>
    </w:p>
    <w:p w14:paraId="76B48DE6" w14:textId="77777777" w:rsidR="00000000" w:rsidRDefault="00EE5306">
      <w:pPr>
        <w:divId w:val="170268366"/>
        <w:rPr>
          <w:rFonts w:eastAsia="Times New Roman"/>
        </w:rPr>
      </w:pPr>
    </w:p>
    <w:tbl>
      <w:tblPr>
        <w:tblW w:w="4766" w:type="pct"/>
        <w:jc w:val="center"/>
        <w:tblCellMar>
          <w:top w:w="15" w:type="dxa"/>
          <w:left w:w="15" w:type="dxa"/>
          <w:bottom w:w="15" w:type="dxa"/>
          <w:right w:w="15" w:type="dxa"/>
        </w:tblCellMar>
        <w:tblLook w:val="04A0" w:firstRow="1" w:lastRow="0" w:firstColumn="1" w:lastColumn="0" w:noHBand="0" w:noVBand="1"/>
      </w:tblPr>
      <w:tblGrid>
        <w:gridCol w:w="67"/>
        <w:gridCol w:w="1072"/>
        <w:gridCol w:w="37"/>
        <w:gridCol w:w="65"/>
        <w:gridCol w:w="6639"/>
        <w:gridCol w:w="37"/>
      </w:tblGrid>
      <w:tr w:rsidR="00000000" w14:paraId="1706AA0E" w14:textId="77777777">
        <w:trPr>
          <w:divId w:val="2121535006"/>
          <w:jc w:val="center"/>
        </w:trPr>
        <w:tc>
          <w:tcPr>
            <w:tcW w:w="50" w:type="pct"/>
            <w:vAlign w:val="center"/>
            <w:hideMark/>
          </w:tcPr>
          <w:p w14:paraId="07B4AD64" w14:textId="77777777" w:rsidR="00000000" w:rsidRDefault="00EE5306">
            <w:pPr>
              <w:rPr>
                <w:rFonts w:eastAsia="Times New Roman"/>
              </w:rPr>
            </w:pPr>
          </w:p>
        </w:tc>
        <w:tc>
          <w:tcPr>
            <w:tcW w:w="688" w:type="pct"/>
            <w:vAlign w:val="center"/>
            <w:hideMark/>
          </w:tcPr>
          <w:p w14:paraId="396C7A1E" w14:textId="77777777" w:rsidR="00000000" w:rsidRDefault="00EE5306">
            <w:pPr>
              <w:spacing w:after="100"/>
              <w:rPr>
                <w:rFonts w:eastAsia="Times New Roman"/>
                <w:sz w:val="20"/>
                <w:szCs w:val="20"/>
              </w:rPr>
            </w:pPr>
          </w:p>
        </w:tc>
        <w:tc>
          <w:tcPr>
            <w:tcW w:w="5" w:type="pct"/>
            <w:vAlign w:val="center"/>
            <w:hideMark/>
          </w:tcPr>
          <w:p w14:paraId="1195B1DC" w14:textId="77777777" w:rsidR="00000000" w:rsidRDefault="00EE5306">
            <w:pPr>
              <w:spacing w:after="100"/>
              <w:rPr>
                <w:rFonts w:eastAsia="Times New Roman"/>
                <w:sz w:val="20"/>
                <w:szCs w:val="20"/>
              </w:rPr>
            </w:pPr>
          </w:p>
        </w:tc>
        <w:tc>
          <w:tcPr>
            <w:tcW w:w="50" w:type="pct"/>
            <w:vAlign w:val="center"/>
            <w:hideMark/>
          </w:tcPr>
          <w:p w14:paraId="36D4FA0C" w14:textId="77777777" w:rsidR="00000000" w:rsidRDefault="00EE5306">
            <w:pPr>
              <w:spacing w:after="100"/>
              <w:rPr>
                <w:rFonts w:eastAsia="Times New Roman"/>
                <w:sz w:val="20"/>
                <w:szCs w:val="20"/>
              </w:rPr>
            </w:pPr>
          </w:p>
        </w:tc>
        <w:tc>
          <w:tcPr>
            <w:tcW w:w="4201" w:type="pct"/>
            <w:vAlign w:val="center"/>
            <w:hideMark/>
          </w:tcPr>
          <w:p w14:paraId="23896FE2" w14:textId="77777777" w:rsidR="00000000" w:rsidRDefault="00EE5306">
            <w:pPr>
              <w:spacing w:after="100"/>
              <w:rPr>
                <w:rFonts w:eastAsia="Times New Roman"/>
                <w:sz w:val="20"/>
                <w:szCs w:val="20"/>
              </w:rPr>
            </w:pPr>
          </w:p>
        </w:tc>
        <w:tc>
          <w:tcPr>
            <w:tcW w:w="5" w:type="pct"/>
            <w:vAlign w:val="center"/>
            <w:hideMark/>
          </w:tcPr>
          <w:p w14:paraId="6A95FC8D" w14:textId="77777777" w:rsidR="00000000" w:rsidRDefault="00EE5306">
            <w:pPr>
              <w:spacing w:after="100"/>
              <w:rPr>
                <w:rFonts w:eastAsia="Times New Roman"/>
                <w:sz w:val="20"/>
                <w:szCs w:val="20"/>
              </w:rPr>
            </w:pPr>
          </w:p>
        </w:tc>
      </w:tr>
      <w:tr w:rsidR="00000000" w14:paraId="0E68E429" w14:textId="77777777">
        <w:trPr>
          <w:divId w:val="2121535006"/>
          <w:jc w:val="center"/>
        </w:trPr>
        <w:tc>
          <w:tcPr>
            <w:tcW w:w="0" w:type="auto"/>
            <w:gridSpan w:val="3"/>
            <w:tcMar>
              <w:top w:w="30" w:type="dxa"/>
              <w:left w:w="20" w:type="dxa"/>
              <w:bottom w:w="30" w:type="dxa"/>
              <w:right w:w="20" w:type="dxa"/>
            </w:tcMar>
            <w:hideMark/>
          </w:tcPr>
          <w:p w14:paraId="75B6A616" w14:textId="77777777" w:rsidR="00000000" w:rsidRDefault="00EE5306">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14:paraId="7B0E935F" w14:textId="77777777" w:rsidR="00000000" w:rsidRDefault="00EE5306">
            <w:pPr>
              <w:spacing w:after="100"/>
              <w:jc w:val="both"/>
              <w:divId w:val="601500691"/>
              <w:rPr>
                <w:rFonts w:eastAsia="Times New Roman"/>
              </w:rPr>
            </w:pPr>
            <w:r>
              <w:rPr>
                <w:rFonts w:eastAsia="Times New Roman"/>
                <w:color w:val="000000"/>
                <w:sz w:val="20"/>
                <w:szCs w:val="20"/>
              </w:rPr>
              <w:t>We obtained an understanding, evaluated the design and tested the operating effectiveness of internal controls over the Company's process to calculate the end-of-season markdown reserves, including the consideration of historical experience, actual and for</w:t>
            </w:r>
            <w:r>
              <w:rPr>
                <w:rFonts w:eastAsia="Times New Roman"/>
                <w:color w:val="000000"/>
                <w:sz w:val="20"/>
                <w:szCs w:val="20"/>
              </w:rPr>
              <w:t>ecasted seasonal results, current economic and market conditions, (including the effects of the global pandemic), retailer performance, and contractual terms as applicable.</w:t>
            </w:r>
          </w:p>
          <w:p w14:paraId="7938AD9A" w14:textId="77777777" w:rsidR="00000000" w:rsidRDefault="00EE5306">
            <w:pPr>
              <w:spacing w:after="100"/>
              <w:jc w:val="both"/>
              <w:divId w:val="1938053332"/>
              <w:rPr>
                <w:rFonts w:eastAsia="Times New Roman"/>
              </w:rPr>
            </w:pPr>
            <w:r>
              <w:rPr>
                <w:rFonts w:eastAsia="Times New Roman"/>
                <w:color w:val="000000"/>
                <w:sz w:val="20"/>
                <w:szCs w:val="20"/>
              </w:rPr>
              <w:t>To test the estimate of end-of-season markdown reserves, we performed audit procedu</w:t>
            </w:r>
            <w:r>
              <w:rPr>
                <w:rFonts w:eastAsia="Times New Roman"/>
                <w:color w:val="000000"/>
                <w:sz w:val="20"/>
                <w:szCs w:val="20"/>
              </w:rPr>
              <w:t xml:space="preserve">res that included, among others, assessing methodologies and testing the assumptions regarding seasonal negotiations with each customer which include the application of market and economic conditions to individual customers and the expected performance of </w:t>
            </w:r>
            <w:r>
              <w:rPr>
                <w:rFonts w:eastAsia="Times New Roman"/>
                <w:color w:val="000000"/>
                <w:sz w:val="20"/>
                <w:szCs w:val="20"/>
              </w:rPr>
              <w:t>the products in the customers' stores that were used by the Company to calculate the projected markdown allowances to be issued upon settlement. We compared the significant assumptions used by management to current market and economic trends, historical re</w:t>
            </w:r>
            <w:r>
              <w:rPr>
                <w:rFonts w:eastAsia="Times New Roman"/>
                <w:color w:val="000000"/>
                <w:sz w:val="20"/>
                <w:szCs w:val="20"/>
              </w:rPr>
              <w:t>sults and other relevant factors. We assessed the historical accuracy of management's estimates and performed sensitivity analyses of significant assumptions to substantively test the changes in the estimate that would result from reasonable changes in the</w:t>
            </w:r>
            <w:r>
              <w:rPr>
                <w:rFonts w:eastAsia="Times New Roman"/>
                <w:color w:val="000000"/>
                <w:sz w:val="20"/>
                <w:szCs w:val="20"/>
              </w:rPr>
              <w:t xml:space="preserve"> assumptions.</w:t>
            </w:r>
          </w:p>
        </w:tc>
      </w:tr>
      <w:tr w:rsidR="00000000" w14:paraId="38525EE7" w14:textId="77777777">
        <w:trPr>
          <w:divId w:val="2121535006"/>
          <w:trHeight w:val="300"/>
          <w:jc w:val="center"/>
        </w:trPr>
        <w:tc>
          <w:tcPr>
            <w:tcW w:w="0" w:type="auto"/>
            <w:gridSpan w:val="3"/>
            <w:tcMar>
              <w:top w:w="0" w:type="dxa"/>
              <w:left w:w="20" w:type="dxa"/>
              <w:bottom w:w="0" w:type="dxa"/>
              <w:right w:w="20" w:type="dxa"/>
            </w:tcMar>
            <w:vAlign w:val="center"/>
            <w:hideMark/>
          </w:tcPr>
          <w:p w14:paraId="6905AC12" w14:textId="77777777" w:rsidR="00000000" w:rsidRDefault="00EE5306">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9A70AB4" w14:textId="77777777" w:rsidR="00000000" w:rsidRDefault="00EE5306">
            <w:pPr>
              <w:spacing w:after="100"/>
              <w:rPr>
                <w:rFonts w:eastAsia="Times New Roman"/>
                <w:sz w:val="20"/>
                <w:szCs w:val="20"/>
              </w:rPr>
            </w:pPr>
          </w:p>
        </w:tc>
      </w:tr>
      <w:tr w:rsidR="00000000" w14:paraId="682B4153" w14:textId="77777777">
        <w:trPr>
          <w:divId w:val="2121535006"/>
          <w:jc w:val="center"/>
        </w:trPr>
        <w:tc>
          <w:tcPr>
            <w:tcW w:w="0" w:type="auto"/>
            <w:gridSpan w:val="3"/>
            <w:tcMar>
              <w:top w:w="0" w:type="dxa"/>
              <w:left w:w="20" w:type="dxa"/>
              <w:bottom w:w="0" w:type="dxa"/>
              <w:right w:w="20" w:type="dxa"/>
            </w:tcMar>
            <w:vAlign w:val="center"/>
            <w:hideMark/>
          </w:tcPr>
          <w:p w14:paraId="4B0F90A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F2CE3C8" w14:textId="77777777" w:rsidR="00000000" w:rsidRDefault="00EE5306">
            <w:pPr>
              <w:spacing w:after="100"/>
              <w:rPr>
                <w:rFonts w:eastAsia="Times New Roman"/>
              </w:rPr>
            </w:pPr>
            <w:r>
              <w:rPr>
                <w:rFonts w:eastAsia="Times New Roman"/>
                <w:b/>
                <w:bCs/>
                <w:color w:val="000000"/>
                <w:sz w:val="20"/>
                <w:szCs w:val="20"/>
              </w:rPr>
              <w:t>Estimated Realizable Value of Inventory</w:t>
            </w:r>
          </w:p>
        </w:tc>
      </w:tr>
      <w:tr w:rsidR="00000000" w14:paraId="509FBCFA" w14:textId="77777777">
        <w:trPr>
          <w:divId w:val="2121535006"/>
          <w:trHeight w:val="240"/>
          <w:jc w:val="center"/>
        </w:trPr>
        <w:tc>
          <w:tcPr>
            <w:tcW w:w="0" w:type="auto"/>
            <w:gridSpan w:val="3"/>
            <w:tcMar>
              <w:top w:w="0" w:type="dxa"/>
              <w:left w:w="20" w:type="dxa"/>
              <w:bottom w:w="0" w:type="dxa"/>
              <w:right w:w="20" w:type="dxa"/>
            </w:tcMar>
            <w:vAlign w:val="center"/>
            <w:hideMark/>
          </w:tcPr>
          <w:p w14:paraId="5E760CE7"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71D9EE81" w14:textId="77777777" w:rsidR="00000000" w:rsidRDefault="00EE5306">
            <w:pPr>
              <w:spacing w:after="100"/>
              <w:rPr>
                <w:rFonts w:eastAsia="Times New Roman"/>
                <w:sz w:val="20"/>
                <w:szCs w:val="20"/>
              </w:rPr>
            </w:pPr>
          </w:p>
        </w:tc>
      </w:tr>
      <w:tr w:rsidR="00000000" w14:paraId="654B157B" w14:textId="77777777">
        <w:trPr>
          <w:divId w:val="2121535006"/>
          <w:jc w:val="center"/>
        </w:trPr>
        <w:tc>
          <w:tcPr>
            <w:tcW w:w="0" w:type="auto"/>
            <w:gridSpan w:val="3"/>
            <w:tcMar>
              <w:top w:w="30" w:type="dxa"/>
              <w:left w:w="20" w:type="dxa"/>
              <w:bottom w:w="30" w:type="dxa"/>
              <w:right w:w="20" w:type="dxa"/>
            </w:tcMar>
            <w:hideMark/>
          </w:tcPr>
          <w:p w14:paraId="1B21B53D" w14:textId="77777777" w:rsidR="00000000" w:rsidRDefault="00EE5306">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14:paraId="7732A6A5" w14:textId="77777777" w:rsidR="00000000" w:rsidRDefault="00EE5306">
            <w:pPr>
              <w:spacing w:after="100"/>
              <w:jc w:val="both"/>
              <w:divId w:val="1492596254"/>
              <w:rPr>
                <w:rFonts w:eastAsia="Times New Roman"/>
              </w:rPr>
            </w:pPr>
            <w:r>
              <w:rPr>
                <w:rFonts w:eastAsia="Times New Roman"/>
                <w:color w:val="000000"/>
                <w:sz w:val="20"/>
                <w:szCs w:val="20"/>
              </w:rPr>
              <w:t>As of March 27, 2021, the Company's net inventory balance was $759.0 million. As described in Note 3 to the consolidated financial statements, the valuation of inventory requires management to make assumptions and judgments about the recoverability of inve</w:t>
            </w:r>
            <w:r>
              <w:rPr>
                <w:rFonts w:eastAsia="Times New Roman"/>
                <w:color w:val="000000"/>
                <w:sz w:val="20"/>
                <w:szCs w:val="20"/>
              </w:rPr>
              <w:t xml:space="preserve">ntory and its estimated realizable value. </w:t>
            </w:r>
          </w:p>
          <w:p w14:paraId="6D2FFEB3" w14:textId="77777777" w:rsidR="00000000" w:rsidRDefault="00EE5306">
            <w:pPr>
              <w:spacing w:after="100"/>
              <w:jc w:val="both"/>
              <w:divId w:val="600258055"/>
              <w:rPr>
                <w:rFonts w:eastAsia="Times New Roman"/>
              </w:rPr>
            </w:pPr>
            <w:r>
              <w:rPr>
                <w:rFonts w:eastAsia="Times New Roman"/>
                <w:color w:val="000000"/>
                <w:sz w:val="20"/>
                <w:szCs w:val="20"/>
              </w:rPr>
              <w:t>The estimated realizable value of inventory is determined based on an analysis of historical sales trends, market trends and economic conditions (including the effects of the global pandemic), future sales forecas</w:t>
            </w:r>
            <w:r>
              <w:rPr>
                <w:rFonts w:eastAsia="Times New Roman"/>
                <w:color w:val="000000"/>
                <w:sz w:val="20"/>
                <w:szCs w:val="20"/>
              </w:rPr>
              <w:t>ts, on-hand inventory quantities, and consideration of the value of existing customer orders for future sales of inventory. Given the importance of inventory to the Company's operations and the materiality of the balance, coupled with the judgment involved</w:t>
            </w:r>
            <w:r>
              <w:rPr>
                <w:rFonts w:eastAsia="Times New Roman"/>
                <w:color w:val="000000"/>
                <w:sz w:val="20"/>
                <w:szCs w:val="20"/>
              </w:rPr>
              <w:t xml:space="preserve"> in estimating future sales, auditing management's estimated realizable value involved a higher extent of testing and the involvement of more senior members of the engagement team in executing, supervising and reviewing the results of the procedures. </w:t>
            </w:r>
          </w:p>
        </w:tc>
      </w:tr>
      <w:tr w:rsidR="00000000" w14:paraId="555A9181" w14:textId="77777777">
        <w:trPr>
          <w:divId w:val="2121535006"/>
          <w:trHeight w:val="300"/>
          <w:jc w:val="center"/>
        </w:trPr>
        <w:tc>
          <w:tcPr>
            <w:tcW w:w="0" w:type="auto"/>
            <w:gridSpan w:val="3"/>
            <w:tcMar>
              <w:top w:w="0" w:type="dxa"/>
              <w:left w:w="20" w:type="dxa"/>
              <w:bottom w:w="0" w:type="dxa"/>
              <w:right w:w="20" w:type="dxa"/>
            </w:tcMar>
            <w:vAlign w:val="center"/>
            <w:hideMark/>
          </w:tcPr>
          <w:p w14:paraId="0C8404A6" w14:textId="77777777" w:rsidR="00000000" w:rsidRDefault="00EE5306">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FB31C89" w14:textId="77777777" w:rsidR="00000000" w:rsidRDefault="00EE5306">
            <w:pPr>
              <w:spacing w:after="100"/>
              <w:rPr>
                <w:rFonts w:eastAsia="Times New Roman"/>
                <w:sz w:val="20"/>
                <w:szCs w:val="20"/>
              </w:rPr>
            </w:pPr>
          </w:p>
        </w:tc>
      </w:tr>
      <w:tr w:rsidR="00000000" w14:paraId="38676E3F" w14:textId="77777777">
        <w:trPr>
          <w:divId w:val="2121535006"/>
          <w:jc w:val="center"/>
        </w:trPr>
        <w:tc>
          <w:tcPr>
            <w:tcW w:w="0" w:type="auto"/>
            <w:gridSpan w:val="3"/>
            <w:tcMar>
              <w:top w:w="30" w:type="dxa"/>
              <w:left w:w="20" w:type="dxa"/>
              <w:bottom w:w="30" w:type="dxa"/>
              <w:right w:w="20" w:type="dxa"/>
            </w:tcMar>
            <w:hideMark/>
          </w:tcPr>
          <w:p w14:paraId="0E8CE49F" w14:textId="77777777" w:rsidR="00000000" w:rsidRDefault="00EE5306">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14:paraId="4E2B6AAC" w14:textId="77777777" w:rsidR="00000000" w:rsidRDefault="00EE5306">
            <w:pPr>
              <w:spacing w:after="100"/>
              <w:jc w:val="both"/>
              <w:divId w:val="1075589092"/>
              <w:rPr>
                <w:rFonts w:eastAsia="Times New Roman"/>
              </w:rPr>
            </w:pPr>
            <w:r>
              <w:rPr>
                <w:rFonts w:eastAsia="Times New Roman"/>
                <w:color w:val="000000"/>
                <w:sz w:val="20"/>
                <w:szCs w:val="20"/>
              </w:rPr>
              <w:t>We obtained an understanding, evaluated the design, and tested the operating effectiveness of controls over the process to determine the estimated realizable value of inventory, including controls over the inputs and assumptions used in management's calcul</w:t>
            </w:r>
            <w:r>
              <w:rPr>
                <w:rFonts w:eastAsia="Times New Roman"/>
                <w:color w:val="000000"/>
                <w:sz w:val="20"/>
                <w:szCs w:val="20"/>
              </w:rPr>
              <w:t xml:space="preserve">ation as described above. </w:t>
            </w:r>
          </w:p>
          <w:p w14:paraId="72A82A30" w14:textId="77777777" w:rsidR="00000000" w:rsidRDefault="00EE5306">
            <w:pPr>
              <w:spacing w:after="100"/>
              <w:jc w:val="both"/>
              <w:divId w:val="1555778199"/>
              <w:rPr>
                <w:rFonts w:eastAsia="Times New Roman"/>
              </w:rPr>
            </w:pPr>
            <w:r>
              <w:rPr>
                <w:rFonts w:eastAsia="Times New Roman"/>
                <w:color w:val="000000"/>
                <w:sz w:val="20"/>
                <w:szCs w:val="20"/>
              </w:rPr>
              <w:t>Our audit procedures to test the estimated realizable value of inventory included, among others, evaluating the appropriateness of management's inputs to the calculation, including testing the completeness and accuracy of the dat</w:t>
            </w:r>
            <w:r>
              <w:rPr>
                <w:rFonts w:eastAsia="Times New Roman"/>
                <w:color w:val="000000"/>
                <w:sz w:val="20"/>
                <w:szCs w:val="20"/>
              </w:rPr>
              <w:t>a used in management's calculation such as historical sales activity and loss rates for each class of inventory, write-off activity, on-hand inventory levels and inventory aging. Our procedures also included testing the completeness of any expected net los</w:t>
            </w:r>
            <w:r>
              <w:rPr>
                <w:rFonts w:eastAsia="Times New Roman"/>
                <w:color w:val="000000"/>
                <w:sz w:val="20"/>
                <w:szCs w:val="20"/>
              </w:rPr>
              <w:t>ses on firm commitments to purchase inventory. To evaluate management's ability to accurately estimate future sales projections, which is also a key factor in the determination of the reserve, we retrospectively reviewed actual sales compared to projection</w:t>
            </w:r>
            <w:r>
              <w:rPr>
                <w:rFonts w:eastAsia="Times New Roman"/>
                <w:color w:val="000000"/>
                <w:sz w:val="20"/>
                <w:szCs w:val="20"/>
              </w:rPr>
              <w:t xml:space="preserve">s and considered the impact of the global pandemic on market trends and economic conditions. We also tested the mathematical accuracy of the Company's calculation. </w:t>
            </w:r>
          </w:p>
        </w:tc>
      </w:tr>
      <w:tr w:rsidR="00000000" w14:paraId="4386793F" w14:textId="77777777">
        <w:trPr>
          <w:divId w:val="2121535006"/>
          <w:trHeight w:val="2620"/>
          <w:jc w:val="center"/>
        </w:trPr>
        <w:tc>
          <w:tcPr>
            <w:tcW w:w="0" w:type="auto"/>
            <w:gridSpan w:val="3"/>
            <w:tcMar>
              <w:top w:w="0" w:type="dxa"/>
              <w:left w:w="20" w:type="dxa"/>
              <w:bottom w:w="0" w:type="dxa"/>
              <w:right w:w="20" w:type="dxa"/>
            </w:tcMar>
            <w:vAlign w:val="center"/>
            <w:hideMark/>
          </w:tcPr>
          <w:p w14:paraId="72FD35A2" w14:textId="77777777" w:rsidR="00000000" w:rsidRDefault="00EE5306">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6FF8461" w14:textId="77777777" w:rsidR="00000000" w:rsidRDefault="00EE5306">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14:paraId="11382CB0" w14:textId="77777777">
        <w:trPr>
          <w:jc w:val="center"/>
        </w:trPr>
        <w:tc>
          <w:tcPr>
            <w:tcW w:w="50" w:type="pct"/>
            <w:vAlign w:val="center"/>
            <w:hideMark/>
          </w:tcPr>
          <w:p w14:paraId="18E6310B" w14:textId="77777777" w:rsidR="00000000" w:rsidRDefault="00EE5306">
            <w:pPr>
              <w:ind w:firstLine="180"/>
              <w:jc w:val="center"/>
              <w:rPr>
                <w:rFonts w:eastAsia="Times New Roman"/>
              </w:rPr>
            </w:pPr>
          </w:p>
        </w:tc>
        <w:tc>
          <w:tcPr>
            <w:tcW w:w="1699" w:type="pct"/>
            <w:vAlign w:val="center"/>
            <w:hideMark/>
          </w:tcPr>
          <w:p w14:paraId="51F42D97" w14:textId="77777777" w:rsidR="00000000" w:rsidRDefault="00EE5306">
            <w:pPr>
              <w:spacing w:after="100"/>
              <w:rPr>
                <w:rFonts w:eastAsia="Times New Roman"/>
                <w:sz w:val="20"/>
                <w:szCs w:val="20"/>
              </w:rPr>
            </w:pPr>
          </w:p>
        </w:tc>
        <w:tc>
          <w:tcPr>
            <w:tcW w:w="5" w:type="pct"/>
            <w:vAlign w:val="center"/>
            <w:hideMark/>
          </w:tcPr>
          <w:p w14:paraId="1F85D558" w14:textId="77777777" w:rsidR="00000000" w:rsidRDefault="00EE5306">
            <w:pPr>
              <w:spacing w:after="100"/>
              <w:rPr>
                <w:rFonts w:eastAsia="Times New Roman"/>
                <w:sz w:val="20"/>
                <w:szCs w:val="20"/>
              </w:rPr>
            </w:pPr>
          </w:p>
        </w:tc>
        <w:tc>
          <w:tcPr>
            <w:tcW w:w="50" w:type="pct"/>
            <w:vAlign w:val="center"/>
            <w:hideMark/>
          </w:tcPr>
          <w:p w14:paraId="6C56627D" w14:textId="77777777" w:rsidR="00000000" w:rsidRDefault="00EE5306">
            <w:pPr>
              <w:spacing w:after="100"/>
              <w:rPr>
                <w:rFonts w:eastAsia="Times New Roman"/>
                <w:sz w:val="20"/>
                <w:szCs w:val="20"/>
              </w:rPr>
            </w:pPr>
          </w:p>
        </w:tc>
        <w:tc>
          <w:tcPr>
            <w:tcW w:w="1436" w:type="pct"/>
            <w:vAlign w:val="center"/>
            <w:hideMark/>
          </w:tcPr>
          <w:p w14:paraId="490D473A" w14:textId="77777777" w:rsidR="00000000" w:rsidRDefault="00EE5306">
            <w:pPr>
              <w:spacing w:after="100"/>
              <w:rPr>
                <w:rFonts w:eastAsia="Times New Roman"/>
                <w:sz w:val="20"/>
                <w:szCs w:val="20"/>
              </w:rPr>
            </w:pPr>
          </w:p>
        </w:tc>
        <w:tc>
          <w:tcPr>
            <w:tcW w:w="5" w:type="pct"/>
            <w:vAlign w:val="center"/>
            <w:hideMark/>
          </w:tcPr>
          <w:p w14:paraId="1D72529D" w14:textId="77777777" w:rsidR="00000000" w:rsidRDefault="00EE5306">
            <w:pPr>
              <w:spacing w:after="100"/>
              <w:rPr>
                <w:rFonts w:eastAsia="Times New Roman"/>
                <w:sz w:val="20"/>
                <w:szCs w:val="20"/>
              </w:rPr>
            </w:pPr>
          </w:p>
        </w:tc>
        <w:tc>
          <w:tcPr>
            <w:tcW w:w="50" w:type="pct"/>
            <w:vAlign w:val="center"/>
            <w:hideMark/>
          </w:tcPr>
          <w:p w14:paraId="45D82302" w14:textId="77777777" w:rsidR="00000000" w:rsidRDefault="00EE5306">
            <w:pPr>
              <w:spacing w:after="100"/>
              <w:rPr>
                <w:rFonts w:eastAsia="Times New Roman"/>
                <w:sz w:val="20"/>
                <w:szCs w:val="20"/>
              </w:rPr>
            </w:pPr>
          </w:p>
        </w:tc>
        <w:tc>
          <w:tcPr>
            <w:tcW w:w="1699" w:type="pct"/>
            <w:vAlign w:val="center"/>
            <w:hideMark/>
          </w:tcPr>
          <w:p w14:paraId="0FC3D2A1" w14:textId="77777777" w:rsidR="00000000" w:rsidRDefault="00EE5306">
            <w:pPr>
              <w:spacing w:after="100"/>
              <w:rPr>
                <w:rFonts w:eastAsia="Times New Roman"/>
                <w:sz w:val="20"/>
                <w:szCs w:val="20"/>
              </w:rPr>
            </w:pPr>
          </w:p>
        </w:tc>
        <w:tc>
          <w:tcPr>
            <w:tcW w:w="5" w:type="pct"/>
            <w:vAlign w:val="center"/>
            <w:hideMark/>
          </w:tcPr>
          <w:p w14:paraId="6674283A" w14:textId="77777777" w:rsidR="00000000" w:rsidRDefault="00EE5306">
            <w:pPr>
              <w:spacing w:after="100"/>
              <w:rPr>
                <w:rFonts w:eastAsia="Times New Roman"/>
                <w:sz w:val="20"/>
                <w:szCs w:val="20"/>
              </w:rPr>
            </w:pPr>
          </w:p>
        </w:tc>
      </w:tr>
      <w:tr w:rsidR="00000000" w14:paraId="5078E4DB" w14:textId="77777777">
        <w:trPr>
          <w:jc w:val="center"/>
        </w:trPr>
        <w:tc>
          <w:tcPr>
            <w:tcW w:w="0" w:type="auto"/>
            <w:gridSpan w:val="3"/>
            <w:tcMar>
              <w:top w:w="0" w:type="dxa"/>
              <w:left w:w="20" w:type="dxa"/>
              <w:bottom w:w="0" w:type="dxa"/>
              <w:right w:w="20" w:type="dxa"/>
            </w:tcMar>
            <w:vAlign w:val="center"/>
            <w:hideMark/>
          </w:tcPr>
          <w:p w14:paraId="331719D4"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846B535" w14:textId="77777777" w:rsidR="00000000" w:rsidRDefault="00EE5306">
            <w:pPr>
              <w:spacing w:after="100"/>
              <w:jc w:val="center"/>
              <w:rPr>
                <w:rFonts w:eastAsia="Times New Roman"/>
              </w:rPr>
            </w:pPr>
            <w:r>
              <w:rPr>
                <w:rFonts w:eastAsia="Times New Roman"/>
                <w:color w:val="000000"/>
                <w:sz w:val="20"/>
                <w:szCs w:val="20"/>
              </w:rPr>
              <w:t>F-60</w:t>
            </w:r>
          </w:p>
        </w:tc>
        <w:tc>
          <w:tcPr>
            <w:tcW w:w="0" w:type="auto"/>
            <w:gridSpan w:val="3"/>
            <w:tcMar>
              <w:top w:w="0" w:type="dxa"/>
              <w:left w:w="20" w:type="dxa"/>
              <w:bottom w:w="0" w:type="dxa"/>
              <w:right w:w="20" w:type="dxa"/>
            </w:tcMar>
            <w:vAlign w:val="center"/>
            <w:hideMark/>
          </w:tcPr>
          <w:p w14:paraId="6BA267E6" w14:textId="77777777" w:rsidR="00000000" w:rsidRDefault="00EE5306">
            <w:pPr>
              <w:spacing w:after="100"/>
              <w:jc w:val="center"/>
              <w:rPr>
                <w:rFonts w:eastAsia="Times New Roman"/>
              </w:rPr>
            </w:pPr>
          </w:p>
        </w:tc>
      </w:tr>
    </w:tbl>
    <w:p w14:paraId="48F07A9A" w14:textId="77777777" w:rsidR="00000000" w:rsidRDefault="00EE5306">
      <w:pPr>
        <w:rPr>
          <w:rFonts w:eastAsia="Times New Roman"/>
        </w:rPr>
      </w:pPr>
      <w:r>
        <w:rPr>
          <w:rFonts w:eastAsia="Times New Roman"/>
        </w:rPr>
        <w:pict w14:anchorId="0374388D">
          <v:rect id="_x0000_i1170" style="width:0;height:1.5pt" o:hralign="center" o:hrstd="t" o:hr="t" fillcolor="#a0a0a0" stroked="f"/>
        </w:pict>
      </w:r>
    </w:p>
    <w:p w14:paraId="4C9C4601" w14:textId="77777777" w:rsidR="00000000" w:rsidRDefault="00EE5306">
      <w:pPr>
        <w:divId w:val="1003750734"/>
        <w:rPr>
          <w:rFonts w:eastAsia="Times New Roman"/>
        </w:rPr>
      </w:pPr>
    </w:p>
    <w:tbl>
      <w:tblPr>
        <w:tblW w:w="4766" w:type="pct"/>
        <w:jc w:val="center"/>
        <w:tblCellMar>
          <w:top w:w="15" w:type="dxa"/>
          <w:left w:w="15" w:type="dxa"/>
          <w:bottom w:w="15" w:type="dxa"/>
          <w:right w:w="15" w:type="dxa"/>
        </w:tblCellMar>
        <w:tblLook w:val="04A0" w:firstRow="1" w:lastRow="0" w:firstColumn="1" w:lastColumn="0" w:noHBand="0" w:noVBand="1"/>
      </w:tblPr>
      <w:tblGrid>
        <w:gridCol w:w="67"/>
        <w:gridCol w:w="1073"/>
        <w:gridCol w:w="36"/>
        <w:gridCol w:w="65"/>
        <w:gridCol w:w="6639"/>
        <w:gridCol w:w="37"/>
      </w:tblGrid>
      <w:tr w:rsidR="00000000" w14:paraId="2292544C" w14:textId="77777777">
        <w:trPr>
          <w:divId w:val="1361589429"/>
          <w:jc w:val="center"/>
        </w:trPr>
        <w:tc>
          <w:tcPr>
            <w:tcW w:w="50" w:type="pct"/>
            <w:vAlign w:val="center"/>
            <w:hideMark/>
          </w:tcPr>
          <w:p w14:paraId="223668F6" w14:textId="77777777" w:rsidR="00000000" w:rsidRDefault="00EE5306">
            <w:pPr>
              <w:rPr>
                <w:rFonts w:eastAsia="Times New Roman"/>
              </w:rPr>
            </w:pPr>
          </w:p>
        </w:tc>
        <w:tc>
          <w:tcPr>
            <w:tcW w:w="688" w:type="pct"/>
            <w:vAlign w:val="center"/>
            <w:hideMark/>
          </w:tcPr>
          <w:p w14:paraId="1C655B9E" w14:textId="77777777" w:rsidR="00000000" w:rsidRDefault="00EE5306">
            <w:pPr>
              <w:spacing w:after="100"/>
              <w:rPr>
                <w:rFonts w:eastAsia="Times New Roman"/>
                <w:sz w:val="20"/>
                <w:szCs w:val="20"/>
              </w:rPr>
            </w:pPr>
          </w:p>
        </w:tc>
        <w:tc>
          <w:tcPr>
            <w:tcW w:w="5" w:type="pct"/>
            <w:vAlign w:val="center"/>
            <w:hideMark/>
          </w:tcPr>
          <w:p w14:paraId="7778835A" w14:textId="77777777" w:rsidR="00000000" w:rsidRDefault="00EE5306">
            <w:pPr>
              <w:spacing w:after="100"/>
              <w:rPr>
                <w:rFonts w:eastAsia="Times New Roman"/>
                <w:sz w:val="20"/>
                <w:szCs w:val="20"/>
              </w:rPr>
            </w:pPr>
          </w:p>
        </w:tc>
        <w:tc>
          <w:tcPr>
            <w:tcW w:w="50" w:type="pct"/>
            <w:vAlign w:val="center"/>
            <w:hideMark/>
          </w:tcPr>
          <w:p w14:paraId="6554146C" w14:textId="77777777" w:rsidR="00000000" w:rsidRDefault="00EE5306">
            <w:pPr>
              <w:spacing w:after="100"/>
              <w:rPr>
                <w:rFonts w:eastAsia="Times New Roman"/>
                <w:sz w:val="20"/>
                <w:szCs w:val="20"/>
              </w:rPr>
            </w:pPr>
          </w:p>
        </w:tc>
        <w:tc>
          <w:tcPr>
            <w:tcW w:w="4201" w:type="pct"/>
            <w:vAlign w:val="center"/>
            <w:hideMark/>
          </w:tcPr>
          <w:p w14:paraId="65A04F78" w14:textId="77777777" w:rsidR="00000000" w:rsidRDefault="00EE5306">
            <w:pPr>
              <w:spacing w:after="100"/>
              <w:rPr>
                <w:rFonts w:eastAsia="Times New Roman"/>
                <w:sz w:val="20"/>
                <w:szCs w:val="20"/>
              </w:rPr>
            </w:pPr>
          </w:p>
        </w:tc>
        <w:tc>
          <w:tcPr>
            <w:tcW w:w="5" w:type="pct"/>
            <w:vAlign w:val="center"/>
            <w:hideMark/>
          </w:tcPr>
          <w:p w14:paraId="52159F6F" w14:textId="77777777" w:rsidR="00000000" w:rsidRDefault="00EE5306">
            <w:pPr>
              <w:spacing w:after="100"/>
              <w:rPr>
                <w:rFonts w:eastAsia="Times New Roman"/>
                <w:sz w:val="20"/>
                <w:szCs w:val="20"/>
              </w:rPr>
            </w:pPr>
          </w:p>
        </w:tc>
      </w:tr>
      <w:tr w:rsidR="00000000" w14:paraId="6E0FA099" w14:textId="77777777">
        <w:trPr>
          <w:divId w:val="1361589429"/>
          <w:jc w:val="center"/>
        </w:trPr>
        <w:tc>
          <w:tcPr>
            <w:tcW w:w="0" w:type="auto"/>
            <w:gridSpan w:val="3"/>
            <w:tcMar>
              <w:top w:w="0" w:type="dxa"/>
              <w:left w:w="20" w:type="dxa"/>
              <w:bottom w:w="0" w:type="dxa"/>
              <w:right w:w="20" w:type="dxa"/>
            </w:tcMar>
            <w:vAlign w:val="center"/>
            <w:hideMark/>
          </w:tcPr>
          <w:p w14:paraId="62B89B75"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F30CC04" w14:textId="77777777" w:rsidR="00000000" w:rsidRDefault="00EE5306">
            <w:pPr>
              <w:spacing w:after="100"/>
              <w:rPr>
                <w:rFonts w:eastAsia="Times New Roman"/>
              </w:rPr>
            </w:pPr>
            <w:r>
              <w:rPr>
                <w:rFonts w:eastAsia="Times New Roman"/>
                <w:b/>
                <w:bCs/>
                <w:color w:val="000000"/>
                <w:sz w:val="20"/>
                <w:szCs w:val="20"/>
              </w:rPr>
              <w:t>Impairment of Long-Lived Assets</w:t>
            </w:r>
          </w:p>
        </w:tc>
      </w:tr>
      <w:tr w:rsidR="00000000" w14:paraId="3D1DDEC6" w14:textId="77777777">
        <w:trPr>
          <w:divId w:val="1361589429"/>
          <w:trHeight w:val="300"/>
          <w:jc w:val="center"/>
        </w:trPr>
        <w:tc>
          <w:tcPr>
            <w:tcW w:w="0" w:type="auto"/>
            <w:gridSpan w:val="3"/>
            <w:tcMar>
              <w:top w:w="0" w:type="dxa"/>
              <w:left w:w="20" w:type="dxa"/>
              <w:bottom w:w="0" w:type="dxa"/>
              <w:right w:w="20" w:type="dxa"/>
            </w:tcMar>
            <w:vAlign w:val="center"/>
            <w:hideMark/>
          </w:tcPr>
          <w:p w14:paraId="6891040B" w14:textId="77777777" w:rsidR="00000000" w:rsidRDefault="00EE5306">
            <w:pPr>
              <w:spacing w:after="100"/>
              <w:rPr>
                <w:rFonts w:eastAsia="Times New Roman"/>
              </w:rPr>
            </w:pPr>
          </w:p>
        </w:tc>
        <w:tc>
          <w:tcPr>
            <w:tcW w:w="0" w:type="auto"/>
            <w:gridSpan w:val="3"/>
            <w:tcMar>
              <w:top w:w="0" w:type="dxa"/>
              <w:left w:w="20" w:type="dxa"/>
              <w:bottom w:w="0" w:type="dxa"/>
              <w:right w:w="20" w:type="dxa"/>
            </w:tcMar>
            <w:vAlign w:val="center"/>
            <w:hideMark/>
          </w:tcPr>
          <w:p w14:paraId="1E54FA95" w14:textId="77777777" w:rsidR="00000000" w:rsidRDefault="00EE5306">
            <w:pPr>
              <w:spacing w:after="100"/>
              <w:rPr>
                <w:rFonts w:eastAsia="Times New Roman"/>
                <w:sz w:val="20"/>
                <w:szCs w:val="20"/>
              </w:rPr>
            </w:pPr>
          </w:p>
        </w:tc>
      </w:tr>
      <w:tr w:rsidR="00000000" w14:paraId="5C16319E" w14:textId="77777777">
        <w:trPr>
          <w:divId w:val="1361589429"/>
          <w:jc w:val="center"/>
        </w:trPr>
        <w:tc>
          <w:tcPr>
            <w:tcW w:w="0" w:type="auto"/>
            <w:gridSpan w:val="3"/>
            <w:tcMar>
              <w:top w:w="30" w:type="dxa"/>
              <w:left w:w="20" w:type="dxa"/>
              <w:bottom w:w="30" w:type="dxa"/>
              <w:right w:w="20" w:type="dxa"/>
            </w:tcMar>
            <w:hideMark/>
          </w:tcPr>
          <w:p w14:paraId="3DF8380F" w14:textId="77777777" w:rsidR="00000000" w:rsidRDefault="00EE5306">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14:paraId="768B6107" w14:textId="77777777" w:rsidR="00000000" w:rsidRDefault="00EE5306">
            <w:pPr>
              <w:spacing w:after="100"/>
              <w:jc w:val="both"/>
              <w:rPr>
                <w:rFonts w:eastAsia="Times New Roman"/>
              </w:rPr>
            </w:pPr>
            <w:r>
              <w:rPr>
                <w:rFonts w:eastAsia="Times New Roman"/>
                <w:color w:val="000000"/>
                <w:sz w:val="20"/>
                <w:szCs w:val="20"/>
              </w:rPr>
              <w:t>As discussed in Note 8 to the consolidated financial statements, the Company recorded non-cash impairment charges of $96.0 million to write-down certain long-lived assets (property and equipment and operating lease right-of-use ("ROU") assets).</w:t>
            </w:r>
            <w:r>
              <w:rPr>
                <w:rFonts w:eastAsia="Times New Roman"/>
                <w:color w:val="000000"/>
                <w:sz w:val="20"/>
                <w:szCs w:val="20"/>
              </w:rPr>
              <w:br/>
            </w:r>
            <w:r>
              <w:rPr>
                <w:rFonts w:eastAsia="Times New Roman"/>
                <w:sz w:val="20"/>
                <w:szCs w:val="20"/>
              </w:rPr>
              <w:br/>
            </w:r>
            <w:r>
              <w:rPr>
                <w:rFonts w:eastAsia="Times New Roman"/>
                <w:color w:val="000000"/>
                <w:sz w:val="20"/>
                <w:szCs w:val="20"/>
              </w:rPr>
              <w:t>The Compan</w:t>
            </w:r>
            <w:r>
              <w:rPr>
                <w:rFonts w:eastAsia="Times New Roman"/>
                <w:color w:val="000000"/>
                <w:sz w:val="20"/>
                <w:szCs w:val="20"/>
              </w:rPr>
              <w:t>y evaluates its long-lived assets for impairment periodically whenever events or changes in circumstances indicate that their related carrying values may not be fully recoverable. In evaluating long-lived assets for recoverability, the Company uses its bes</w:t>
            </w:r>
            <w:r>
              <w:rPr>
                <w:rFonts w:eastAsia="Times New Roman"/>
                <w:color w:val="000000"/>
                <w:sz w:val="20"/>
                <w:szCs w:val="20"/>
              </w:rPr>
              <w:t>t estimate of future cash flows expected to result from its use of the asset and its eventual disposition, where applicable. If such estimated future undiscounted net cash flows attributable to the asset are less than its carrying value, an impairment loss</w:t>
            </w:r>
            <w:r>
              <w:rPr>
                <w:rFonts w:eastAsia="Times New Roman"/>
                <w:color w:val="000000"/>
                <w:sz w:val="20"/>
                <w:szCs w:val="20"/>
              </w:rPr>
              <w:t xml:space="preserve"> is recognized to the extent that such asset's carrying value exceeds its fair value, as estimated considering external market participant assumptions and discounted cash flows. To the extent any ROU assets, along with any related long-lived assets, are ul</w:t>
            </w:r>
            <w:r>
              <w:rPr>
                <w:rFonts w:eastAsia="Times New Roman"/>
                <w:color w:val="000000"/>
                <w:sz w:val="20"/>
                <w:szCs w:val="20"/>
              </w:rPr>
              <w:t>timately determined to be impaired, they are written down accordingly on a relative carrying amount basis, with the ROU asset written down to an amount no lower than its estimated fair value.</w:t>
            </w:r>
            <w:r>
              <w:rPr>
                <w:rFonts w:eastAsia="Times New Roman"/>
                <w:color w:val="000000"/>
                <w:sz w:val="20"/>
                <w:szCs w:val="20"/>
              </w:rPr>
              <w:br/>
            </w:r>
            <w:r>
              <w:rPr>
                <w:rFonts w:eastAsia="Times New Roman"/>
                <w:sz w:val="20"/>
                <w:szCs w:val="20"/>
              </w:rPr>
              <w:br/>
            </w:r>
            <w:r>
              <w:rPr>
                <w:rFonts w:eastAsia="Times New Roman"/>
                <w:color w:val="000000"/>
                <w:sz w:val="20"/>
                <w:szCs w:val="20"/>
              </w:rPr>
              <w:t>Auditing the Company's impairment assessment of long-lived asse</w:t>
            </w:r>
            <w:r>
              <w:rPr>
                <w:rFonts w:eastAsia="Times New Roman"/>
                <w:color w:val="000000"/>
                <w:sz w:val="20"/>
                <w:szCs w:val="20"/>
              </w:rPr>
              <w:t>ts was complex and highly judgmental due to the significant estimation required in determining the future cash flows used to assess recoverability of each long-lived asset or asset group (undiscounted) and determining the fair value (discounted). The signi</w:t>
            </w:r>
            <w:r>
              <w:rPr>
                <w:rFonts w:eastAsia="Times New Roman"/>
                <w:color w:val="000000"/>
                <w:sz w:val="20"/>
                <w:szCs w:val="20"/>
              </w:rPr>
              <w:t>ficant assumptions used include estimated future cash flows to be generated by the Company's long-lived assets or asset groups and the discount rates used to determine fair value. Significant assumptions used in determining the fair value of ROU assets als</w:t>
            </w:r>
            <w:r>
              <w:rPr>
                <w:rFonts w:eastAsia="Times New Roman"/>
                <w:color w:val="000000"/>
                <w:sz w:val="20"/>
                <w:szCs w:val="20"/>
              </w:rPr>
              <w:t>o include current market rental rates and projected escalations as well as the discount rates applied for the respective remaining lease term. These assumptions are subjective in nature and are affected by expectations about future market or economic condi</w:t>
            </w:r>
            <w:r>
              <w:rPr>
                <w:rFonts w:eastAsia="Times New Roman"/>
                <w:color w:val="000000"/>
                <w:sz w:val="20"/>
                <w:szCs w:val="20"/>
              </w:rPr>
              <w:t>tions (including the effects of the global pandemic).</w:t>
            </w:r>
          </w:p>
        </w:tc>
      </w:tr>
      <w:tr w:rsidR="00000000" w14:paraId="10F06CEF" w14:textId="77777777">
        <w:trPr>
          <w:divId w:val="1361589429"/>
          <w:trHeight w:val="300"/>
          <w:jc w:val="center"/>
        </w:trPr>
        <w:tc>
          <w:tcPr>
            <w:tcW w:w="0" w:type="auto"/>
            <w:gridSpan w:val="3"/>
            <w:tcMar>
              <w:top w:w="0" w:type="dxa"/>
              <w:left w:w="20" w:type="dxa"/>
              <w:bottom w:w="0" w:type="dxa"/>
              <w:right w:w="20" w:type="dxa"/>
            </w:tcMar>
            <w:vAlign w:val="center"/>
            <w:hideMark/>
          </w:tcPr>
          <w:p w14:paraId="5A7A5FC6" w14:textId="77777777" w:rsidR="00000000" w:rsidRDefault="00EE5306">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3B925EB" w14:textId="77777777" w:rsidR="00000000" w:rsidRDefault="00EE5306">
            <w:pPr>
              <w:spacing w:after="100"/>
              <w:rPr>
                <w:rFonts w:eastAsia="Times New Roman"/>
                <w:sz w:val="20"/>
                <w:szCs w:val="20"/>
              </w:rPr>
            </w:pPr>
          </w:p>
        </w:tc>
      </w:tr>
      <w:tr w:rsidR="00000000" w14:paraId="4272FD25" w14:textId="77777777">
        <w:trPr>
          <w:divId w:val="1361589429"/>
          <w:jc w:val="center"/>
        </w:trPr>
        <w:tc>
          <w:tcPr>
            <w:tcW w:w="0" w:type="auto"/>
            <w:gridSpan w:val="3"/>
            <w:tcMar>
              <w:top w:w="30" w:type="dxa"/>
              <w:left w:w="20" w:type="dxa"/>
              <w:bottom w:w="30" w:type="dxa"/>
              <w:right w:w="20" w:type="dxa"/>
            </w:tcMar>
            <w:hideMark/>
          </w:tcPr>
          <w:p w14:paraId="728FC804" w14:textId="77777777" w:rsidR="00000000" w:rsidRDefault="00EE5306">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14:paraId="10F92E54" w14:textId="77777777" w:rsidR="00000000" w:rsidRDefault="00EE5306">
            <w:pPr>
              <w:spacing w:after="100"/>
              <w:jc w:val="both"/>
              <w:rPr>
                <w:rFonts w:eastAsia="Times New Roman"/>
              </w:rPr>
            </w:pPr>
            <w:r>
              <w:rPr>
                <w:rFonts w:eastAsia="Times New Roman"/>
                <w:color w:val="000000"/>
                <w:sz w:val="20"/>
                <w:szCs w:val="20"/>
              </w:rPr>
              <w:t>We obtained an understanding, evaluated the design and tested the operating effectiveness of controls over the long-lived assets impairment process, including determining the undiscounted future cash flows of the Company's long-lived assets or asset groups</w:t>
            </w:r>
            <w:r>
              <w:rPr>
                <w:rFonts w:eastAsia="Times New Roman"/>
                <w:color w:val="000000"/>
                <w:sz w:val="20"/>
                <w:szCs w:val="20"/>
              </w:rPr>
              <w:t xml:space="preserve"> and the fair value of the long-lived assets for the assets that were deemed to be impaired. </w:t>
            </w:r>
            <w:r>
              <w:rPr>
                <w:rFonts w:eastAsia="Times New Roman"/>
                <w:color w:val="000000"/>
                <w:sz w:val="20"/>
                <w:szCs w:val="20"/>
              </w:rPr>
              <w:br/>
            </w:r>
            <w:r>
              <w:rPr>
                <w:rFonts w:eastAsia="Times New Roman"/>
                <w:sz w:val="20"/>
                <w:szCs w:val="20"/>
              </w:rPr>
              <w:br/>
            </w:r>
            <w:r>
              <w:rPr>
                <w:rFonts w:eastAsia="Times New Roman"/>
                <w:color w:val="000000"/>
                <w:sz w:val="20"/>
                <w:szCs w:val="20"/>
              </w:rPr>
              <w:t>Our testing of the impairment charges recorded by the Company included, among other procedures, evaluating the significant assumptions and data used to calculate</w:t>
            </w:r>
            <w:r>
              <w:rPr>
                <w:rFonts w:eastAsia="Times New Roman"/>
                <w:color w:val="000000"/>
                <w:sz w:val="20"/>
                <w:szCs w:val="20"/>
              </w:rPr>
              <w:t xml:space="preserve"> the estimated future cash flows and to determine the fair value of the related long-lived assets. We tested the completeness and accuracy of the data used by the Company in its analyses and we compared the significant assumptions used to determine the for</w:t>
            </w:r>
            <w:r>
              <w:rPr>
                <w:rFonts w:eastAsia="Times New Roman"/>
                <w:color w:val="000000"/>
                <w:sz w:val="20"/>
                <w:szCs w:val="20"/>
              </w:rPr>
              <w:t>ecasted cash flows to historical results, current industry and economic trends and inquired of the Company's executives to understand the business initiatives supporting the assumptions in the future cash flows. We involved our internal valuation specialis</w:t>
            </w:r>
            <w:r>
              <w:rPr>
                <w:rFonts w:eastAsia="Times New Roman"/>
                <w:color w:val="000000"/>
                <w:sz w:val="20"/>
                <w:szCs w:val="20"/>
              </w:rPr>
              <w:t>ts to assist in evaluating the fair value of certain of the assets, which included assessing the estimated market rental rates of these leases by comparing them to rental rates for comparable leases and evaluating the applied discount rates.</w:t>
            </w:r>
          </w:p>
        </w:tc>
      </w:tr>
    </w:tbl>
    <w:p w14:paraId="506649DC" w14:textId="77777777" w:rsidR="00000000" w:rsidRDefault="00EE5306">
      <w:pPr>
        <w:jc w:val="both"/>
        <w:divId w:val="709648149"/>
        <w:rPr>
          <w:rFonts w:eastAsia="Times New Roman"/>
        </w:rPr>
      </w:pPr>
      <w:r>
        <w:rPr>
          <w:rFonts w:eastAsia="Times New Roman"/>
          <w:color w:val="000000"/>
          <w:sz w:val="20"/>
          <w:szCs w:val="20"/>
        </w:rPr>
        <w:t>/s/ </w:t>
      </w:r>
      <w:r>
        <w:rPr>
          <w:rFonts w:eastAsia="Times New Roman"/>
          <w:color w:val="000000"/>
          <w:sz w:val="20"/>
          <w:szCs w:val="20"/>
        </w:rPr>
        <w:t>Ernst &amp; Young LLP</w:t>
      </w:r>
    </w:p>
    <w:p w14:paraId="7F2C5974" w14:textId="77777777" w:rsidR="00000000" w:rsidRDefault="00EE5306">
      <w:pPr>
        <w:jc w:val="both"/>
        <w:divId w:val="1290476127"/>
        <w:rPr>
          <w:rFonts w:eastAsia="Times New Roman"/>
        </w:rPr>
      </w:pPr>
      <w:r>
        <w:rPr>
          <w:rFonts w:eastAsia="Times New Roman"/>
          <w:color w:val="000000"/>
          <w:sz w:val="20"/>
          <w:szCs w:val="20"/>
        </w:rPr>
        <w:t>We have served as the Company's auditor since 2008.</w:t>
      </w:r>
    </w:p>
    <w:p w14:paraId="6370C3DB" w14:textId="77777777" w:rsidR="00000000" w:rsidRDefault="00EE5306">
      <w:pPr>
        <w:jc w:val="both"/>
        <w:divId w:val="771894847"/>
        <w:rPr>
          <w:rFonts w:eastAsia="Times New Roman"/>
        </w:rPr>
      </w:pPr>
      <w:r>
        <w:rPr>
          <w:rFonts w:eastAsia="Times New Roman"/>
          <w:color w:val="000000"/>
          <w:sz w:val="20"/>
          <w:szCs w:val="20"/>
        </w:rPr>
        <w:t>New York, New York</w:t>
      </w:r>
    </w:p>
    <w:p w14:paraId="78168731" w14:textId="77777777" w:rsidR="00000000" w:rsidRDefault="00EE5306">
      <w:pPr>
        <w:jc w:val="both"/>
        <w:rPr>
          <w:rFonts w:eastAsia="Times New Roman"/>
        </w:rPr>
      </w:pPr>
      <w:r>
        <w:rPr>
          <w:rFonts w:eastAsia="Times New Roman"/>
          <w:color w:val="000000"/>
          <w:sz w:val="20"/>
          <w:szCs w:val="20"/>
        </w:rPr>
        <w:t>May 20,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4FC5A4A9" w14:textId="77777777">
        <w:trPr>
          <w:divId w:val="621350991"/>
          <w:jc w:val="center"/>
        </w:trPr>
        <w:tc>
          <w:tcPr>
            <w:tcW w:w="50" w:type="pct"/>
            <w:vAlign w:val="center"/>
            <w:hideMark/>
          </w:tcPr>
          <w:p w14:paraId="134D4C74" w14:textId="77777777" w:rsidR="00000000" w:rsidRDefault="00EE5306">
            <w:pPr>
              <w:jc w:val="both"/>
              <w:rPr>
                <w:rFonts w:eastAsia="Times New Roman"/>
              </w:rPr>
            </w:pPr>
          </w:p>
        </w:tc>
        <w:tc>
          <w:tcPr>
            <w:tcW w:w="1699" w:type="pct"/>
            <w:vAlign w:val="center"/>
            <w:hideMark/>
          </w:tcPr>
          <w:p w14:paraId="177AB61D" w14:textId="77777777" w:rsidR="00000000" w:rsidRDefault="00EE5306">
            <w:pPr>
              <w:spacing w:after="100"/>
              <w:rPr>
                <w:rFonts w:eastAsia="Times New Roman"/>
                <w:sz w:val="20"/>
                <w:szCs w:val="20"/>
              </w:rPr>
            </w:pPr>
          </w:p>
        </w:tc>
        <w:tc>
          <w:tcPr>
            <w:tcW w:w="5" w:type="pct"/>
            <w:vAlign w:val="center"/>
            <w:hideMark/>
          </w:tcPr>
          <w:p w14:paraId="59A9444F" w14:textId="77777777" w:rsidR="00000000" w:rsidRDefault="00EE5306">
            <w:pPr>
              <w:spacing w:after="100"/>
              <w:rPr>
                <w:rFonts w:eastAsia="Times New Roman"/>
                <w:sz w:val="20"/>
                <w:szCs w:val="20"/>
              </w:rPr>
            </w:pPr>
          </w:p>
        </w:tc>
        <w:tc>
          <w:tcPr>
            <w:tcW w:w="50" w:type="pct"/>
            <w:vAlign w:val="center"/>
            <w:hideMark/>
          </w:tcPr>
          <w:p w14:paraId="4DAE795E" w14:textId="77777777" w:rsidR="00000000" w:rsidRDefault="00EE5306">
            <w:pPr>
              <w:spacing w:after="100"/>
              <w:rPr>
                <w:rFonts w:eastAsia="Times New Roman"/>
                <w:sz w:val="20"/>
                <w:szCs w:val="20"/>
              </w:rPr>
            </w:pPr>
          </w:p>
        </w:tc>
        <w:tc>
          <w:tcPr>
            <w:tcW w:w="1436" w:type="pct"/>
            <w:vAlign w:val="center"/>
            <w:hideMark/>
          </w:tcPr>
          <w:p w14:paraId="3972EFDA" w14:textId="77777777" w:rsidR="00000000" w:rsidRDefault="00EE5306">
            <w:pPr>
              <w:spacing w:after="100"/>
              <w:rPr>
                <w:rFonts w:eastAsia="Times New Roman"/>
                <w:sz w:val="20"/>
                <w:szCs w:val="20"/>
              </w:rPr>
            </w:pPr>
          </w:p>
        </w:tc>
        <w:tc>
          <w:tcPr>
            <w:tcW w:w="5" w:type="pct"/>
            <w:vAlign w:val="center"/>
            <w:hideMark/>
          </w:tcPr>
          <w:p w14:paraId="09685CD5" w14:textId="77777777" w:rsidR="00000000" w:rsidRDefault="00EE5306">
            <w:pPr>
              <w:spacing w:after="100"/>
              <w:rPr>
                <w:rFonts w:eastAsia="Times New Roman"/>
                <w:sz w:val="20"/>
                <w:szCs w:val="20"/>
              </w:rPr>
            </w:pPr>
          </w:p>
        </w:tc>
        <w:tc>
          <w:tcPr>
            <w:tcW w:w="50" w:type="pct"/>
            <w:vAlign w:val="center"/>
            <w:hideMark/>
          </w:tcPr>
          <w:p w14:paraId="03BE1AAB" w14:textId="77777777" w:rsidR="00000000" w:rsidRDefault="00EE5306">
            <w:pPr>
              <w:spacing w:after="100"/>
              <w:rPr>
                <w:rFonts w:eastAsia="Times New Roman"/>
                <w:sz w:val="20"/>
                <w:szCs w:val="20"/>
              </w:rPr>
            </w:pPr>
          </w:p>
        </w:tc>
        <w:tc>
          <w:tcPr>
            <w:tcW w:w="1699" w:type="pct"/>
            <w:vAlign w:val="center"/>
            <w:hideMark/>
          </w:tcPr>
          <w:p w14:paraId="2F11C9F2" w14:textId="77777777" w:rsidR="00000000" w:rsidRDefault="00EE5306">
            <w:pPr>
              <w:spacing w:after="100"/>
              <w:rPr>
                <w:rFonts w:eastAsia="Times New Roman"/>
                <w:sz w:val="20"/>
                <w:szCs w:val="20"/>
              </w:rPr>
            </w:pPr>
          </w:p>
        </w:tc>
        <w:tc>
          <w:tcPr>
            <w:tcW w:w="5" w:type="pct"/>
            <w:vAlign w:val="center"/>
            <w:hideMark/>
          </w:tcPr>
          <w:p w14:paraId="587D08C0" w14:textId="77777777" w:rsidR="00000000" w:rsidRDefault="00EE5306">
            <w:pPr>
              <w:spacing w:after="100"/>
              <w:rPr>
                <w:rFonts w:eastAsia="Times New Roman"/>
                <w:sz w:val="20"/>
                <w:szCs w:val="20"/>
              </w:rPr>
            </w:pPr>
          </w:p>
        </w:tc>
      </w:tr>
      <w:tr w:rsidR="00000000" w14:paraId="2C4F0D05" w14:textId="77777777">
        <w:trPr>
          <w:divId w:val="621350991"/>
          <w:jc w:val="center"/>
        </w:trPr>
        <w:tc>
          <w:tcPr>
            <w:tcW w:w="0" w:type="auto"/>
            <w:gridSpan w:val="3"/>
            <w:tcMar>
              <w:top w:w="0" w:type="dxa"/>
              <w:left w:w="20" w:type="dxa"/>
              <w:bottom w:w="0" w:type="dxa"/>
              <w:right w:w="20" w:type="dxa"/>
            </w:tcMar>
            <w:vAlign w:val="center"/>
            <w:hideMark/>
          </w:tcPr>
          <w:p w14:paraId="6C4ACB59"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67FB03" w14:textId="77777777" w:rsidR="00000000" w:rsidRDefault="00EE5306">
            <w:pPr>
              <w:spacing w:after="100"/>
              <w:jc w:val="center"/>
              <w:rPr>
                <w:rFonts w:eastAsia="Times New Roman"/>
              </w:rPr>
            </w:pPr>
            <w:r>
              <w:rPr>
                <w:rFonts w:eastAsia="Times New Roman"/>
                <w:color w:val="000000"/>
                <w:sz w:val="20"/>
                <w:szCs w:val="20"/>
              </w:rPr>
              <w:t>F-61</w:t>
            </w:r>
          </w:p>
        </w:tc>
        <w:tc>
          <w:tcPr>
            <w:tcW w:w="0" w:type="auto"/>
            <w:gridSpan w:val="3"/>
            <w:tcMar>
              <w:top w:w="0" w:type="dxa"/>
              <w:left w:w="20" w:type="dxa"/>
              <w:bottom w:w="0" w:type="dxa"/>
              <w:right w:w="20" w:type="dxa"/>
            </w:tcMar>
            <w:vAlign w:val="center"/>
            <w:hideMark/>
          </w:tcPr>
          <w:p w14:paraId="0C15684D" w14:textId="77777777" w:rsidR="00000000" w:rsidRDefault="00EE5306">
            <w:pPr>
              <w:spacing w:after="100"/>
              <w:jc w:val="center"/>
              <w:rPr>
                <w:rFonts w:eastAsia="Times New Roman"/>
              </w:rPr>
            </w:pPr>
          </w:p>
        </w:tc>
      </w:tr>
    </w:tbl>
    <w:p w14:paraId="6FB33162" w14:textId="77777777" w:rsidR="00000000" w:rsidRDefault="00EE5306">
      <w:pPr>
        <w:rPr>
          <w:rFonts w:eastAsia="Times New Roman"/>
        </w:rPr>
      </w:pPr>
      <w:r>
        <w:rPr>
          <w:rFonts w:eastAsia="Times New Roman"/>
        </w:rPr>
        <w:pict w14:anchorId="1CAA1E2A">
          <v:rect id="_x0000_i1171" style="width:0;height:1.5pt" o:hralign="center" o:hrstd="t" o:hr="t" fillcolor="#a0a0a0" stroked="f"/>
        </w:pict>
      </w:r>
    </w:p>
    <w:p w14:paraId="487A8220" w14:textId="77777777" w:rsidR="00000000" w:rsidRDefault="00EE5306">
      <w:pPr>
        <w:divId w:val="1666281287"/>
        <w:rPr>
          <w:rFonts w:eastAsia="Times New Roman"/>
        </w:rPr>
      </w:pPr>
    </w:p>
    <w:p w14:paraId="1EDED37A" w14:textId="77777777" w:rsidR="00000000" w:rsidRDefault="00EE5306">
      <w:pPr>
        <w:jc w:val="center"/>
        <w:divId w:val="531578048"/>
        <w:rPr>
          <w:rFonts w:eastAsia="Times New Roman"/>
        </w:rPr>
      </w:pPr>
      <w:r>
        <w:rPr>
          <w:rFonts w:eastAsia="Times New Roman"/>
          <w:b/>
          <w:bCs/>
          <w:color w:val="000000"/>
          <w:sz w:val="20"/>
          <w:szCs w:val="20"/>
        </w:rPr>
        <w:t>REPORT OF INDEPENDENT REGISTERED PUBLIC ACCOUNTING FIRM</w:t>
      </w:r>
    </w:p>
    <w:p w14:paraId="6563BE98" w14:textId="77777777" w:rsidR="00000000" w:rsidRDefault="00EE5306">
      <w:pPr>
        <w:jc w:val="both"/>
        <w:divId w:val="814684858"/>
        <w:rPr>
          <w:rFonts w:eastAsia="Times New Roman"/>
        </w:rPr>
      </w:pPr>
      <w:r>
        <w:rPr>
          <w:rFonts w:eastAsia="Times New Roman"/>
          <w:color w:val="000000"/>
          <w:sz w:val="20"/>
          <w:szCs w:val="20"/>
        </w:rPr>
        <w:t>The Board of Directors and Shareholders of Ralph Lauren Corporation</w:t>
      </w:r>
    </w:p>
    <w:p w14:paraId="3E93ADCD" w14:textId="77777777" w:rsidR="00000000" w:rsidRDefault="00EE5306">
      <w:pPr>
        <w:jc w:val="both"/>
        <w:divId w:val="1742095921"/>
        <w:rPr>
          <w:rFonts w:eastAsia="Times New Roman"/>
        </w:rPr>
      </w:pPr>
      <w:r>
        <w:rPr>
          <w:rFonts w:eastAsia="Times New Roman"/>
          <w:b/>
          <w:bCs/>
          <w:color w:val="000000"/>
          <w:sz w:val="20"/>
          <w:szCs w:val="20"/>
        </w:rPr>
        <w:t>Opinion on Internal Control over Financial Reporting</w:t>
      </w:r>
    </w:p>
    <w:p w14:paraId="427F707B" w14:textId="77777777" w:rsidR="00000000" w:rsidRDefault="00EE5306">
      <w:pPr>
        <w:ind w:firstLine="450"/>
        <w:jc w:val="both"/>
        <w:divId w:val="1380088274"/>
        <w:rPr>
          <w:rFonts w:eastAsia="Times New Roman"/>
        </w:rPr>
      </w:pPr>
      <w:r>
        <w:rPr>
          <w:rFonts w:eastAsia="Times New Roman"/>
          <w:color w:val="000000"/>
          <w:sz w:val="20"/>
          <w:szCs w:val="20"/>
        </w:rPr>
        <w:t xml:space="preserve">We have audited Ralph Lauren Corporation's internal control over financial reporting as of March 27, 2021, based on criteria established in Internal Control </w:t>
      </w:r>
      <w:r>
        <w:rPr>
          <w:rFonts w:eastAsia="Times New Roman"/>
          <w:i/>
          <w:iCs/>
          <w:color w:val="000000"/>
          <w:sz w:val="20"/>
          <w:szCs w:val="20"/>
        </w:rPr>
        <w:t>—</w:t>
      </w:r>
      <w:r>
        <w:rPr>
          <w:rFonts w:eastAsia="Times New Roman"/>
          <w:color w:val="000000"/>
          <w:sz w:val="20"/>
          <w:szCs w:val="20"/>
        </w:rPr>
        <w:t xml:space="preserve"> Integrated Framework issued by the Committee</w:t>
      </w:r>
      <w:r>
        <w:rPr>
          <w:rFonts w:eastAsia="Times New Roman"/>
          <w:color w:val="000000"/>
          <w:sz w:val="20"/>
          <w:szCs w:val="20"/>
        </w:rPr>
        <w:t xml:space="preserve"> of Sponsoring Organizations of the Treadway Commission (2013 framework) (the COSO criteria). In our opinion, Ralph Lauren Corporation (the Company) maintained, in all material respects, effective internal control over financial reporting as of March 27, 2</w:t>
      </w:r>
      <w:r>
        <w:rPr>
          <w:rFonts w:eastAsia="Times New Roman"/>
          <w:color w:val="000000"/>
          <w:sz w:val="20"/>
          <w:szCs w:val="20"/>
        </w:rPr>
        <w:t>021, based on the COSO criteria.</w:t>
      </w:r>
    </w:p>
    <w:p w14:paraId="2E0B04D0" w14:textId="77777777" w:rsidR="00000000" w:rsidRDefault="00EE5306">
      <w:pPr>
        <w:ind w:firstLine="450"/>
        <w:jc w:val="both"/>
        <w:divId w:val="291835430"/>
        <w:rPr>
          <w:rFonts w:eastAsia="Times New Roman"/>
        </w:rPr>
      </w:pPr>
      <w:r>
        <w:rPr>
          <w:rFonts w:eastAsia="Times New Roman"/>
          <w:color w:val="000000"/>
          <w:sz w:val="20"/>
          <w:szCs w:val="20"/>
        </w:rPr>
        <w:t>We have also audited, in accordance with the standards of the Public Company Accounting Oversight Board (United States) (PCAOB), the consolidated balance sheets of the Company as of March 27, 2021 and March 28, 2020, and th</w:t>
      </w:r>
      <w:r>
        <w:rPr>
          <w:rFonts w:eastAsia="Times New Roman"/>
          <w:color w:val="000000"/>
          <w:sz w:val="20"/>
          <w:szCs w:val="20"/>
        </w:rPr>
        <w:t>e related consolidated statements of operations, comprehensive income (loss), equity, and cash flows for each of the three years in the period ended March 27, 2021, and the related notes and our report dated May 20, 2021 expressed an unqualified opinion th</w:t>
      </w:r>
      <w:r>
        <w:rPr>
          <w:rFonts w:eastAsia="Times New Roman"/>
          <w:color w:val="000000"/>
          <w:sz w:val="20"/>
          <w:szCs w:val="20"/>
        </w:rPr>
        <w:t>ereon.</w:t>
      </w:r>
    </w:p>
    <w:p w14:paraId="77C46924" w14:textId="77777777" w:rsidR="00000000" w:rsidRDefault="00EE5306">
      <w:pPr>
        <w:jc w:val="both"/>
        <w:divId w:val="1280795971"/>
        <w:rPr>
          <w:rFonts w:eastAsia="Times New Roman"/>
        </w:rPr>
      </w:pPr>
      <w:r>
        <w:rPr>
          <w:rFonts w:eastAsia="Times New Roman"/>
          <w:b/>
          <w:bCs/>
          <w:color w:val="000000"/>
          <w:sz w:val="20"/>
          <w:szCs w:val="20"/>
        </w:rPr>
        <w:t>Basis for Opinion</w:t>
      </w:r>
    </w:p>
    <w:p w14:paraId="45027227" w14:textId="77777777" w:rsidR="00000000" w:rsidRDefault="00EE5306">
      <w:pPr>
        <w:ind w:firstLine="450"/>
        <w:jc w:val="both"/>
        <w:divId w:val="1435201819"/>
        <w:rPr>
          <w:rFonts w:eastAsia="Times New Roman"/>
        </w:rPr>
      </w:pPr>
      <w:r>
        <w:rPr>
          <w:rFonts w:eastAsia="Times New Roman"/>
          <w:color w:val="000000"/>
          <w:sz w:val="20"/>
          <w:szCs w:val="20"/>
        </w:rPr>
        <w:t>The Company's management is responsible for maintaining effective internal control over financial reporting and for its assessment of the effectiveness of internal control over financial reporting included in the accompanying Manag</w:t>
      </w:r>
      <w:r>
        <w:rPr>
          <w:rFonts w:eastAsia="Times New Roman"/>
          <w:color w:val="000000"/>
          <w:sz w:val="20"/>
          <w:szCs w:val="20"/>
        </w:rPr>
        <w:t>ement's Report on Internal Control Over Financial Reporting. Our responsibility is to express an opinion on the Company's internal control over financial reporting based on our audit. We are a public accounting firm registered with the PCAOB and are requir</w:t>
      </w:r>
      <w:r>
        <w:rPr>
          <w:rFonts w:eastAsia="Times New Roman"/>
          <w:color w:val="000000"/>
          <w:sz w:val="20"/>
          <w:szCs w:val="20"/>
        </w:rPr>
        <w:t xml:space="preserve">ed to be independent with respect to the Company in accordance with the U.S. federal securities laws and the applicable rules and regulations of the Securities and Exchange Commission and the PCAOB. </w:t>
      </w:r>
    </w:p>
    <w:p w14:paraId="09E2278D" w14:textId="77777777" w:rsidR="00000000" w:rsidRDefault="00EE5306">
      <w:pPr>
        <w:ind w:firstLine="450"/>
        <w:jc w:val="both"/>
        <w:divId w:val="1393849010"/>
        <w:rPr>
          <w:rFonts w:eastAsia="Times New Roman"/>
        </w:rPr>
      </w:pPr>
      <w:r>
        <w:rPr>
          <w:rFonts w:eastAsia="Times New Roman"/>
          <w:color w:val="000000"/>
          <w:sz w:val="20"/>
          <w:szCs w:val="20"/>
        </w:rPr>
        <w:t xml:space="preserve">We conducted our audit in accordance with the standards </w:t>
      </w:r>
      <w:r>
        <w:rPr>
          <w:rFonts w:eastAsia="Times New Roman"/>
          <w:color w:val="000000"/>
          <w:sz w:val="20"/>
          <w:szCs w:val="20"/>
        </w:rPr>
        <w:t xml:space="preserve">of the PCAOB. Those standards require that we plan and perform the audit to obtain reasonable assurance about whether effective internal control over financial reporting was maintained in all material respects. </w:t>
      </w:r>
    </w:p>
    <w:p w14:paraId="4413F67B" w14:textId="77777777" w:rsidR="00000000" w:rsidRDefault="00EE5306">
      <w:pPr>
        <w:ind w:firstLine="450"/>
        <w:jc w:val="both"/>
        <w:divId w:val="905919846"/>
        <w:rPr>
          <w:rFonts w:eastAsia="Times New Roman"/>
        </w:rPr>
      </w:pPr>
      <w:r>
        <w:rPr>
          <w:rFonts w:eastAsia="Times New Roman"/>
          <w:color w:val="000000"/>
          <w:sz w:val="20"/>
          <w:szCs w:val="20"/>
        </w:rPr>
        <w:t>Our audit included obtaining an understandin</w:t>
      </w:r>
      <w:r>
        <w:rPr>
          <w:rFonts w:eastAsia="Times New Roman"/>
          <w:color w:val="000000"/>
          <w:sz w:val="20"/>
          <w:szCs w:val="20"/>
        </w:rPr>
        <w:t>g of internal control over financial reporting, assessing the risk that a material weakness exists, testing and evaluating the design and operating effectiveness of internal control based on the assessed risk, and performing such other procedures as we con</w:t>
      </w:r>
      <w:r>
        <w:rPr>
          <w:rFonts w:eastAsia="Times New Roman"/>
          <w:color w:val="000000"/>
          <w:sz w:val="20"/>
          <w:szCs w:val="20"/>
        </w:rPr>
        <w:t>sidered necessary in the circumstances. We believe that our audit provides a reasonable basis for our opinion.</w:t>
      </w:r>
    </w:p>
    <w:p w14:paraId="4CE3B79B" w14:textId="77777777" w:rsidR="00000000" w:rsidRDefault="00EE5306">
      <w:pPr>
        <w:jc w:val="both"/>
        <w:divId w:val="2126581596"/>
        <w:rPr>
          <w:rFonts w:eastAsia="Times New Roman"/>
        </w:rPr>
      </w:pPr>
      <w:r>
        <w:rPr>
          <w:rFonts w:eastAsia="Times New Roman"/>
          <w:b/>
          <w:bCs/>
          <w:color w:val="000000"/>
          <w:sz w:val="20"/>
          <w:szCs w:val="20"/>
        </w:rPr>
        <w:t>Definition and Limitations of Internal Control Over Financial Reporting</w:t>
      </w:r>
    </w:p>
    <w:p w14:paraId="570796DD" w14:textId="77777777" w:rsidR="00000000" w:rsidRDefault="00EE5306">
      <w:pPr>
        <w:ind w:firstLine="450"/>
        <w:jc w:val="both"/>
        <w:divId w:val="1510290547"/>
        <w:rPr>
          <w:rFonts w:eastAsia="Times New Roman"/>
        </w:rPr>
      </w:pPr>
      <w:r>
        <w:rPr>
          <w:rFonts w:eastAsia="Times New Roman"/>
          <w:color w:val="000000"/>
          <w:sz w:val="20"/>
          <w:szCs w:val="20"/>
        </w:rPr>
        <w:t>A company's internal control over financial reporting is a process design</w:t>
      </w:r>
      <w:r>
        <w:rPr>
          <w:rFonts w:eastAsia="Times New Roman"/>
          <w:color w:val="000000"/>
          <w:sz w:val="20"/>
          <w:szCs w:val="20"/>
        </w:rPr>
        <w:t>ed to provide reasonable assurance regarding the reliability of financial reporting and the preparation of financial statements for external purposes in accordance with generally accepted accounting principles. A company's internal control over financial r</w:t>
      </w:r>
      <w:r>
        <w:rPr>
          <w:rFonts w:eastAsia="Times New Roman"/>
          <w:color w:val="000000"/>
          <w:sz w:val="20"/>
          <w:szCs w:val="20"/>
        </w:rPr>
        <w:t>eporting includes those policies and procedures that (1) pertain to the maintenance of records that, in reasonable detail, accurately and fairly reflect the transactions and dispositions of the assets of the company; (2) provide reasonable assurance that t</w:t>
      </w:r>
      <w:r>
        <w:rPr>
          <w:rFonts w:eastAsia="Times New Roman"/>
          <w:color w:val="000000"/>
          <w:sz w:val="20"/>
          <w:szCs w:val="20"/>
        </w:rPr>
        <w:t>ransactions are recorded as necessary to permit preparation of financial statements in accordance with generally accepted accounting principles, and that receipts and expenditures of the company are being made only in accordance with authorizations of mana</w:t>
      </w:r>
      <w:r>
        <w:rPr>
          <w:rFonts w:eastAsia="Times New Roman"/>
          <w:color w:val="000000"/>
          <w:sz w:val="20"/>
          <w:szCs w:val="20"/>
        </w:rPr>
        <w:t>gement and directors of the company; and (3) provide reasonable assurance regarding prevention or timely detection of unauthorized acquisition, use, or disposition of the company's assets that could have a material effect on the financial statements.</w:t>
      </w:r>
    </w:p>
    <w:p w14:paraId="59338928" w14:textId="77777777" w:rsidR="00000000" w:rsidRDefault="00EE5306">
      <w:pPr>
        <w:ind w:firstLine="450"/>
        <w:jc w:val="both"/>
        <w:divId w:val="1136949887"/>
        <w:rPr>
          <w:rFonts w:eastAsia="Times New Roman"/>
        </w:rPr>
      </w:pPr>
      <w:r>
        <w:rPr>
          <w:rFonts w:eastAsia="Times New Roman"/>
          <w:color w:val="000000"/>
          <w:sz w:val="20"/>
          <w:szCs w:val="20"/>
        </w:rPr>
        <w:t>Becau</w:t>
      </w:r>
      <w:r>
        <w:rPr>
          <w:rFonts w:eastAsia="Times New Roman"/>
          <w:color w:val="000000"/>
          <w:sz w:val="20"/>
          <w:szCs w:val="20"/>
        </w:rPr>
        <w:t>se of its inherent limitations, internal control over financial reporting may not prevent or detect misstatements. Also, projections of any evaluation of effectiveness to future periods are subject to the risk that controls may become inadequate because of</w:t>
      </w:r>
      <w:r>
        <w:rPr>
          <w:rFonts w:eastAsia="Times New Roman"/>
          <w:color w:val="000000"/>
          <w:sz w:val="20"/>
          <w:szCs w:val="20"/>
        </w:rPr>
        <w:t xml:space="preserve"> changes in conditions, or that the degree of compliance with the policies or procedures may deteriorate.</w:t>
      </w:r>
    </w:p>
    <w:p w14:paraId="29219A73" w14:textId="77777777" w:rsidR="00000000" w:rsidRDefault="00EE5306">
      <w:pPr>
        <w:jc w:val="both"/>
        <w:divId w:val="2081902057"/>
        <w:rPr>
          <w:rFonts w:eastAsia="Times New Roman"/>
        </w:rPr>
      </w:pPr>
      <w:r>
        <w:rPr>
          <w:rFonts w:eastAsia="Times New Roman"/>
          <w:color w:val="000000"/>
          <w:sz w:val="20"/>
          <w:szCs w:val="20"/>
        </w:rPr>
        <w:t xml:space="preserve">/s/ Ernst &amp; Young LLP </w:t>
      </w:r>
    </w:p>
    <w:p w14:paraId="092EFC3B" w14:textId="77777777" w:rsidR="00000000" w:rsidRDefault="00EE5306">
      <w:pPr>
        <w:jc w:val="both"/>
        <w:divId w:val="1911386757"/>
        <w:rPr>
          <w:rFonts w:eastAsia="Times New Roman"/>
        </w:rPr>
      </w:pPr>
      <w:r>
        <w:rPr>
          <w:rFonts w:eastAsia="Times New Roman"/>
          <w:color w:val="000000"/>
          <w:sz w:val="20"/>
          <w:szCs w:val="20"/>
        </w:rPr>
        <w:t xml:space="preserve">New York, New York </w:t>
      </w:r>
    </w:p>
    <w:p w14:paraId="6A8F1DBA" w14:textId="77777777" w:rsidR="00000000" w:rsidRDefault="00EE5306">
      <w:pPr>
        <w:jc w:val="both"/>
        <w:rPr>
          <w:rFonts w:eastAsia="Times New Roman"/>
        </w:rPr>
      </w:pPr>
      <w:r>
        <w:rPr>
          <w:rFonts w:eastAsia="Times New Roman"/>
          <w:color w:val="000000"/>
          <w:sz w:val="20"/>
          <w:szCs w:val="20"/>
        </w:rPr>
        <w:t>May 20,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14:paraId="77C03F1D" w14:textId="77777777">
        <w:trPr>
          <w:divId w:val="1655329394"/>
          <w:jc w:val="center"/>
        </w:trPr>
        <w:tc>
          <w:tcPr>
            <w:tcW w:w="50" w:type="pct"/>
            <w:vAlign w:val="center"/>
            <w:hideMark/>
          </w:tcPr>
          <w:p w14:paraId="0F744E8D" w14:textId="77777777" w:rsidR="00000000" w:rsidRDefault="00EE5306">
            <w:pPr>
              <w:jc w:val="both"/>
              <w:rPr>
                <w:rFonts w:eastAsia="Times New Roman"/>
              </w:rPr>
            </w:pPr>
          </w:p>
        </w:tc>
        <w:tc>
          <w:tcPr>
            <w:tcW w:w="1699" w:type="pct"/>
            <w:vAlign w:val="center"/>
            <w:hideMark/>
          </w:tcPr>
          <w:p w14:paraId="7BF632DD" w14:textId="77777777" w:rsidR="00000000" w:rsidRDefault="00EE5306">
            <w:pPr>
              <w:spacing w:after="100"/>
              <w:rPr>
                <w:rFonts w:eastAsia="Times New Roman"/>
                <w:sz w:val="20"/>
                <w:szCs w:val="20"/>
              </w:rPr>
            </w:pPr>
          </w:p>
        </w:tc>
        <w:tc>
          <w:tcPr>
            <w:tcW w:w="5" w:type="pct"/>
            <w:vAlign w:val="center"/>
            <w:hideMark/>
          </w:tcPr>
          <w:p w14:paraId="2F0A389B" w14:textId="77777777" w:rsidR="00000000" w:rsidRDefault="00EE5306">
            <w:pPr>
              <w:spacing w:after="100"/>
              <w:rPr>
                <w:rFonts w:eastAsia="Times New Roman"/>
                <w:sz w:val="20"/>
                <w:szCs w:val="20"/>
              </w:rPr>
            </w:pPr>
          </w:p>
        </w:tc>
        <w:tc>
          <w:tcPr>
            <w:tcW w:w="50" w:type="pct"/>
            <w:vAlign w:val="center"/>
            <w:hideMark/>
          </w:tcPr>
          <w:p w14:paraId="362A5093" w14:textId="77777777" w:rsidR="00000000" w:rsidRDefault="00EE5306">
            <w:pPr>
              <w:spacing w:after="100"/>
              <w:rPr>
                <w:rFonts w:eastAsia="Times New Roman"/>
                <w:sz w:val="20"/>
                <w:szCs w:val="20"/>
              </w:rPr>
            </w:pPr>
          </w:p>
        </w:tc>
        <w:tc>
          <w:tcPr>
            <w:tcW w:w="1436" w:type="pct"/>
            <w:vAlign w:val="center"/>
            <w:hideMark/>
          </w:tcPr>
          <w:p w14:paraId="1061EF12" w14:textId="77777777" w:rsidR="00000000" w:rsidRDefault="00EE5306">
            <w:pPr>
              <w:spacing w:after="100"/>
              <w:rPr>
                <w:rFonts w:eastAsia="Times New Roman"/>
                <w:sz w:val="20"/>
                <w:szCs w:val="20"/>
              </w:rPr>
            </w:pPr>
          </w:p>
        </w:tc>
        <w:tc>
          <w:tcPr>
            <w:tcW w:w="5" w:type="pct"/>
            <w:vAlign w:val="center"/>
            <w:hideMark/>
          </w:tcPr>
          <w:p w14:paraId="181D4CF3" w14:textId="77777777" w:rsidR="00000000" w:rsidRDefault="00EE5306">
            <w:pPr>
              <w:spacing w:after="100"/>
              <w:rPr>
                <w:rFonts w:eastAsia="Times New Roman"/>
                <w:sz w:val="20"/>
                <w:szCs w:val="20"/>
              </w:rPr>
            </w:pPr>
          </w:p>
        </w:tc>
        <w:tc>
          <w:tcPr>
            <w:tcW w:w="50" w:type="pct"/>
            <w:vAlign w:val="center"/>
            <w:hideMark/>
          </w:tcPr>
          <w:p w14:paraId="371DBDBA" w14:textId="77777777" w:rsidR="00000000" w:rsidRDefault="00EE5306">
            <w:pPr>
              <w:spacing w:after="100"/>
              <w:rPr>
                <w:rFonts w:eastAsia="Times New Roman"/>
                <w:sz w:val="20"/>
                <w:szCs w:val="20"/>
              </w:rPr>
            </w:pPr>
          </w:p>
        </w:tc>
        <w:tc>
          <w:tcPr>
            <w:tcW w:w="1699" w:type="pct"/>
            <w:vAlign w:val="center"/>
            <w:hideMark/>
          </w:tcPr>
          <w:p w14:paraId="0B044BEF" w14:textId="77777777" w:rsidR="00000000" w:rsidRDefault="00EE5306">
            <w:pPr>
              <w:spacing w:after="100"/>
              <w:rPr>
                <w:rFonts w:eastAsia="Times New Roman"/>
                <w:sz w:val="20"/>
                <w:szCs w:val="20"/>
              </w:rPr>
            </w:pPr>
          </w:p>
        </w:tc>
        <w:tc>
          <w:tcPr>
            <w:tcW w:w="5" w:type="pct"/>
            <w:vAlign w:val="center"/>
            <w:hideMark/>
          </w:tcPr>
          <w:p w14:paraId="3EE1CE9D" w14:textId="77777777" w:rsidR="00000000" w:rsidRDefault="00EE5306">
            <w:pPr>
              <w:spacing w:after="100"/>
              <w:rPr>
                <w:rFonts w:eastAsia="Times New Roman"/>
                <w:sz w:val="20"/>
                <w:szCs w:val="20"/>
              </w:rPr>
            </w:pPr>
          </w:p>
        </w:tc>
      </w:tr>
      <w:tr w:rsidR="00000000" w14:paraId="5F71C650" w14:textId="77777777">
        <w:trPr>
          <w:divId w:val="1655329394"/>
          <w:jc w:val="center"/>
        </w:trPr>
        <w:tc>
          <w:tcPr>
            <w:tcW w:w="0" w:type="auto"/>
            <w:gridSpan w:val="3"/>
            <w:tcMar>
              <w:top w:w="0" w:type="dxa"/>
              <w:left w:w="20" w:type="dxa"/>
              <w:bottom w:w="0" w:type="dxa"/>
              <w:right w:w="20" w:type="dxa"/>
            </w:tcMar>
            <w:vAlign w:val="center"/>
            <w:hideMark/>
          </w:tcPr>
          <w:p w14:paraId="254232D3" w14:textId="77777777" w:rsidR="00000000" w:rsidRDefault="00EE53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7A482B8" w14:textId="77777777" w:rsidR="00000000" w:rsidRDefault="00EE5306">
            <w:pPr>
              <w:spacing w:after="100"/>
              <w:jc w:val="center"/>
              <w:rPr>
                <w:rFonts w:eastAsia="Times New Roman"/>
              </w:rPr>
            </w:pPr>
            <w:r>
              <w:rPr>
                <w:rFonts w:eastAsia="Times New Roman"/>
                <w:color w:val="000000"/>
                <w:sz w:val="20"/>
                <w:szCs w:val="20"/>
              </w:rPr>
              <w:t>F-62</w:t>
            </w:r>
          </w:p>
        </w:tc>
        <w:tc>
          <w:tcPr>
            <w:tcW w:w="0" w:type="auto"/>
            <w:gridSpan w:val="3"/>
            <w:tcMar>
              <w:top w:w="0" w:type="dxa"/>
              <w:left w:w="20" w:type="dxa"/>
              <w:bottom w:w="0" w:type="dxa"/>
              <w:right w:w="20" w:type="dxa"/>
            </w:tcMar>
            <w:vAlign w:val="center"/>
            <w:hideMark/>
          </w:tcPr>
          <w:p w14:paraId="7D37C447" w14:textId="77777777" w:rsidR="00000000" w:rsidRDefault="00EE5306">
            <w:pPr>
              <w:spacing w:after="100"/>
              <w:jc w:val="center"/>
              <w:rPr>
                <w:rFonts w:eastAsia="Times New Roman"/>
              </w:rPr>
            </w:pPr>
          </w:p>
        </w:tc>
      </w:tr>
    </w:tbl>
    <w:p w14:paraId="2AD1C1E8" w14:textId="77777777" w:rsidR="00EE5306" w:rsidRDefault="00EE5306">
      <w:pPr>
        <w:divId w:val="1655329394"/>
        <w:rPr>
          <w:rFonts w:eastAsia="Times New Roman"/>
        </w:rPr>
      </w:pPr>
    </w:p>
    <w:sectPr w:rsidR="00EE530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5306"/>
    <w:rsid w:val="00EE5306"/>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ralphlauren.com/20210327"/>
  <w:attachedSchema w:val="http://xbrl.sec.gov/dei/2021"/>
  <w:attachedSchema w:val="http://fasb.org/srt/2021-01-31"/>
  <w:attachedSchema w:val="http://www.sec.gov/inlineXBRL/transformation/2015-08-31"/>
  <w:attachedSchema w:val="http://xbrl.sec.gov/country/2021"/>
  <w:attachedSchema w:val="http://www.xbrl.org/2013/inlineXBRL"/>
  <w:attachedSchema w:val="http://www.xbrl.org/2003/instance"/>
  <w:attachedSchema w:val="http://www.xbrl.org/2003/linkbase"/>
  <w:attachedSchema w:val="http://fasb.org/us-gaap/2021-01-31"/>
  <w:attachedSchema w:val="http://www.xbrl.org/inlineXBRL/transformation/2015-02-26"/>
  <w:attachedSchema w:val="http://xbrl.org/2006/xbrldi"/>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28DA1"/>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16">
      <w:marLeft w:val="0"/>
      <w:marRight w:val="0"/>
      <w:marTop w:val="120"/>
      <w:marBottom w:val="0"/>
      <w:divBdr>
        <w:top w:val="none" w:sz="0" w:space="0" w:color="auto"/>
        <w:left w:val="none" w:sz="0" w:space="0" w:color="auto"/>
        <w:bottom w:val="none" w:sz="0" w:space="0" w:color="auto"/>
        <w:right w:val="none" w:sz="0" w:space="0" w:color="auto"/>
      </w:divBdr>
    </w:div>
    <w:div w:id="1054338">
      <w:marLeft w:val="0"/>
      <w:marRight w:val="0"/>
      <w:marTop w:val="240"/>
      <w:marBottom w:val="0"/>
      <w:divBdr>
        <w:top w:val="none" w:sz="0" w:space="0" w:color="auto"/>
        <w:left w:val="none" w:sz="0" w:space="0" w:color="auto"/>
        <w:bottom w:val="none" w:sz="0" w:space="0" w:color="auto"/>
        <w:right w:val="none" w:sz="0" w:space="0" w:color="auto"/>
      </w:divBdr>
    </w:div>
    <w:div w:id="1711598">
      <w:marLeft w:val="0"/>
      <w:marRight w:val="0"/>
      <w:marTop w:val="240"/>
      <w:marBottom w:val="240"/>
      <w:divBdr>
        <w:top w:val="none" w:sz="0" w:space="0" w:color="auto"/>
        <w:left w:val="none" w:sz="0" w:space="0" w:color="auto"/>
        <w:bottom w:val="none" w:sz="0" w:space="0" w:color="auto"/>
        <w:right w:val="none" w:sz="0" w:space="0" w:color="auto"/>
      </w:divBdr>
    </w:div>
    <w:div w:id="3940669">
      <w:marLeft w:val="0"/>
      <w:marRight w:val="0"/>
      <w:marTop w:val="0"/>
      <w:marBottom w:val="0"/>
      <w:divBdr>
        <w:top w:val="none" w:sz="0" w:space="0" w:color="auto"/>
        <w:left w:val="none" w:sz="0" w:space="0" w:color="auto"/>
        <w:bottom w:val="none" w:sz="0" w:space="0" w:color="auto"/>
        <w:right w:val="none" w:sz="0" w:space="0" w:color="auto"/>
      </w:divBdr>
      <w:divsChild>
        <w:div w:id="861435979">
          <w:marLeft w:val="0"/>
          <w:marRight w:val="0"/>
          <w:marTop w:val="0"/>
          <w:marBottom w:val="0"/>
          <w:divBdr>
            <w:top w:val="none" w:sz="0" w:space="0" w:color="auto"/>
            <w:left w:val="none" w:sz="0" w:space="0" w:color="auto"/>
            <w:bottom w:val="none" w:sz="0" w:space="0" w:color="auto"/>
            <w:right w:val="none" w:sz="0" w:space="0" w:color="auto"/>
          </w:divBdr>
          <w:divsChild>
            <w:div w:id="205765592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133687">
      <w:marLeft w:val="0"/>
      <w:marRight w:val="0"/>
      <w:marTop w:val="140"/>
      <w:marBottom w:val="0"/>
      <w:divBdr>
        <w:top w:val="none" w:sz="0" w:space="0" w:color="auto"/>
        <w:left w:val="none" w:sz="0" w:space="0" w:color="auto"/>
        <w:bottom w:val="none" w:sz="0" w:space="0" w:color="auto"/>
        <w:right w:val="none" w:sz="0" w:space="0" w:color="auto"/>
      </w:divBdr>
    </w:div>
    <w:div w:id="4526246">
      <w:marLeft w:val="0"/>
      <w:marRight w:val="0"/>
      <w:marTop w:val="240"/>
      <w:marBottom w:val="0"/>
      <w:divBdr>
        <w:top w:val="none" w:sz="0" w:space="0" w:color="auto"/>
        <w:left w:val="none" w:sz="0" w:space="0" w:color="auto"/>
        <w:bottom w:val="none" w:sz="0" w:space="0" w:color="auto"/>
        <w:right w:val="none" w:sz="0" w:space="0" w:color="auto"/>
      </w:divBdr>
    </w:div>
    <w:div w:id="5837474">
      <w:marLeft w:val="0"/>
      <w:marRight w:val="0"/>
      <w:marTop w:val="0"/>
      <w:marBottom w:val="0"/>
      <w:divBdr>
        <w:top w:val="none" w:sz="0" w:space="0" w:color="auto"/>
        <w:left w:val="none" w:sz="0" w:space="0" w:color="auto"/>
        <w:bottom w:val="none" w:sz="0" w:space="0" w:color="auto"/>
        <w:right w:val="none" w:sz="0" w:space="0" w:color="auto"/>
      </w:divBdr>
      <w:divsChild>
        <w:div w:id="2005008788">
          <w:marLeft w:val="0"/>
          <w:marRight w:val="0"/>
          <w:marTop w:val="0"/>
          <w:marBottom w:val="0"/>
          <w:divBdr>
            <w:top w:val="none" w:sz="0" w:space="0" w:color="auto"/>
            <w:left w:val="none" w:sz="0" w:space="0" w:color="auto"/>
            <w:bottom w:val="none" w:sz="0" w:space="0" w:color="auto"/>
            <w:right w:val="none" w:sz="0" w:space="0" w:color="auto"/>
          </w:divBdr>
        </w:div>
      </w:divsChild>
    </w:div>
    <w:div w:id="6640169">
      <w:marLeft w:val="0"/>
      <w:marRight w:val="0"/>
      <w:marTop w:val="240"/>
      <w:marBottom w:val="0"/>
      <w:divBdr>
        <w:top w:val="none" w:sz="0" w:space="0" w:color="auto"/>
        <w:left w:val="none" w:sz="0" w:space="0" w:color="auto"/>
        <w:bottom w:val="none" w:sz="0" w:space="0" w:color="auto"/>
        <w:right w:val="none" w:sz="0" w:space="0" w:color="auto"/>
      </w:divBdr>
    </w:div>
    <w:div w:id="7415713">
      <w:marLeft w:val="0"/>
      <w:marRight w:val="0"/>
      <w:marTop w:val="240"/>
      <w:marBottom w:val="0"/>
      <w:divBdr>
        <w:top w:val="none" w:sz="0" w:space="0" w:color="auto"/>
        <w:left w:val="none" w:sz="0" w:space="0" w:color="auto"/>
        <w:bottom w:val="none" w:sz="0" w:space="0" w:color="auto"/>
        <w:right w:val="none" w:sz="0" w:space="0" w:color="auto"/>
      </w:divBdr>
    </w:div>
    <w:div w:id="8068671">
      <w:marLeft w:val="0"/>
      <w:marRight w:val="0"/>
      <w:marTop w:val="0"/>
      <w:marBottom w:val="0"/>
      <w:divBdr>
        <w:top w:val="none" w:sz="0" w:space="0" w:color="auto"/>
        <w:left w:val="none" w:sz="0" w:space="0" w:color="auto"/>
        <w:bottom w:val="none" w:sz="0" w:space="0" w:color="auto"/>
        <w:right w:val="none" w:sz="0" w:space="0" w:color="auto"/>
      </w:divBdr>
      <w:divsChild>
        <w:div w:id="86316273">
          <w:marLeft w:val="0"/>
          <w:marRight w:val="0"/>
          <w:marTop w:val="0"/>
          <w:marBottom w:val="0"/>
          <w:divBdr>
            <w:top w:val="none" w:sz="0" w:space="0" w:color="auto"/>
            <w:left w:val="none" w:sz="0" w:space="0" w:color="auto"/>
            <w:bottom w:val="none" w:sz="0" w:space="0" w:color="auto"/>
            <w:right w:val="none" w:sz="0" w:space="0" w:color="auto"/>
          </w:divBdr>
        </w:div>
      </w:divsChild>
    </w:div>
    <w:div w:id="8072309">
      <w:marLeft w:val="0"/>
      <w:marRight w:val="0"/>
      <w:marTop w:val="240"/>
      <w:marBottom w:val="0"/>
      <w:divBdr>
        <w:top w:val="none" w:sz="0" w:space="0" w:color="auto"/>
        <w:left w:val="none" w:sz="0" w:space="0" w:color="auto"/>
        <w:bottom w:val="none" w:sz="0" w:space="0" w:color="auto"/>
        <w:right w:val="none" w:sz="0" w:space="0" w:color="auto"/>
      </w:divBdr>
    </w:div>
    <w:div w:id="8682208">
      <w:marLeft w:val="0"/>
      <w:marRight w:val="0"/>
      <w:marTop w:val="240"/>
      <w:marBottom w:val="0"/>
      <w:divBdr>
        <w:top w:val="none" w:sz="0" w:space="0" w:color="auto"/>
        <w:left w:val="none" w:sz="0" w:space="0" w:color="auto"/>
        <w:bottom w:val="none" w:sz="0" w:space="0" w:color="auto"/>
        <w:right w:val="none" w:sz="0" w:space="0" w:color="auto"/>
      </w:divBdr>
    </w:div>
    <w:div w:id="9525128">
      <w:marLeft w:val="0"/>
      <w:marRight w:val="0"/>
      <w:marTop w:val="240"/>
      <w:marBottom w:val="0"/>
      <w:divBdr>
        <w:top w:val="none" w:sz="0" w:space="0" w:color="auto"/>
        <w:left w:val="none" w:sz="0" w:space="0" w:color="auto"/>
        <w:bottom w:val="none" w:sz="0" w:space="0" w:color="auto"/>
        <w:right w:val="none" w:sz="0" w:space="0" w:color="auto"/>
      </w:divBdr>
    </w:div>
    <w:div w:id="9569112">
      <w:marLeft w:val="0"/>
      <w:marRight w:val="0"/>
      <w:marTop w:val="0"/>
      <w:marBottom w:val="0"/>
      <w:divBdr>
        <w:top w:val="none" w:sz="0" w:space="0" w:color="auto"/>
        <w:left w:val="none" w:sz="0" w:space="0" w:color="auto"/>
        <w:bottom w:val="none" w:sz="0" w:space="0" w:color="auto"/>
        <w:right w:val="none" w:sz="0" w:space="0" w:color="auto"/>
      </w:divBdr>
      <w:divsChild>
        <w:div w:id="1665156955">
          <w:marLeft w:val="0"/>
          <w:marRight w:val="0"/>
          <w:marTop w:val="0"/>
          <w:marBottom w:val="0"/>
          <w:divBdr>
            <w:top w:val="none" w:sz="0" w:space="0" w:color="auto"/>
            <w:left w:val="none" w:sz="0" w:space="0" w:color="auto"/>
            <w:bottom w:val="none" w:sz="0" w:space="0" w:color="auto"/>
            <w:right w:val="none" w:sz="0" w:space="0" w:color="auto"/>
          </w:divBdr>
        </w:div>
      </w:divsChild>
    </w:div>
    <w:div w:id="12343412">
      <w:marLeft w:val="0"/>
      <w:marRight w:val="0"/>
      <w:marTop w:val="240"/>
      <w:marBottom w:val="0"/>
      <w:divBdr>
        <w:top w:val="none" w:sz="0" w:space="0" w:color="auto"/>
        <w:left w:val="none" w:sz="0" w:space="0" w:color="auto"/>
        <w:bottom w:val="none" w:sz="0" w:space="0" w:color="auto"/>
        <w:right w:val="none" w:sz="0" w:space="0" w:color="auto"/>
      </w:divBdr>
    </w:div>
    <w:div w:id="15081710">
      <w:marLeft w:val="0"/>
      <w:marRight w:val="0"/>
      <w:marTop w:val="0"/>
      <w:marBottom w:val="0"/>
      <w:divBdr>
        <w:top w:val="none" w:sz="0" w:space="0" w:color="auto"/>
        <w:left w:val="none" w:sz="0" w:space="0" w:color="auto"/>
        <w:bottom w:val="none" w:sz="0" w:space="0" w:color="auto"/>
        <w:right w:val="none" w:sz="0" w:space="0" w:color="auto"/>
      </w:divBdr>
    </w:div>
    <w:div w:id="15618711">
      <w:marLeft w:val="0"/>
      <w:marRight w:val="0"/>
      <w:marTop w:val="240"/>
      <w:marBottom w:val="0"/>
      <w:divBdr>
        <w:top w:val="none" w:sz="0" w:space="0" w:color="auto"/>
        <w:left w:val="none" w:sz="0" w:space="0" w:color="auto"/>
        <w:bottom w:val="none" w:sz="0" w:space="0" w:color="auto"/>
        <w:right w:val="none" w:sz="0" w:space="0" w:color="auto"/>
      </w:divBdr>
    </w:div>
    <w:div w:id="16389412">
      <w:marLeft w:val="0"/>
      <w:marRight w:val="0"/>
      <w:marTop w:val="180"/>
      <w:marBottom w:val="0"/>
      <w:divBdr>
        <w:top w:val="none" w:sz="0" w:space="0" w:color="auto"/>
        <w:left w:val="none" w:sz="0" w:space="0" w:color="auto"/>
        <w:bottom w:val="none" w:sz="0" w:space="0" w:color="auto"/>
        <w:right w:val="none" w:sz="0" w:space="0" w:color="auto"/>
      </w:divBdr>
    </w:div>
    <w:div w:id="16851767">
      <w:marLeft w:val="0"/>
      <w:marRight w:val="0"/>
      <w:marTop w:val="240"/>
      <w:marBottom w:val="0"/>
      <w:divBdr>
        <w:top w:val="none" w:sz="0" w:space="0" w:color="auto"/>
        <w:left w:val="none" w:sz="0" w:space="0" w:color="auto"/>
        <w:bottom w:val="none" w:sz="0" w:space="0" w:color="auto"/>
        <w:right w:val="none" w:sz="0" w:space="0" w:color="auto"/>
      </w:divBdr>
    </w:div>
    <w:div w:id="17432936">
      <w:marLeft w:val="0"/>
      <w:marRight w:val="0"/>
      <w:marTop w:val="140"/>
      <w:marBottom w:val="0"/>
      <w:divBdr>
        <w:top w:val="none" w:sz="0" w:space="0" w:color="auto"/>
        <w:left w:val="none" w:sz="0" w:space="0" w:color="auto"/>
        <w:bottom w:val="none" w:sz="0" w:space="0" w:color="auto"/>
        <w:right w:val="none" w:sz="0" w:space="0" w:color="auto"/>
      </w:divBdr>
    </w:div>
    <w:div w:id="17631098">
      <w:marLeft w:val="0"/>
      <w:marRight w:val="0"/>
      <w:marTop w:val="240"/>
      <w:marBottom w:val="0"/>
      <w:divBdr>
        <w:top w:val="none" w:sz="0" w:space="0" w:color="auto"/>
        <w:left w:val="none" w:sz="0" w:space="0" w:color="auto"/>
        <w:bottom w:val="none" w:sz="0" w:space="0" w:color="auto"/>
        <w:right w:val="none" w:sz="0" w:space="0" w:color="auto"/>
      </w:divBdr>
    </w:div>
    <w:div w:id="19867901">
      <w:marLeft w:val="0"/>
      <w:marRight w:val="0"/>
      <w:marTop w:val="0"/>
      <w:marBottom w:val="0"/>
      <w:divBdr>
        <w:top w:val="none" w:sz="0" w:space="0" w:color="auto"/>
        <w:left w:val="none" w:sz="0" w:space="0" w:color="auto"/>
        <w:bottom w:val="none" w:sz="0" w:space="0" w:color="auto"/>
        <w:right w:val="none" w:sz="0" w:space="0" w:color="auto"/>
      </w:divBdr>
      <w:divsChild>
        <w:div w:id="1052264783">
          <w:marLeft w:val="0"/>
          <w:marRight w:val="0"/>
          <w:marTop w:val="0"/>
          <w:marBottom w:val="0"/>
          <w:divBdr>
            <w:top w:val="none" w:sz="0" w:space="0" w:color="auto"/>
            <w:left w:val="none" w:sz="0" w:space="0" w:color="auto"/>
            <w:bottom w:val="none" w:sz="0" w:space="0" w:color="auto"/>
            <w:right w:val="none" w:sz="0" w:space="0" w:color="auto"/>
          </w:divBdr>
          <w:divsChild>
            <w:div w:id="6935346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940260">
      <w:marLeft w:val="0"/>
      <w:marRight w:val="0"/>
      <w:marTop w:val="240"/>
      <w:marBottom w:val="0"/>
      <w:divBdr>
        <w:top w:val="none" w:sz="0" w:space="0" w:color="auto"/>
        <w:left w:val="none" w:sz="0" w:space="0" w:color="auto"/>
        <w:bottom w:val="none" w:sz="0" w:space="0" w:color="auto"/>
        <w:right w:val="none" w:sz="0" w:space="0" w:color="auto"/>
      </w:divBdr>
    </w:div>
    <w:div w:id="20791991">
      <w:marLeft w:val="0"/>
      <w:marRight w:val="0"/>
      <w:marTop w:val="0"/>
      <w:marBottom w:val="60"/>
      <w:divBdr>
        <w:top w:val="none" w:sz="0" w:space="0" w:color="auto"/>
        <w:left w:val="none" w:sz="0" w:space="0" w:color="auto"/>
        <w:bottom w:val="none" w:sz="0" w:space="0" w:color="auto"/>
        <w:right w:val="none" w:sz="0" w:space="0" w:color="auto"/>
      </w:divBdr>
    </w:div>
    <w:div w:id="21781826">
      <w:marLeft w:val="0"/>
      <w:marRight w:val="0"/>
      <w:marTop w:val="180"/>
      <w:marBottom w:val="0"/>
      <w:divBdr>
        <w:top w:val="none" w:sz="0" w:space="0" w:color="auto"/>
        <w:left w:val="none" w:sz="0" w:space="0" w:color="auto"/>
        <w:bottom w:val="none" w:sz="0" w:space="0" w:color="auto"/>
        <w:right w:val="none" w:sz="0" w:space="0" w:color="auto"/>
      </w:divBdr>
    </w:div>
    <w:div w:id="22487978">
      <w:marLeft w:val="0"/>
      <w:marRight w:val="0"/>
      <w:marTop w:val="100"/>
      <w:marBottom w:val="0"/>
      <w:divBdr>
        <w:top w:val="none" w:sz="0" w:space="0" w:color="auto"/>
        <w:left w:val="none" w:sz="0" w:space="0" w:color="auto"/>
        <w:bottom w:val="none" w:sz="0" w:space="0" w:color="auto"/>
        <w:right w:val="none" w:sz="0" w:space="0" w:color="auto"/>
      </w:divBdr>
    </w:div>
    <w:div w:id="22752534">
      <w:marLeft w:val="0"/>
      <w:marRight w:val="0"/>
      <w:marTop w:val="180"/>
      <w:marBottom w:val="0"/>
      <w:divBdr>
        <w:top w:val="none" w:sz="0" w:space="0" w:color="auto"/>
        <w:left w:val="none" w:sz="0" w:space="0" w:color="auto"/>
        <w:bottom w:val="none" w:sz="0" w:space="0" w:color="auto"/>
        <w:right w:val="none" w:sz="0" w:space="0" w:color="auto"/>
      </w:divBdr>
    </w:div>
    <w:div w:id="22904689">
      <w:marLeft w:val="0"/>
      <w:marRight w:val="0"/>
      <w:marTop w:val="240"/>
      <w:marBottom w:val="0"/>
      <w:divBdr>
        <w:top w:val="none" w:sz="0" w:space="0" w:color="auto"/>
        <w:left w:val="none" w:sz="0" w:space="0" w:color="auto"/>
        <w:bottom w:val="none" w:sz="0" w:space="0" w:color="auto"/>
        <w:right w:val="none" w:sz="0" w:space="0" w:color="auto"/>
      </w:divBdr>
    </w:div>
    <w:div w:id="23097007">
      <w:marLeft w:val="0"/>
      <w:marRight w:val="0"/>
      <w:marTop w:val="240"/>
      <w:marBottom w:val="0"/>
      <w:divBdr>
        <w:top w:val="none" w:sz="0" w:space="0" w:color="auto"/>
        <w:left w:val="none" w:sz="0" w:space="0" w:color="auto"/>
        <w:bottom w:val="none" w:sz="0" w:space="0" w:color="auto"/>
        <w:right w:val="none" w:sz="0" w:space="0" w:color="auto"/>
      </w:divBdr>
    </w:div>
    <w:div w:id="24910025">
      <w:marLeft w:val="0"/>
      <w:marRight w:val="0"/>
      <w:marTop w:val="240"/>
      <w:marBottom w:val="0"/>
      <w:divBdr>
        <w:top w:val="none" w:sz="0" w:space="0" w:color="auto"/>
        <w:left w:val="none" w:sz="0" w:space="0" w:color="auto"/>
        <w:bottom w:val="none" w:sz="0" w:space="0" w:color="auto"/>
        <w:right w:val="none" w:sz="0" w:space="0" w:color="auto"/>
      </w:divBdr>
    </w:div>
    <w:div w:id="26101848">
      <w:marLeft w:val="0"/>
      <w:marRight w:val="0"/>
      <w:marTop w:val="180"/>
      <w:marBottom w:val="0"/>
      <w:divBdr>
        <w:top w:val="none" w:sz="0" w:space="0" w:color="auto"/>
        <w:left w:val="none" w:sz="0" w:space="0" w:color="auto"/>
        <w:bottom w:val="none" w:sz="0" w:space="0" w:color="auto"/>
        <w:right w:val="none" w:sz="0" w:space="0" w:color="auto"/>
      </w:divBdr>
    </w:div>
    <w:div w:id="26835590">
      <w:marLeft w:val="0"/>
      <w:marRight w:val="0"/>
      <w:marTop w:val="220"/>
      <w:marBottom w:val="0"/>
      <w:divBdr>
        <w:top w:val="none" w:sz="0" w:space="0" w:color="auto"/>
        <w:left w:val="none" w:sz="0" w:space="0" w:color="auto"/>
        <w:bottom w:val="none" w:sz="0" w:space="0" w:color="auto"/>
        <w:right w:val="none" w:sz="0" w:space="0" w:color="auto"/>
      </w:divBdr>
    </w:div>
    <w:div w:id="26881250">
      <w:marLeft w:val="0"/>
      <w:marRight w:val="0"/>
      <w:marTop w:val="0"/>
      <w:marBottom w:val="0"/>
      <w:divBdr>
        <w:top w:val="none" w:sz="0" w:space="0" w:color="auto"/>
        <w:left w:val="none" w:sz="0" w:space="0" w:color="auto"/>
        <w:bottom w:val="none" w:sz="0" w:space="0" w:color="auto"/>
        <w:right w:val="none" w:sz="0" w:space="0" w:color="auto"/>
      </w:divBdr>
      <w:divsChild>
        <w:div w:id="634992303">
          <w:marLeft w:val="0"/>
          <w:marRight w:val="0"/>
          <w:marTop w:val="0"/>
          <w:marBottom w:val="0"/>
          <w:divBdr>
            <w:top w:val="none" w:sz="0" w:space="0" w:color="auto"/>
            <w:left w:val="none" w:sz="0" w:space="0" w:color="auto"/>
            <w:bottom w:val="none" w:sz="0" w:space="0" w:color="auto"/>
            <w:right w:val="none" w:sz="0" w:space="0" w:color="auto"/>
          </w:divBdr>
        </w:div>
      </w:divsChild>
    </w:div>
    <w:div w:id="27730924">
      <w:marLeft w:val="0"/>
      <w:marRight w:val="0"/>
      <w:marTop w:val="0"/>
      <w:marBottom w:val="0"/>
      <w:divBdr>
        <w:top w:val="none" w:sz="0" w:space="0" w:color="auto"/>
        <w:left w:val="none" w:sz="0" w:space="0" w:color="auto"/>
        <w:bottom w:val="none" w:sz="0" w:space="0" w:color="auto"/>
        <w:right w:val="none" w:sz="0" w:space="0" w:color="auto"/>
      </w:divBdr>
      <w:divsChild>
        <w:div w:id="423111223">
          <w:marLeft w:val="0"/>
          <w:marRight w:val="0"/>
          <w:marTop w:val="0"/>
          <w:marBottom w:val="0"/>
          <w:divBdr>
            <w:top w:val="none" w:sz="0" w:space="0" w:color="auto"/>
            <w:left w:val="none" w:sz="0" w:space="0" w:color="auto"/>
            <w:bottom w:val="none" w:sz="0" w:space="0" w:color="auto"/>
            <w:right w:val="none" w:sz="0" w:space="0" w:color="auto"/>
          </w:divBdr>
        </w:div>
      </w:divsChild>
    </w:div>
    <w:div w:id="31923386">
      <w:marLeft w:val="0"/>
      <w:marRight w:val="0"/>
      <w:marTop w:val="240"/>
      <w:marBottom w:val="0"/>
      <w:divBdr>
        <w:top w:val="none" w:sz="0" w:space="0" w:color="auto"/>
        <w:left w:val="none" w:sz="0" w:space="0" w:color="auto"/>
        <w:bottom w:val="none" w:sz="0" w:space="0" w:color="auto"/>
        <w:right w:val="none" w:sz="0" w:space="0" w:color="auto"/>
      </w:divBdr>
    </w:div>
    <w:div w:id="33389637">
      <w:marLeft w:val="0"/>
      <w:marRight w:val="0"/>
      <w:marTop w:val="240"/>
      <w:marBottom w:val="240"/>
      <w:divBdr>
        <w:top w:val="none" w:sz="0" w:space="0" w:color="auto"/>
        <w:left w:val="none" w:sz="0" w:space="0" w:color="auto"/>
        <w:bottom w:val="none" w:sz="0" w:space="0" w:color="auto"/>
        <w:right w:val="none" w:sz="0" w:space="0" w:color="auto"/>
      </w:divBdr>
    </w:div>
    <w:div w:id="34359046">
      <w:marLeft w:val="0"/>
      <w:marRight w:val="0"/>
      <w:marTop w:val="240"/>
      <w:marBottom w:val="0"/>
      <w:divBdr>
        <w:top w:val="none" w:sz="0" w:space="0" w:color="auto"/>
        <w:left w:val="none" w:sz="0" w:space="0" w:color="auto"/>
        <w:bottom w:val="none" w:sz="0" w:space="0" w:color="auto"/>
        <w:right w:val="none" w:sz="0" w:space="0" w:color="auto"/>
      </w:divBdr>
    </w:div>
    <w:div w:id="36274033">
      <w:marLeft w:val="0"/>
      <w:marRight w:val="0"/>
      <w:marTop w:val="0"/>
      <w:marBottom w:val="0"/>
      <w:divBdr>
        <w:top w:val="none" w:sz="0" w:space="0" w:color="auto"/>
        <w:left w:val="none" w:sz="0" w:space="0" w:color="auto"/>
        <w:bottom w:val="none" w:sz="0" w:space="0" w:color="auto"/>
        <w:right w:val="none" w:sz="0" w:space="0" w:color="auto"/>
      </w:divBdr>
    </w:div>
    <w:div w:id="36971795">
      <w:marLeft w:val="0"/>
      <w:marRight w:val="0"/>
      <w:marTop w:val="140"/>
      <w:marBottom w:val="0"/>
      <w:divBdr>
        <w:top w:val="none" w:sz="0" w:space="0" w:color="auto"/>
        <w:left w:val="none" w:sz="0" w:space="0" w:color="auto"/>
        <w:bottom w:val="none" w:sz="0" w:space="0" w:color="auto"/>
        <w:right w:val="none" w:sz="0" w:space="0" w:color="auto"/>
      </w:divBdr>
    </w:div>
    <w:div w:id="39402943">
      <w:marLeft w:val="0"/>
      <w:marRight w:val="0"/>
      <w:marTop w:val="0"/>
      <w:marBottom w:val="0"/>
      <w:divBdr>
        <w:top w:val="none" w:sz="0" w:space="0" w:color="auto"/>
        <w:left w:val="none" w:sz="0" w:space="0" w:color="auto"/>
        <w:bottom w:val="none" w:sz="0" w:space="0" w:color="auto"/>
        <w:right w:val="none" w:sz="0" w:space="0" w:color="auto"/>
      </w:divBdr>
      <w:divsChild>
        <w:div w:id="1838232079">
          <w:marLeft w:val="0"/>
          <w:marRight w:val="0"/>
          <w:marTop w:val="0"/>
          <w:marBottom w:val="0"/>
          <w:divBdr>
            <w:top w:val="none" w:sz="0" w:space="0" w:color="auto"/>
            <w:left w:val="none" w:sz="0" w:space="0" w:color="auto"/>
            <w:bottom w:val="none" w:sz="0" w:space="0" w:color="auto"/>
            <w:right w:val="none" w:sz="0" w:space="0" w:color="auto"/>
          </w:divBdr>
        </w:div>
      </w:divsChild>
    </w:div>
    <w:div w:id="40446922">
      <w:marLeft w:val="0"/>
      <w:marRight w:val="0"/>
      <w:marTop w:val="220"/>
      <w:marBottom w:val="0"/>
      <w:divBdr>
        <w:top w:val="none" w:sz="0" w:space="0" w:color="auto"/>
        <w:left w:val="none" w:sz="0" w:space="0" w:color="auto"/>
        <w:bottom w:val="none" w:sz="0" w:space="0" w:color="auto"/>
        <w:right w:val="none" w:sz="0" w:space="0" w:color="auto"/>
      </w:divBdr>
      <w:divsChild>
        <w:div w:id="1332029054">
          <w:marLeft w:val="0"/>
          <w:marRight w:val="0"/>
          <w:marTop w:val="0"/>
          <w:marBottom w:val="0"/>
          <w:divBdr>
            <w:top w:val="none" w:sz="0" w:space="0" w:color="auto"/>
            <w:left w:val="none" w:sz="0" w:space="0" w:color="auto"/>
            <w:bottom w:val="none" w:sz="0" w:space="0" w:color="auto"/>
            <w:right w:val="none" w:sz="0" w:space="0" w:color="auto"/>
          </w:divBdr>
        </w:div>
      </w:divsChild>
    </w:div>
    <w:div w:id="41175162">
      <w:marLeft w:val="0"/>
      <w:marRight w:val="0"/>
      <w:marTop w:val="0"/>
      <w:marBottom w:val="0"/>
      <w:divBdr>
        <w:top w:val="none" w:sz="0" w:space="0" w:color="auto"/>
        <w:left w:val="none" w:sz="0" w:space="0" w:color="auto"/>
        <w:bottom w:val="none" w:sz="0" w:space="0" w:color="auto"/>
        <w:right w:val="none" w:sz="0" w:space="0" w:color="auto"/>
      </w:divBdr>
      <w:divsChild>
        <w:div w:id="1865826202">
          <w:marLeft w:val="0"/>
          <w:marRight w:val="0"/>
          <w:marTop w:val="0"/>
          <w:marBottom w:val="0"/>
          <w:divBdr>
            <w:top w:val="none" w:sz="0" w:space="0" w:color="auto"/>
            <w:left w:val="none" w:sz="0" w:space="0" w:color="auto"/>
            <w:bottom w:val="none" w:sz="0" w:space="0" w:color="auto"/>
            <w:right w:val="none" w:sz="0" w:space="0" w:color="auto"/>
          </w:divBdr>
          <w:divsChild>
            <w:div w:id="4155215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2170285">
      <w:marLeft w:val="0"/>
      <w:marRight w:val="0"/>
      <w:marTop w:val="0"/>
      <w:marBottom w:val="0"/>
      <w:divBdr>
        <w:top w:val="none" w:sz="0" w:space="0" w:color="auto"/>
        <w:left w:val="none" w:sz="0" w:space="0" w:color="auto"/>
        <w:bottom w:val="none" w:sz="0" w:space="0" w:color="auto"/>
        <w:right w:val="none" w:sz="0" w:space="0" w:color="auto"/>
      </w:divBdr>
      <w:divsChild>
        <w:div w:id="1256860485">
          <w:marLeft w:val="0"/>
          <w:marRight w:val="0"/>
          <w:marTop w:val="0"/>
          <w:marBottom w:val="0"/>
          <w:divBdr>
            <w:top w:val="none" w:sz="0" w:space="0" w:color="auto"/>
            <w:left w:val="none" w:sz="0" w:space="0" w:color="auto"/>
            <w:bottom w:val="none" w:sz="0" w:space="0" w:color="auto"/>
            <w:right w:val="none" w:sz="0" w:space="0" w:color="auto"/>
          </w:divBdr>
          <w:divsChild>
            <w:div w:id="8730791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3601792">
      <w:marLeft w:val="0"/>
      <w:marRight w:val="0"/>
      <w:marTop w:val="0"/>
      <w:marBottom w:val="0"/>
      <w:divBdr>
        <w:top w:val="none" w:sz="0" w:space="0" w:color="auto"/>
        <w:left w:val="none" w:sz="0" w:space="0" w:color="auto"/>
        <w:bottom w:val="none" w:sz="0" w:space="0" w:color="auto"/>
        <w:right w:val="none" w:sz="0" w:space="0" w:color="auto"/>
      </w:divBdr>
      <w:divsChild>
        <w:div w:id="1562445945">
          <w:marLeft w:val="0"/>
          <w:marRight w:val="0"/>
          <w:marTop w:val="0"/>
          <w:marBottom w:val="0"/>
          <w:divBdr>
            <w:top w:val="none" w:sz="0" w:space="0" w:color="auto"/>
            <w:left w:val="none" w:sz="0" w:space="0" w:color="auto"/>
            <w:bottom w:val="none" w:sz="0" w:space="0" w:color="auto"/>
            <w:right w:val="none" w:sz="0" w:space="0" w:color="auto"/>
          </w:divBdr>
          <w:divsChild>
            <w:div w:id="946036044">
              <w:marLeft w:val="0"/>
              <w:marRight w:val="0"/>
              <w:marTop w:val="0"/>
              <w:marBottom w:val="0"/>
              <w:divBdr>
                <w:top w:val="none" w:sz="0" w:space="0" w:color="auto"/>
                <w:left w:val="none" w:sz="0" w:space="0" w:color="auto"/>
                <w:bottom w:val="none" w:sz="0" w:space="0" w:color="auto"/>
                <w:right w:val="none" w:sz="0" w:space="0" w:color="auto"/>
              </w:divBdr>
            </w:div>
            <w:div w:id="424820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5029791">
      <w:marLeft w:val="0"/>
      <w:marRight w:val="0"/>
      <w:marTop w:val="240"/>
      <w:marBottom w:val="0"/>
      <w:divBdr>
        <w:top w:val="none" w:sz="0" w:space="0" w:color="auto"/>
        <w:left w:val="none" w:sz="0" w:space="0" w:color="auto"/>
        <w:bottom w:val="none" w:sz="0" w:space="0" w:color="auto"/>
        <w:right w:val="none" w:sz="0" w:space="0" w:color="auto"/>
      </w:divBdr>
    </w:div>
    <w:div w:id="45230152">
      <w:marLeft w:val="0"/>
      <w:marRight w:val="0"/>
      <w:marTop w:val="180"/>
      <w:marBottom w:val="0"/>
      <w:divBdr>
        <w:top w:val="none" w:sz="0" w:space="0" w:color="auto"/>
        <w:left w:val="none" w:sz="0" w:space="0" w:color="auto"/>
        <w:bottom w:val="none" w:sz="0" w:space="0" w:color="auto"/>
        <w:right w:val="none" w:sz="0" w:space="0" w:color="auto"/>
      </w:divBdr>
    </w:div>
    <w:div w:id="46951212">
      <w:marLeft w:val="0"/>
      <w:marRight w:val="0"/>
      <w:marTop w:val="0"/>
      <w:marBottom w:val="120"/>
      <w:divBdr>
        <w:top w:val="none" w:sz="0" w:space="0" w:color="auto"/>
        <w:left w:val="none" w:sz="0" w:space="0" w:color="auto"/>
        <w:bottom w:val="none" w:sz="0" w:space="0" w:color="auto"/>
        <w:right w:val="none" w:sz="0" w:space="0" w:color="auto"/>
      </w:divBdr>
    </w:div>
    <w:div w:id="47995044">
      <w:marLeft w:val="0"/>
      <w:marRight w:val="0"/>
      <w:marTop w:val="240"/>
      <w:marBottom w:val="0"/>
      <w:divBdr>
        <w:top w:val="none" w:sz="0" w:space="0" w:color="auto"/>
        <w:left w:val="none" w:sz="0" w:space="0" w:color="auto"/>
        <w:bottom w:val="none" w:sz="0" w:space="0" w:color="auto"/>
        <w:right w:val="none" w:sz="0" w:space="0" w:color="auto"/>
      </w:divBdr>
    </w:div>
    <w:div w:id="48262528">
      <w:marLeft w:val="0"/>
      <w:marRight w:val="0"/>
      <w:marTop w:val="240"/>
      <w:marBottom w:val="0"/>
      <w:divBdr>
        <w:top w:val="none" w:sz="0" w:space="0" w:color="auto"/>
        <w:left w:val="none" w:sz="0" w:space="0" w:color="auto"/>
        <w:bottom w:val="none" w:sz="0" w:space="0" w:color="auto"/>
        <w:right w:val="none" w:sz="0" w:space="0" w:color="auto"/>
      </w:divBdr>
    </w:div>
    <w:div w:id="50156316">
      <w:marLeft w:val="0"/>
      <w:marRight w:val="0"/>
      <w:marTop w:val="240"/>
      <w:marBottom w:val="0"/>
      <w:divBdr>
        <w:top w:val="none" w:sz="0" w:space="0" w:color="auto"/>
        <w:left w:val="none" w:sz="0" w:space="0" w:color="auto"/>
        <w:bottom w:val="none" w:sz="0" w:space="0" w:color="auto"/>
        <w:right w:val="none" w:sz="0" w:space="0" w:color="auto"/>
      </w:divBdr>
    </w:div>
    <w:div w:id="50349771">
      <w:marLeft w:val="0"/>
      <w:marRight w:val="0"/>
      <w:marTop w:val="240"/>
      <w:marBottom w:val="0"/>
      <w:divBdr>
        <w:top w:val="none" w:sz="0" w:space="0" w:color="auto"/>
        <w:left w:val="none" w:sz="0" w:space="0" w:color="auto"/>
        <w:bottom w:val="none" w:sz="0" w:space="0" w:color="auto"/>
        <w:right w:val="none" w:sz="0" w:space="0" w:color="auto"/>
      </w:divBdr>
    </w:div>
    <w:div w:id="52700048">
      <w:marLeft w:val="0"/>
      <w:marRight w:val="0"/>
      <w:marTop w:val="240"/>
      <w:marBottom w:val="0"/>
      <w:divBdr>
        <w:top w:val="none" w:sz="0" w:space="0" w:color="auto"/>
        <w:left w:val="none" w:sz="0" w:space="0" w:color="auto"/>
        <w:bottom w:val="none" w:sz="0" w:space="0" w:color="auto"/>
        <w:right w:val="none" w:sz="0" w:space="0" w:color="auto"/>
      </w:divBdr>
    </w:div>
    <w:div w:id="53041339">
      <w:marLeft w:val="0"/>
      <w:marRight w:val="0"/>
      <w:marTop w:val="240"/>
      <w:marBottom w:val="0"/>
      <w:divBdr>
        <w:top w:val="none" w:sz="0" w:space="0" w:color="auto"/>
        <w:left w:val="none" w:sz="0" w:space="0" w:color="auto"/>
        <w:bottom w:val="none" w:sz="0" w:space="0" w:color="auto"/>
        <w:right w:val="none" w:sz="0" w:space="0" w:color="auto"/>
      </w:divBdr>
    </w:div>
    <w:div w:id="53968848">
      <w:marLeft w:val="0"/>
      <w:marRight w:val="0"/>
      <w:marTop w:val="240"/>
      <w:marBottom w:val="0"/>
      <w:divBdr>
        <w:top w:val="none" w:sz="0" w:space="0" w:color="auto"/>
        <w:left w:val="none" w:sz="0" w:space="0" w:color="auto"/>
        <w:bottom w:val="none" w:sz="0" w:space="0" w:color="auto"/>
        <w:right w:val="none" w:sz="0" w:space="0" w:color="auto"/>
      </w:divBdr>
    </w:div>
    <w:div w:id="54745146">
      <w:marLeft w:val="0"/>
      <w:marRight w:val="0"/>
      <w:marTop w:val="180"/>
      <w:marBottom w:val="0"/>
      <w:divBdr>
        <w:top w:val="none" w:sz="0" w:space="0" w:color="auto"/>
        <w:left w:val="none" w:sz="0" w:space="0" w:color="auto"/>
        <w:bottom w:val="none" w:sz="0" w:space="0" w:color="auto"/>
        <w:right w:val="none" w:sz="0" w:space="0" w:color="auto"/>
      </w:divBdr>
    </w:div>
    <w:div w:id="55082784">
      <w:marLeft w:val="0"/>
      <w:marRight w:val="0"/>
      <w:marTop w:val="0"/>
      <w:marBottom w:val="0"/>
      <w:divBdr>
        <w:top w:val="none" w:sz="0" w:space="0" w:color="auto"/>
        <w:left w:val="none" w:sz="0" w:space="0" w:color="auto"/>
        <w:bottom w:val="none" w:sz="0" w:space="0" w:color="auto"/>
        <w:right w:val="none" w:sz="0" w:space="0" w:color="auto"/>
      </w:divBdr>
      <w:divsChild>
        <w:div w:id="1968969963">
          <w:marLeft w:val="0"/>
          <w:marRight w:val="0"/>
          <w:marTop w:val="120"/>
          <w:marBottom w:val="0"/>
          <w:divBdr>
            <w:top w:val="none" w:sz="0" w:space="0" w:color="auto"/>
            <w:left w:val="none" w:sz="0" w:space="0" w:color="auto"/>
            <w:bottom w:val="none" w:sz="0" w:space="0" w:color="auto"/>
            <w:right w:val="none" w:sz="0" w:space="0" w:color="auto"/>
          </w:divBdr>
        </w:div>
      </w:divsChild>
    </w:div>
    <w:div w:id="55125138">
      <w:marLeft w:val="0"/>
      <w:marRight w:val="0"/>
      <w:marTop w:val="240"/>
      <w:marBottom w:val="0"/>
      <w:divBdr>
        <w:top w:val="none" w:sz="0" w:space="0" w:color="auto"/>
        <w:left w:val="none" w:sz="0" w:space="0" w:color="auto"/>
        <w:bottom w:val="none" w:sz="0" w:space="0" w:color="auto"/>
        <w:right w:val="none" w:sz="0" w:space="0" w:color="auto"/>
      </w:divBdr>
    </w:div>
    <w:div w:id="55320119">
      <w:marLeft w:val="0"/>
      <w:marRight w:val="0"/>
      <w:marTop w:val="240"/>
      <w:marBottom w:val="240"/>
      <w:divBdr>
        <w:top w:val="none" w:sz="0" w:space="0" w:color="auto"/>
        <w:left w:val="none" w:sz="0" w:space="0" w:color="auto"/>
        <w:bottom w:val="none" w:sz="0" w:space="0" w:color="auto"/>
        <w:right w:val="none" w:sz="0" w:space="0" w:color="auto"/>
      </w:divBdr>
    </w:div>
    <w:div w:id="59522222">
      <w:marLeft w:val="0"/>
      <w:marRight w:val="0"/>
      <w:marTop w:val="180"/>
      <w:marBottom w:val="0"/>
      <w:divBdr>
        <w:top w:val="none" w:sz="0" w:space="0" w:color="auto"/>
        <w:left w:val="none" w:sz="0" w:space="0" w:color="auto"/>
        <w:bottom w:val="none" w:sz="0" w:space="0" w:color="auto"/>
        <w:right w:val="none" w:sz="0" w:space="0" w:color="auto"/>
      </w:divBdr>
    </w:div>
    <w:div w:id="65222844">
      <w:marLeft w:val="0"/>
      <w:marRight w:val="0"/>
      <w:marTop w:val="240"/>
      <w:marBottom w:val="0"/>
      <w:divBdr>
        <w:top w:val="none" w:sz="0" w:space="0" w:color="auto"/>
        <w:left w:val="none" w:sz="0" w:space="0" w:color="auto"/>
        <w:bottom w:val="none" w:sz="0" w:space="0" w:color="auto"/>
        <w:right w:val="none" w:sz="0" w:space="0" w:color="auto"/>
      </w:divBdr>
    </w:div>
    <w:div w:id="67315650">
      <w:marLeft w:val="0"/>
      <w:marRight w:val="0"/>
      <w:marTop w:val="300"/>
      <w:marBottom w:val="0"/>
      <w:divBdr>
        <w:top w:val="none" w:sz="0" w:space="0" w:color="auto"/>
        <w:left w:val="none" w:sz="0" w:space="0" w:color="auto"/>
        <w:bottom w:val="none" w:sz="0" w:space="0" w:color="auto"/>
        <w:right w:val="none" w:sz="0" w:space="0" w:color="auto"/>
      </w:divBdr>
    </w:div>
    <w:div w:id="68508013">
      <w:marLeft w:val="0"/>
      <w:marRight w:val="0"/>
      <w:marTop w:val="240"/>
      <w:marBottom w:val="0"/>
      <w:divBdr>
        <w:top w:val="none" w:sz="0" w:space="0" w:color="auto"/>
        <w:left w:val="none" w:sz="0" w:space="0" w:color="auto"/>
        <w:bottom w:val="none" w:sz="0" w:space="0" w:color="auto"/>
        <w:right w:val="none" w:sz="0" w:space="0" w:color="auto"/>
      </w:divBdr>
    </w:div>
    <w:div w:id="74665630">
      <w:marLeft w:val="0"/>
      <w:marRight w:val="0"/>
      <w:marTop w:val="240"/>
      <w:marBottom w:val="0"/>
      <w:divBdr>
        <w:top w:val="none" w:sz="0" w:space="0" w:color="auto"/>
        <w:left w:val="none" w:sz="0" w:space="0" w:color="auto"/>
        <w:bottom w:val="none" w:sz="0" w:space="0" w:color="auto"/>
        <w:right w:val="none" w:sz="0" w:space="0" w:color="auto"/>
      </w:divBdr>
    </w:div>
    <w:div w:id="76900752">
      <w:marLeft w:val="0"/>
      <w:marRight w:val="0"/>
      <w:marTop w:val="0"/>
      <w:marBottom w:val="0"/>
      <w:divBdr>
        <w:top w:val="none" w:sz="0" w:space="0" w:color="auto"/>
        <w:left w:val="none" w:sz="0" w:space="0" w:color="auto"/>
        <w:bottom w:val="none" w:sz="0" w:space="0" w:color="auto"/>
        <w:right w:val="none" w:sz="0" w:space="0" w:color="auto"/>
      </w:divBdr>
    </w:div>
    <w:div w:id="79300441">
      <w:marLeft w:val="0"/>
      <w:marRight w:val="0"/>
      <w:marTop w:val="240"/>
      <w:marBottom w:val="0"/>
      <w:divBdr>
        <w:top w:val="none" w:sz="0" w:space="0" w:color="auto"/>
        <w:left w:val="none" w:sz="0" w:space="0" w:color="auto"/>
        <w:bottom w:val="none" w:sz="0" w:space="0" w:color="auto"/>
        <w:right w:val="none" w:sz="0" w:space="0" w:color="auto"/>
      </w:divBdr>
    </w:div>
    <w:div w:id="79645311">
      <w:marLeft w:val="0"/>
      <w:marRight w:val="0"/>
      <w:marTop w:val="0"/>
      <w:marBottom w:val="0"/>
      <w:divBdr>
        <w:top w:val="none" w:sz="0" w:space="0" w:color="auto"/>
        <w:left w:val="none" w:sz="0" w:space="0" w:color="auto"/>
        <w:bottom w:val="none" w:sz="0" w:space="0" w:color="auto"/>
        <w:right w:val="none" w:sz="0" w:space="0" w:color="auto"/>
      </w:divBdr>
      <w:divsChild>
        <w:div w:id="1003750734">
          <w:marLeft w:val="0"/>
          <w:marRight w:val="0"/>
          <w:marTop w:val="0"/>
          <w:marBottom w:val="0"/>
          <w:divBdr>
            <w:top w:val="none" w:sz="0" w:space="0" w:color="auto"/>
            <w:left w:val="none" w:sz="0" w:space="0" w:color="auto"/>
            <w:bottom w:val="none" w:sz="0" w:space="0" w:color="auto"/>
            <w:right w:val="none" w:sz="0" w:space="0" w:color="auto"/>
          </w:divBdr>
        </w:div>
      </w:divsChild>
    </w:div>
    <w:div w:id="80033817">
      <w:marLeft w:val="0"/>
      <w:marRight w:val="0"/>
      <w:marTop w:val="240"/>
      <w:marBottom w:val="0"/>
      <w:divBdr>
        <w:top w:val="none" w:sz="0" w:space="0" w:color="auto"/>
        <w:left w:val="none" w:sz="0" w:space="0" w:color="auto"/>
        <w:bottom w:val="none" w:sz="0" w:space="0" w:color="auto"/>
        <w:right w:val="none" w:sz="0" w:space="0" w:color="auto"/>
      </w:divBdr>
    </w:div>
    <w:div w:id="80378239">
      <w:marLeft w:val="0"/>
      <w:marRight w:val="0"/>
      <w:marTop w:val="0"/>
      <w:marBottom w:val="0"/>
      <w:divBdr>
        <w:top w:val="none" w:sz="0" w:space="0" w:color="auto"/>
        <w:left w:val="none" w:sz="0" w:space="0" w:color="auto"/>
        <w:bottom w:val="none" w:sz="0" w:space="0" w:color="auto"/>
        <w:right w:val="none" w:sz="0" w:space="0" w:color="auto"/>
      </w:divBdr>
      <w:divsChild>
        <w:div w:id="162160737">
          <w:marLeft w:val="0"/>
          <w:marRight w:val="0"/>
          <w:marTop w:val="120"/>
          <w:marBottom w:val="0"/>
          <w:divBdr>
            <w:top w:val="none" w:sz="0" w:space="0" w:color="auto"/>
            <w:left w:val="none" w:sz="0" w:space="0" w:color="auto"/>
            <w:bottom w:val="none" w:sz="0" w:space="0" w:color="auto"/>
            <w:right w:val="none" w:sz="0" w:space="0" w:color="auto"/>
          </w:divBdr>
        </w:div>
      </w:divsChild>
    </w:div>
    <w:div w:id="84693833">
      <w:marLeft w:val="0"/>
      <w:marRight w:val="0"/>
      <w:marTop w:val="0"/>
      <w:marBottom w:val="0"/>
      <w:divBdr>
        <w:top w:val="none" w:sz="0" w:space="0" w:color="auto"/>
        <w:left w:val="none" w:sz="0" w:space="0" w:color="auto"/>
        <w:bottom w:val="none" w:sz="0" w:space="0" w:color="auto"/>
        <w:right w:val="none" w:sz="0" w:space="0" w:color="auto"/>
      </w:divBdr>
    </w:div>
    <w:div w:id="85733423">
      <w:marLeft w:val="0"/>
      <w:marRight w:val="0"/>
      <w:marTop w:val="240"/>
      <w:marBottom w:val="0"/>
      <w:divBdr>
        <w:top w:val="none" w:sz="0" w:space="0" w:color="auto"/>
        <w:left w:val="none" w:sz="0" w:space="0" w:color="auto"/>
        <w:bottom w:val="none" w:sz="0" w:space="0" w:color="auto"/>
        <w:right w:val="none" w:sz="0" w:space="0" w:color="auto"/>
      </w:divBdr>
    </w:div>
    <w:div w:id="85813902">
      <w:marLeft w:val="0"/>
      <w:marRight w:val="0"/>
      <w:marTop w:val="0"/>
      <w:marBottom w:val="0"/>
      <w:divBdr>
        <w:top w:val="none" w:sz="0" w:space="0" w:color="auto"/>
        <w:left w:val="none" w:sz="0" w:space="0" w:color="auto"/>
        <w:bottom w:val="none" w:sz="0" w:space="0" w:color="auto"/>
        <w:right w:val="none" w:sz="0" w:space="0" w:color="auto"/>
      </w:divBdr>
      <w:divsChild>
        <w:div w:id="200702855">
          <w:marLeft w:val="0"/>
          <w:marRight w:val="0"/>
          <w:marTop w:val="120"/>
          <w:marBottom w:val="0"/>
          <w:divBdr>
            <w:top w:val="none" w:sz="0" w:space="0" w:color="auto"/>
            <w:left w:val="none" w:sz="0" w:space="0" w:color="auto"/>
            <w:bottom w:val="none" w:sz="0" w:space="0" w:color="auto"/>
            <w:right w:val="none" w:sz="0" w:space="0" w:color="auto"/>
          </w:divBdr>
        </w:div>
      </w:divsChild>
    </w:div>
    <w:div w:id="87047513">
      <w:marLeft w:val="0"/>
      <w:marRight w:val="0"/>
      <w:marTop w:val="240"/>
      <w:marBottom w:val="0"/>
      <w:divBdr>
        <w:top w:val="none" w:sz="0" w:space="0" w:color="auto"/>
        <w:left w:val="none" w:sz="0" w:space="0" w:color="auto"/>
        <w:bottom w:val="none" w:sz="0" w:space="0" w:color="auto"/>
        <w:right w:val="none" w:sz="0" w:space="0" w:color="auto"/>
      </w:divBdr>
    </w:div>
    <w:div w:id="88164442">
      <w:marLeft w:val="0"/>
      <w:marRight w:val="0"/>
      <w:marTop w:val="240"/>
      <w:marBottom w:val="0"/>
      <w:divBdr>
        <w:top w:val="none" w:sz="0" w:space="0" w:color="auto"/>
        <w:left w:val="none" w:sz="0" w:space="0" w:color="auto"/>
        <w:bottom w:val="none" w:sz="0" w:space="0" w:color="auto"/>
        <w:right w:val="none" w:sz="0" w:space="0" w:color="auto"/>
      </w:divBdr>
    </w:div>
    <w:div w:id="89669129">
      <w:marLeft w:val="0"/>
      <w:marRight w:val="0"/>
      <w:marTop w:val="240"/>
      <w:marBottom w:val="0"/>
      <w:divBdr>
        <w:top w:val="none" w:sz="0" w:space="0" w:color="auto"/>
        <w:left w:val="none" w:sz="0" w:space="0" w:color="auto"/>
        <w:bottom w:val="none" w:sz="0" w:space="0" w:color="auto"/>
        <w:right w:val="none" w:sz="0" w:space="0" w:color="auto"/>
      </w:divBdr>
    </w:div>
    <w:div w:id="92823805">
      <w:marLeft w:val="0"/>
      <w:marRight w:val="0"/>
      <w:marTop w:val="240"/>
      <w:marBottom w:val="0"/>
      <w:divBdr>
        <w:top w:val="none" w:sz="0" w:space="0" w:color="auto"/>
        <w:left w:val="none" w:sz="0" w:space="0" w:color="auto"/>
        <w:bottom w:val="none" w:sz="0" w:space="0" w:color="auto"/>
        <w:right w:val="none" w:sz="0" w:space="0" w:color="auto"/>
      </w:divBdr>
    </w:div>
    <w:div w:id="94179009">
      <w:marLeft w:val="0"/>
      <w:marRight w:val="0"/>
      <w:marTop w:val="120"/>
      <w:marBottom w:val="0"/>
      <w:divBdr>
        <w:top w:val="none" w:sz="0" w:space="0" w:color="auto"/>
        <w:left w:val="none" w:sz="0" w:space="0" w:color="auto"/>
        <w:bottom w:val="none" w:sz="0" w:space="0" w:color="auto"/>
        <w:right w:val="none" w:sz="0" w:space="0" w:color="auto"/>
      </w:divBdr>
    </w:div>
    <w:div w:id="96408096">
      <w:marLeft w:val="0"/>
      <w:marRight w:val="0"/>
      <w:marTop w:val="0"/>
      <w:marBottom w:val="0"/>
      <w:divBdr>
        <w:top w:val="none" w:sz="0" w:space="0" w:color="auto"/>
        <w:left w:val="none" w:sz="0" w:space="0" w:color="auto"/>
        <w:bottom w:val="none" w:sz="0" w:space="0" w:color="auto"/>
        <w:right w:val="none" w:sz="0" w:space="0" w:color="auto"/>
      </w:divBdr>
      <w:divsChild>
        <w:div w:id="602151744">
          <w:marLeft w:val="0"/>
          <w:marRight w:val="0"/>
          <w:marTop w:val="0"/>
          <w:marBottom w:val="0"/>
          <w:divBdr>
            <w:top w:val="none" w:sz="0" w:space="0" w:color="auto"/>
            <w:left w:val="none" w:sz="0" w:space="0" w:color="auto"/>
            <w:bottom w:val="none" w:sz="0" w:space="0" w:color="auto"/>
            <w:right w:val="none" w:sz="0" w:space="0" w:color="auto"/>
          </w:divBdr>
          <w:divsChild>
            <w:div w:id="113378699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7721056">
      <w:marLeft w:val="0"/>
      <w:marRight w:val="0"/>
      <w:marTop w:val="180"/>
      <w:marBottom w:val="0"/>
      <w:divBdr>
        <w:top w:val="none" w:sz="0" w:space="0" w:color="auto"/>
        <w:left w:val="none" w:sz="0" w:space="0" w:color="auto"/>
        <w:bottom w:val="none" w:sz="0" w:space="0" w:color="auto"/>
        <w:right w:val="none" w:sz="0" w:space="0" w:color="auto"/>
      </w:divBdr>
    </w:div>
    <w:div w:id="101189729">
      <w:marLeft w:val="0"/>
      <w:marRight w:val="0"/>
      <w:marTop w:val="0"/>
      <w:marBottom w:val="0"/>
      <w:divBdr>
        <w:top w:val="none" w:sz="0" w:space="0" w:color="auto"/>
        <w:left w:val="none" w:sz="0" w:space="0" w:color="auto"/>
        <w:bottom w:val="none" w:sz="0" w:space="0" w:color="auto"/>
        <w:right w:val="none" w:sz="0" w:space="0" w:color="auto"/>
      </w:divBdr>
      <w:divsChild>
        <w:div w:id="1299991164">
          <w:marLeft w:val="0"/>
          <w:marRight w:val="0"/>
          <w:marTop w:val="0"/>
          <w:marBottom w:val="0"/>
          <w:divBdr>
            <w:top w:val="none" w:sz="0" w:space="0" w:color="auto"/>
            <w:left w:val="none" w:sz="0" w:space="0" w:color="auto"/>
            <w:bottom w:val="none" w:sz="0" w:space="0" w:color="auto"/>
            <w:right w:val="none" w:sz="0" w:space="0" w:color="auto"/>
          </w:divBdr>
          <w:divsChild>
            <w:div w:id="35797386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4346991">
      <w:marLeft w:val="0"/>
      <w:marRight w:val="0"/>
      <w:marTop w:val="200"/>
      <w:marBottom w:val="0"/>
      <w:divBdr>
        <w:top w:val="none" w:sz="0" w:space="0" w:color="auto"/>
        <w:left w:val="none" w:sz="0" w:space="0" w:color="auto"/>
        <w:bottom w:val="none" w:sz="0" w:space="0" w:color="auto"/>
        <w:right w:val="none" w:sz="0" w:space="0" w:color="auto"/>
      </w:divBdr>
    </w:div>
    <w:div w:id="104353990">
      <w:marLeft w:val="0"/>
      <w:marRight w:val="0"/>
      <w:marTop w:val="120"/>
      <w:marBottom w:val="60"/>
      <w:divBdr>
        <w:top w:val="none" w:sz="0" w:space="0" w:color="auto"/>
        <w:left w:val="none" w:sz="0" w:space="0" w:color="auto"/>
        <w:bottom w:val="none" w:sz="0" w:space="0" w:color="auto"/>
        <w:right w:val="none" w:sz="0" w:space="0" w:color="auto"/>
      </w:divBdr>
    </w:div>
    <w:div w:id="104813660">
      <w:marLeft w:val="0"/>
      <w:marRight w:val="0"/>
      <w:marTop w:val="0"/>
      <w:marBottom w:val="0"/>
      <w:divBdr>
        <w:top w:val="none" w:sz="0" w:space="0" w:color="auto"/>
        <w:left w:val="none" w:sz="0" w:space="0" w:color="auto"/>
        <w:bottom w:val="none" w:sz="0" w:space="0" w:color="auto"/>
        <w:right w:val="none" w:sz="0" w:space="0" w:color="auto"/>
      </w:divBdr>
      <w:divsChild>
        <w:div w:id="1954432986">
          <w:marLeft w:val="0"/>
          <w:marRight w:val="0"/>
          <w:marTop w:val="120"/>
          <w:marBottom w:val="0"/>
          <w:divBdr>
            <w:top w:val="none" w:sz="0" w:space="0" w:color="auto"/>
            <w:left w:val="none" w:sz="0" w:space="0" w:color="auto"/>
            <w:bottom w:val="none" w:sz="0" w:space="0" w:color="auto"/>
            <w:right w:val="none" w:sz="0" w:space="0" w:color="auto"/>
          </w:divBdr>
        </w:div>
      </w:divsChild>
    </w:div>
    <w:div w:id="105127140">
      <w:marLeft w:val="0"/>
      <w:marRight w:val="0"/>
      <w:marTop w:val="240"/>
      <w:marBottom w:val="0"/>
      <w:divBdr>
        <w:top w:val="none" w:sz="0" w:space="0" w:color="auto"/>
        <w:left w:val="none" w:sz="0" w:space="0" w:color="auto"/>
        <w:bottom w:val="none" w:sz="0" w:space="0" w:color="auto"/>
        <w:right w:val="none" w:sz="0" w:space="0" w:color="auto"/>
      </w:divBdr>
    </w:div>
    <w:div w:id="105471175">
      <w:marLeft w:val="0"/>
      <w:marRight w:val="0"/>
      <w:marTop w:val="240"/>
      <w:marBottom w:val="0"/>
      <w:divBdr>
        <w:top w:val="none" w:sz="0" w:space="0" w:color="auto"/>
        <w:left w:val="none" w:sz="0" w:space="0" w:color="auto"/>
        <w:bottom w:val="none" w:sz="0" w:space="0" w:color="auto"/>
        <w:right w:val="none" w:sz="0" w:space="0" w:color="auto"/>
      </w:divBdr>
    </w:div>
    <w:div w:id="107235383">
      <w:marLeft w:val="0"/>
      <w:marRight w:val="0"/>
      <w:marTop w:val="240"/>
      <w:marBottom w:val="0"/>
      <w:divBdr>
        <w:top w:val="none" w:sz="0" w:space="0" w:color="auto"/>
        <w:left w:val="none" w:sz="0" w:space="0" w:color="auto"/>
        <w:bottom w:val="none" w:sz="0" w:space="0" w:color="auto"/>
        <w:right w:val="none" w:sz="0" w:space="0" w:color="auto"/>
      </w:divBdr>
    </w:div>
    <w:div w:id="107818834">
      <w:marLeft w:val="0"/>
      <w:marRight w:val="0"/>
      <w:marTop w:val="240"/>
      <w:marBottom w:val="0"/>
      <w:divBdr>
        <w:top w:val="none" w:sz="0" w:space="0" w:color="auto"/>
        <w:left w:val="none" w:sz="0" w:space="0" w:color="auto"/>
        <w:bottom w:val="none" w:sz="0" w:space="0" w:color="auto"/>
        <w:right w:val="none" w:sz="0" w:space="0" w:color="auto"/>
      </w:divBdr>
    </w:div>
    <w:div w:id="108622521">
      <w:marLeft w:val="0"/>
      <w:marRight w:val="0"/>
      <w:marTop w:val="240"/>
      <w:marBottom w:val="0"/>
      <w:divBdr>
        <w:top w:val="none" w:sz="0" w:space="0" w:color="auto"/>
        <w:left w:val="none" w:sz="0" w:space="0" w:color="auto"/>
        <w:bottom w:val="none" w:sz="0" w:space="0" w:color="auto"/>
        <w:right w:val="none" w:sz="0" w:space="0" w:color="auto"/>
      </w:divBdr>
    </w:div>
    <w:div w:id="109055223">
      <w:marLeft w:val="0"/>
      <w:marRight w:val="0"/>
      <w:marTop w:val="300"/>
      <w:marBottom w:val="0"/>
      <w:divBdr>
        <w:top w:val="none" w:sz="0" w:space="0" w:color="auto"/>
        <w:left w:val="none" w:sz="0" w:space="0" w:color="auto"/>
        <w:bottom w:val="none" w:sz="0" w:space="0" w:color="auto"/>
        <w:right w:val="none" w:sz="0" w:space="0" w:color="auto"/>
      </w:divBdr>
    </w:div>
    <w:div w:id="113525304">
      <w:marLeft w:val="0"/>
      <w:marRight w:val="0"/>
      <w:marTop w:val="240"/>
      <w:marBottom w:val="0"/>
      <w:divBdr>
        <w:top w:val="none" w:sz="0" w:space="0" w:color="auto"/>
        <w:left w:val="none" w:sz="0" w:space="0" w:color="auto"/>
        <w:bottom w:val="none" w:sz="0" w:space="0" w:color="auto"/>
        <w:right w:val="none" w:sz="0" w:space="0" w:color="auto"/>
      </w:divBdr>
    </w:div>
    <w:div w:id="114492832">
      <w:marLeft w:val="0"/>
      <w:marRight w:val="0"/>
      <w:marTop w:val="240"/>
      <w:marBottom w:val="0"/>
      <w:divBdr>
        <w:top w:val="none" w:sz="0" w:space="0" w:color="auto"/>
        <w:left w:val="none" w:sz="0" w:space="0" w:color="auto"/>
        <w:bottom w:val="none" w:sz="0" w:space="0" w:color="auto"/>
        <w:right w:val="none" w:sz="0" w:space="0" w:color="auto"/>
      </w:divBdr>
    </w:div>
    <w:div w:id="117529407">
      <w:marLeft w:val="0"/>
      <w:marRight w:val="0"/>
      <w:marTop w:val="180"/>
      <w:marBottom w:val="0"/>
      <w:divBdr>
        <w:top w:val="none" w:sz="0" w:space="0" w:color="auto"/>
        <w:left w:val="none" w:sz="0" w:space="0" w:color="auto"/>
        <w:bottom w:val="none" w:sz="0" w:space="0" w:color="auto"/>
        <w:right w:val="none" w:sz="0" w:space="0" w:color="auto"/>
      </w:divBdr>
    </w:div>
    <w:div w:id="117728928">
      <w:marLeft w:val="0"/>
      <w:marRight w:val="0"/>
      <w:marTop w:val="240"/>
      <w:marBottom w:val="0"/>
      <w:divBdr>
        <w:top w:val="none" w:sz="0" w:space="0" w:color="auto"/>
        <w:left w:val="none" w:sz="0" w:space="0" w:color="auto"/>
        <w:bottom w:val="none" w:sz="0" w:space="0" w:color="auto"/>
        <w:right w:val="none" w:sz="0" w:space="0" w:color="auto"/>
      </w:divBdr>
    </w:div>
    <w:div w:id="118300114">
      <w:marLeft w:val="0"/>
      <w:marRight w:val="0"/>
      <w:marTop w:val="0"/>
      <w:marBottom w:val="0"/>
      <w:divBdr>
        <w:top w:val="none" w:sz="0" w:space="0" w:color="auto"/>
        <w:left w:val="none" w:sz="0" w:space="0" w:color="auto"/>
        <w:bottom w:val="none" w:sz="0" w:space="0" w:color="auto"/>
        <w:right w:val="none" w:sz="0" w:space="0" w:color="auto"/>
      </w:divBdr>
      <w:divsChild>
        <w:div w:id="1585064299">
          <w:marLeft w:val="0"/>
          <w:marRight w:val="0"/>
          <w:marTop w:val="0"/>
          <w:marBottom w:val="0"/>
          <w:divBdr>
            <w:top w:val="none" w:sz="0" w:space="0" w:color="auto"/>
            <w:left w:val="none" w:sz="0" w:space="0" w:color="auto"/>
            <w:bottom w:val="none" w:sz="0" w:space="0" w:color="auto"/>
            <w:right w:val="none" w:sz="0" w:space="0" w:color="auto"/>
          </w:divBdr>
          <w:divsChild>
            <w:div w:id="19347169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8765409">
      <w:marLeft w:val="0"/>
      <w:marRight w:val="0"/>
      <w:marTop w:val="240"/>
      <w:marBottom w:val="0"/>
      <w:divBdr>
        <w:top w:val="none" w:sz="0" w:space="0" w:color="auto"/>
        <w:left w:val="none" w:sz="0" w:space="0" w:color="auto"/>
        <w:bottom w:val="none" w:sz="0" w:space="0" w:color="auto"/>
        <w:right w:val="none" w:sz="0" w:space="0" w:color="auto"/>
      </w:divBdr>
    </w:div>
    <w:div w:id="119346551">
      <w:marLeft w:val="0"/>
      <w:marRight w:val="0"/>
      <w:marTop w:val="0"/>
      <w:marBottom w:val="0"/>
      <w:divBdr>
        <w:top w:val="none" w:sz="0" w:space="0" w:color="auto"/>
        <w:left w:val="none" w:sz="0" w:space="0" w:color="auto"/>
        <w:bottom w:val="none" w:sz="0" w:space="0" w:color="auto"/>
        <w:right w:val="none" w:sz="0" w:space="0" w:color="auto"/>
      </w:divBdr>
      <w:divsChild>
        <w:div w:id="2134708419">
          <w:marLeft w:val="0"/>
          <w:marRight w:val="0"/>
          <w:marTop w:val="0"/>
          <w:marBottom w:val="0"/>
          <w:divBdr>
            <w:top w:val="none" w:sz="0" w:space="0" w:color="auto"/>
            <w:left w:val="none" w:sz="0" w:space="0" w:color="auto"/>
            <w:bottom w:val="none" w:sz="0" w:space="0" w:color="auto"/>
            <w:right w:val="none" w:sz="0" w:space="0" w:color="auto"/>
          </w:divBdr>
          <w:divsChild>
            <w:div w:id="8358509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1045189">
      <w:marLeft w:val="0"/>
      <w:marRight w:val="0"/>
      <w:marTop w:val="240"/>
      <w:marBottom w:val="0"/>
      <w:divBdr>
        <w:top w:val="none" w:sz="0" w:space="0" w:color="auto"/>
        <w:left w:val="none" w:sz="0" w:space="0" w:color="auto"/>
        <w:bottom w:val="none" w:sz="0" w:space="0" w:color="auto"/>
        <w:right w:val="none" w:sz="0" w:space="0" w:color="auto"/>
      </w:divBdr>
    </w:div>
    <w:div w:id="123698990">
      <w:marLeft w:val="0"/>
      <w:marRight w:val="0"/>
      <w:marTop w:val="240"/>
      <w:marBottom w:val="0"/>
      <w:divBdr>
        <w:top w:val="none" w:sz="0" w:space="0" w:color="auto"/>
        <w:left w:val="none" w:sz="0" w:space="0" w:color="auto"/>
        <w:bottom w:val="none" w:sz="0" w:space="0" w:color="auto"/>
        <w:right w:val="none" w:sz="0" w:space="0" w:color="auto"/>
      </w:divBdr>
    </w:div>
    <w:div w:id="123891374">
      <w:marLeft w:val="0"/>
      <w:marRight w:val="0"/>
      <w:marTop w:val="240"/>
      <w:marBottom w:val="0"/>
      <w:divBdr>
        <w:top w:val="none" w:sz="0" w:space="0" w:color="auto"/>
        <w:left w:val="none" w:sz="0" w:space="0" w:color="auto"/>
        <w:bottom w:val="none" w:sz="0" w:space="0" w:color="auto"/>
        <w:right w:val="none" w:sz="0" w:space="0" w:color="auto"/>
      </w:divBdr>
    </w:div>
    <w:div w:id="124351987">
      <w:marLeft w:val="0"/>
      <w:marRight w:val="0"/>
      <w:marTop w:val="240"/>
      <w:marBottom w:val="0"/>
      <w:divBdr>
        <w:top w:val="none" w:sz="0" w:space="0" w:color="auto"/>
        <w:left w:val="none" w:sz="0" w:space="0" w:color="auto"/>
        <w:bottom w:val="none" w:sz="0" w:space="0" w:color="auto"/>
        <w:right w:val="none" w:sz="0" w:space="0" w:color="auto"/>
      </w:divBdr>
    </w:div>
    <w:div w:id="124858775">
      <w:marLeft w:val="0"/>
      <w:marRight w:val="0"/>
      <w:marTop w:val="240"/>
      <w:marBottom w:val="0"/>
      <w:divBdr>
        <w:top w:val="none" w:sz="0" w:space="0" w:color="auto"/>
        <w:left w:val="none" w:sz="0" w:space="0" w:color="auto"/>
        <w:bottom w:val="none" w:sz="0" w:space="0" w:color="auto"/>
        <w:right w:val="none" w:sz="0" w:space="0" w:color="auto"/>
      </w:divBdr>
    </w:div>
    <w:div w:id="126122009">
      <w:marLeft w:val="0"/>
      <w:marRight w:val="0"/>
      <w:marTop w:val="240"/>
      <w:marBottom w:val="0"/>
      <w:divBdr>
        <w:top w:val="none" w:sz="0" w:space="0" w:color="auto"/>
        <w:left w:val="none" w:sz="0" w:space="0" w:color="auto"/>
        <w:bottom w:val="none" w:sz="0" w:space="0" w:color="auto"/>
        <w:right w:val="none" w:sz="0" w:space="0" w:color="auto"/>
      </w:divBdr>
    </w:div>
    <w:div w:id="128938543">
      <w:marLeft w:val="0"/>
      <w:marRight w:val="0"/>
      <w:marTop w:val="240"/>
      <w:marBottom w:val="0"/>
      <w:divBdr>
        <w:top w:val="none" w:sz="0" w:space="0" w:color="auto"/>
        <w:left w:val="none" w:sz="0" w:space="0" w:color="auto"/>
        <w:bottom w:val="none" w:sz="0" w:space="0" w:color="auto"/>
        <w:right w:val="none" w:sz="0" w:space="0" w:color="auto"/>
      </w:divBdr>
    </w:div>
    <w:div w:id="129442767">
      <w:marLeft w:val="0"/>
      <w:marRight w:val="0"/>
      <w:marTop w:val="300"/>
      <w:marBottom w:val="0"/>
      <w:divBdr>
        <w:top w:val="none" w:sz="0" w:space="0" w:color="auto"/>
        <w:left w:val="none" w:sz="0" w:space="0" w:color="auto"/>
        <w:bottom w:val="none" w:sz="0" w:space="0" w:color="auto"/>
        <w:right w:val="none" w:sz="0" w:space="0" w:color="auto"/>
      </w:divBdr>
    </w:div>
    <w:div w:id="131674387">
      <w:marLeft w:val="0"/>
      <w:marRight w:val="0"/>
      <w:marTop w:val="240"/>
      <w:marBottom w:val="0"/>
      <w:divBdr>
        <w:top w:val="none" w:sz="0" w:space="0" w:color="auto"/>
        <w:left w:val="none" w:sz="0" w:space="0" w:color="auto"/>
        <w:bottom w:val="none" w:sz="0" w:space="0" w:color="auto"/>
        <w:right w:val="none" w:sz="0" w:space="0" w:color="auto"/>
      </w:divBdr>
    </w:div>
    <w:div w:id="134374614">
      <w:marLeft w:val="0"/>
      <w:marRight w:val="0"/>
      <w:marTop w:val="240"/>
      <w:marBottom w:val="120"/>
      <w:divBdr>
        <w:top w:val="none" w:sz="0" w:space="0" w:color="auto"/>
        <w:left w:val="none" w:sz="0" w:space="0" w:color="auto"/>
        <w:bottom w:val="none" w:sz="0" w:space="0" w:color="auto"/>
        <w:right w:val="none" w:sz="0" w:space="0" w:color="auto"/>
      </w:divBdr>
    </w:div>
    <w:div w:id="136607851">
      <w:marLeft w:val="0"/>
      <w:marRight w:val="0"/>
      <w:marTop w:val="180"/>
      <w:marBottom w:val="0"/>
      <w:divBdr>
        <w:top w:val="none" w:sz="0" w:space="0" w:color="auto"/>
        <w:left w:val="none" w:sz="0" w:space="0" w:color="auto"/>
        <w:bottom w:val="none" w:sz="0" w:space="0" w:color="auto"/>
        <w:right w:val="none" w:sz="0" w:space="0" w:color="auto"/>
      </w:divBdr>
    </w:div>
    <w:div w:id="137965531">
      <w:marLeft w:val="0"/>
      <w:marRight w:val="0"/>
      <w:marTop w:val="240"/>
      <w:marBottom w:val="0"/>
      <w:divBdr>
        <w:top w:val="none" w:sz="0" w:space="0" w:color="auto"/>
        <w:left w:val="none" w:sz="0" w:space="0" w:color="auto"/>
        <w:bottom w:val="none" w:sz="0" w:space="0" w:color="auto"/>
        <w:right w:val="none" w:sz="0" w:space="0" w:color="auto"/>
      </w:divBdr>
    </w:div>
    <w:div w:id="139884090">
      <w:marLeft w:val="0"/>
      <w:marRight w:val="0"/>
      <w:marTop w:val="60"/>
      <w:marBottom w:val="0"/>
      <w:divBdr>
        <w:top w:val="none" w:sz="0" w:space="0" w:color="auto"/>
        <w:left w:val="none" w:sz="0" w:space="0" w:color="auto"/>
        <w:bottom w:val="none" w:sz="0" w:space="0" w:color="auto"/>
        <w:right w:val="none" w:sz="0" w:space="0" w:color="auto"/>
      </w:divBdr>
    </w:div>
    <w:div w:id="141506428">
      <w:marLeft w:val="0"/>
      <w:marRight w:val="0"/>
      <w:marTop w:val="220"/>
      <w:marBottom w:val="0"/>
      <w:divBdr>
        <w:top w:val="none" w:sz="0" w:space="0" w:color="auto"/>
        <w:left w:val="none" w:sz="0" w:space="0" w:color="auto"/>
        <w:bottom w:val="none" w:sz="0" w:space="0" w:color="auto"/>
        <w:right w:val="none" w:sz="0" w:space="0" w:color="auto"/>
      </w:divBdr>
    </w:div>
    <w:div w:id="141822143">
      <w:marLeft w:val="0"/>
      <w:marRight w:val="0"/>
      <w:marTop w:val="240"/>
      <w:marBottom w:val="0"/>
      <w:divBdr>
        <w:top w:val="none" w:sz="0" w:space="0" w:color="auto"/>
        <w:left w:val="none" w:sz="0" w:space="0" w:color="auto"/>
        <w:bottom w:val="none" w:sz="0" w:space="0" w:color="auto"/>
        <w:right w:val="none" w:sz="0" w:space="0" w:color="auto"/>
      </w:divBdr>
    </w:div>
    <w:div w:id="143359465">
      <w:marLeft w:val="0"/>
      <w:marRight w:val="0"/>
      <w:marTop w:val="240"/>
      <w:marBottom w:val="0"/>
      <w:divBdr>
        <w:top w:val="none" w:sz="0" w:space="0" w:color="auto"/>
        <w:left w:val="none" w:sz="0" w:space="0" w:color="auto"/>
        <w:bottom w:val="none" w:sz="0" w:space="0" w:color="auto"/>
        <w:right w:val="none" w:sz="0" w:space="0" w:color="auto"/>
      </w:divBdr>
    </w:div>
    <w:div w:id="144978536">
      <w:marLeft w:val="0"/>
      <w:marRight w:val="0"/>
      <w:marTop w:val="300"/>
      <w:marBottom w:val="0"/>
      <w:divBdr>
        <w:top w:val="none" w:sz="0" w:space="0" w:color="auto"/>
        <w:left w:val="none" w:sz="0" w:space="0" w:color="auto"/>
        <w:bottom w:val="none" w:sz="0" w:space="0" w:color="auto"/>
        <w:right w:val="none" w:sz="0" w:space="0" w:color="auto"/>
      </w:divBdr>
    </w:div>
    <w:div w:id="147131633">
      <w:marLeft w:val="0"/>
      <w:marRight w:val="0"/>
      <w:marTop w:val="240"/>
      <w:marBottom w:val="0"/>
      <w:divBdr>
        <w:top w:val="none" w:sz="0" w:space="0" w:color="auto"/>
        <w:left w:val="none" w:sz="0" w:space="0" w:color="auto"/>
        <w:bottom w:val="none" w:sz="0" w:space="0" w:color="auto"/>
        <w:right w:val="none" w:sz="0" w:space="0" w:color="auto"/>
      </w:divBdr>
    </w:div>
    <w:div w:id="148182707">
      <w:marLeft w:val="0"/>
      <w:marRight w:val="0"/>
      <w:marTop w:val="240"/>
      <w:marBottom w:val="0"/>
      <w:divBdr>
        <w:top w:val="none" w:sz="0" w:space="0" w:color="auto"/>
        <w:left w:val="none" w:sz="0" w:space="0" w:color="auto"/>
        <w:bottom w:val="none" w:sz="0" w:space="0" w:color="auto"/>
        <w:right w:val="none" w:sz="0" w:space="0" w:color="auto"/>
      </w:divBdr>
    </w:div>
    <w:div w:id="148253566">
      <w:marLeft w:val="0"/>
      <w:marRight w:val="0"/>
      <w:marTop w:val="240"/>
      <w:marBottom w:val="0"/>
      <w:divBdr>
        <w:top w:val="none" w:sz="0" w:space="0" w:color="auto"/>
        <w:left w:val="none" w:sz="0" w:space="0" w:color="auto"/>
        <w:bottom w:val="none" w:sz="0" w:space="0" w:color="auto"/>
        <w:right w:val="none" w:sz="0" w:space="0" w:color="auto"/>
      </w:divBdr>
    </w:div>
    <w:div w:id="149176517">
      <w:marLeft w:val="0"/>
      <w:marRight w:val="0"/>
      <w:marTop w:val="0"/>
      <w:marBottom w:val="0"/>
      <w:divBdr>
        <w:top w:val="none" w:sz="0" w:space="0" w:color="auto"/>
        <w:left w:val="none" w:sz="0" w:space="0" w:color="auto"/>
        <w:bottom w:val="none" w:sz="0" w:space="0" w:color="auto"/>
        <w:right w:val="none" w:sz="0" w:space="0" w:color="auto"/>
      </w:divBdr>
      <w:divsChild>
        <w:div w:id="1483497085">
          <w:marLeft w:val="0"/>
          <w:marRight w:val="0"/>
          <w:marTop w:val="0"/>
          <w:marBottom w:val="0"/>
          <w:divBdr>
            <w:top w:val="none" w:sz="0" w:space="0" w:color="auto"/>
            <w:left w:val="none" w:sz="0" w:space="0" w:color="auto"/>
            <w:bottom w:val="none" w:sz="0" w:space="0" w:color="auto"/>
            <w:right w:val="none" w:sz="0" w:space="0" w:color="auto"/>
          </w:divBdr>
        </w:div>
      </w:divsChild>
    </w:div>
    <w:div w:id="150339780">
      <w:marLeft w:val="0"/>
      <w:marRight w:val="0"/>
      <w:marTop w:val="240"/>
      <w:marBottom w:val="0"/>
      <w:divBdr>
        <w:top w:val="none" w:sz="0" w:space="0" w:color="auto"/>
        <w:left w:val="none" w:sz="0" w:space="0" w:color="auto"/>
        <w:bottom w:val="none" w:sz="0" w:space="0" w:color="auto"/>
        <w:right w:val="none" w:sz="0" w:space="0" w:color="auto"/>
      </w:divBdr>
    </w:div>
    <w:div w:id="153449586">
      <w:marLeft w:val="0"/>
      <w:marRight w:val="0"/>
      <w:marTop w:val="0"/>
      <w:marBottom w:val="0"/>
      <w:divBdr>
        <w:top w:val="none" w:sz="0" w:space="0" w:color="auto"/>
        <w:left w:val="none" w:sz="0" w:space="0" w:color="auto"/>
        <w:bottom w:val="none" w:sz="0" w:space="0" w:color="auto"/>
        <w:right w:val="none" w:sz="0" w:space="0" w:color="auto"/>
      </w:divBdr>
    </w:div>
    <w:div w:id="154105185">
      <w:marLeft w:val="0"/>
      <w:marRight w:val="0"/>
      <w:marTop w:val="100"/>
      <w:marBottom w:val="0"/>
      <w:divBdr>
        <w:top w:val="none" w:sz="0" w:space="0" w:color="auto"/>
        <w:left w:val="none" w:sz="0" w:space="0" w:color="auto"/>
        <w:bottom w:val="none" w:sz="0" w:space="0" w:color="auto"/>
        <w:right w:val="none" w:sz="0" w:space="0" w:color="auto"/>
      </w:divBdr>
    </w:div>
    <w:div w:id="155541259">
      <w:marLeft w:val="0"/>
      <w:marRight w:val="0"/>
      <w:marTop w:val="180"/>
      <w:marBottom w:val="0"/>
      <w:divBdr>
        <w:top w:val="none" w:sz="0" w:space="0" w:color="auto"/>
        <w:left w:val="none" w:sz="0" w:space="0" w:color="auto"/>
        <w:bottom w:val="none" w:sz="0" w:space="0" w:color="auto"/>
        <w:right w:val="none" w:sz="0" w:space="0" w:color="auto"/>
      </w:divBdr>
    </w:div>
    <w:div w:id="155727257">
      <w:marLeft w:val="0"/>
      <w:marRight w:val="0"/>
      <w:marTop w:val="160"/>
      <w:marBottom w:val="0"/>
      <w:divBdr>
        <w:top w:val="none" w:sz="0" w:space="0" w:color="auto"/>
        <w:left w:val="none" w:sz="0" w:space="0" w:color="auto"/>
        <w:bottom w:val="none" w:sz="0" w:space="0" w:color="auto"/>
        <w:right w:val="none" w:sz="0" w:space="0" w:color="auto"/>
      </w:divBdr>
      <w:divsChild>
        <w:div w:id="1812943673">
          <w:marLeft w:val="0"/>
          <w:marRight w:val="0"/>
          <w:marTop w:val="0"/>
          <w:marBottom w:val="0"/>
          <w:divBdr>
            <w:top w:val="none" w:sz="0" w:space="0" w:color="auto"/>
            <w:left w:val="none" w:sz="0" w:space="0" w:color="auto"/>
            <w:bottom w:val="none" w:sz="0" w:space="0" w:color="auto"/>
            <w:right w:val="none" w:sz="0" w:space="0" w:color="auto"/>
          </w:divBdr>
        </w:div>
      </w:divsChild>
    </w:div>
    <w:div w:id="156649827">
      <w:marLeft w:val="0"/>
      <w:marRight w:val="0"/>
      <w:marTop w:val="240"/>
      <w:marBottom w:val="0"/>
      <w:divBdr>
        <w:top w:val="none" w:sz="0" w:space="0" w:color="auto"/>
        <w:left w:val="none" w:sz="0" w:space="0" w:color="auto"/>
        <w:bottom w:val="none" w:sz="0" w:space="0" w:color="auto"/>
        <w:right w:val="none" w:sz="0" w:space="0" w:color="auto"/>
      </w:divBdr>
    </w:div>
    <w:div w:id="156842304">
      <w:marLeft w:val="0"/>
      <w:marRight w:val="0"/>
      <w:marTop w:val="240"/>
      <w:marBottom w:val="0"/>
      <w:divBdr>
        <w:top w:val="none" w:sz="0" w:space="0" w:color="auto"/>
        <w:left w:val="none" w:sz="0" w:space="0" w:color="auto"/>
        <w:bottom w:val="none" w:sz="0" w:space="0" w:color="auto"/>
        <w:right w:val="none" w:sz="0" w:space="0" w:color="auto"/>
      </w:divBdr>
    </w:div>
    <w:div w:id="157429291">
      <w:marLeft w:val="0"/>
      <w:marRight w:val="0"/>
      <w:marTop w:val="240"/>
      <w:marBottom w:val="0"/>
      <w:divBdr>
        <w:top w:val="none" w:sz="0" w:space="0" w:color="auto"/>
        <w:left w:val="none" w:sz="0" w:space="0" w:color="auto"/>
        <w:bottom w:val="none" w:sz="0" w:space="0" w:color="auto"/>
        <w:right w:val="none" w:sz="0" w:space="0" w:color="auto"/>
      </w:divBdr>
    </w:div>
    <w:div w:id="158350984">
      <w:marLeft w:val="0"/>
      <w:marRight w:val="0"/>
      <w:marTop w:val="240"/>
      <w:marBottom w:val="0"/>
      <w:divBdr>
        <w:top w:val="none" w:sz="0" w:space="0" w:color="auto"/>
        <w:left w:val="none" w:sz="0" w:space="0" w:color="auto"/>
        <w:bottom w:val="none" w:sz="0" w:space="0" w:color="auto"/>
        <w:right w:val="none" w:sz="0" w:space="0" w:color="auto"/>
      </w:divBdr>
    </w:div>
    <w:div w:id="158470249">
      <w:marLeft w:val="0"/>
      <w:marRight w:val="0"/>
      <w:marTop w:val="240"/>
      <w:marBottom w:val="0"/>
      <w:divBdr>
        <w:top w:val="none" w:sz="0" w:space="0" w:color="auto"/>
        <w:left w:val="none" w:sz="0" w:space="0" w:color="auto"/>
        <w:bottom w:val="none" w:sz="0" w:space="0" w:color="auto"/>
        <w:right w:val="none" w:sz="0" w:space="0" w:color="auto"/>
      </w:divBdr>
    </w:div>
    <w:div w:id="158738659">
      <w:marLeft w:val="0"/>
      <w:marRight w:val="0"/>
      <w:marTop w:val="0"/>
      <w:marBottom w:val="0"/>
      <w:divBdr>
        <w:top w:val="none" w:sz="0" w:space="0" w:color="auto"/>
        <w:left w:val="none" w:sz="0" w:space="0" w:color="auto"/>
        <w:bottom w:val="none" w:sz="0" w:space="0" w:color="auto"/>
        <w:right w:val="none" w:sz="0" w:space="0" w:color="auto"/>
      </w:divBdr>
    </w:div>
    <w:div w:id="159544951">
      <w:marLeft w:val="0"/>
      <w:marRight w:val="0"/>
      <w:marTop w:val="180"/>
      <w:marBottom w:val="0"/>
      <w:divBdr>
        <w:top w:val="none" w:sz="0" w:space="0" w:color="auto"/>
        <w:left w:val="none" w:sz="0" w:space="0" w:color="auto"/>
        <w:bottom w:val="none" w:sz="0" w:space="0" w:color="auto"/>
        <w:right w:val="none" w:sz="0" w:space="0" w:color="auto"/>
      </w:divBdr>
    </w:div>
    <w:div w:id="159857067">
      <w:marLeft w:val="0"/>
      <w:marRight w:val="0"/>
      <w:marTop w:val="0"/>
      <w:marBottom w:val="0"/>
      <w:divBdr>
        <w:top w:val="none" w:sz="0" w:space="0" w:color="auto"/>
        <w:left w:val="none" w:sz="0" w:space="0" w:color="auto"/>
        <w:bottom w:val="none" w:sz="0" w:space="0" w:color="auto"/>
        <w:right w:val="none" w:sz="0" w:space="0" w:color="auto"/>
      </w:divBdr>
      <w:divsChild>
        <w:div w:id="1750423999">
          <w:marLeft w:val="0"/>
          <w:marRight w:val="0"/>
          <w:marTop w:val="0"/>
          <w:marBottom w:val="0"/>
          <w:divBdr>
            <w:top w:val="none" w:sz="0" w:space="0" w:color="auto"/>
            <w:left w:val="none" w:sz="0" w:space="0" w:color="auto"/>
            <w:bottom w:val="none" w:sz="0" w:space="0" w:color="auto"/>
            <w:right w:val="none" w:sz="0" w:space="0" w:color="auto"/>
          </w:divBdr>
          <w:divsChild>
            <w:div w:id="11900284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0043716">
      <w:marLeft w:val="0"/>
      <w:marRight w:val="0"/>
      <w:marTop w:val="240"/>
      <w:marBottom w:val="0"/>
      <w:divBdr>
        <w:top w:val="none" w:sz="0" w:space="0" w:color="auto"/>
        <w:left w:val="none" w:sz="0" w:space="0" w:color="auto"/>
        <w:bottom w:val="none" w:sz="0" w:space="0" w:color="auto"/>
        <w:right w:val="none" w:sz="0" w:space="0" w:color="auto"/>
      </w:divBdr>
    </w:div>
    <w:div w:id="163279315">
      <w:marLeft w:val="0"/>
      <w:marRight w:val="0"/>
      <w:marTop w:val="240"/>
      <w:marBottom w:val="0"/>
      <w:divBdr>
        <w:top w:val="none" w:sz="0" w:space="0" w:color="auto"/>
        <w:left w:val="none" w:sz="0" w:space="0" w:color="auto"/>
        <w:bottom w:val="none" w:sz="0" w:space="0" w:color="auto"/>
        <w:right w:val="none" w:sz="0" w:space="0" w:color="auto"/>
      </w:divBdr>
    </w:div>
    <w:div w:id="164243591">
      <w:marLeft w:val="0"/>
      <w:marRight w:val="0"/>
      <w:marTop w:val="120"/>
      <w:marBottom w:val="0"/>
      <w:divBdr>
        <w:top w:val="none" w:sz="0" w:space="0" w:color="auto"/>
        <w:left w:val="none" w:sz="0" w:space="0" w:color="auto"/>
        <w:bottom w:val="none" w:sz="0" w:space="0" w:color="auto"/>
        <w:right w:val="none" w:sz="0" w:space="0" w:color="auto"/>
      </w:divBdr>
    </w:div>
    <w:div w:id="165093323">
      <w:marLeft w:val="0"/>
      <w:marRight w:val="0"/>
      <w:marTop w:val="120"/>
      <w:marBottom w:val="0"/>
      <w:divBdr>
        <w:top w:val="none" w:sz="0" w:space="0" w:color="auto"/>
        <w:left w:val="none" w:sz="0" w:space="0" w:color="auto"/>
        <w:bottom w:val="none" w:sz="0" w:space="0" w:color="auto"/>
        <w:right w:val="none" w:sz="0" w:space="0" w:color="auto"/>
      </w:divBdr>
    </w:div>
    <w:div w:id="166482281">
      <w:marLeft w:val="0"/>
      <w:marRight w:val="0"/>
      <w:marTop w:val="240"/>
      <w:marBottom w:val="0"/>
      <w:divBdr>
        <w:top w:val="none" w:sz="0" w:space="0" w:color="auto"/>
        <w:left w:val="none" w:sz="0" w:space="0" w:color="auto"/>
        <w:bottom w:val="none" w:sz="0" w:space="0" w:color="auto"/>
        <w:right w:val="none" w:sz="0" w:space="0" w:color="auto"/>
      </w:divBdr>
    </w:div>
    <w:div w:id="170724045">
      <w:marLeft w:val="0"/>
      <w:marRight w:val="0"/>
      <w:marTop w:val="240"/>
      <w:marBottom w:val="0"/>
      <w:divBdr>
        <w:top w:val="none" w:sz="0" w:space="0" w:color="auto"/>
        <w:left w:val="none" w:sz="0" w:space="0" w:color="auto"/>
        <w:bottom w:val="none" w:sz="0" w:space="0" w:color="auto"/>
        <w:right w:val="none" w:sz="0" w:space="0" w:color="auto"/>
      </w:divBdr>
    </w:div>
    <w:div w:id="170879690">
      <w:marLeft w:val="0"/>
      <w:marRight w:val="0"/>
      <w:marTop w:val="220"/>
      <w:marBottom w:val="0"/>
      <w:divBdr>
        <w:top w:val="none" w:sz="0" w:space="0" w:color="auto"/>
        <w:left w:val="none" w:sz="0" w:space="0" w:color="auto"/>
        <w:bottom w:val="none" w:sz="0" w:space="0" w:color="auto"/>
        <w:right w:val="none" w:sz="0" w:space="0" w:color="auto"/>
      </w:divBdr>
    </w:div>
    <w:div w:id="171721591">
      <w:marLeft w:val="0"/>
      <w:marRight w:val="0"/>
      <w:marTop w:val="240"/>
      <w:marBottom w:val="0"/>
      <w:divBdr>
        <w:top w:val="none" w:sz="0" w:space="0" w:color="auto"/>
        <w:left w:val="none" w:sz="0" w:space="0" w:color="auto"/>
        <w:bottom w:val="none" w:sz="0" w:space="0" w:color="auto"/>
        <w:right w:val="none" w:sz="0" w:space="0" w:color="auto"/>
      </w:divBdr>
    </w:div>
    <w:div w:id="173110185">
      <w:marLeft w:val="0"/>
      <w:marRight w:val="0"/>
      <w:marTop w:val="240"/>
      <w:marBottom w:val="0"/>
      <w:divBdr>
        <w:top w:val="none" w:sz="0" w:space="0" w:color="auto"/>
        <w:left w:val="none" w:sz="0" w:space="0" w:color="auto"/>
        <w:bottom w:val="none" w:sz="0" w:space="0" w:color="auto"/>
        <w:right w:val="none" w:sz="0" w:space="0" w:color="auto"/>
      </w:divBdr>
    </w:div>
    <w:div w:id="174999742">
      <w:marLeft w:val="0"/>
      <w:marRight w:val="0"/>
      <w:marTop w:val="60"/>
      <w:marBottom w:val="0"/>
      <w:divBdr>
        <w:top w:val="none" w:sz="0" w:space="0" w:color="auto"/>
        <w:left w:val="none" w:sz="0" w:space="0" w:color="auto"/>
        <w:bottom w:val="none" w:sz="0" w:space="0" w:color="auto"/>
        <w:right w:val="none" w:sz="0" w:space="0" w:color="auto"/>
      </w:divBdr>
    </w:div>
    <w:div w:id="175199328">
      <w:marLeft w:val="0"/>
      <w:marRight w:val="0"/>
      <w:marTop w:val="240"/>
      <w:marBottom w:val="240"/>
      <w:divBdr>
        <w:top w:val="none" w:sz="0" w:space="0" w:color="auto"/>
        <w:left w:val="none" w:sz="0" w:space="0" w:color="auto"/>
        <w:bottom w:val="none" w:sz="0" w:space="0" w:color="auto"/>
        <w:right w:val="none" w:sz="0" w:space="0" w:color="auto"/>
      </w:divBdr>
    </w:div>
    <w:div w:id="178786017">
      <w:marLeft w:val="0"/>
      <w:marRight w:val="0"/>
      <w:marTop w:val="240"/>
      <w:marBottom w:val="240"/>
      <w:divBdr>
        <w:top w:val="none" w:sz="0" w:space="0" w:color="auto"/>
        <w:left w:val="none" w:sz="0" w:space="0" w:color="auto"/>
        <w:bottom w:val="none" w:sz="0" w:space="0" w:color="auto"/>
        <w:right w:val="none" w:sz="0" w:space="0" w:color="auto"/>
      </w:divBdr>
    </w:div>
    <w:div w:id="185336152">
      <w:marLeft w:val="0"/>
      <w:marRight w:val="0"/>
      <w:marTop w:val="0"/>
      <w:marBottom w:val="0"/>
      <w:divBdr>
        <w:top w:val="none" w:sz="0" w:space="0" w:color="auto"/>
        <w:left w:val="none" w:sz="0" w:space="0" w:color="auto"/>
        <w:bottom w:val="none" w:sz="0" w:space="0" w:color="auto"/>
        <w:right w:val="none" w:sz="0" w:space="0" w:color="auto"/>
      </w:divBdr>
      <w:divsChild>
        <w:div w:id="41906311">
          <w:marLeft w:val="0"/>
          <w:marRight w:val="0"/>
          <w:marTop w:val="0"/>
          <w:marBottom w:val="0"/>
          <w:divBdr>
            <w:top w:val="none" w:sz="0" w:space="0" w:color="auto"/>
            <w:left w:val="none" w:sz="0" w:space="0" w:color="auto"/>
            <w:bottom w:val="none" w:sz="0" w:space="0" w:color="auto"/>
            <w:right w:val="none" w:sz="0" w:space="0" w:color="auto"/>
          </w:divBdr>
        </w:div>
      </w:divsChild>
    </w:div>
    <w:div w:id="186070087">
      <w:marLeft w:val="0"/>
      <w:marRight w:val="0"/>
      <w:marTop w:val="240"/>
      <w:marBottom w:val="0"/>
      <w:divBdr>
        <w:top w:val="none" w:sz="0" w:space="0" w:color="auto"/>
        <w:left w:val="none" w:sz="0" w:space="0" w:color="auto"/>
        <w:bottom w:val="none" w:sz="0" w:space="0" w:color="auto"/>
        <w:right w:val="none" w:sz="0" w:space="0" w:color="auto"/>
      </w:divBdr>
    </w:div>
    <w:div w:id="187060077">
      <w:marLeft w:val="0"/>
      <w:marRight w:val="0"/>
      <w:marTop w:val="160"/>
      <w:marBottom w:val="0"/>
      <w:divBdr>
        <w:top w:val="none" w:sz="0" w:space="0" w:color="auto"/>
        <w:left w:val="none" w:sz="0" w:space="0" w:color="auto"/>
        <w:bottom w:val="none" w:sz="0" w:space="0" w:color="auto"/>
        <w:right w:val="none" w:sz="0" w:space="0" w:color="auto"/>
      </w:divBdr>
      <w:divsChild>
        <w:div w:id="396786027">
          <w:marLeft w:val="0"/>
          <w:marRight w:val="0"/>
          <w:marTop w:val="0"/>
          <w:marBottom w:val="0"/>
          <w:divBdr>
            <w:top w:val="none" w:sz="0" w:space="0" w:color="auto"/>
            <w:left w:val="none" w:sz="0" w:space="0" w:color="auto"/>
            <w:bottom w:val="none" w:sz="0" w:space="0" w:color="auto"/>
            <w:right w:val="none" w:sz="0" w:space="0" w:color="auto"/>
          </w:divBdr>
        </w:div>
        <w:div w:id="697465888">
          <w:marLeft w:val="0"/>
          <w:marRight w:val="0"/>
          <w:marTop w:val="0"/>
          <w:marBottom w:val="0"/>
          <w:divBdr>
            <w:top w:val="none" w:sz="0" w:space="0" w:color="auto"/>
            <w:left w:val="none" w:sz="0" w:space="0" w:color="auto"/>
            <w:bottom w:val="none" w:sz="0" w:space="0" w:color="auto"/>
            <w:right w:val="none" w:sz="0" w:space="0" w:color="auto"/>
          </w:divBdr>
        </w:div>
        <w:div w:id="229970392">
          <w:marLeft w:val="0"/>
          <w:marRight w:val="0"/>
          <w:marTop w:val="0"/>
          <w:marBottom w:val="0"/>
          <w:divBdr>
            <w:top w:val="none" w:sz="0" w:space="0" w:color="auto"/>
            <w:left w:val="none" w:sz="0" w:space="0" w:color="auto"/>
            <w:bottom w:val="none" w:sz="0" w:space="0" w:color="auto"/>
            <w:right w:val="none" w:sz="0" w:space="0" w:color="auto"/>
          </w:divBdr>
        </w:div>
        <w:div w:id="645822781">
          <w:marLeft w:val="0"/>
          <w:marRight w:val="0"/>
          <w:marTop w:val="0"/>
          <w:marBottom w:val="0"/>
          <w:divBdr>
            <w:top w:val="none" w:sz="0" w:space="0" w:color="auto"/>
            <w:left w:val="none" w:sz="0" w:space="0" w:color="auto"/>
            <w:bottom w:val="none" w:sz="0" w:space="0" w:color="auto"/>
            <w:right w:val="none" w:sz="0" w:space="0" w:color="auto"/>
          </w:divBdr>
        </w:div>
      </w:divsChild>
    </w:div>
    <w:div w:id="187304624">
      <w:marLeft w:val="0"/>
      <w:marRight w:val="0"/>
      <w:marTop w:val="240"/>
      <w:marBottom w:val="0"/>
      <w:divBdr>
        <w:top w:val="none" w:sz="0" w:space="0" w:color="auto"/>
        <w:left w:val="none" w:sz="0" w:space="0" w:color="auto"/>
        <w:bottom w:val="none" w:sz="0" w:space="0" w:color="auto"/>
        <w:right w:val="none" w:sz="0" w:space="0" w:color="auto"/>
      </w:divBdr>
    </w:div>
    <w:div w:id="187649227">
      <w:marLeft w:val="0"/>
      <w:marRight w:val="0"/>
      <w:marTop w:val="220"/>
      <w:marBottom w:val="0"/>
      <w:divBdr>
        <w:top w:val="none" w:sz="0" w:space="0" w:color="auto"/>
        <w:left w:val="none" w:sz="0" w:space="0" w:color="auto"/>
        <w:bottom w:val="none" w:sz="0" w:space="0" w:color="auto"/>
        <w:right w:val="none" w:sz="0" w:space="0" w:color="auto"/>
      </w:divBdr>
    </w:div>
    <w:div w:id="188492646">
      <w:marLeft w:val="0"/>
      <w:marRight w:val="0"/>
      <w:marTop w:val="140"/>
      <w:marBottom w:val="0"/>
      <w:divBdr>
        <w:top w:val="none" w:sz="0" w:space="0" w:color="auto"/>
        <w:left w:val="none" w:sz="0" w:space="0" w:color="auto"/>
        <w:bottom w:val="none" w:sz="0" w:space="0" w:color="auto"/>
        <w:right w:val="none" w:sz="0" w:space="0" w:color="auto"/>
      </w:divBdr>
    </w:div>
    <w:div w:id="188950840">
      <w:marLeft w:val="0"/>
      <w:marRight w:val="0"/>
      <w:marTop w:val="100"/>
      <w:marBottom w:val="0"/>
      <w:divBdr>
        <w:top w:val="none" w:sz="0" w:space="0" w:color="auto"/>
        <w:left w:val="none" w:sz="0" w:space="0" w:color="auto"/>
        <w:bottom w:val="none" w:sz="0" w:space="0" w:color="auto"/>
        <w:right w:val="none" w:sz="0" w:space="0" w:color="auto"/>
      </w:divBdr>
      <w:divsChild>
        <w:div w:id="1763406835">
          <w:marLeft w:val="0"/>
          <w:marRight w:val="0"/>
          <w:marTop w:val="0"/>
          <w:marBottom w:val="0"/>
          <w:divBdr>
            <w:top w:val="none" w:sz="0" w:space="0" w:color="auto"/>
            <w:left w:val="none" w:sz="0" w:space="0" w:color="auto"/>
            <w:bottom w:val="none" w:sz="0" w:space="0" w:color="auto"/>
            <w:right w:val="none" w:sz="0" w:space="0" w:color="auto"/>
          </w:divBdr>
        </w:div>
      </w:divsChild>
    </w:div>
    <w:div w:id="189608349">
      <w:marLeft w:val="0"/>
      <w:marRight w:val="0"/>
      <w:marTop w:val="0"/>
      <w:marBottom w:val="0"/>
      <w:divBdr>
        <w:top w:val="none" w:sz="0" w:space="0" w:color="auto"/>
        <w:left w:val="none" w:sz="0" w:space="0" w:color="auto"/>
        <w:bottom w:val="none" w:sz="0" w:space="0" w:color="auto"/>
        <w:right w:val="none" w:sz="0" w:space="0" w:color="auto"/>
      </w:divBdr>
      <w:divsChild>
        <w:div w:id="1928727743">
          <w:marLeft w:val="0"/>
          <w:marRight w:val="0"/>
          <w:marTop w:val="120"/>
          <w:marBottom w:val="0"/>
          <w:divBdr>
            <w:top w:val="none" w:sz="0" w:space="0" w:color="auto"/>
            <w:left w:val="none" w:sz="0" w:space="0" w:color="auto"/>
            <w:bottom w:val="none" w:sz="0" w:space="0" w:color="auto"/>
            <w:right w:val="none" w:sz="0" w:space="0" w:color="auto"/>
          </w:divBdr>
        </w:div>
      </w:divsChild>
    </w:div>
    <w:div w:id="190262423">
      <w:marLeft w:val="0"/>
      <w:marRight w:val="0"/>
      <w:marTop w:val="140"/>
      <w:marBottom w:val="0"/>
      <w:divBdr>
        <w:top w:val="none" w:sz="0" w:space="0" w:color="auto"/>
        <w:left w:val="none" w:sz="0" w:space="0" w:color="auto"/>
        <w:bottom w:val="none" w:sz="0" w:space="0" w:color="auto"/>
        <w:right w:val="none" w:sz="0" w:space="0" w:color="auto"/>
      </w:divBdr>
    </w:div>
    <w:div w:id="190530231">
      <w:marLeft w:val="0"/>
      <w:marRight w:val="0"/>
      <w:marTop w:val="180"/>
      <w:marBottom w:val="0"/>
      <w:divBdr>
        <w:top w:val="none" w:sz="0" w:space="0" w:color="auto"/>
        <w:left w:val="none" w:sz="0" w:space="0" w:color="auto"/>
        <w:bottom w:val="none" w:sz="0" w:space="0" w:color="auto"/>
        <w:right w:val="none" w:sz="0" w:space="0" w:color="auto"/>
      </w:divBdr>
    </w:div>
    <w:div w:id="192571078">
      <w:marLeft w:val="0"/>
      <w:marRight w:val="0"/>
      <w:marTop w:val="120"/>
      <w:marBottom w:val="0"/>
      <w:divBdr>
        <w:top w:val="none" w:sz="0" w:space="0" w:color="auto"/>
        <w:left w:val="none" w:sz="0" w:space="0" w:color="auto"/>
        <w:bottom w:val="none" w:sz="0" w:space="0" w:color="auto"/>
        <w:right w:val="none" w:sz="0" w:space="0" w:color="auto"/>
      </w:divBdr>
    </w:div>
    <w:div w:id="193884544">
      <w:marLeft w:val="0"/>
      <w:marRight w:val="0"/>
      <w:marTop w:val="240"/>
      <w:marBottom w:val="0"/>
      <w:divBdr>
        <w:top w:val="none" w:sz="0" w:space="0" w:color="auto"/>
        <w:left w:val="none" w:sz="0" w:space="0" w:color="auto"/>
        <w:bottom w:val="none" w:sz="0" w:space="0" w:color="auto"/>
        <w:right w:val="none" w:sz="0" w:space="0" w:color="auto"/>
      </w:divBdr>
    </w:div>
    <w:div w:id="194395247">
      <w:marLeft w:val="0"/>
      <w:marRight w:val="0"/>
      <w:marTop w:val="180"/>
      <w:marBottom w:val="0"/>
      <w:divBdr>
        <w:top w:val="none" w:sz="0" w:space="0" w:color="auto"/>
        <w:left w:val="none" w:sz="0" w:space="0" w:color="auto"/>
        <w:bottom w:val="none" w:sz="0" w:space="0" w:color="auto"/>
        <w:right w:val="none" w:sz="0" w:space="0" w:color="auto"/>
      </w:divBdr>
    </w:div>
    <w:div w:id="197473004">
      <w:marLeft w:val="0"/>
      <w:marRight w:val="0"/>
      <w:marTop w:val="240"/>
      <w:marBottom w:val="0"/>
      <w:divBdr>
        <w:top w:val="none" w:sz="0" w:space="0" w:color="auto"/>
        <w:left w:val="none" w:sz="0" w:space="0" w:color="auto"/>
        <w:bottom w:val="none" w:sz="0" w:space="0" w:color="auto"/>
        <w:right w:val="none" w:sz="0" w:space="0" w:color="auto"/>
      </w:divBdr>
    </w:div>
    <w:div w:id="198518044">
      <w:marLeft w:val="0"/>
      <w:marRight w:val="0"/>
      <w:marTop w:val="240"/>
      <w:marBottom w:val="0"/>
      <w:divBdr>
        <w:top w:val="none" w:sz="0" w:space="0" w:color="auto"/>
        <w:left w:val="none" w:sz="0" w:space="0" w:color="auto"/>
        <w:bottom w:val="none" w:sz="0" w:space="0" w:color="auto"/>
        <w:right w:val="none" w:sz="0" w:space="0" w:color="auto"/>
      </w:divBdr>
    </w:div>
    <w:div w:id="199516192">
      <w:marLeft w:val="0"/>
      <w:marRight w:val="0"/>
      <w:marTop w:val="0"/>
      <w:marBottom w:val="0"/>
      <w:divBdr>
        <w:top w:val="none" w:sz="0" w:space="0" w:color="auto"/>
        <w:left w:val="none" w:sz="0" w:space="0" w:color="auto"/>
        <w:bottom w:val="none" w:sz="0" w:space="0" w:color="auto"/>
        <w:right w:val="none" w:sz="0" w:space="0" w:color="auto"/>
      </w:divBdr>
      <w:divsChild>
        <w:div w:id="991521052">
          <w:marLeft w:val="0"/>
          <w:marRight w:val="0"/>
          <w:marTop w:val="0"/>
          <w:marBottom w:val="0"/>
          <w:divBdr>
            <w:top w:val="none" w:sz="0" w:space="0" w:color="auto"/>
            <w:left w:val="none" w:sz="0" w:space="0" w:color="auto"/>
            <w:bottom w:val="none" w:sz="0" w:space="0" w:color="auto"/>
            <w:right w:val="none" w:sz="0" w:space="0" w:color="auto"/>
          </w:divBdr>
          <w:divsChild>
            <w:div w:id="62135099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0170409">
      <w:marLeft w:val="0"/>
      <w:marRight w:val="0"/>
      <w:marTop w:val="0"/>
      <w:marBottom w:val="0"/>
      <w:divBdr>
        <w:top w:val="none" w:sz="0" w:space="0" w:color="auto"/>
        <w:left w:val="none" w:sz="0" w:space="0" w:color="auto"/>
        <w:bottom w:val="none" w:sz="0" w:space="0" w:color="auto"/>
        <w:right w:val="none" w:sz="0" w:space="0" w:color="auto"/>
      </w:divBdr>
      <w:divsChild>
        <w:div w:id="1272282281">
          <w:marLeft w:val="0"/>
          <w:marRight w:val="0"/>
          <w:marTop w:val="0"/>
          <w:marBottom w:val="0"/>
          <w:divBdr>
            <w:top w:val="none" w:sz="0" w:space="0" w:color="auto"/>
            <w:left w:val="none" w:sz="0" w:space="0" w:color="auto"/>
            <w:bottom w:val="none" w:sz="0" w:space="0" w:color="auto"/>
            <w:right w:val="none" w:sz="0" w:space="0" w:color="auto"/>
          </w:divBdr>
          <w:divsChild>
            <w:div w:id="11088882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0292510">
      <w:marLeft w:val="0"/>
      <w:marRight w:val="0"/>
      <w:marTop w:val="0"/>
      <w:marBottom w:val="0"/>
      <w:divBdr>
        <w:top w:val="none" w:sz="0" w:space="0" w:color="auto"/>
        <w:left w:val="none" w:sz="0" w:space="0" w:color="auto"/>
        <w:bottom w:val="none" w:sz="0" w:space="0" w:color="auto"/>
        <w:right w:val="none" w:sz="0" w:space="0" w:color="auto"/>
      </w:divBdr>
      <w:divsChild>
        <w:div w:id="28992789">
          <w:marLeft w:val="0"/>
          <w:marRight w:val="0"/>
          <w:marTop w:val="0"/>
          <w:marBottom w:val="0"/>
          <w:divBdr>
            <w:top w:val="none" w:sz="0" w:space="0" w:color="auto"/>
            <w:left w:val="none" w:sz="0" w:space="0" w:color="auto"/>
            <w:bottom w:val="none" w:sz="0" w:space="0" w:color="auto"/>
            <w:right w:val="none" w:sz="0" w:space="0" w:color="auto"/>
          </w:divBdr>
        </w:div>
      </w:divsChild>
    </w:div>
    <w:div w:id="202208794">
      <w:marLeft w:val="0"/>
      <w:marRight w:val="0"/>
      <w:marTop w:val="0"/>
      <w:marBottom w:val="60"/>
      <w:divBdr>
        <w:top w:val="none" w:sz="0" w:space="0" w:color="auto"/>
        <w:left w:val="none" w:sz="0" w:space="0" w:color="auto"/>
        <w:bottom w:val="none" w:sz="0" w:space="0" w:color="auto"/>
        <w:right w:val="none" w:sz="0" w:space="0" w:color="auto"/>
      </w:divBdr>
      <w:divsChild>
        <w:div w:id="1856263999">
          <w:marLeft w:val="0"/>
          <w:marRight w:val="0"/>
          <w:marTop w:val="0"/>
          <w:marBottom w:val="0"/>
          <w:divBdr>
            <w:top w:val="none" w:sz="0" w:space="0" w:color="auto"/>
            <w:left w:val="none" w:sz="0" w:space="0" w:color="auto"/>
            <w:bottom w:val="none" w:sz="0" w:space="0" w:color="auto"/>
            <w:right w:val="none" w:sz="0" w:space="0" w:color="auto"/>
          </w:divBdr>
        </w:div>
        <w:div w:id="957686947">
          <w:marLeft w:val="0"/>
          <w:marRight w:val="0"/>
          <w:marTop w:val="0"/>
          <w:marBottom w:val="0"/>
          <w:divBdr>
            <w:top w:val="none" w:sz="0" w:space="0" w:color="auto"/>
            <w:left w:val="none" w:sz="0" w:space="0" w:color="auto"/>
            <w:bottom w:val="none" w:sz="0" w:space="0" w:color="auto"/>
            <w:right w:val="none" w:sz="0" w:space="0" w:color="auto"/>
          </w:divBdr>
        </w:div>
        <w:div w:id="636374538">
          <w:marLeft w:val="0"/>
          <w:marRight w:val="0"/>
          <w:marTop w:val="0"/>
          <w:marBottom w:val="0"/>
          <w:divBdr>
            <w:top w:val="none" w:sz="0" w:space="0" w:color="auto"/>
            <w:left w:val="none" w:sz="0" w:space="0" w:color="auto"/>
            <w:bottom w:val="none" w:sz="0" w:space="0" w:color="auto"/>
            <w:right w:val="none" w:sz="0" w:space="0" w:color="auto"/>
          </w:divBdr>
        </w:div>
      </w:divsChild>
    </w:div>
    <w:div w:id="202909447">
      <w:marLeft w:val="0"/>
      <w:marRight w:val="0"/>
      <w:marTop w:val="120"/>
      <w:marBottom w:val="0"/>
      <w:divBdr>
        <w:top w:val="none" w:sz="0" w:space="0" w:color="auto"/>
        <w:left w:val="none" w:sz="0" w:space="0" w:color="auto"/>
        <w:bottom w:val="none" w:sz="0" w:space="0" w:color="auto"/>
        <w:right w:val="none" w:sz="0" w:space="0" w:color="auto"/>
      </w:divBdr>
    </w:div>
    <w:div w:id="203375012">
      <w:marLeft w:val="0"/>
      <w:marRight w:val="0"/>
      <w:marTop w:val="100"/>
      <w:marBottom w:val="0"/>
      <w:divBdr>
        <w:top w:val="none" w:sz="0" w:space="0" w:color="auto"/>
        <w:left w:val="none" w:sz="0" w:space="0" w:color="auto"/>
        <w:bottom w:val="none" w:sz="0" w:space="0" w:color="auto"/>
        <w:right w:val="none" w:sz="0" w:space="0" w:color="auto"/>
      </w:divBdr>
    </w:div>
    <w:div w:id="203451446">
      <w:marLeft w:val="0"/>
      <w:marRight w:val="0"/>
      <w:marTop w:val="240"/>
      <w:marBottom w:val="0"/>
      <w:divBdr>
        <w:top w:val="none" w:sz="0" w:space="0" w:color="auto"/>
        <w:left w:val="none" w:sz="0" w:space="0" w:color="auto"/>
        <w:bottom w:val="none" w:sz="0" w:space="0" w:color="auto"/>
        <w:right w:val="none" w:sz="0" w:space="0" w:color="auto"/>
      </w:divBdr>
    </w:div>
    <w:div w:id="209804592">
      <w:marLeft w:val="0"/>
      <w:marRight w:val="0"/>
      <w:marTop w:val="140"/>
      <w:marBottom w:val="0"/>
      <w:divBdr>
        <w:top w:val="none" w:sz="0" w:space="0" w:color="auto"/>
        <w:left w:val="none" w:sz="0" w:space="0" w:color="auto"/>
        <w:bottom w:val="none" w:sz="0" w:space="0" w:color="auto"/>
        <w:right w:val="none" w:sz="0" w:space="0" w:color="auto"/>
      </w:divBdr>
    </w:div>
    <w:div w:id="210919667">
      <w:marLeft w:val="0"/>
      <w:marRight w:val="0"/>
      <w:marTop w:val="240"/>
      <w:marBottom w:val="0"/>
      <w:divBdr>
        <w:top w:val="none" w:sz="0" w:space="0" w:color="auto"/>
        <w:left w:val="none" w:sz="0" w:space="0" w:color="auto"/>
        <w:bottom w:val="none" w:sz="0" w:space="0" w:color="auto"/>
        <w:right w:val="none" w:sz="0" w:space="0" w:color="auto"/>
      </w:divBdr>
    </w:div>
    <w:div w:id="211502540">
      <w:marLeft w:val="0"/>
      <w:marRight w:val="0"/>
      <w:marTop w:val="240"/>
      <w:marBottom w:val="0"/>
      <w:divBdr>
        <w:top w:val="none" w:sz="0" w:space="0" w:color="auto"/>
        <w:left w:val="none" w:sz="0" w:space="0" w:color="auto"/>
        <w:bottom w:val="none" w:sz="0" w:space="0" w:color="auto"/>
        <w:right w:val="none" w:sz="0" w:space="0" w:color="auto"/>
      </w:divBdr>
    </w:div>
    <w:div w:id="212274077">
      <w:marLeft w:val="0"/>
      <w:marRight w:val="0"/>
      <w:marTop w:val="0"/>
      <w:marBottom w:val="0"/>
      <w:divBdr>
        <w:top w:val="none" w:sz="0" w:space="0" w:color="auto"/>
        <w:left w:val="none" w:sz="0" w:space="0" w:color="auto"/>
        <w:bottom w:val="none" w:sz="0" w:space="0" w:color="auto"/>
        <w:right w:val="none" w:sz="0" w:space="0" w:color="auto"/>
      </w:divBdr>
      <w:divsChild>
        <w:div w:id="596837213">
          <w:marLeft w:val="0"/>
          <w:marRight w:val="0"/>
          <w:marTop w:val="120"/>
          <w:marBottom w:val="0"/>
          <w:divBdr>
            <w:top w:val="none" w:sz="0" w:space="0" w:color="auto"/>
            <w:left w:val="none" w:sz="0" w:space="0" w:color="auto"/>
            <w:bottom w:val="none" w:sz="0" w:space="0" w:color="auto"/>
            <w:right w:val="none" w:sz="0" w:space="0" w:color="auto"/>
          </w:divBdr>
        </w:div>
      </w:divsChild>
    </w:div>
    <w:div w:id="212740778">
      <w:marLeft w:val="0"/>
      <w:marRight w:val="0"/>
      <w:marTop w:val="240"/>
      <w:marBottom w:val="0"/>
      <w:divBdr>
        <w:top w:val="none" w:sz="0" w:space="0" w:color="auto"/>
        <w:left w:val="none" w:sz="0" w:space="0" w:color="auto"/>
        <w:bottom w:val="none" w:sz="0" w:space="0" w:color="auto"/>
        <w:right w:val="none" w:sz="0" w:space="0" w:color="auto"/>
      </w:divBdr>
    </w:div>
    <w:div w:id="212927232">
      <w:marLeft w:val="0"/>
      <w:marRight w:val="0"/>
      <w:marTop w:val="240"/>
      <w:marBottom w:val="120"/>
      <w:divBdr>
        <w:top w:val="none" w:sz="0" w:space="0" w:color="auto"/>
        <w:left w:val="none" w:sz="0" w:space="0" w:color="auto"/>
        <w:bottom w:val="none" w:sz="0" w:space="0" w:color="auto"/>
        <w:right w:val="none" w:sz="0" w:space="0" w:color="auto"/>
      </w:divBdr>
    </w:div>
    <w:div w:id="213273958">
      <w:marLeft w:val="0"/>
      <w:marRight w:val="0"/>
      <w:marTop w:val="240"/>
      <w:marBottom w:val="0"/>
      <w:divBdr>
        <w:top w:val="none" w:sz="0" w:space="0" w:color="auto"/>
        <w:left w:val="none" w:sz="0" w:space="0" w:color="auto"/>
        <w:bottom w:val="none" w:sz="0" w:space="0" w:color="auto"/>
        <w:right w:val="none" w:sz="0" w:space="0" w:color="auto"/>
      </w:divBdr>
    </w:div>
    <w:div w:id="215050748">
      <w:marLeft w:val="0"/>
      <w:marRight w:val="0"/>
      <w:marTop w:val="240"/>
      <w:marBottom w:val="0"/>
      <w:divBdr>
        <w:top w:val="none" w:sz="0" w:space="0" w:color="auto"/>
        <w:left w:val="none" w:sz="0" w:space="0" w:color="auto"/>
        <w:bottom w:val="none" w:sz="0" w:space="0" w:color="auto"/>
        <w:right w:val="none" w:sz="0" w:space="0" w:color="auto"/>
      </w:divBdr>
    </w:div>
    <w:div w:id="218057392">
      <w:marLeft w:val="0"/>
      <w:marRight w:val="0"/>
      <w:marTop w:val="60"/>
      <w:marBottom w:val="0"/>
      <w:divBdr>
        <w:top w:val="none" w:sz="0" w:space="0" w:color="auto"/>
        <w:left w:val="none" w:sz="0" w:space="0" w:color="auto"/>
        <w:bottom w:val="none" w:sz="0" w:space="0" w:color="auto"/>
        <w:right w:val="none" w:sz="0" w:space="0" w:color="auto"/>
      </w:divBdr>
    </w:div>
    <w:div w:id="219291132">
      <w:marLeft w:val="0"/>
      <w:marRight w:val="0"/>
      <w:marTop w:val="0"/>
      <w:marBottom w:val="0"/>
      <w:divBdr>
        <w:top w:val="none" w:sz="0" w:space="0" w:color="auto"/>
        <w:left w:val="none" w:sz="0" w:space="0" w:color="auto"/>
        <w:bottom w:val="none" w:sz="0" w:space="0" w:color="auto"/>
        <w:right w:val="none" w:sz="0" w:space="0" w:color="auto"/>
      </w:divBdr>
      <w:divsChild>
        <w:div w:id="390269473">
          <w:marLeft w:val="0"/>
          <w:marRight w:val="0"/>
          <w:marTop w:val="120"/>
          <w:marBottom w:val="0"/>
          <w:divBdr>
            <w:top w:val="none" w:sz="0" w:space="0" w:color="auto"/>
            <w:left w:val="none" w:sz="0" w:space="0" w:color="auto"/>
            <w:bottom w:val="none" w:sz="0" w:space="0" w:color="auto"/>
            <w:right w:val="none" w:sz="0" w:space="0" w:color="auto"/>
          </w:divBdr>
        </w:div>
      </w:divsChild>
    </w:div>
    <w:div w:id="221138203">
      <w:marLeft w:val="0"/>
      <w:marRight w:val="0"/>
      <w:marTop w:val="0"/>
      <w:marBottom w:val="0"/>
      <w:divBdr>
        <w:top w:val="none" w:sz="0" w:space="0" w:color="auto"/>
        <w:left w:val="none" w:sz="0" w:space="0" w:color="auto"/>
        <w:bottom w:val="none" w:sz="0" w:space="0" w:color="auto"/>
        <w:right w:val="none" w:sz="0" w:space="0" w:color="auto"/>
      </w:divBdr>
      <w:divsChild>
        <w:div w:id="305277532">
          <w:marLeft w:val="0"/>
          <w:marRight w:val="0"/>
          <w:marTop w:val="0"/>
          <w:marBottom w:val="0"/>
          <w:divBdr>
            <w:top w:val="none" w:sz="0" w:space="0" w:color="auto"/>
            <w:left w:val="none" w:sz="0" w:space="0" w:color="auto"/>
            <w:bottom w:val="none" w:sz="0" w:space="0" w:color="auto"/>
            <w:right w:val="none" w:sz="0" w:space="0" w:color="auto"/>
          </w:divBdr>
          <w:divsChild>
            <w:div w:id="62746868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22715400">
      <w:marLeft w:val="0"/>
      <w:marRight w:val="0"/>
      <w:marTop w:val="180"/>
      <w:marBottom w:val="0"/>
      <w:divBdr>
        <w:top w:val="none" w:sz="0" w:space="0" w:color="auto"/>
        <w:left w:val="none" w:sz="0" w:space="0" w:color="auto"/>
        <w:bottom w:val="none" w:sz="0" w:space="0" w:color="auto"/>
        <w:right w:val="none" w:sz="0" w:space="0" w:color="auto"/>
      </w:divBdr>
    </w:div>
    <w:div w:id="223227082">
      <w:marLeft w:val="0"/>
      <w:marRight w:val="0"/>
      <w:marTop w:val="240"/>
      <w:marBottom w:val="0"/>
      <w:divBdr>
        <w:top w:val="none" w:sz="0" w:space="0" w:color="auto"/>
        <w:left w:val="none" w:sz="0" w:space="0" w:color="auto"/>
        <w:bottom w:val="none" w:sz="0" w:space="0" w:color="auto"/>
        <w:right w:val="none" w:sz="0" w:space="0" w:color="auto"/>
      </w:divBdr>
    </w:div>
    <w:div w:id="225382575">
      <w:marLeft w:val="0"/>
      <w:marRight w:val="0"/>
      <w:marTop w:val="240"/>
      <w:marBottom w:val="0"/>
      <w:divBdr>
        <w:top w:val="none" w:sz="0" w:space="0" w:color="auto"/>
        <w:left w:val="none" w:sz="0" w:space="0" w:color="auto"/>
        <w:bottom w:val="none" w:sz="0" w:space="0" w:color="auto"/>
        <w:right w:val="none" w:sz="0" w:space="0" w:color="auto"/>
      </w:divBdr>
    </w:div>
    <w:div w:id="227810934">
      <w:marLeft w:val="0"/>
      <w:marRight w:val="0"/>
      <w:marTop w:val="120"/>
      <w:marBottom w:val="0"/>
      <w:divBdr>
        <w:top w:val="none" w:sz="0" w:space="0" w:color="auto"/>
        <w:left w:val="none" w:sz="0" w:space="0" w:color="auto"/>
        <w:bottom w:val="none" w:sz="0" w:space="0" w:color="auto"/>
        <w:right w:val="none" w:sz="0" w:space="0" w:color="auto"/>
      </w:divBdr>
    </w:div>
    <w:div w:id="230240580">
      <w:marLeft w:val="0"/>
      <w:marRight w:val="0"/>
      <w:marTop w:val="220"/>
      <w:marBottom w:val="0"/>
      <w:divBdr>
        <w:top w:val="none" w:sz="0" w:space="0" w:color="auto"/>
        <w:left w:val="none" w:sz="0" w:space="0" w:color="auto"/>
        <w:bottom w:val="none" w:sz="0" w:space="0" w:color="auto"/>
        <w:right w:val="none" w:sz="0" w:space="0" w:color="auto"/>
      </w:divBdr>
    </w:div>
    <w:div w:id="231935330">
      <w:marLeft w:val="0"/>
      <w:marRight w:val="0"/>
      <w:marTop w:val="240"/>
      <w:marBottom w:val="0"/>
      <w:divBdr>
        <w:top w:val="none" w:sz="0" w:space="0" w:color="auto"/>
        <w:left w:val="none" w:sz="0" w:space="0" w:color="auto"/>
        <w:bottom w:val="none" w:sz="0" w:space="0" w:color="auto"/>
        <w:right w:val="none" w:sz="0" w:space="0" w:color="auto"/>
      </w:divBdr>
    </w:div>
    <w:div w:id="237594848">
      <w:marLeft w:val="0"/>
      <w:marRight w:val="0"/>
      <w:marTop w:val="240"/>
      <w:marBottom w:val="0"/>
      <w:divBdr>
        <w:top w:val="none" w:sz="0" w:space="0" w:color="auto"/>
        <w:left w:val="none" w:sz="0" w:space="0" w:color="auto"/>
        <w:bottom w:val="none" w:sz="0" w:space="0" w:color="auto"/>
        <w:right w:val="none" w:sz="0" w:space="0" w:color="auto"/>
      </w:divBdr>
    </w:div>
    <w:div w:id="237986393">
      <w:marLeft w:val="0"/>
      <w:marRight w:val="0"/>
      <w:marTop w:val="240"/>
      <w:marBottom w:val="0"/>
      <w:divBdr>
        <w:top w:val="none" w:sz="0" w:space="0" w:color="auto"/>
        <w:left w:val="none" w:sz="0" w:space="0" w:color="auto"/>
        <w:bottom w:val="none" w:sz="0" w:space="0" w:color="auto"/>
        <w:right w:val="none" w:sz="0" w:space="0" w:color="auto"/>
      </w:divBdr>
    </w:div>
    <w:div w:id="239799578">
      <w:marLeft w:val="0"/>
      <w:marRight w:val="0"/>
      <w:marTop w:val="240"/>
      <w:marBottom w:val="0"/>
      <w:divBdr>
        <w:top w:val="none" w:sz="0" w:space="0" w:color="auto"/>
        <w:left w:val="none" w:sz="0" w:space="0" w:color="auto"/>
        <w:bottom w:val="none" w:sz="0" w:space="0" w:color="auto"/>
        <w:right w:val="none" w:sz="0" w:space="0" w:color="auto"/>
      </w:divBdr>
    </w:div>
    <w:div w:id="242186613">
      <w:marLeft w:val="0"/>
      <w:marRight w:val="0"/>
      <w:marTop w:val="160"/>
      <w:marBottom w:val="0"/>
      <w:divBdr>
        <w:top w:val="none" w:sz="0" w:space="0" w:color="auto"/>
        <w:left w:val="none" w:sz="0" w:space="0" w:color="auto"/>
        <w:bottom w:val="none" w:sz="0" w:space="0" w:color="auto"/>
        <w:right w:val="none" w:sz="0" w:space="0" w:color="auto"/>
      </w:divBdr>
    </w:div>
    <w:div w:id="242572256">
      <w:marLeft w:val="0"/>
      <w:marRight w:val="0"/>
      <w:marTop w:val="220"/>
      <w:marBottom w:val="0"/>
      <w:divBdr>
        <w:top w:val="none" w:sz="0" w:space="0" w:color="auto"/>
        <w:left w:val="none" w:sz="0" w:space="0" w:color="auto"/>
        <w:bottom w:val="none" w:sz="0" w:space="0" w:color="auto"/>
        <w:right w:val="none" w:sz="0" w:space="0" w:color="auto"/>
      </w:divBdr>
      <w:divsChild>
        <w:div w:id="511338445">
          <w:marLeft w:val="0"/>
          <w:marRight w:val="0"/>
          <w:marTop w:val="240"/>
          <w:marBottom w:val="0"/>
          <w:divBdr>
            <w:top w:val="none" w:sz="0" w:space="0" w:color="auto"/>
            <w:left w:val="none" w:sz="0" w:space="0" w:color="auto"/>
            <w:bottom w:val="none" w:sz="0" w:space="0" w:color="auto"/>
            <w:right w:val="none" w:sz="0" w:space="0" w:color="auto"/>
          </w:divBdr>
        </w:div>
        <w:div w:id="1066994366">
          <w:marLeft w:val="0"/>
          <w:marRight w:val="0"/>
          <w:marTop w:val="240"/>
          <w:marBottom w:val="0"/>
          <w:divBdr>
            <w:top w:val="none" w:sz="0" w:space="0" w:color="auto"/>
            <w:left w:val="none" w:sz="0" w:space="0" w:color="auto"/>
            <w:bottom w:val="none" w:sz="0" w:space="0" w:color="auto"/>
            <w:right w:val="none" w:sz="0" w:space="0" w:color="auto"/>
          </w:divBdr>
        </w:div>
      </w:divsChild>
    </w:div>
    <w:div w:id="245771820">
      <w:marLeft w:val="0"/>
      <w:marRight w:val="0"/>
      <w:marTop w:val="240"/>
      <w:marBottom w:val="0"/>
      <w:divBdr>
        <w:top w:val="none" w:sz="0" w:space="0" w:color="auto"/>
        <w:left w:val="none" w:sz="0" w:space="0" w:color="auto"/>
        <w:bottom w:val="none" w:sz="0" w:space="0" w:color="auto"/>
        <w:right w:val="none" w:sz="0" w:space="0" w:color="auto"/>
      </w:divBdr>
    </w:div>
    <w:div w:id="248470684">
      <w:marLeft w:val="0"/>
      <w:marRight w:val="0"/>
      <w:marTop w:val="60"/>
      <w:marBottom w:val="240"/>
      <w:divBdr>
        <w:top w:val="none" w:sz="0" w:space="0" w:color="auto"/>
        <w:left w:val="none" w:sz="0" w:space="0" w:color="auto"/>
        <w:bottom w:val="none" w:sz="0" w:space="0" w:color="auto"/>
        <w:right w:val="none" w:sz="0" w:space="0" w:color="auto"/>
      </w:divBdr>
    </w:div>
    <w:div w:id="250361242">
      <w:marLeft w:val="0"/>
      <w:marRight w:val="0"/>
      <w:marTop w:val="240"/>
      <w:marBottom w:val="0"/>
      <w:divBdr>
        <w:top w:val="none" w:sz="0" w:space="0" w:color="auto"/>
        <w:left w:val="none" w:sz="0" w:space="0" w:color="auto"/>
        <w:bottom w:val="none" w:sz="0" w:space="0" w:color="auto"/>
        <w:right w:val="none" w:sz="0" w:space="0" w:color="auto"/>
      </w:divBdr>
    </w:div>
    <w:div w:id="251858307">
      <w:marLeft w:val="0"/>
      <w:marRight w:val="0"/>
      <w:marTop w:val="240"/>
      <w:marBottom w:val="0"/>
      <w:divBdr>
        <w:top w:val="none" w:sz="0" w:space="0" w:color="auto"/>
        <w:left w:val="none" w:sz="0" w:space="0" w:color="auto"/>
        <w:bottom w:val="none" w:sz="0" w:space="0" w:color="auto"/>
        <w:right w:val="none" w:sz="0" w:space="0" w:color="auto"/>
      </w:divBdr>
    </w:div>
    <w:div w:id="252591858">
      <w:marLeft w:val="0"/>
      <w:marRight w:val="0"/>
      <w:marTop w:val="240"/>
      <w:marBottom w:val="0"/>
      <w:divBdr>
        <w:top w:val="none" w:sz="0" w:space="0" w:color="auto"/>
        <w:left w:val="none" w:sz="0" w:space="0" w:color="auto"/>
        <w:bottom w:val="none" w:sz="0" w:space="0" w:color="auto"/>
        <w:right w:val="none" w:sz="0" w:space="0" w:color="auto"/>
      </w:divBdr>
    </w:div>
    <w:div w:id="253559121">
      <w:marLeft w:val="0"/>
      <w:marRight w:val="0"/>
      <w:marTop w:val="220"/>
      <w:marBottom w:val="0"/>
      <w:divBdr>
        <w:top w:val="none" w:sz="0" w:space="0" w:color="auto"/>
        <w:left w:val="none" w:sz="0" w:space="0" w:color="auto"/>
        <w:bottom w:val="none" w:sz="0" w:space="0" w:color="auto"/>
        <w:right w:val="none" w:sz="0" w:space="0" w:color="auto"/>
      </w:divBdr>
    </w:div>
    <w:div w:id="255022238">
      <w:marLeft w:val="0"/>
      <w:marRight w:val="0"/>
      <w:marTop w:val="240"/>
      <w:marBottom w:val="0"/>
      <w:divBdr>
        <w:top w:val="none" w:sz="0" w:space="0" w:color="auto"/>
        <w:left w:val="none" w:sz="0" w:space="0" w:color="auto"/>
        <w:bottom w:val="none" w:sz="0" w:space="0" w:color="auto"/>
        <w:right w:val="none" w:sz="0" w:space="0" w:color="auto"/>
      </w:divBdr>
    </w:div>
    <w:div w:id="255556425">
      <w:marLeft w:val="0"/>
      <w:marRight w:val="0"/>
      <w:marTop w:val="240"/>
      <w:marBottom w:val="0"/>
      <w:divBdr>
        <w:top w:val="none" w:sz="0" w:space="0" w:color="auto"/>
        <w:left w:val="none" w:sz="0" w:space="0" w:color="auto"/>
        <w:bottom w:val="none" w:sz="0" w:space="0" w:color="auto"/>
        <w:right w:val="none" w:sz="0" w:space="0" w:color="auto"/>
      </w:divBdr>
    </w:div>
    <w:div w:id="255722187">
      <w:marLeft w:val="0"/>
      <w:marRight w:val="0"/>
      <w:marTop w:val="240"/>
      <w:marBottom w:val="0"/>
      <w:divBdr>
        <w:top w:val="none" w:sz="0" w:space="0" w:color="auto"/>
        <w:left w:val="none" w:sz="0" w:space="0" w:color="auto"/>
        <w:bottom w:val="none" w:sz="0" w:space="0" w:color="auto"/>
        <w:right w:val="none" w:sz="0" w:space="0" w:color="auto"/>
      </w:divBdr>
    </w:div>
    <w:div w:id="255983922">
      <w:marLeft w:val="0"/>
      <w:marRight w:val="0"/>
      <w:marTop w:val="240"/>
      <w:marBottom w:val="0"/>
      <w:divBdr>
        <w:top w:val="none" w:sz="0" w:space="0" w:color="auto"/>
        <w:left w:val="none" w:sz="0" w:space="0" w:color="auto"/>
        <w:bottom w:val="none" w:sz="0" w:space="0" w:color="auto"/>
        <w:right w:val="none" w:sz="0" w:space="0" w:color="auto"/>
      </w:divBdr>
    </w:div>
    <w:div w:id="256139337">
      <w:marLeft w:val="0"/>
      <w:marRight w:val="0"/>
      <w:marTop w:val="0"/>
      <w:marBottom w:val="0"/>
      <w:divBdr>
        <w:top w:val="none" w:sz="0" w:space="0" w:color="auto"/>
        <w:left w:val="none" w:sz="0" w:space="0" w:color="auto"/>
        <w:bottom w:val="none" w:sz="0" w:space="0" w:color="auto"/>
        <w:right w:val="none" w:sz="0" w:space="0" w:color="auto"/>
      </w:divBdr>
    </w:div>
    <w:div w:id="256402820">
      <w:marLeft w:val="0"/>
      <w:marRight w:val="0"/>
      <w:marTop w:val="240"/>
      <w:marBottom w:val="0"/>
      <w:divBdr>
        <w:top w:val="none" w:sz="0" w:space="0" w:color="auto"/>
        <w:left w:val="none" w:sz="0" w:space="0" w:color="auto"/>
        <w:bottom w:val="none" w:sz="0" w:space="0" w:color="auto"/>
        <w:right w:val="none" w:sz="0" w:space="0" w:color="auto"/>
      </w:divBdr>
    </w:div>
    <w:div w:id="256408920">
      <w:marLeft w:val="0"/>
      <w:marRight w:val="0"/>
      <w:marTop w:val="240"/>
      <w:marBottom w:val="0"/>
      <w:divBdr>
        <w:top w:val="none" w:sz="0" w:space="0" w:color="auto"/>
        <w:left w:val="none" w:sz="0" w:space="0" w:color="auto"/>
        <w:bottom w:val="none" w:sz="0" w:space="0" w:color="auto"/>
        <w:right w:val="none" w:sz="0" w:space="0" w:color="auto"/>
      </w:divBdr>
    </w:div>
    <w:div w:id="256982478">
      <w:marLeft w:val="0"/>
      <w:marRight w:val="0"/>
      <w:marTop w:val="240"/>
      <w:marBottom w:val="0"/>
      <w:divBdr>
        <w:top w:val="none" w:sz="0" w:space="0" w:color="auto"/>
        <w:left w:val="none" w:sz="0" w:space="0" w:color="auto"/>
        <w:bottom w:val="none" w:sz="0" w:space="0" w:color="auto"/>
        <w:right w:val="none" w:sz="0" w:space="0" w:color="auto"/>
      </w:divBdr>
    </w:div>
    <w:div w:id="257636826">
      <w:marLeft w:val="0"/>
      <w:marRight w:val="0"/>
      <w:marTop w:val="240"/>
      <w:marBottom w:val="0"/>
      <w:divBdr>
        <w:top w:val="none" w:sz="0" w:space="0" w:color="auto"/>
        <w:left w:val="none" w:sz="0" w:space="0" w:color="auto"/>
        <w:bottom w:val="none" w:sz="0" w:space="0" w:color="auto"/>
        <w:right w:val="none" w:sz="0" w:space="0" w:color="auto"/>
      </w:divBdr>
    </w:div>
    <w:div w:id="259989773">
      <w:marLeft w:val="0"/>
      <w:marRight w:val="0"/>
      <w:marTop w:val="240"/>
      <w:marBottom w:val="0"/>
      <w:divBdr>
        <w:top w:val="none" w:sz="0" w:space="0" w:color="auto"/>
        <w:left w:val="none" w:sz="0" w:space="0" w:color="auto"/>
        <w:bottom w:val="none" w:sz="0" w:space="0" w:color="auto"/>
        <w:right w:val="none" w:sz="0" w:space="0" w:color="auto"/>
      </w:divBdr>
    </w:div>
    <w:div w:id="260846335">
      <w:marLeft w:val="0"/>
      <w:marRight w:val="0"/>
      <w:marTop w:val="240"/>
      <w:marBottom w:val="0"/>
      <w:divBdr>
        <w:top w:val="none" w:sz="0" w:space="0" w:color="auto"/>
        <w:left w:val="none" w:sz="0" w:space="0" w:color="auto"/>
        <w:bottom w:val="none" w:sz="0" w:space="0" w:color="auto"/>
        <w:right w:val="none" w:sz="0" w:space="0" w:color="auto"/>
      </w:divBdr>
    </w:div>
    <w:div w:id="262230554">
      <w:marLeft w:val="0"/>
      <w:marRight w:val="0"/>
      <w:marTop w:val="240"/>
      <w:marBottom w:val="0"/>
      <w:divBdr>
        <w:top w:val="none" w:sz="0" w:space="0" w:color="auto"/>
        <w:left w:val="none" w:sz="0" w:space="0" w:color="auto"/>
        <w:bottom w:val="none" w:sz="0" w:space="0" w:color="auto"/>
        <w:right w:val="none" w:sz="0" w:space="0" w:color="auto"/>
      </w:divBdr>
    </w:div>
    <w:div w:id="262300187">
      <w:marLeft w:val="0"/>
      <w:marRight w:val="0"/>
      <w:marTop w:val="0"/>
      <w:marBottom w:val="0"/>
      <w:divBdr>
        <w:top w:val="none" w:sz="0" w:space="0" w:color="auto"/>
        <w:left w:val="none" w:sz="0" w:space="0" w:color="auto"/>
        <w:bottom w:val="none" w:sz="0" w:space="0" w:color="auto"/>
        <w:right w:val="none" w:sz="0" w:space="0" w:color="auto"/>
      </w:divBdr>
      <w:divsChild>
        <w:div w:id="447818165">
          <w:marLeft w:val="0"/>
          <w:marRight w:val="0"/>
          <w:marTop w:val="120"/>
          <w:marBottom w:val="0"/>
          <w:divBdr>
            <w:top w:val="none" w:sz="0" w:space="0" w:color="auto"/>
            <w:left w:val="none" w:sz="0" w:space="0" w:color="auto"/>
            <w:bottom w:val="none" w:sz="0" w:space="0" w:color="auto"/>
            <w:right w:val="none" w:sz="0" w:space="0" w:color="auto"/>
          </w:divBdr>
        </w:div>
      </w:divsChild>
    </w:div>
    <w:div w:id="265238511">
      <w:marLeft w:val="0"/>
      <w:marRight w:val="0"/>
      <w:marTop w:val="240"/>
      <w:marBottom w:val="240"/>
      <w:divBdr>
        <w:top w:val="none" w:sz="0" w:space="0" w:color="auto"/>
        <w:left w:val="none" w:sz="0" w:space="0" w:color="auto"/>
        <w:bottom w:val="none" w:sz="0" w:space="0" w:color="auto"/>
        <w:right w:val="none" w:sz="0" w:space="0" w:color="auto"/>
      </w:divBdr>
    </w:div>
    <w:div w:id="266624972">
      <w:marLeft w:val="0"/>
      <w:marRight w:val="0"/>
      <w:marTop w:val="240"/>
      <w:marBottom w:val="0"/>
      <w:divBdr>
        <w:top w:val="none" w:sz="0" w:space="0" w:color="auto"/>
        <w:left w:val="none" w:sz="0" w:space="0" w:color="auto"/>
        <w:bottom w:val="none" w:sz="0" w:space="0" w:color="auto"/>
        <w:right w:val="none" w:sz="0" w:space="0" w:color="auto"/>
      </w:divBdr>
    </w:div>
    <w:div w:id="266887264">
      <w:marLeft w:val="0"/>
      <w:marRight w:val="0"/>
      <w:marTop w:val="240"/>
      <w:marBottom w:val="0"/>
      <w:divBdr>
        <w:top w:val="none" w:sz="0" w:space="0" w:color="auto"/>
        <w:left w:val="none" w:sz="0" w:space="0" w:color="auto"/>
        <w:bottom w:val="none" w:sz="0" w:space="0" w:color="auto"/>
        <w:right w:val="none" w:sz="0" w:space="0" w:color="auto"/>
      </w:divBdr>
    </w:div>
    <w:div w:id="267467028">
      <w:marLeft w:val="0"/>
      <w:marRight w:val="0"/>
      <w:marTop w:val="180"/>
      <w:marBottom w:val="120"/>
      <w:divBdr>
        <w:top w:val="none" w:sz="0" w:space="0" w:color="auto"/>
        <w:left w:val="none" w:sz="0" w:space="0" w:color="auto"/>
        <w:bottom w:val="none" w:sz="0" w:space="0" w:color="auto"/>
        <w:right w:val="none" w:sz="0" w:space="0" w:color="auto"/>
      </w:divBdr>
    </w:div>
    <w:div w:id="267742949">
      <w:marLeft w:val="0"/>
      <w:marRight w:val="0"/>
      <w:marTop w:val="100"/>
      <w:marBottom w:val="0"/>
      <w:divBdr>
        <w:top w:val="none" w:sz="0" w:space="0" w:color="auto"/>
        <w:left w:val="none" w:sz="0" w:space="0" w:color="auto"/>
        <w:bottom w:val="none" w:sz="0" w:space="0" w:color="auto"/>
        <w:right w:val="none" w:sz="0" w:space="0" w:color="auto"/>
      </w:divBdr>
    </w:div>
    <w:div w:id="268322798">
      <w:marLeft w:val="0"/>
      <w:marRight w:val="0"/>
      <w:marTop w:val="180"/>
      <w:marBottom w:val="0"/>
      <w:divBdr>
        <w:top w:val="none" w:sz="0" w:space="0" w:color="auto"/>
        <w:left w:val="none" w:sz="0" w:space="0" w:color="auto"/>
        <w:bottom w:val="none" w:sz="0" w:space="0" w:color="auto"/>
        <w:right w:val="none" w:sz="0" w:space="0" w:color="auto"/>
      </w:divBdr>
    </w:div>
    <w:div w:id="272250323">
      <w:marLeft w:val="0"/>
      <w:marRight w:val="0"/>
      <w:marTop w:val="180"/>
      <w:marBottom w:val="0"/>
      <w:divBdr>
        <w:top w:val="none" w:sz="0" w:space="0" w:color="auto"/>
        <w:left w:val="none" w:sz="0" w:space="0" w:color="auto"/>
        <w:bottom w:val="none" w:sz="0" w:space="0" w:color="auto"/>
        <w:right w:val="none" w:sz="0" w:space="0" w:color="auto"/>
      </w:divBdr>
    </w:div>
    <w:div w:id="272446297">
      <w:marLeft w:val="0"/>
      <w:marRight w:val="0"/>
      <w:marTop w:val="220"/>
      <w:marBottom w:val="0"/>
      <w:divBdr>
        <w:top w:val="none" w:sz="0" w:space="0" w:color="auto"/>
        <w:left w:val="none" w:sz="0" w:space="0" w:color="auto"/>
        <w:bottom w:val="none" w:sz="0" w:space="0" w:color="auto"/>
        <w:right w:val="none" w:sz="0" w:space="0" w:color="auto"/>
      </w:divBdr>
      <w:divsChild>
        <w:div w:id="487325870">
          <w:marLeft w:val="0"/>
          <w:marRight w:val="0"/>
          <w:marTop w:val="0"/>
          <w:marBottom w:val="0"/>
          <w:divBdr>
            <w:top w:val="none" w:sz="0" w:space="0" w:color="auto"/>
            <w:left w:val="none" w:sz="0" w:space="0" w:color="auto"/>
            <w:bottom w:val="none" w:sz="0" w:space="0" w:color="auto"/>
            <w:right w:val="none" w:sz="0" w:space="0" w:color="auto"/>
          </w:divBdr>
        </w:div>
        <w:div w:id="386413319">
          <w:marLeft w:val="0"/>
          <w:marRight w:val="0"/>
          <w:marTop w:val="0"/>
          <w:marBottom w:val="0"/>
          <w:divBdr>
            <w:top w:val="none" w:sz="0" w:space="0" w:color="auto"/>
            <w:left w:val="none" w:sz="0" w:space="0" w:color="auto"/>
            <w:bottom w:val="none" w:sz="0" w:space="0" w:color="auto"/>
            <w:right w:val="none" w:sz="0" w:space="0" w:color="auto"/>
          </w:divBdr>
        </w:div>
        <w:div w:id="880748995">
          <w:marLeft w:val="0"/>
          <w:marRight w:val="0"/>
          <w:marTop w:val="0"/>
          <w:marBottom w:val="0"/>
          <w:divBdr>
            <w:top w:val="none" w:sz="0" w:space="0" w:color="auto"/>
            <w:left w:val="none" w:sz="0" w:space="0" w:color="auto"/>
            <w:bottom w:val="none" w:sz="0" w:space="0" w:color="auto"/>
            <w:right w:val="none" w:sz="0" w:space="0" w:color="auto"/>
          </w:divBdr>
        </w:div>
      </w:divsChild>
    </w:div>
    <w:div w:id="272633987">
      <w:marLeft w:val="0"/>
      <w:marRight w:val="0"/>
      <w:marTop w:val="240"/>
      <w:marBottom w:val="240"/>
      <w:divBdr>
        <w:top w:val="none" w:sz="0" w:space="0" w:color="auto"/>
        <w:left w:val="none" w:sz="0" w:space="0" w:color="auto"/>
        <w:bottom w:val="none" w:sz="0" w:space="0" w:color="auto"/>
        <w:right w:val="none" w:sz="0" w:space="0" w:color="auto"/>
      </w:divBdr>
    </w:div>
    <w:div w:id="272980399">
      <w:marLeft w:val="0"/>
      <w:marRight w:val="0"/>
      <w:marTop w:val="100"/>
      <w:marBottom w:val="0"/>
      <w:divBdr>
        <w:top w:val="none" w:sz="0" w:space="0" w:color="auto"/>
        <w:left w:val="none" w:sz="0" w:space="0" w:color="auto"/>
        <w:bottom w:val="none" w:sz="0" w:space="0" w:color="auto"/>
        <w:right w:val="none" w:sz="0" w:space="0" w:color="auto"/>
      </w:divBdr>
    </w:div>
    <w:div w:id="274950799">
      <w:marLeft w:val="0"/>
      <w:marRight w:val="0"/>
      <w:marTop w:val="0"/>
      <w:marBottom w:val="0"/>
      <w:divBdr>
        <w:top w:val="none" w:sz="0" w:space="0" w:color="auto"/>
        <w:left w:val="none" w:sz="0" w:space="0" w:color="auto"/>
        <w:bottom w:val="none" w:sz="0" w:space="0" w:color="auto"/>
        <w:right w:val="none" w:sz="0" w:space="0" w:color="auto"/>
      </w:divBdr>
    </w:div>
    <w:div w:id="275137926">
      <w:marLeft w:val="0"/>
      <w:marRight w:val="0"/>
      <w:marTop w:val="240"/>
      <w:marBottom w:val="0"/>
      <w:divBdr>
        <w:top w:val="none" w:sz="0" w:space="0" w:color="auto"/>
        <w:left w:val="none" w:sz="0" w:space="0" w:color="auto"/>
        <w:bottom w:val="none" w:sz="0" w:space="0" w:color="auto"/>
        <w:right w:val="none" w:sz="0" w:space="0" w:color="auto"/>
      </w:divBdr>
    </w:div>
    <w:div w:id="276910705">
      <w:marLeft w:val="0"/>
      <w:marRight w:val="0"/>
      <w:marTop w:val="0"/>
      <w:marBottom w:val="0"/>
      <w:divBdr>
        <w:top w:val="none" w:sz="0" w:space="0" w:color="auto"/>
        <w:left w:val="none" w:sz="0" w:space="0" w:color="auto"/>
        <w:bottom w:val="none" w:sz="0" w:space="0" w:color="auto"/>
        <w:right w:val="none" w:sz="0" w:space="0" w:color="auto"/>
      </w:divBdr>
      <w:divsChild>
        <w:div w:id="983776898">
          <w:marLeft w:val="0"/>
          <w:marRight w:val="0"/>
          <w:marTop w:val="0"/>
          <w:marBottom w:val="0"/>
          <w:divBdr>
            <w:top w:val="none" w:sz="0" w:space="0" w:color="auto"/>
            <w:left w:val="none" w:sz="0" w:space="0" w:color="auto"/>
            <w:bottom w:val="none" w:sz="0" w:space="0" w:color="auto"/>
            <w:right w:val="none" w:sz="0" w:space="0" w:color="auto"/>
          </w:divBdr>
        </w:div>
      </w:divsChild>
    </w:div>
    <w:div w:id="278032340">
      <w:marLeft w:val="0"/>
      <w:marRight w:val="0"/>
      <w:marTop w:val="100"/>
      <w:marBottom w:val="0"/>
      <w:divBdr>
        <w:top w:val="none" w:sz="0" w:space="0" w:color="auto"/>
        <w:left w:val="none" w:sz="0" w:space="0" w:color="auto"/>
        <w:bottom w:val="none" w:sz="0" w:space="0" w:color="auto"/>
        <w:right w:val="none" w:sz="0" w:space="0" w:color="auto"/>
      </w:divBdr>
    </w:div>
    <w:div w:id="279533998">
      <w:marLeft w:val="0"/>
      <w:marRight w:val="0"/>
      <w:marTop w:val="240"/>
      <w:marBottom w:val="0"/>
      <w:divBdr>
        <w:top w:val="none" w:sz="0" w:space="0" w:color="auto"/>
        <w:left w:val="none" w:sz="0" w:space="0" w:color="auto"/>
        <w:bottom w:val="none" w:sz="0" w:space="0" w:color="auto"/>
        <w:right w:val="none" w:sz="0" w:space="0" w:color="auto"/>
      </w:divBdr>
    </w:div>
    <w:div w:id="279997822">
      <w:marLeft w:val="0"/>
      <w:marRight w:val="0"/>
      <w:marTop w:val="240"/>
      <w:marBottom w:val="0"/>
      <w:divBdr>
        <w:top w:val="none" w:sz="0" w:space="0" w:color="auto"/>
        <w:left w:val="none" w:sz="0" w:space="0" w:color="auto"/>
        <w:bottom w:val="none" w:sz="0" w:space="0" w:color="auto"/>
        <w:right w:val="none" w:sz="0" w:space="0" w:color="auto"/>
      </w:divBdr>
    </w:div>
    <w:div w:id="281769088">
      <w:marLeft w:val="0"/>
      <w:marRight w:val="0"/>
      <w:marTop w:val="300"/>
      <w:marBottom w:val="0"/>
      <w:divBdr>
        <w:top w:val="none" w:sz="0" w:space="0" w:color="auto"/>
        <w:left w:val="none" w:sz="0" w:space="0" w:color="auto"/>
        <w:bottom w:val="none" w:sz="0" w:space="0" w:color="auto"/>
        <w:right w:val="none" w:sz="0" w:space="0" w:color="auto"/>
      </w:divBdr>
    </w:div>
    <w:div w:id="282618456">
      <w:marLeft w:val="0"/>
      <w:marRight w:val="0"/>
      <w:marTop w:val="120"/>
      <w:marBottom w:val="0"/>
      <w:divBdr>
        <w:top w:val="none" w:sz="0" w:space="0" w:color="auto"/>
        <w:left w:val="none" w:sz="0" w:space="0" w:color="auto"/>
        <w:bottom w:val="none" w:sz="0" w:space="0" w:color="auto"/>
        <w:right w:val="none" w:sz="0" w:space="0" w:color="auto"/>
      </w:divBdr>
    </w:div>
    <w:div w:id="283196377">
      <w:marLeft w:val="0"/>
      <w:marRight w:val="0"/>
      <w:marTop w:val="240"/>
      <w:marBottom w:val="0"/>
      <w:divBdr>
        <w:top w:val="none" w:sz="0" w:space="0" w:color="auto"/>
        <w:left w:val="none" w:sz="0" w:space="0" w:color="auto"/>
        <w:bottom w:val="none" w:sz="0" w:space="0" w:color="auto"/>
        <w:right w:val="none" w:sz="0" w:space="0" w:color="auto"/>
      </w:divBdr>
    </w:div>
    <w:div w:id="283271822">
      <w:marLeft w:val="0"/>
      <w:marRight w:val="0"/>
      <w:marTop w:val="240"/>
      <w:marBottom w:val="240"/>
      <w:divBdr>
        <w:top w:val="none" w:sz="0" w:space="0" w:color="auto"/>
        <w:left w:val="none" w:sz="0" w:space="0" w:color="auto"/>
        <w:bottom w:val="none" w:sz="0" w:space="0" w:color="auto"/>
        <w:right w:val="none" w:sz="0" w:space="0" w:color="auto"/>
      </w:divBdr>
    </w:div>
    <w:div w:id="286592168">
      <w:marLeft w:val="0"/>
      <w:marRight w:val="0"/>
      <w:marTop w:val="240"/>
      <w:marBottom w:val="0"/>
      <w:divBdr>
        <w:top w:val="none" w:sz="0" w:space="0" w:color="auto"/>
        <w:left w:val="none" w:sz="0" w:space="0" w:color="auto"/>
        <w:bottom w:val="none" w:sz="0" w:space="0" w:color="auto"/>
        <w:right w:val="none" w:sz="0" w:space="0" w:color="auto"/>
      </w:divBdr>
    </w:div>
    <w:div w:id="287052979">
      <w:marLeft w:val="0"/>
      <w:marRight w:val="0"/>
      <w:marTop w:val="180"/>
      <w:marBottom w:val="0"/>
      <w:divBdr>
        <w:top w:val="none" w:sz="0" w:space="0" w:color="auto"/>
        <w:left w:val="none" w:sz="0" w:space="0" w:color="auto"/>
        <w:bottom w:val="none" w:sz="0" w:space="0" w:color="auto"/>
        <w:right w:val="none" w:sz="0" w:space="0" w:color="auto"/>
      </w:divBdr>
    </w:div>
    <w:div w:id="288047835">
      <w:marLeft w:val="0"/>
      <w:marRight w:val="0"/>
      <w:marTop w:val="0"/>
      <w:marBottom w:val="0"/>
      <w:divBdr>
        <w:top w:val="none" w:sz="0" w:space="0" w:color="auto"/>
        <w:left w:val="none" w:sz="0" w:space="0" w:color="auto"/>
        <w:bottom w:val="none" w:sz="0" w:space="0" w:color="auto"/>
        <w:right w:val="none" w:sz="0" w:space="0" w:color="auto"/>
      </w:divBdr>
      <w:divsChild>
        <w:div w:id="43529410">
          <w:marLeft w:val="0"/>
          <w:marRight w:val="0"/>
          <w:marTop w:val="120"/>
          <w:marBottom w:val="0"/>
          <w:divBdr>
            <w:top w:val="none" w:sz="0" w:space="0" w:color="auto"/>
            <w:left w:val="none" w:sz="0" w:space="0" w:color="auto"/>
            <w:bottom w:val="none" w:sz="0" w:space="0" w:color="auto"/>
            <w:right w:val="none" w:sz="0" w:space="0" w:color="auto"/>
          </w:divBdr>
        </w:div>
      </w:divsChild>
    </w:div>
    <w:div w:id="289745232">
      <w:marLeft w:val="0"/>
      <w:marRight w:val="0"/>
      <w:marTop w:val="0"/>
      <w:marBottom w:val="0"/>
      <w:divBdr>
        <w:top w:val="none" w:sz="0" w:space="0" w:color="auto"/>
        <w:left w:val="none" w:sz="0" w:space="0" w:color="auto"/>
        <w:bottom w:val="none" w:sz="0" w:space="0" w:color="auto"/>
        <w:right w:val="none" w:sz="0" w:space="0" w:color="auto"/>
      </w:divBdr>
      <w:divsChild>
        <w:div w:id="1404061478">
          <w:marLeft w:val="0"/>
          <w:marRight w:val="0"/>
          <w:marTop w:val="0"/>
          <w:marBottom w:val="0"/>
          <w:divBdr>
            <w:top w:val="none" w:sz="0" w:space="0" w:color="auto"/>
            <w:left w:val="none" w:sz="0" w:space="0" w:color="auto"/>
            <w:bottom w:val="none" w:sz="0" w:space="0" w:color="auto"/>
            <w:right w:val="none" w:sz="0" w:space="0" w:color="auto"/>
          </w:divBdr>
        </w:div>
      </w:divsChild>
    </w:div>
    <w:div w:id="291717875">
      <w:marLeft w:val="0"/>
      <w:marRight w:val="0"/>
      <w:marTop w:val="180"/>
      <w:marBottom w:val="0"/>
      <w:divBdr>
        <w:top w:val="none" w:sz="0" w:space="0" w:color="auto"/>
        <w:left w:val="none" w:sz="0" w:space="0" w:color="auto"/>
        <w:bottom w:val="none" w:sz="0" w:space="0" w:color="auto"/>
        <w:right w:val="none" w:sz="0" w:space="0" w:color="auto"/>
      </w:divBdr>
    </w:div>
    <w:div w:id="291835430">
      <w:marLeft w:val="0"/>
      <w:marRight w:val="0"/>
      <w:marTop w:val="240"/>
      <w:marBottom w:val="0"/>
      <w:divBdr>
        <w:top w:val="none" w:sz="0" w:space="0" w:color="auto"/>
        <w:left w:val="none" w:sz="0" w:space="0" w:color="auto"/>
        <w:bottom w:val="none" w:sz="0" w:space="0" w:color="auto"/>
        <w:right w:val="none" w:sz="0" w:space="0" w:color="auto"/>
      </w:divBdr>
    </w:div>
    <w:div w:id="292248333">
      <w:marLeft w:val="0"/>
      <w:marRight w:val="0"/>
      <w:marTop w:val="160"/>
      <w:marBottom w:val="0"/>
      <w:divBdr>
        <w:top w:val="none" w:sz="0" w:space="0" w:color="auto"/>
        <w:left w:val="none" w:sz="0" w:space="0" w:color="auto"/>
        <w:bottom w:val="none" w:sz="0" w:space="0" w:color="auto"/>
        <w:right w:val="none" w:sz="0" w:space="0" w:color="auto"/>
      </w:divBdr>
    </w:div>
    <w:div w:id="295381234">
      <w:marLeft w:val="0"/>
      <w:marRight w:val="0"/>
      <w:marTop w:val="240"/>
      <w:marBottom w:val="0"/>
      <w:divBdr>
        <w:top w:val="none" w:sz="0" w:space="0" w:color="auto"/>
        <w:left w:val="none" w:sz="0" w:space="0" w:color="auto"/>
        <w:bottom w:val="none" w:sz="0" w:space="0" w:color="auto"/>
        <w:right w:val="none" w:sz="0" w:space="0" w:color="auto"/>
      </w:divBdr>
    </w:div>
    <w:div w:id="297491608">
      <w:marLeft w:val="0"/>
      <w:marRight w:val="0"/>
      <w:marTop w:val="0"/>
      <w:marBottom w:val="120"/>
      <w:divBdr>
        <w:top w:val="none" w:sz="0" w:space="0" w:color="auto"/>
        <w:left w:val="none" w:sz="0" w:space="0" w:color="auto"/>
        <w:bottom w:val="none" w:sz="0" w:space="0" w:color="auto"/>
        <w:right w:val="none" w:sz="0" w:space="0" w:color="auto"/>
      </w:divBdr>
    </w:div>
    <w:div w:id="298728773">
      <w:marLeft w:val="0"/>
      <w:marRight w:val="0"/>
      <w:marTop w:val="240"/>
      <w:marBottom w:val="0"/>
      <w:divBdr>
        <w:top w:val="none" w:sz="0" w:space="0" w:color="auto"/>
        <w:left w:val="none" w:sz="0" w:space="0" w:color="auto"/>
        <w:bottom w:val="none" w:sz="0" w:space="0" w:color="auto"/>
        <w:right w:val="none" w:sz="0" w:space="0" w:color="auto"/>
      </w:divBdr>
    </w:div>
    <w:div w:id="298921652">
      <w:marLeft w:val="0"/>
      <w:marRight w:val="0"/>
      <w:marTop w:val="60"/>
      <w:marBottom w:val="0"/>
      <w:divBdr>
        <w:top w:val="none" w:sz="0" w:space="0" w:color="auto"/>
        <w:left w:val="none" w:sz="0" w:space="0" w:color="auto"/>
        <w:bottom w:val="none" w:sz="0" w:space="0" w:color="auto"/>
        <w:right w:val="none" w:sz="0" w:space="0" w:color="auto"/>
      </w:divBdr>
    </w:div>
    <w:div w:id="299769642">
      <w:marLeft w:val="0"/>
      <w:marRight w:val="0"/>
      <w:marTop w:val="240"/>
      <w:marBottom w:val="0"/>
      <w:divBdr>
        <w:top w:val="none" w:sz="0" w:space="0" w:color="auto"/>
        <w:left w:val="none" w:sz="0" w:space="0" w:color="auto"/>
        <w:bottom w:val="none" w:sz="0" w:space="0" w:color="auto"/>
        <w:right w:val="none" w:sz="0" w:space="0" w:color="auto"/>
      </w:divBdr>
    </w:div>
    <w:div w:id="301161075">
      <w:marLeft w:val="0"/>
      <w:marRight w:val="0"/>
      <w:marTop w:val="240"/>
      <w:marBottom w:val="0"/>
      <w:divBdr>
        <w:top w:val="none" w:sz="0" w:space="0" w:color="auto"/>
        <w:left w:val="none" w:sz="0" w:space="0" w:color="auto"/>
        <w:bottom w:val="none" w:sz="0" w:space="0" w:color="auto"/>
        <w:right w:val="none" w:sz="0" w:space="0" w:color="auto"/>
      </w:divBdr>
    </w:div>
    <w:div w:id="301279390">
      <w:marLeft w:val="0"/>
      <w:marRight w:val="0"/>
      <w:marTop w:val="0"/>
      <w:marBottom w:val="0"/>
      <w:divBdr>
        <w:top w:val="none" w:sz="0" w:space="0" w:color="auto"/>
        <w:left w:val="none" w:sz="0" w:space="0" w:color="auto"/>
        <w:bottom w:val="none" w:sz="0" w:space="0" w:color="auto"/>
        <w:right w:val="none" w:sz="0" w:space="0" w:color="auto"/>
      </w:divBdr>
      <w:divsChild>
        <w:div w:id="504588899">
          <w:marLeft w:val="0"/>
          <w:marRight w:val="0"/>
          <w:marTop w:val="0"/>
          <w:marBottom w:val="0"/>
          <w:divBdr>
            <w:top w:val="none" w:sz="0" w:space="0" w:color="auto"/>
            <w:left w:val="none" w:sz="0" w:space="0" w:color="auto"/>
            <w:bottom w:val="none" w:sz="0" w:space="0" w:color="auto"/>
            <w:right w:val="none" w:sz="0" w:space="0" w:color="auto"/>
          </w:divBdr>
          <w:divsChild>
            <w:div w:id="201660932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02807493">
      <w:marLeft w:val="0"/>
      <w:marRight w:val="0"/>
      <w:marTop w:val="140"/>
      <w:marBottom w:val="0"/>
      <w:divBdr>
        <w:top w:val="none" w:sz="0" w:space="0" w:color="auto"/>
        <w:left w:val="none" w:sz="0" w:space="0" w:color="auto"/>
        <w:bottom w:val="none" w:sz="0" w:space="0" w:color="auto"/>
        <w:right w:val="none" w:sz="0" w:space="0" w:color="auto"/>
      </w:divBdr>
    </w:div>
    <w:div w:id="311056900">
      <w:marLeft w:val="0"/>
      <w:marRight w:val="0"/>
      <w:marTop w:val="0"/>
      <w:marBottom w:val="0"/>
      <w:divBdr>
        <w:top w:val="none" w:sz="0" w:space="0" w:color="auto"/>
        <w:left w:val="none" w:sz="0" w:space="0" w:color="auto"/>
        <w:bottom w:val="none" w:sz="0" w:space="0" w:color="auto"/>
        <w:right w:val="none" w:sz="0" w:space="0" w:color="auto"/>
      </w:divBdr>
      <w:divsChild>
        <w:div w:id="1081609577">
          <w:marLeft w:val="0"/>
          <w:marRight w:val="0"/>
          <w:marTop w:val="0"/>
          <w:marBottom w:val="0"/>
          <w:divBdr>
            <w:top w:val="none" w:sz="0" w:space="0" w:color="auto"/>
            <w:left w:val="none" w:sz="0" w:space="0" w:color="auto"/>
            <w:bottom w:val="none" w:sz="0" w:space="0" w:color="auto"/>
            <w:right w:val="none" w:sz="0" w:space="0" w:color="auto"/>
          </w:divBdr>
          <w:divsChild>
            <w:div w:id="51604440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11562257">
      <w:marLeft w:val="0"/>
      <w:marRight w:val="0"/>
      <w:marTop w:val="240"/>
      <w:marBottom w:val="0"/>
      <w:divBdr>
        <w:top w:val="none" w:sz="0" w:space="0" w:color="auto"/>
        <w:left w:val="none" w:sz="0" w:space="0" w:color="auto"/>
        <w:bottom w:val="none" w:sz="0" w:space="0" w:color="auto"/>
        <w:right w:val="none" w:sz="0" w:space="0" w:color="auto"/>
      </w:divBdr>
    </w:div>
    <w:div w:id="312221093">
      <w:marLeft w:val="0"/>
      <w:marRight w:val="0"/>
      <w:marTop w:val="240"/>
      <w:marBottom w:val="240"/>
      <w:divBdr>
        <w:top w:val="none" w:sz="0" w:space="0" w:color="auto"/>
        <w:left w:val="none" w:sz="0" w:space="0" w:color="auto"/>
        <w:bottom w:val="none" w:sz="0" w:space="0" w:color="auto"/>
        <w:right w:val="none" w:sz="0" w:space="0" w:color="auto"/>
      </w:divBdr>
    </w:div>
    <w:div w:id="313804050">
      <w:marLeft w:val="0"/>
      <w:marRight w:val="0"/>
      <w:marTop w:val="180"/>
      <w:marBottom w:val="0"/>
      <w:divBdr>
        <w:top w:val="none" w:sz="0" w:space="0" w:color="auto"/>
        <w:left w:val="none" w:sz="0" w:space="0" w:color="auto"/>
        <w:bottom w:val="none" w:sz="0" w:space="0" w:color="auto"/>
        <w:right w:val="none" w:sz="0" w:space="0" w:color="auto"/>
      </w:divBdr>
    </w:div>
    <w:div w:id="318047741">
      <w:marLeft w:val="0"/>
      <w:marRight w:val="0"/>
      <w:marTop w:val="240"/>
      <w:marBottom w:val="0"/>
      <w:divBdr>
        <w:top w:val="none" w:sz="0" w:space="0" w:color="auto"/>
        <w:left w:val="none" w:sz="0" w:space="0" w:color="auto"/>
        <w:bottom w:val="none" w:sz="0" w:space="0" w:color="auto"/>
        <w:right w:val="none" w:sz="0" w:space="0" w:color="auto"/>
      </w:divBdr>
    </w:div>
    <w:div w:id="322046675">
      <w:marLeft w:val="0"/>
      <w:marRight w:val="0"/>
      <w:marTop w:val="180"/>
      <w:marBottom w:val="0"/>
      <w:divBdr>
        <w:top w:val="none" w:sz="0" w:space="0" w:color="auto"/>
        <w:left w:val="none" w:sz="0" w:space="0" w:color="auto"/>
        <w:bottom w:val="none" w:sz="0" w:space="0" w:color="auto"/>
        <w:right w:val="none" w:sz="0" w:space="0" w:color="auto"/>
      </w:divBdr>
    </w:div>
    <w:div w:id="322664651">
      <w:marLeft w:val="0"/>
      <w:marRight w:val="0"/>
      <w:marTop w:val="60"/>
      <w:marBottom w:val="0"/>
      <w:divBdr>
        <w:top w:val="none" w:sz="0" w:space="0" w:color="auto"/>
        <w:left w:val="none" w:sz="0" w:space="0" w:color="auto"/>
        <w:bottom w:val="none" w:sz="0" w:space="0" w:color="auto"/>
        <w:right w:val="none" w:sz="0" w:space="0" w:color="auto"/>
      </w:divBdr>
    </w:div>
    <w:div w:id="326128129">
      <w:marLeft w:val="0"/>
      <w:marRight w:val="0"/>
      <w:marTop w:val="240"/>
      <w:marBottom w:val="0"/>
      <w:divBdr>
        <w:top w:val="none" w:sz="0" w:space="0" w:color="auto"/>
        <w:left w:val="none" w:sz="0" w:space="0" w:color="auto"/>
        <w:bottom w:val="none" w:sz="0" w:space="0" w:color="auto"/>
        <w:right w:val="none" w:sz="0" w:space="0" w:color="auto"/>
      </w:divBdr>
    </w:div>
    <w:div w:id="326829297">
      <w:marLeft w:val="0"/>
      <w:marRight w:val="0"/>
      <w:marTop w:val="240"/>
      <w:marBottom w:val="0"/>
      <w:divBdr>
        <w:top w:val="none" w:sz="0" w:space="0" w:color="auto"/>
        <w:left w:val="none" w:sz="0" w:space="0" w:color="auto"/>
        <w:bottom w:val="none" w:sz="0" w:space="0" w:color="auto"/>
        <w:right w:val="none" w:sz="0" w:space="0" w:color="auto"/>
      </w:divBdr>
    </w:div>
    <w:div w:id="327485430">
      <w:marLeft w:val="0"/>
      <w:marRight w:val="0"/>
      <w:marTop w:val="240"/>
      <w:marBottom w:val="0"/>
      <w:divBdr>
        <w:top w:val="none" w:sz="0" w:space="0" w:color="auto"/>
        <w:left w:val="none" w:sz="0" w:space="0" w:color="auto"/>
        <w:bottom w:val="none" w:sz="0" w:space="0" w:color="auto"/>
        <w:right w:val="none" w:sz="0" w:space="0" w:color="auto"/>
      </w:divBdr>
    </w:div>
    <w:div w:id="330832602">
      <w:marLeft w:val="0"/>
      <w:marRight w:val="0"/>
      <w:marTop w:val="240"/>
      <w:marBottom w:val="0"/>
      <w:divBdr>
        <w:top w:val="none" w:sz="0" w:space="0" w:color="auto"/>
        <w:left w:val="none" w:sz="0" w:space="0" w:color="auto"/>
        <w:bottom w:val="none" w:sz="0" w:space="0" w:color="auto"/>
        <w:right w:val="none" w:sz="0" w:space="0" w:color="auto"/>
      </w:divBdr>
    </w:div>
    <w:div w:id="331176926">
      <w:marLeft w:val="0"/>
      <w:marRight w:val="0"/>
      <w:marTop w:val="240"/>
      <w:marBottom w:val="0"/>
      <w:divBdr>
        <w:top w:val="none" w:sz="0" w:space="0" w:color="auto"/>
        <w:left w:val="none" w:sz="0" w:space="0" w:color="auto"/>
        <w:bottom w:val="none" w:sz="0" w:space="0" w:color="auto"/>
        <w:right w:val="none" w:sz="0" w:space="0" w:color="auto"/>
      </w:divBdr>
    </w:div>
    <w:div w:id="331223148">
      <w:marLeft w:val="0"/>
      <w:marRight w:val="0"/>
      <w:marTop w:val="240"/>
      <w:marBottom w:val="0"/>
      <w:divBdr>
        <w:top w:val="none" w:sz="0" w:space="0" w:color="auto"/>
        <w:left w:val="none" w:sz="0" w:space="0" w:color="auto"/>
        <w:bottom w:val="none" w:sz="0" w:space="0" w:color="auto"/>
        <w:right w:val="none" w:sz="0" w:space="0" w:color="auto"/>
      </w:divBdr>
    </w:div>
    <w:div w:id="332034632">
      <w:marLeft w:val="0"/>
      <w:marRight w:val="0"/>
      <w:marTop w:val="240"/>
      <w:marBottom w:val="0"/>
      <w:divBdr>
        <w:top w:val="none" w:sz="0" w:space="0" w:color="auto"/>
        <w:left w:val="none" w:sz="0" w:space="0" w:color="auto"/>
        <w:bottom w:val="none" w:sz="0" w:space="0" w:color="auto"/>
        <w:right w:val="none" w:sz="0" w:space="0" w:color="auto"/>
      </w:divBdr>
    </w:div>
    <w:div w:id="334963841">
      <w:marLeft w:val="0"/>
      <w:marRight w:val="0"/>
      <w:marTop w:val="180"/>
      <w:marBottom w:val="0"/>
      <w:divBdr>
        <w:top w:val="none" w:sz="0" w:space="0" w:color="auto"/>
        <w:left w:val="none" w:sz="0" w:space="0" w:color="auto"/>
        <w:bottom w:val="none" w:sz="0" w:space="0" w:color="auto"/>
        <w:right w:val="none" w:sz="0" w:space="0" w:color="auto"/>
      </w:divBdr>
    </w:div>
    <w:div w:id="336738230">
      <w:marLeft w:val="0"/>
      <w:marRight w:val="0"/>
      <w:marTop w:val="240"/>
      <w:marBottom w:val="0"/>
      <w:divBdr>
        <w:top w:val="none" w:sz="0" w:space="0" w:color="auto"/>
        <w:left w:val="none" w:sz="0" w:space="0" w:color="auto"/>
        <w:bottom w:val="none" w:sz="0" w:space="0" w:color="auto"/>
        <w:right w:val="none" w:sz="0" w:space="0" w:color="auto"/>
      </w:divBdr>
    </w:div>
    <w:div w:id="337082218">
      <w:marLeft w:val="0"/>
      <w:marRight w:val="0"/>
      <w:marTop w:val="0"/>
      <w:marBottom w:val="0"/>
      <w:divBdr>
        <w:top w:val="none" w:sz="0" w:space="0" w:color="auto"/>
        <w:left w:val="none" w:sz="0" w:space="0" w:color="auto"/>
        <w:bottom w:val="none" w:sz="0" w:space="0" w:color="auto"/>
        <w:right w:val="none" w:sz="0" w:space="0" w:color="auto"/>
      </w:divBdr>
      <w:divsChild>
        <w:div w:id="2031950607">
          <w:marLeft w:val="0"/>
          <w:marRight w:val="0"/>
          <w:marTop w:val="0"/>
          <w:marBottom w:val="0"/>
          <w:divBdr>
            <w:top w:val="none" w:sz="0" w:space="0" w:color="auto"/>
            <w:left w:val="none" w:sz="0" w:space="0" w:color="auto"/>
            <w:bottom w:val="none" w:sz="0" w:space="0" w:color="auto"/>
            <w:right w:val="none" w:sz="0" w:space="0" w:color="auto"/>
          </w:divBdr>
          <w:divsChild>
            <w:div w:id="2059569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38198405">
      <w:marLeft w:val="0"/>
      <w:marRight w:val="0"/>
      <w:marTop w:val="240"/>
      <w:marBottom w:val="0"/>
      <w:divBdr>
        <w:top w:val="none" w:sz="0" w:space="0" w:color="auto"/>
        <w:left w:val="none" w:sz="0" w:space="0" w:color="auto"/>
        <w:bottom w:val="none" w:sz="0" w:space="0" w:color="auto"/>
        <w:right w:val="none" w:sz="0" w:space="0" w:color="auto"/>
      </w:divBdr>
    </w:div>
    <w:div w:id="338580941">
      <w:marLeft w:val="0"/>
      <w:marRight w:val="0"/>
      <w:marTop w:val="60"/>
      <w:marBottom w:val="0"/>
      <w:divBdr>
        <w:top w:val="none" w:sz="0" w:space="0" w:color="auto"/>
        <w:left w:val="none" w:sz="0" w:space="0" w:color="auto"/>
        <w:bottom w:val="none" w:sz="0" w:space="0" w:color="auto"/>
        <w:right w:val="none" w:sz="0" w:space="0" w:color="auto"/>
      </w:divBdr>
    </w:div>
    <w:div w:id="339115872">
      <w:marLeft w:val="0"/>
      <w:marRight w:val="0"/>
      <w:marTop w:val="240"/>
      <w:marBottom w:val="0"/>
      <w:divBdr>
        <w:top w:val="none" w:sz="0" w:space="0" w:color="auto"/>
        <w:left w:val="none" w:sz="0" w:space="0" w:color="auto"/>
        <w:bottom w:val="none" w:sz="0" w:space="0" w:color="auto"/>
        <w:right w:val="none" w:sz="0" w:space="0" w:color="auto"/>
      </w:divBdr>
    </w:div>
    <w:div w:id="339628235">
      <w:marLeft w:val="0"/>
      <w:marRight w:val="0"/>
      <w:marTop w:val="140"/>
      <w:marBottom w:val="0"/>
      <w:divBdr>
        <w:top w:val="none" w:sz="0" w:space="0" w:color="auto"/>
        <w:left w:val="none" w:sz="0" w:space="0" w:color="auto"/>
        <w:bottom w:val="none" w:sz="0" w:space="0" w:color="auto"/>
        <w:right w:val="none" w:sz="0" w:space="0" w:color="auto"/>
      </w:divBdr>
    </w:div>
    <w:div w:id="340207341">
      <w:marLeft w:val="0"/>
      <w:marRight w:val="0"/>
      <w:marTop w:val="0"/>
      <w:marBottom w:val="0"/>
      <w:divBdr>
        <w:top w:val="none" w:sz="0" w:space="0" w:color="auto"/>
        <w:left w:val="none" w:sz="0" w:space="0" w:color="auto"/>
        <w:bottom w:val="none" w:sz="0" w:space="0" w:color="auto"/>
        <w:right w:val="none" w:sz="0" w:space="0" w:color="auto"/>
      </w:divBdr>
      <w:divsChild>
        <w:div w:id="807936540">
          <w:marLeft w:val="0"/>
          <w:marRight w:val="0"/>
          <w:marTop w:val="120"/>
          <w:marBottom w:val="0"/>
          <w:divBdr>
            <w:top w:val="none" w:sz="0" w:space="0" w:color="auto"/>
            <w:left w:val="none" w:sz="0" w:space="0" w:color="auto"/>
            <w:bottom w:val="none" w:sz="0" w:space="0" w:color="auto"/>
            <w:right w:val="none" w:sz="0" w:space="0" w:color="auto"/>
          </w:divBdr>
        </w:div>
      </w:divsChild>
    </w:div>
    <w:div w:id="343632979">
      <w:marLeft w:val="0"/>
      <w:marRight w:val="0"/>
      <w:marTop w:val="240"/>
      <w:marBottom w:val="0"/>
      <w:divBdr>
        <w:top w:val="none" w:sz="0" w:space="0" w:color="auto"/>
        <w:left w:val="none" w:sz="0" w:space="0" w:color="auto"/>
        <w:bottom w:val="none" w:sz="0" w:space="0" w:color="auto"/>
        <w:right w:val="none" w:sz="0" w:space="0" w:color="auto"/>
      </w:divBdr>
    </w:div>
    <w:div w:id="343897151">
      <w:marLeft w:val="0"/>
      <w:marRight w:val="0"/>
      <w:marTop w:val="240"/>
      <w:marBottom w:val="0"/>
      <w:divBdr>
        <w:top w:val="none" w:sz="0" w:space="0" w:color="auto"/>
        <w:left w:val="none" w:sz="0" w:space="0" w:color="auto"/>
        <w:bottom w:val="none" w:sz="0" w:space="0" w:color="auto"/>
        <w:right w:val="none" w:sz="0" w:space="0" w:color="auto"/>
      </w:divBdr>
    </w:div>
    <w:div w:id="344866145">
      <w:marLeft w:val="0"/>
      <w:marRight w:val="0"/>
      <w:marTop w:val="0"/>
      <w:marBottom w:val="0"/>
      <w:divBdr>
        <w:top w:val="none" w:sz="0" w:space="0" w:color="auto"/>
        <w:left w:val="none" w:sz="0" w:space="0" w:color="auto"/>
        <w:bottom w:val="none" w:sz="0" w:space="0" w:color="auto"/>
        <w:right w:val="none" w:sz="0" w:space="0" w:color="auto"/>
      </w:divBdr>
      <w:divsChild>
        <w:div w:id="567035282">
          <w:marLeft w:val="0"/>
          <w:marRight w:val="0"/>
          <w:marTop w:val="0"/>
          <w:marBottom w:val="0"/>
          <w:divBdr>
            <w:top w:val="none" w:sz="0" w:space="0" w:color="auto"/>
            <w:left w:val="none" w:sz="0" w:space="0" w:color="auto"/>
            <w:bottom w:val="none" w:sz="0" w:space="0" w:color="auto"/>
            <w:right w:val="none" w:sz="0" w:space="0" w:color="auto"/>
          </w:divBdr>
          <w:divsChild>
            <w:div w:id="20114415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48527623">
      <w:marLeft w:val="0"/>
      <w:marRight w:val="0"/>
      <w:marTop w:val="300"/>
      <w:marBottom w:val="120"/>
      <w:divBdr>
        <w:top w:val="none" w:sz="0" w:space="0" w:color="auto"/>
        <w:left w:val="none" w:sz="0" w:space="0" w:color="auto"/>
        <w:bottom w:val="none" w:sz="0" w:space="0" w:color="auto"/>
        <w:right w:val="none" w:sz="0" w:space="0" w:color="auto"/>
      </w:divBdr>
    </w:div>
    <w:div w:id="349374016">
      <w:marLeft w:val="0"/>
      <w:marRight w:val="0"/>
      <w:marTop w:val="0"/>
      <w:marBottom w:val="0"/>
      <w:divBdr>
        <w:top w:val="none" w:sz="0" w:space="0" w:color="auto"/>
        <w:left w:val="none" w:sz="0" w:space="0" w:color="auto"/>
        <w:bottom w:val="none" w:sz="0" w:space="0" w:color="auto"/>
        <w:right w:val="none" w:sz="0" w:space="0" w:color="auto"/>
      </w:divBdr>
      <w:divsChild>
        <w:div w:id="961762684">
          <w:marLeft w:val="0"/>
          <w:marRight w:val="0"/>
          <w:marTop w:val="0"/>
          <w:marBottom w:val="0"/>
          <w:divBdr>
            <w:top w:val="none" w:sz="0" w:space="0" w:color="auto"/>
            <w:left w:val="none" w:sz="0" w:space="0" w:color="auto"/>
            <w:bottom w:val="none" w:sz="0" w:space="0" w:color="auto"/>
            <w:right w:val="none" w:sz="0" w:space="0" w:color="auto"/>
          </w:divBdr>
        </w:div>
      </w:divsChild>
    </w:div>
    <w:div w:id="352610877">
      <w:marLeft w:val="0"/>
      <w:marRight w:val="0"/>
      <w:marTop w:val="240"/>
      <w:marBottom w:val="0"/>
      <w:divBdr>
        <w:top w:val="none" w:sz="0" w:space="0" w:color="auto"/>
        <w:left w:val="none" w:sz="0" w:space="0" w:color="auto"/>
        <w:bottom w:val="none" w:sz="0" w:space="0" w:color="auto"/>
        <w:right w:val="none" w:sz="0" w:space="0" w:color="auto"/>
      </w:divBdr>
    </w:div>
    <w:div w:id="352878060">
      <w:marLeft w:val="0"/>
      <w:marRight w:val="0"/>
      <w:marTop w:val="240"/>
      <w:marBottom w:val="240"/>
      <w:divBdr>
        <w:top w:val="none" w:sz="0" w:space="0" w:color="auto"/>
        <w:left w:val="none" w:sz="0" w:space="0" w:color="auto"/>
        <w:bottom w:val="none" w:sz="0" w:space="0" w:color="auto"/>
        <w:right w:val="none" w:sz="0" w:space="0" w:color="auto"/>
      </w:divBdr>
    </w:div>
    <w:div w:id="353114984">
      <w:marLeft w:val="0"/>
      <w:marRight w:val="0"/>
      <w:marTop w:val="0"/>
      <w:marBottom w:val="0"/>
      <w:divBdr>
        <w:top w:val="none" w:sz="0" w:space="0" w:color="auto"/>
        <w:left w:val="none" w:sz="0" w:space="0" w:color="auto"/>
        <w:bottom w:val="none" w:sz="0" w:space="0" w:color="auto"/>
        <w:right w:val="none" w:sz="0" w:space="0" w:color="auto"/>
      </w:divBdr>
      <w:divsChild>
        <w:div w:id="2034265987">
          <w:marLeft w:val="0"/>
          <w:marRight w:val="0"/>
          <w:marTop w:val="120"/>
          <w:marBottom w:val="0"/>
          <w:divBdr>
            <w:top w:val="none" w:sz="0" w:space="0" w:color="auto"/>
            <w:left w:val="none" w:sz="0" w:space="0" w:color="auto"/>
            <w:bottom w:val="none" w:sz="0" w:space="0" w:color="auto"/>
            <w:right w:val="none" w:sz="0" w:space="0" w:color="auto"/>
          </w:divBdr>
        </w:div>
      </w:divsChild>
    </w:div>
    <w:div w:id="353195747">
      <w:marLeft w:val="0"/>
      <w:marRight w:val="0"/>
      <w:marTop w:val="240"/>
      <w:marBottom w:val="0"/>
      <w:divBdr>
        <w:top w:val="none" w:sz="0" w:space="0" w:color="auto"/>
        <w:left w:val="none" w:sz="0" w:space="0" w:color="auto"/>
        <w:bottom w:val="none" w:sz="0" w:space="0" w:color="auto"/>
        <w:right w:val="none" w:sz="0" w:space="0" w:color="auto"/>
      </w:divBdr>
    </w:div>
    <w:div w:id="354186509">
      <w:marLeft w:val="0"/>
      <w:marRight w:val="0"/>
      <w:marTop w:val="240"/>
      <w:marBottom w:val="0"/>
      <w:divBdr>
        <w:top w:val="none" w:sz="0" w:space="0" w:color="auto"/>
        <w:left w:val="none" w:sz="0" w:space="0" w:color="auto"/>
        <w:bottom w:val="none" w:sz="0" w:space="0" w:color="auto"/>
        <w:right w:val="none" w:sz="0" w:space="0" w:color="auto"/>
      </w:divBdr>
    </w:div>
    <w:div w:id="355236782">
      <w:marLeft w:val="0"/>
      <w:marRight w:val="0"/>
      <w:marTop w:val="240"/>
      <w:marBottom w:val="0"/>
      <w:divBdr>
        <w:top w:val="none" w:sz="0" w:space="0" w:color="auto"/>
        <w:left w:val="none" w:sz="0" w:space="0" w:color="auto"/>
        <w:bottom w:val="none" w:sz="0" w:space="0" w:color="auto"/>
        <w:right w:val="none" w:sz="0" w:space="0" w:color="auto"/>
      </w:divBdr>
    </w:div>
    <w:div w:id="356666049">
      <w:marLeft w:val="0"/>
      <w:marRight w:val="0"/>
      <w:marTop w:val="240"/>
      <w:marBottom w:val="0"/>
      <w:divBdr>
        <w:top w:val="none" w:sz="0" w:space="0" w:color="auto"/>
        <w:left w:val="none" w:sz="0" w:space="0" w:color="auto"/>
        <w:bottom w:val="none" w:sz="0" w:space="0" w:color="auto"/>
        <w:right w:val="none" w:sz="0" w:space="0" w:color="auto"/>
      </w:divBdr>
    </w:div>
    <w:div w:id="357203414">
      <w:marLeft w:val="0"/>
      <w:marRight w:val="0"/>
      <w:marTop w:val="0"/>
      <w:marBottom w:val="0"/>
      <w:divBdr>
        <w:top w:val="none" w:sz="0" w:space="0" w:color="auto"/>
        <w:left w:val="none" w:sz="0" w:space="0" w:color="auto"/>
        <w:bottom w:val="none" w:sz="0" w:space="0" w:color="auto"/>
        <w:right w:val="none" w:sz="0" w:space="0" w:color="auto"/>
      </w:divBdr>
      <w:divsChild>
        <w:div w:id="1698966258">
          <w:marLeft w:val="0"/>
          <w:marRight w:val="0"/>
          <w:marTop w:val="0"/>
          <w:marBottom w:val="0"/>
          <w:divBdr>
            <w:top w:val="none" w:sz="0" w:space="0" w:color="auto"/>
            <w:left w:val="none" w:sz="0" w:space="0" w:color="auto"/>
            <w:bottom w:val="none" w:sz="0" w:space="0" w:color="auto"/>
            <w:right w:val="none" w:sz="0" w:space="0" w:color="auto"/>
          </w:divBdr>
        </w:div>
      </w:divsChild>
    </w:div>
    <w:div w:id="358316874">
      <w:marLeft w:val="0"/>
      <w:marRight w:val="0"/>
      <w:marTop w:val="0"/>
      <w:marBottom w:val="0"/>
      <w:divBdr>
        <w:top w:val="none" w:sz="0" w:space="0" w:color="auto"/>
        <w:left w:val="none" w:sz="0" w:space="0" w:color="auto"/>
        <w:bottom w:val="none" w:sz="0" w:space="0" w:color="auto"/>
        <w:right w:val="none" w:sz="0" w:space="0" w:color="auto"/>
      </w:divBdr>
      <w:divsChild>
        <w:div w:id="1726293802">
          <w:marLeft w:val="0"/>
          <w:marRight w:val="0"/>
          <w:marTop w:val="0"/>
          <w:marBottom w:val="0"/>
          <w:divBdr>
            <w:top w:val="none" w:sz="0" w:space="0" w:color="auto"/>
            <w:left w:val="none" w:sz="0" w:space="0" w:color="auto"/>
            <w:bottom w:val="none" w:sz="0" w:space="0" w:color="auto"/>
            <w:right w:val="none" w:sz="0" w:space="0" w:color="auto"/>
          </w:divBdr>
        </w:div>
      </w:divsChild>
    </w:div>
    <w:div w:id="358358506">
      <w:marLeft w:val="0"/>
      <w:marRight w:val="0"/>
      <w:marTop w:val="0"/>
      <w:marBottom w:val="0"/>
      <w:divBdr>
        <w:top w:val="none" w:sz="0" w:space="0" w:color="auto"/>
        <w:left w:val="none" w:sz="0" w:space="0" w:color="auto"/>
        <w:bottom w:val="none" w:sz="0" w:space="0" w:color="auto"/>
        <w:right w:val="none" w:sz="0" w:space="0" w:color="auto"/>
      </w:divBdr>
    </w:div>
    <w:div w:id="358359798">
      <w:marLeft w:val="0"/>
      <w:marRight w:val="0"/>
      <w:marTop w:val="0"/>
      <w:marBottom w:val="0"/>
      <w:divBdr>
        <w:top w:val="none" w:sz="0" w:space="0" w:color="auto"/>
        <w:left w:val="none" w:sz="0" w:space="0" w:color="auto"/>
        <w:bottom w:val="none" w:sz="0" w:space="0" w:color="auto"/>
        <w:right w:val="none" w:sz="0" w:space="0" w:color="auto"/>
      </w:divBdr>
    </w:div>
    <w:div w:id="359206303">
      <w:marLeft w:val="0"/>
      <w:marRight w:val="0"/>
      <w:marTop w:val="240"/>
      <w:marBottom w:val="240"/>
      <w:divBdr>
        <w:top w:val="none" w:sz="0" w:space="0" w:color="auto"/>
        <w:left w:val="none" w:sz="0" w:space="0" w:color="auto"/>
        <w:bottom w:val="none" w:sz="0" w:space="0" w:color="auto"/>
        <w:right w:val="none" w:sz="0" w:space="0" w:color="auto"/>
      </w:divBdr>
    </w:div>
    <w:div w:id="360858767">
      <w:marLeft w:val="0"/>
      <w:marRight w:val="0"/>
      <w:marTop w:val="180"/>
      <w:marBottom w:val="0"/>
      <w:divBdr>
        <w:top w:val="none" w:sz="0" w:space="0" w:color="auto"/>
        <w:left w:val="none" w:sz="0" w:space="0" w:color="auto"/>
        <w:bottom w:val="none" w:sz="0" w:space="0" w:color="auto"/>
        <w:right w:val="none" w:sz="0" w:space="0" w:color="auto"/>
      </w:divBdr>
    </w:div>
    <w:div w:id="362368738">
      <w:marLeft w:val="0"/>
      <w:marRight w:val="0"/>
      <w:marTop w:val="240"/>
      <w:marBottom w:val="0"/>
      <w:divBdr>
        <w:top w:val="none" w:sz="0" w:space="0" w:color="auto"/>
        <w:left w:val="none" w:sz="0" w:space="0" w:color="auto"/>
        <w:bottom w:val="none" w:sz="0" w:space="0" w:color="auto"/>
        <w:right w:val="none" w:sz="0" w:space="0" w:color="auto"/>
      </w:divBdr>
    </w:div>
    <w:div w:id="362512157">
      <w:marLeft w:val="0"/>
      <w:marRight w:val="0"/>
      <w:marTop w:val="0"/>
      <w:marBottom w:val="60"/>
      <w:divBdr>
        <w:top w:val="none" w:sz="0" w:space="0" w:color="auto"/>
        <w:left w:val="none" w:sz="0" w:space="0" w:color="auto"/>
        <w:bottom w:val="none" w:sz="0" w:space="0" w:color="auto"/>
        <w:right w:val="none" w:sz="0" w:space="0" w:color="auto"/>
      </w:divBdr>
    </w:div>
    <w:div w:id="364257313">
      <w:marLeft w:val="0"/>
      <w:marRight w:val="0"/>
      <w:marTop w:val="0"/>
      <w:marBottom w:val="120"/>
      <w:divBdr>
        <w:top w:val="none" w:sz="0" w:space="0" w:color="auto"/>
        <w:left w:val="none" w:sz="0" w:space="0" w:color="auto"/>
        <w:bottom w:val="none" w:sz="0" w:space="0" w:color="auto"/>
        <w:right w:val="none" w:sz="0" w:space="0" w:color="auto"/>
      </w:divBdr>
    </w:div>
    <w:div w:id="364332771">
      <w:marLeft w:val="0"/>
      <w:marRight w:val="0"/>
      <w:marTop w:val="240"/>
      <w:marBottom w:val="0"/>
      <w:divBdr>
        <w:top w:val="none" w:sz="0" w:space="0" w:color="auto"/>
        <w:left w:val="none" w:sz="0" w:space="0" w:color="auto"/>
        <w:bottom w:val="none" w:sz="0" w:space="0" w:color="auto"/>
        <w:right w:val="none" w:sz="0" w:space="0" w:color="auto"/>
      </w:divBdr>
    </w:div>
    <w:div w:id="371734822">
      <w:marLeft w:val="0"/>
      <w:marRight w:val="0"/>
      <w:marTop w:val="180"/>
      <w:marBottom w:val="0"/>
      <w:divBdr>
        <w:top w:val="none" w:sz="0" w:space="0" w:color="auto"/>
        <w:left w:val="none" w:sz="0" w:space="0" w:color="auto"/>
        <w:bottom w:val="none" w:sz="0" w:space="0" w:color="auto"/>
        <w:right w:val="none" w:sz="0" w:space="0" w:color="auto"/>
      </w:divBdr>
    </w:div>
    <w:div w:id="372196727">
      <w:marLeft w:val="0"/>
      <w:marRight w:val="0"/>
      <w:marTop w:val="240"/>
      <w:marBottom w:val="0"/>
      <w:divBdr>
        <w:top w:val="none" w:sz="0" w:space="0" w:color="auto"/>
        <w:left w:val="none" w:sz="0" w:space="0" w:color="auto"/>
        <w:bottom w:val="none" w:sz="0" w:space="0" w:color="auto"/>
        <w:right w:val="none" w:sz="0" w:space="0" w:color="auto"/>
      </w:divBdr>
    </w:div>
    <w:div w:id="372272783">
      <w:marLeft w:val="0"/>
      <w:marRight w:val="0"/>
      <w:marTop w:val="0"/>
      <w:marBottom w:val="0"/>
      <w:divBdr>
        <w:top w:val="none" w:sz="0" w:space="0" w:color="auto"/>
        <w:left w:val="none" w:sz="0" w:space="0" w:color="auto"/>
        <w:bottom w:val="none" w:sz="0" w:space="0" w:color="auto"/>
        <w:right w:val="none" w:sz="0" w:space="0" w:color="auto"/>
      </w:divBdr>
      <w:divsChild>
        <w:div w:id="87773617">
          <w:marLeft w:val="0"/>
          <w:marRight w:val="0"/>
          <w:marTop w:val="0"/>
          <w:marBottom w:val="0"/>
          <w:divBdr>
            <w:top w:val="none" w:sz="0" w:space="0" w:color="auto"/>
            <w:left w:val="none" w:sz="0" w:space="0" w:color="auto"/>
            <w:bottom w:val="none" w:sz="0" w:space="0" w:color="auto"/>
            <w:right w:val="none" w:sz="0" w:space="0" w:color="auto"/>
          </w:divBdr>
        </w:div>
      </w:divsChild>
    </w:div>
    <w:div w:id="372969558">
      <w:marLeft w:val="0"/>
      <w:marRight w:val="0"/>
      <w:marTop w:val="140"/>
      <w:marBottom w:val="0"/>
      <w:divBdr>
        <w:top w:val="none" w:sz="0" w:space="0" w:color="auto"/>
        <w:left w:val="none" w:sz="0" w:space="0" w:color="auto"/>
        <w:bottom w:val="none" w:sz="0" w:space="0" w:color="auto"/>
        <w:right w:val="none" w:sz="0" w:space="0" w:color="auto"/>
      </w:divBdr>
    </w:div>
    <w:div w:id="373386022">
      <w:marLeft w:val="0"/>
      <w:marRight w:val="0"/>
      <w:marTop w:val="0"/>
      <w:marBottom w:val="0"/>
      <w:divBdr>
        <w:top w:val="none" w:sz="0" w:space="0" w:color="auto"/>
        <w:left w:val="none" w:sz="0" w:space="0" w:color="auto"/>
        <w:bottom w:val="none" w:sz="0" w:space="0" w:color="auto"/>
        <w:right w:val="none" w:sz="0" w:space="0" w:color="auto"/>
      </w:divBdr>
    </w:div>
    <w:div w:id="374351395">
      <w:marLeft w:val="0"/>
      <w:marRight w:val="0"/>
      <w:marTop w:val="240"/>
      <w:marBottom w:val="0"/>
      <w:divBdr>
        <w:top w:val="none" w:sz="0" w:space="0" w:color="auto"/>
        <w:left w:val="none" w:sz="0" w:space="0" w:color="auto"/>
        <w:bottom w:val="none" w:sz="0" w:space="0" w:color="auto"/>
        <w:right w:val="none" w:sz="0" w:space="0" w:color="auto"/>
      </w:divBdr>
    </w:div>
    <w:div w:id="374745154">
      <w:marLeft w:val="0"/>
      <w:marRight w:val="0"/>
      <w:marTop w:val="240"/>
      <w:marBottom w:val="0"/>
      <w:divBdr>
        <w:top w:val="none" w:sz="0" w:space="0" w:color="auto"/>
        <w:left w:val="none" w:sz="0" w:space="0" w:color="auto"/>
        <w:bottom w:val="none" w:sz="0" w:space="0" w:color="auto"/>
        <w:right w:val="none" w:sz="0" w:space="0" w:color="auto"/>
      </w:divBdr>
    </w:div>
    <w:div w:id="375160084">
      <w:marLeft w:val="0"/>
      <w:marRight w:val="0"/>
      <w:marTop w:val="240"/>
      <w:marBottom w:val="0"/>
      <w:divBdr>
        <w:top w:val="none" w:sz="0" w:space="0" w:color="auto"/>
        <w:left w:val="none" w:sz="0" w:space="0" w:color="auto"/>
        <w:bottom w:val="none" w:sz="0" w:space="0" w:color="auto"/>
        <w:right w:val="none" w:sz="0" w:space="0" w:color="auto"/>
      </w:divBdr>
    </w:div>
    <w:div w:id="376011954">
      <w:marLeft w:val="0"/>
      <w:marRight w:val="0"/>
      <w:marTop w:val="240"/>
      <w:marBottom w:val="0"/>
      <w:divBdr>
        <w:top w:val="none" w:sz="0" w:space="0" w:color="auto"/>
        <w:left w:val="none" w:sz="0" w:space="0" w:color="auto"/>
        <w:bottom w:val="none" w:sz="0" w:space="0" w:color="auto"/>
        <w:right w:val="none" w:sz="0" w:space="0" w:color="auto"/>
      </w:divBdr>
    </w:div>
    <w:div w:id="376201050">
      <w:marLeft w:val="0"/>
      <w:marRight w:val="0"/>
      <w:marTop w:val="60"/>
      <w:marBottom w:val="0"/>
      <w:divBdr>
        <w:top w:val="none" w:sz="0" w:space="0" w:color="auto"/>
        <w:left w:val="none" w:sz="0" w:space="0" w:color="auto"/>
        <w:bottom w:val="none" w:sz="0" w:space="0" w:color="auto"/>
        <w:right w:val="none" w:sz="0" w:space="0" w:color="auto"/>
      </w:divBdr>
    </w:div>
    <w:div w:id="376975130">
      <w:marLeft w:val="0"/>
      <w:marRight w:val="0"/>
      <w:marTop w:val="240"/>
      <w:marBottom w:val="0"/>
      <w:divBdr>
        <w:top w:val="none" w:sz="0" w:space="0" w:color="auto"/>
        <w:left w:val="none" w:sz="0" w:space="0" w:color="auto"/>
        <w:bottom w:val="none" w:sz="0" w:space="0" w:color="auto"/>
        <w:right w:val="none" w:sz="0" w:space="0" w:color="auto"/>
      </w:divBdr>
    </w:div>
    <w:div w:id="377781795">
      <w:marLeft w:val="0"/>
      <w:marRight w:val="0"/>
      <w:marTop w:val="60"/>
      <w:marBottom w:val="0"/>
      <w:divBdr>
        <w:top w:val="none" w:sz="0" w:space="0" w:color="auto"/>
        <w:left w:val="none" w:sz="0" w:space="0" w:color="auto"/>
        <w:bottom w:val="none" w:sz="0" w:space="0" w:color="auto"/>
        <w:right w:val="none" w:sz="0" w:space="0" w:color="auto"/>
      </w:divBdr>
    </w:div>
    <w:div w:id="378751715">
      <w:marLeft w:val="0"/>
      <w:marRight w:val="0"/>
      <w:marTop w:val="300"/>
      <w:marBottom w:val="240"/>
      <w:divBdr>
        <w:top w:val="none" w:sz="0" w:space="0" w:color="auto"/>
        <w:left w:val="none" w:sz="0" w:space="0" w:color="auto"/>
        <w:bottom w:val="none" w:sz="0" w:space="0" w:color="auto"/>
        <w:right w:val="none" w:sz="0" w:space="0" w:color="auto"/>
      </w:divBdr>
    </w:div>
    <w:div w:id="379522593">
      <w:marLeft w:val="0"/>
      <w:marRight w:val="0"/>
      <w:marTop w:val="240"/>
      <w:marBottom w:val="240"/>
      <w:divBdr>
        <w:top w:val="none" w:sz="0" w:space="0" w:color="auto"/>
        <w:left w:val="none" w:sz="0" w:space="0" w:color="auto"/>
        <w:bottom w:val="none" w:sz="0" w:space="0" w:color="auto"/>
        <w:right w:val="none" w:sz="0" w:space="0" w:color="auto"/>
      </w:divBdr>
    </w:div>
    <w:div w:id="379598203">
      <w:marLeft w:val="0"/>
      <w:marRight w:val="0"/>
      <w:marTop w:val="240"/>
      <w:marBottom w:val="0"/>
      <w:divBdr>
        <w:top w:val="none" w:sz="0" w:space="0" w:color="auto"/>
        <w:left w:val="none" w:sz="0" w:space="0" w:color="auto"/>
        <w:bottom w:val="none" w:sz="0" w:space="0" w:color="auto"/>
        <w:right w:val="none" w:sz="0" w:space="0" w:color="auto"/>
      </w:divBdr>
    </w:div>
    <w:div w:id="380591520">
      <w:marLeft w:val="0"/>
      <w:marRight w:val="0"/>
      <w:marTop w:val="240"/>
      <w:marBottom w:val="0"/>
      <w:divBdr>
        <w:top w:val="none" w:sz="0" w:space="0" w:color="auto"/>
        <w:left w:val="none" w:sz="0" w:space="0" w:color="auto"/>
        <w:bottom w:val="none" w:sz="0" w:space="0" w:color="auto"/>
        <w:right w:val="none" w:sz="0" w:space="0" w:color="auto"/>
      </w:divBdr>
    </w:div>
    <w:div w:id="381753126">
      <w:marLeft w:val="0"/>
      <w:marRight w:val="0"/>
      <w:marTop w:val="180"/>
      <w:marBottom w:val="0"/>
      <w:divBdr>
        <w:top w:val="none" w:sz="0" w:space="0" w:color="auto"/>
        <w:left w:val="none" w:sz="0" w:space="0" w:color="auto"/>
        <w:bottom w:val="none" w:sz="0" w:space="0" w:color="auto"/>
        <w:right w:val="none" w:sz="0" w:space="0" w:color="auto"/>
      </w:divBdr>
    </w:div>
    <w:div w:id="384303374">
      <w:marLeft w:val="0"/>
      <w:marRight w:val="0"/>
      <w:marTop w:val="240"/>
      <w:marBottom w:val="0"/>
      <w:divBdr>
        <w:top w:val="none" w:sz="0" w:space="0" w:color="auto"/>
        <w:left w:val="none" w:sz="0" w:space="0" w:color="auto"/>
        <w:bottom w:val="none" w:sz="0" w:space="0" w:color="auto"/>
        <w:right w:val="none" w:sz="0" w:space="0" w:color="auto"/>
      </w:divBdr>
    </w:div>
    <w:div w:id="385954538">
      <w:marLeft w:val="0"/>
      <w:marRight w:val="0"/>
      <w:marTop w:val="120"/>
      <w:marBottom w:val="0"/>
      <w:divBdr>
        <w:top w:val="none" w:sz="0" w:space="0" w:color="auto"/>
        <w:left w:val="none" w:sz="0" w:space="0" w:color="auto"/>
        <w:bottom w:val="none" w:sz="0" w:space="0" w:color="auto"/>
        <w:right w:val="none" w:sz="0" w:space="0" w:color="auto"/>
      </w:divBdr>
    </w:div>
    <w:div w:id="386149264">
      <w:marLeft w:val="0"/>
      <w:marRight w:val="0"/>
      <w:marTop w:val="240"/>
      <w:marBottom w:val="0"/>
      <w:divBdr>
        <w:top w:val="none" w:sz="0" w:space="0" w:color="auto"/>
        <w:left w:val="none" w:sz="0" w:space="0" w:color="auto"/>
        <w:bottom w:val="none" w:sz="0" w:space="0" w:color="auto"/>
        <w:right w:val="none" w:sz="0" w:space="0" w:color="auto"/>
      </w:divBdr>
    </w:div>
    <w:div w:id="386531998">
      <w:marLeft w:val="0"/>
      <w:marRight w:val="0"/>
      <w:marTop w:val="240"/>
      <w:marBottom w:val="0"/>
      <w:divBdr>
        <w:top w:val="none" w:sz="0" w:space="0" w:color="auto"/>
        <w:left w:val="none" w:sz="0" w:space="0" w:color="auto"/>
        <w:bottom w:val="none" w:sz="0" w:space="0" w:color="auto"/>
        <w:right w:val="none" w:sz="0" w:space="0" w:color="auto"/>
      </w:divBdr>
    </w:div>
    <w:div w:id="387537310">
      <w:marLeft w:val="0"/>
      <w:marRight w:val="0"/>
      <w:marTop w:val="240"/>
      <w:marBottom w:val="0"/>
      <w:divBdr>
        <w:top w:val="none" w:sz="0" w:space="0" w:color="auto"/>
        <w:left w:val="none" w:sz="0" w:space="0" w:color="auto"/>
        <w:bottom w:val="none" w:sz="0" w:space="0" w:color="auto"/>
        <w:right w:val="none" w:sz="0" w:space="0" w:color="auto"/>
      </w:divBdr>
    </w:div>
    <w:div w:id="387538834">
      <w:marLeft w:val="0"/>
      <w:marRight w:val="0"/>
      <w:marTop w:val="140"/>
      <w:marBottom w:val="0"/>
      <w:divBdr>
        <w:top w:val="none" w:sz="0" w:space="0" w:color="auto"/>
        <w:left w:val="none" w:sz="0" w:space="0" w:color="auto"/>
        <w:bottom w:val="none" w:sz="0" w:space="0" w:color="auto"/>
        <w:right w:val="none" w:sz="0" w:space="0" w:color="auto"/>
      </w:divBdr>
    </w:div>
    <w:div w:id="389111857">
      <w:marLeft w:val="0"/>
      <w:marRight w:val="0"/>
      <w:marTop w:val="240"/>
      <w:marBottom w:val="0"/>
      <w:divBdr>
        <w:top w:val="none" w:sz="0" w:space="0" w:color="auto"/>
        <w:left w:val="none" w:sz="0" w:space="0" w:color="auto"/>
        <w:bottom w:val="none" w:sz="0" w:space="0" w:color="auto"/>
        <w:right w:val="none" w:sz="0" w:space="0" w:color="auto"/>
      </w:divBdr>
    </w:div>
    <w:div w:id="389890730">
      <w:marLeft w:val="0"/>
      <w:marRight w:val="0"/>
      <w:marTop w:val="180"/>
      <w:marBottom w:val="0"/>
      <w:divBdr>
        <w:top w:val="none" w:sz="0" w:space="0" w:color="auto"/>
        <w:left w:val="none" w:sz="0" w:space="0" w:color="auto"/>
        <w:bottom w:val="none" w:sz="0" w:space="0" w:color="auto"/>
        <w:right w:val="none" w:sz="0" w:space="0" w:color="auto"/>
      </w:divBdr>
    </w:div>
    <w:div w:id="391192810">
      <w:marLeft w:val="0"/>
      <w:marRight w:val="0"/>
      <w:marTop w:val="240"/>
      <w:marBottom w:val="0"/>
      <w:divBdr>
        <w:top w:val="none" w:sz="0" w:space="0" w:color="auto"/>
        <w:left w:val="none" w:sz="0" w:space="0" w:color="auto"/>
        <w:bottom w:val="none" w:sz="0" w:space="0" w:color="auto"/>
        <w:right w:val="none" w:sz="0" w:space="0" w:color="auto"/>
      </w:divBdr>
    </w:div>
    <w:div w:id="391848826">
      <w:marLeft w:val="0"/>
      <w:marRight w:val="0"/>
      <w:marTop w:val="240"/>
      <w:marBottom w:val="0"/>
      <w:divBdr>
        <w:top w:val="none" w:sz="0" w:space="0" w:color="auto"/>
        <w:left w:val="none" w:sz="0" w:space="0" w:color="auto"/>
        <w:bottom w:val="none" w:sz="0" w:space="0" w:color="auto"/>
        <w:right w:val="none" w:sz="0" w:space="0" w:color="auto"/>
      </w:divBdr>
    </w:div>
    <w:div w:id="393285501">
      <w:marLeft w:val="0"/>
      <w:marRight w:val="0"/>
      <w:marTop w:val="300"/>
      <w:marBottom w:val="0"/>
      <w:divBdr>
        <w:top w:val="none" w:sz="0" w:space="0" w:color="auto"/>
        <w:left w:val="none" w:sz="0" w:space="0" w:color="auto"/>
        <w:bottom w:val="none" w:sz="0" w:space="0" w:color="auto"/>
        <w:right w:val="none" w:sz="0" w:space="0" w:color="auto"/>
      </w:divBdr>
    </w:div>
    <w:div w:id="394472746">
      <w:marLeft w:val="0"/>
      <w:marRight w:val="0"/>
      <w:marTop w:val="240"/>
      <w:marBottom w:val="0"/>
      <w:divBdr>
        <w:top w:val="none" w:sz="0" w:space="0" w:color="auto"/>
        <w:left w:val="none" w:sz="0" w:space="0" w:color="auto"/>
        <w:bottom w:val="none" w:sz="0" w:space="0" w:color="auto"/>
        <w:right w:val="none" w:sz="0" w:space="0" w:color="auto"/>
      </w:divBdr>
    </w:div>
    <w:div w:id="395394903">
      <w:marLeft w:val="0"/>
      <w:marRight w:val="0"/>
      <w:marTop w:val="240"/>
      <w:marBottom w:val="0"/>
      <w:divBdr>
        <w:top w:val="none" w:sz="0" w:space="0" w:color="auto"/>
        <w:left w:val="none" w:sz="0" w:space="0" w:color="auto"/>
        <w:bottom w:val="none" w:sz="0" w:space="0" w:color="auto"/>
        <w:right w:val="none" w:sz="0" w:space="0" w:color="auto"/>
      </w:divBdr>
    </w:div>
    <w:div w:id="395973779">
      <w:marLeft w:val="0"/>
      <w:marRight w:val="0"/>
      <w:marTop w:val="240"/>
      <w:marBottom w:val="0"/>
      <w:divBdr>
        <w:top w:val="none" w:sz="0" w:space="0" w:color="auto"/>
        <w:left w:val="none" w:sz="0" w:space="0" w:color="auto"/>
        <w:bottom w:val="none" w:sz="0" w:space="0" w:color="auto"/>
        <w:right w:val="none" w:sz="0" w:space="0" w:color="auto"/>
      </w:divBdr>
    </w:div>
    <w:div w:id="396168979">
      <w:marLeft w:val="0"/>
      <w:marRight w:val="0"/>
      <w:marTop w:val="0"/>
      <w:marBottom w:val="0"/>
      <w:divBdr>
        <w:top w:val="none" w:sz="0" w:space="0" w:color="auto"/>
        <w:left w:val="none" w:sz="0" w:space="0" w:color="auto"/>
        <w:bottom w:val="none" w:sz="0" w:space="0" w:color="auto"/>
        <w:right w:val="none" w:sz="0" w:space="0" w:color="auto"/>
      </w:divBdr>
      <w:divsChild>
        <w:div w:id="127477266">
          <w:marLeft w:val="0"/>
          <w:marRight w:val="0"/>
          <w:marTop w:val="0"/>
          <w:marBottom w:val="0"/>
          <w:divBdr>
            <w:top w:val="none" w:sz="0" w:space="0" w:color="auto"/>
            <w:left w:val="none" w:sz="0" w:space="0" w:color="auto"/>
            <w:bottom w:val="none" w:sz="0" w:space="0" w:color="auto"/>
            <w:right w:val="none" w:sz="0" w:space="0" w:color="auto"/>
          </w:divBdr>
        </w:div>
      </w:divsChild>
    </w:div>
    <w:div w:id="396636036">
      <w:marLeft w:val="0"/>
      <w:marRight w:val="0"/>
      <w:marTop w:val="240"/>
      <w:marBottom w:val="0"/>
      <w:divBdr>
        <w:top w:val="none" w:sz="0" w:space="0" w:color="auto"/>
        <w:left w:val="none" w:sz="0" w:space="0" w:color="auto"/>
        <w:bottom w:val="none" w:sz="0" w:space="0" w:color="auto"/>
        <w:right w:val="none" w:sz="0" w:space="0" w:color="auto"/>
      </w:divBdr>
    </w:div>
    <w:div w:id="398671647">
      <w:marLeft w:val="0"/>
      <w:marRight w:val="0"/>
      <w:marTop w:val="220"/>
      <w:marBottom w:val="0"/>
      <w:divBdr>
        <w:top w:val="none" w:sz="0" w:space="0" w:color="auto"/>
        <w:left w:val="none" w:sz="0" w:space="0" w:color="auto"/>
        <w:bottom w:val="none" w:sz="0" w:space="0" w:color="auto"/>
        <w:right w:val="none" w:sz="0" w:space="0" w:color="auto"/>
      </w:divBdr>
    </w:div>
    <w:div w:id="400712159">
      <w:marLeft w:val="0"/>
      <w:marRight w:val="0"/>
      <w:marTop w:val="240"/>
      <w:marBottom w:val="0"/>
      <w:divBdr>
        <w:top w:val="none" w:sz="0" w:space="0" w:color="auto"/>
        <w:left w:val="none" w:sz="0" w:space="0" w:color="auto"/>
        <w:bottom w:val="none" w:sz="0" w:space="0" w:color="auto"/>
        <w:right w:val="none" w:sz="0" w:space="0" w:color="auto"/>
      </w:divBdr>
    </w:div>
    <w:div w:id="401106647">
      <w:marLeft w:val="0"/>
      <w:marRight w:val="0"/>
      <w:marTop w:val="0"/>
      <w:marBottom w:val="0"/>
      <w:divBdr>
        <w:top w:val="none" w:sz="0" w:space="0" w:color="auto"/>
        <w:left w:val="none" w:sz="0" w:space="0" w:color="auto"/>
        <w:bottom w:val="none" w:sz="0" w:space="0" w:color="auto"/>
        <w:right w:val="none" w:sz="0" w:space="0" w:color="auto"/>
      </w:divBdr>
      <w:divsChild>
        <w:div w:id="1595943412">
          <w:marLeft w:val="0"/>
          <w:marRight w:val="0"/>
          <w:marTop w:val="0"/>
          <w:marBottom w:val="0"/>
          <w:divBdr>
            <w:top w:val="none" w:sz="0" w:space="0" w:color="auto"/>
            <w:left w:val="none" w:sz="0" w:space="0" w:color="auto"/>
            <w:bottom w:val="none" w:sz="0" w:space="0" w:color="auto"/>
            <w:right w:val="none" w:sz="0" w:space="0" w:color="auto"/>
          </w:divBdr>
          <w:divsChild>
            <w:div w:id="119441738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03067814">
      <w:marLeft w:val="0"/>
      <w:marRight w:val="0"/>
      <w:marTop w:val="0"/>
      <w:marBottom w:val="0"/>
      <w:divBdr>
        <w:top w:val="none" w:sz="0" w:space="0" w:color="auto"/>
        <w:left w:val="none" w:sz="0" w:space="0" w:color="auto"/>
        <w:bottom w:val="none" w:sz="0" w:space="0" w:color="auto"/>
        <w:right w:val="none" w:sz="0" w:space="0" w:color="auto"/>
      </w:divBdr>
      <w:divsChild>
        <w:div w:id="2092971466">
          <w:marLeft w:val="0"/>
          <w:marRight w:val="0"/>
          <w:marTop w:val="120"/>
          <w:marBottom w:val="0"/>
          <w:divBdr>
            <w:top w:val="none" w:sz="0" w:space="0" w:color="auto"/>
            <w:left w:val="none" w:sz="0" w:space="0" w:color="auto"/>
            <w:bottom w:val="none" w:sz="0" w:space="0" w:color="auto"/>
            <w:right w:val="none" w:sz="0" w:space="0" w:color="auto"/>
          </w:divBdr>
        </w:div>
      </w:divsChild>
    </w:div>
    <w:div w:id="408429907">
      <w:marLeft w:val="0"/>
      <w:marRight w:val="0"/>
      <w:marTop w:val="240"/>
      <w:marBottom w:val="0"/>
      <w:divBdr>
        <w:top w:val="none" w:sz="0" w:space="0" w:color="auto"/>
        <w:left w:val="none" w:sz="0" w:space="0" w:color="auto"/>
        <w:bottom w:val="none" w:sz="0" w:space="0" w:color="auto"/>
        <w:right w:val="none" w:sz="0" w:space="0" w:color="auto"/>
      </w:divBdr>
    </w:div>
    <w:div w:id="409040091">
      <w:marLeft w:val="0"/>
      <w:marRight w:val="0"/>
      <w:marTop w:val="240"/>
      <w:marBottom w:val="0"/>
      <w:divBdr>
        <w:top w:val="none" w:sz="0" w:space="0" w:color="auto"/>
        <w:left w:val="none" w:sz="0" w:space="0" w:color="auto"/>
        <w:bottom w:val="none" w:sz="0" w:space="0" w:color="auto"/>
        <w:right w:val="none" w:sz="0" w:space="0" w:color="auto"/>
      </w:divBdr>
    </w:div>
    <w:div w:id="410398514">
      <w:marLeft w:val="0"/>
      <w:marRight w:val="0"/>
      <w:marTop w:val="240"/>
      <w:marBottom w:val="0"/>
      <w:divBdr>
        <w:top w:val="none" w:sz="0" w:space="0" w:color="auto"/>
        <w:left w:val="none" w:sz="0" w:space="0" w:color="auto"/>
        <w:bottom w:val="none" w:sz="0" w:space="0" w:color="auto"/>
        <w:right w:val="none" w:sz="0" w:space="0" w:color="auto"/>
      </w:divBdr>
    </w:div>
    <w:div w:id="410780413">
      <w:marLeft w:val="0"/>
      <w:marRight w:val="0"/>
      <w:marTop w:val="0"/>
      <w:marBottom w:val="0"/>
      <w:divBdr>
        <w:top w:val="none" w:sz="0" w:space="0" w:color="auto"/>
        <w:left w:val="none" w:sz="0" w:space="0" w:color="auto"/>
        <w:bottom w:val="none" w:sz="0" w:space="0" w:color="auto"/>
        <w:right w:val="none" w:sz="0" w:space="0" w:color="auto"/>
      </w:divBdr>
    </w:div>
    <w:div w:id="411925732">
      <w:marLeft w:val="0"/>
      <w:marRight w:val="0"/>
      <w:marTop w:val="240"/>
      <w:marBottom w:val="0"/>
      <w:divBdr>
        <w:top w:val="none" w:sz="0" w:space="0" w:color="auto"/>
        <w:left w:val="none" w:sz="0" w:space="0" w:color="auto"/>
        <w:bottom w:val="none" w:sz="0" w:space="0" w:color="auto"/>
        <w:right w:val="none" w:sz="0" w:space="0" w:color="auto"/>
      </w:divBdr>
    </w:div>
    <w:div w:id="412435886">
      <w:marLeft w:val="0"/>
      <w:marRight w:val="0"/>
      <w:marTop w:val="0"/>
      <w:marBottom w:val="0"/>
      <w:divBdr>
        <w:top w:val="none" w:sz="0" w:space="0" w:color="auto"/>
        <w:left w:val="none" w:sz="0" w:space="0" w:color="auto"/>
        <w:bottom w:val="none" w:sz="0" w:space="0" w:color="auto"/>
        <w:right w:val="none" w:sz="0" w:space="0" w:color="auto"/>
      </w:divBdr>
    </w:div>
    <w:div w:id="417411731">
      <w:marLeft w:val="0"/>
      <w:marRight w:val="0"/>
      <w:marTop w:val="0"/>
      <w:marBottom w:val="0"/>
      <w:divBdr>
        <w:top w:val="none" w:sz="0" w:space="0" w:color="auto"/>
        <w:left w:val="none" w:sz="0" w:space="0" w:color="auto"/>
        <w:bottom w:val="none" w:sz="0" w:space="0" w:color="auto"/>
        <w:right w:val="none" w:sz="0" w:space="0" w:color="auto"/>
      </w:divBdr>
      <w:divsChild>
        <w:div w:id="756705932">
          <w:marLeft w:val="0"/>
          <w:marRight w:val="0"/>
          <w:marTop w:val="0"/>
          <w:marBottom w:val="0"/>
          <w:divBdr>
            <w:top w:val="none" w:sz="0" w:space="0" w:color="auto"/>
            <w:left w:val="none" w:sz="0" w:space="0" w:color="auto"/>
            <w:bottom w:val="none" w:sz="0" w:space="0" w:color="auto"/>
            <w:right w:val="none" w:sz="0" w:space="0" w:color="auto"/>
          </w:divBdr>
          <w:divsChild>
            <w:div w:id="2707122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17793914">
      <w:marLeft w:val="0"/>
      <w:marRight w:val="0"/>
      <w:marTop w:val="240"/>
      <w:marBottom w:val="0"/>
      <w:divBdr>
        <w:top w:val="none" w:sz="0" w:space="0" w:color="auto"/>
        <w:left w:val="none" w:sz="0" w:space="0" w:color="auto"/>
        <w:bottom w:val="none" w:sz="0" w:space="0" w:color="auto"/>
        <w:right w:val="none" w:sz="0" w:space="0" w:color="auto"/>
      </w:divBdr>
    </w:div>
    <w:div w:id="418913325">
      <w:marLeft w:val="0"/>
      <w:marRight w:val="0"/>
      <w:marTop w:val="240"/>
      <w:marBottom w:val="0"/>
      <w:divBdr>
        <w:top w:val="none" w:sz="0" w:space="0" w:color="auto"/>
        <w:left w:val="none" w:sz="0" w:space="0" w:color="auto"/>
        <w:bottom w:val="none" w:sz="0" w:space="0" w:color="auto"/>
        <w:right w:val="none" w:sz="0" w:space="0" w:color="auto"/>
      </w:divBdr>
    </w:div>
    <w:div w:id="424108047">
      <w:marLeft w:val="0"/>
      <w:marRight w:val="0"/>
      <w:marTop w:val="100"/>
      <w:marBottom w:val="0"/>
      <w:divBdr>
        <w:top w:val="none" w:sz="0" w:space="0" w:color="auto"/>
        <w:left w:val="none" w:sz="0" w:space="0" w:color="auto"/>
        <w:bottom w:val="none" w:sz="0" w:space="0" w:color="auto"/>
        <w:right w:val="none" w:sz="0" w:space="0" w:color="auto"/>
      </w:divBdr>
    </w:div>
    <w:div w:id="426081888">
      <w:marLeft w:val="0"/>
      <w:marRight w:val="0"/>
      <w:marTop w:val="240"/>
      <w:marBottom w:val="0"/>
      <w:divBdr>
        <w:top w:val="none" w:sz="0" w:space="0" w:color="auto"/>
        <w:left w:val="none" w:sz="0" w:space="0" w:color="auto"/>
        <w:bottom w:val="none" w:sz="0" w:space="0" w:color="auto"/>
        <w:right w:val="none" w:sz="0" w:space="0" w:color="auto"/>
      </w:divBdr>
    </w:div>
    <w:div w:id="427192702">
      <w:marLeft w:val="0"/>
      <w:marRight w:val="0"/>
      <w:marTop w:val="240"/>
      <w:marBottom w:val="0"/>
      <w:divBdr>
        <w:top w:val="none" w:sz="0" w:space="0" w:color="auto"/>
        <w:left w:val="none" w:sz="0" w:space="0" w:color="auto"/>
        <w:bottom w:val="none" w:sz="0" w:space="0" w:color="auto"/>
        <w:right w:val="none" w:sz="0" w:space="0" w:color="auto"/>
      </w:divBdr>
    </w:div>
    <w:div w:id="427890264">
      <w:marLeft w:val="0"/>
      <w:marRight w:val="0"/>
      <w:marTop w:val="300"/>
      <w:marBottom w:val="0"/>
      <w:divBdr>
        <w:top w:val="none" w:sz="0" w:space="0" w:color="auto"/>
        <w:left w:val="none" w:sz="0" w:space="0" w:color="auto"/>
        <w:bottom w:val="none" w:sz="0" w:space="0" w:color="auto"/>
        <w:right w:val="none" w:sz="0" w:space="0" w:color="auto"/>
      </w:divBdr>
    </w:div>
    <w:div w:id="429590779">
      <w:marLeft w:val="0"/>
      <w:marRight w:val="0"/>
      <w:marTop w:val="0"/>
      <w:marBottom w:val="0"/>
      <w:divBdr>
        <w:top w:val="none" w:sz="0" w:space="0" w:color="auto"/>
        <w:left w:val="none" w:sz="0" w:space="0" w:color="auto"/>
        <w:bottom w:val="none" w:sz="0" w:space="0" w:color="auto"/>
        <w:right w:val="none" w:sz="0" w:space="0" w:color="auto"/>
      </w:divBdr>
      <w:divsChild>
        <w:div w:id="865291570">
          <w:marLeft w:val="0"/>
          <w:marRight w:val="0"/>
          <w:marTop w:val="0"/>
          <w:marBottom w:val="0"/>
          <w:divBdr>
            <w:top w:val="none" w:sz="0" w:space="0" w:color="auto"/>
            <w:left w:val="none" w:sz="0" w:space="0" w:color="auto"/>
            <w:bottom w:val="none" w:sz="0" w:space="0" w:color="auto"/>
            <w:right w:val="none" w:sz="0" w:space="0" w:color="auto"/>
          </w:divBdr>
          <w:divsChild>
            <w:div w:id="169457482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29737009">
      <w:marLeft w:val="0"/>
      <w:marRight w:val="0"/>
      <w:marTop w:val="0"/>
      <w:marBottom w:val="0"/>
      <w:divBdr>
        <w:top w:val="none" w:sz="0" w:space="0" w:color="auto"/>
        <w:left w:val="none" w:sz="0" w:space="0" w:color="auto"/>
        <w:bottom w:val="none" w:sz="0" w:space="0" w:color="auto"/>
        <w:right w:val="none" w:sz="0" w:space="0" w:color="auto"/>
      </w:divBdr>
      <w:divsChild>
        <w:div w:id="1384401869">
          <w:marLeft w:val="0"/>
          <w:marRight w:val="0"/>
          <w:marTop w:val="0"/>
          <w:marBottom w:val="0"/>
          <w:divBdr>
            <w:top w:val="none" w:sz="0" w:space="0" w:color="auto"/>
            <w:left w:val="none" w:sz="0" w:space="0" w:color="auto"/>
            <w:bottom w:val="none" w:sz="0" w:space="0" w:color="auto"/>
            <w:right w:val="none" w:sz="0" w:space="0" w:color="auto"/>
          </w:divBdr>
        </w:div>
      </w:divsChild>
    </w:div>
    <w:div w:id="432164662">
      <w:marLeft w:val="0"/>
      <w:marRight w:val="0"/>
      <w:marTop w:val="0"/>
      <w:marBottom w:val="0"/>
      <w:divBdr>
        <w:top w:val="none" w:sz="0" w:space="0" w:color="auto"/>
        <w:left w:val="none" w:sz="0" w:space="0" w:color="auto"/>
        <w:bottom w:val="none" w:sz="0" w:space="0" w:color="auto"/>
        <w:right w:val="none" w:sz="0" w:space="0" w:color="auto"/>
      </w:divBdr>
      <w:divsChild>
        <w:div w:id="511844371">
          <w:marLeft w:val="0"/>
          <w:marRight w:val="0"/>
          <w:marTop w:val="120"/>
          <w:marBottom w:val="0"/>
          <w:divBdr>
            <w:top w:val="none" w:sz="0" w:space="0" w:color="auto"/>
            <w:left w:val="none" w:sz="0" w:space="0" w:color="auto"/>
            <w:bottom w:val="none" w:sz="0" w:space="0" w:color="auto"/>
            <w:right w:val="none" w:sz="0" w:space="0" w:color="auto"/>
          </w:divBdr>
        </w:div>
      </w:divsChild>
    </w:div>
    <w:div w:id="432357322">
      <w:marLeft w:val="0"/>
      <w:marRight w:val="0"/>
      <w:marTop w:val="240"/>
      <w:marBottom w:val="0"/>
      <w:divBdr>
        <w:top w:val="none" w:sz="0" w:space="0" w:color="auto"/>
        <w:left w:val="none" w:sz="0" w:space="0" w:color="auto"/>
        <w:bottom w:val="none" w:sz="0" w:space="0" w:color="auto"/>
        <w:right w:val="none" w:sz="0" w:space="0" w:color="auto"/>
      </w:divBdr>
    </w:div>
    <w:div w:id="434205446">
      <w:marLeft w:val="0"/>
      <w:marRight w:val="0"/>
      <w:marTop w:val="180"/>
      <w:marBottom w:val="0"/>
      <w:divBdr>
        <w:top w:val="none" w:sz="0" w:space="0" w:color="auto"/>
        <w:left w:val="none" w:sz="0" w:space="0" w:color="auto"/>
        <w:bottom w:val="none" w:sz="0" w:space="0" w:color="auto"/>
        <w:right w:val="none" w:sz="0" w:space="0" w:color="auto"/>
      </w:divBdr>
    </w:div>
    <w:div w:id="435751261">
      <w:marLeft w:val="0"/>
      <w:marRight w:val="0"/>
      <w:marTop w:val="0"/>
      <w:marBottom w:val="0"/>
      <w:divBdr>
        <w:top w:val="none" w:sz="0" w:space="0" w:color="auto"/>
        <w:left w:val="none" w:sz="0" w:space="0" w:color="auto"/>
        <w:bottom w:val="none" w:sz="0" w:space="0" w:color="auto"/>
        <w:right w:val="none" w:sz="0" w:space="0" w:color="auto"/>
      </w:divBdr>
      <w:divsChild>
        <w:div w:id="1340473638">
          <w:marLeft w:val="0"/>
          <w:marRight w:val="0"/>
          <w:marTop w:val="120"/>
          <w:marBottom w:val="0"/>
          <w:divBdr>
            <w:top w:val="none" w:sz="0" w:space="0" w:color="auto"/>
            <w:left w:val="none" w:sz="0" w:space="0" w:color="auto"/>
            <w:bottom w:val="none" w:sz="0" w:space="0" w:color="auto"/>
            <w:right w:val="none" w:sz="0" w:space="0" w:color="auto"/>
          </w:divBdr>
        </w:div>
      </w:divsChild>
    </w:div>
    <w:div w:id="437603632">
      <w:marLeft w:val="0"/>
      <w:marRight w:val="0"/>
      <w:marTop w:val="240"/>
      <w:marBottom w:val="0"/>
      <w:divBdr>
        <w:top w:val="none" w:sz="0" w:space="0" w:color="auto"/>
        <w:left w:val="none" w:sz="0" w:space="0" w:color="auto"/>
        <w:bottom w:val="none" w:sz="0" w:space="0" w:color="auto"/>
        <w:right w:val="none" w:sz="0" w:space="0" w:color="auto"/>
      </w:divBdr>
    </w:div>
    <w:div w:id="438452641">
      <w:marLeft w:val="0"/>
      <w:marRight w:val="0"/>
      <w:marTop w:val="180"/>
      <w:marBottom w:val="0"/>
      <w:divBdr>
        <w:top w:val="none" w:sz="0" w:space="0" w:color="auto"/>
        <w:left w:val="none" w:sz="0" w:space="0" w:color="auto"/>
        <w:bottom w:val="none" w:sz="0" w:space="0" w:color="auto"/>
        <w:right w:val="none" w:sz="0" w:space="0" w:color="auto"/>
      </w:divBdr>
    </w:div>
    <w:div w:id="438985068">
      <w:marLeft w:val="0"/>
      <w:marRight w:val="0"/>
      <w:marTop w:val="180"/>
      <w:marBottom w:val="120"/>
      <w:divBdr>
        <w:top w:val="none" w:sz="0" w:space="0" w:color="auto"/>
        <w:left w:val="none" w:sz="0" w:space="0" w:color="auto"/>
        <w:bottom w:val="none" w:sz="0" w:space="0" w:color="auto"/>
        <w:right w:val="none" w:sz="0" w:space="0" w:color="auto"/>
      </w:divBdr>
    </w:div>
    <w:div w:id="440078245">
      <w:marLeft w:val="0"/>
      <w:marRight w:val="0"/>
      <w:marTop w:val="240"/>
      <w:marBottom w:val="0"/>
      <w:divBdr>
        <w:top w:val="none" w:sz="0" w:space="0" w:color="auto"/>
        <w:left w:val="none" w:sz="0" w:space="0" w:color="auto"/>
        <w:bottom w:val="none" w:sz="0" w:space="0" w:color="auto"/>
        <w:right w:val="none" w:sz="0" w:space="0" w:color="auto"/>
      </w:divBdr>
    </w:div>
    <w:div w:id="440881675">
      <w:marLeft w:val="0"/>
      <w:marRight w:val="0"/>
      <w:marTop w:val="240"/>
      <w:marBottom w:val="0"/>
      <w:divBdr>
        <w:top w:val="none" w:sz="0" w:space="0" w:color="auto"/>
        <w:left w:val="none" w:sz="0" w:space="0" w:color="auto"/>
        <w:bottom w:val="none" w:sz="0" w:space="0" w:color="auto"/>
        <w:right w:val="none" w:sz="0" w:space="0" w:color="auto"/>
      </w:divBdr>
    </w:div>
    <w:div w:id="441001358">
      <w:marLeft w:val="0"/>
      <w:marRight w:val="0"/>
      <w:marTop w:val="0"/>
      <w:marBottom w:val="0"/>
      <w:divBdr>
        <w:top w:val="none" w:sz="0" w:space="0" w:color="auto"/>
        <w:left w:val="none" w:sz="0" w:space="0" w:color="auto"/>
        <w:bottom w:val="none" w:sz="0" w:space="0" w:color="auto"/>
        <w:right w:val="none" w:sz="0" w:space="0" w:color="auto"/>
      </w:divBdr>
      <w:divsChild>
        <w:div w:id="1137334365">
          <w:marLeft w:val="0"/>
          <w:marRight w:val="0"/>
          <w:marTop w:val="0"/>
          <w:marBottom w:val="0"/>
          <w:divBdr>
            <w:top w:val="none" w:sz="0" w:space="0" w:color="auto"/>
            <w:left w:val="none" w:sz="0" w:space="0" w:color="auto"/>
            <w:bottom w:val="none" w:sz="0" w:space="0" w:color="auto"/>
            <w:right w:val="none" w:sz="0" w:space="0" w:color="auto"/>
          </w:divBdr>
          <w:divsChild>
            <w:div w:id="18339083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43383074">
      <w:marLeft w:val="0"/>
      <w:marRight w:val="0"/>
      <w:marTop w:val="240"/>
      <w:marBottom w:val="0"/>
      <w:divBdr>
        <w:top w:val="none" w:sz="0" w:space="0" w:color="auto"/>
        <w:left w:val="none" w:sz="0" w:space="0" w:color="auto"/>
        <w:bottom w:val="none" w:sz="0" w:space="0" w:color="auto"/>
        <w:right w:val="none" w:sz="0" w:space="0" w:color="auto"/>
      </w:divBdr>
    </w:div>
    <w:div w:id="444813871">
      <w:marLeft w:val="0"/>
      <w:marRight w:val="0"/>
      <w:marTop w:val="240"/>
      <w:marBottom w:val="0"/>
      <w:divBdr>
        <w:top w:val="none" w:sz="0" w:space="0" w:color="auto"/>
        <w:left w:val="none" w:sz="0" w:space="0" w:color="auto"/>
        <w:bottom w:val="none" w:sz="0" w:space="0" w:color="auto"/>
        <w:right w:val="none" w:sz="0" w:space="0" w:color="auto"/>
      </w:divBdr>
    </w:div>
    <w:div w:id="445739939">
      <w:marLeft w:val="0"/>
      <w:marRight w:val="0"/>
      <w:marTop w:val="240"/>
      <w:marBottom w:val="0"/>
      <w:divBdr>
        <w:top w:val="none" w:sz="0" w:space="0" w:color="auto"/>
        <w:left w:val="none" w:sz="0" w:space="0" w:color="auto"/>
        <w:bottom w:val="none" w:sz="0" w:space="0" w:color="auto"/>
        <w:right w:val="none" w:sz="0" w:space="0" w:color="auto"/>
      </w:divBdr>
    </w:div>
    <w:div w:id="445782706">
      <w:marLeft w:val="0"/>
      <w:marRight w:val="0"/>
      <w:marTop w:val="120"/>
      <w:marBottom w:val="0"/>
      <w:divBdr>
        <w:top w:val="none" w:sz="0" w:space="0" w:color="auto"/>
        <w:left w:val="none" w:sz="0" w:space="0" w:color="auto"/>
        <w:bottom w:val="none" w:sz="0" w:space="0" w:color="auto"/>
        <w:right w:val="none" w:sz="0" w:space="0" w:color="auto"/>
      </w:divBdr>
    </w:div>
    <w:div w:id="446706994">
      <w:marLeft w:val="0"/>
      <w:marRight w:val="0"/>
      <w:marTop w:val="60"/>
      <w:marBottom w:val="0"/>
      <w:divBdr>
        <w:top w:val="none" w:sz="0" w:space="0" w:color="auto"/>
        <w:left w:val="none" w:sz="0" w:space="0" w:color="auto"/>
        <w:bottom w:val="none" w:sz="0" w:space="0" w:color="auto"/>
        <w:right w:val="none" w:sz="0" w:space="0" w:color="auto"/>
      </w:divBdr>
    </w:div>
    <w:div w:id="447352879">
      <w:marLeft w:val="0"/>
      <w:marRight w:val="0"/>
      <w:marTop w:val="0"/>
      <w:marBottom w:val="0"/>
      <w:divBdr>
        <w:top w:val="none" w:sz="0" w:space="0" w:color="auto"/>
        <w:left w:val="none" w:sz="0" w:space="0" w:color="auto"/>
        <w:bottom w:val="none" w:sz="0" w:space="0" w:color="auto"/>
        <w:right w:val="none" w:sz="0" w:space="0" w:color="auto"/>
      </w:divBdr>
      <w:divsChild>
        <w:div w:id="12339839">
          <w:marLeft w:val="0"/>
          <w:marRight w:val="0"/>
          <w:marTop w:val="120"/>
          <w:marBottom w:val="0"/>
          <w:divBdr>
            <w:top w:val="none" w:sz="0" w:space="0" w:color="auto"/>
            <w:left w:val="none" w:sz="0" w:space="0" w:color="auto"/>
            <w:bottom w:val="none" w:sz="0" w:space="0" w:color="auto"/>
            <w:right w:val="none" w:sz="0" w:space="0" w:color="auto"/>
          </w:divBdr>
        </w:div>
      </w:divsChild>
    </w:div>
    <w:div w:id="447553329">
      <w:marLeft w:val="0"/>
      <w:marRight w:val="0"/>
      <w:marTop w:val="140"/>
      <w:marBottom w:val="0"/>
      <w:divBdr>
        <w:top w:val="none" w:sz="0" w:space="0" w:color="auto"/>
        <w:left w:val="none" w:sz="0" w:space="0" w:color="auto"/>
        <w:bottom w:val="none" w:sz="0" w:space="0" w:color="auto"/>
        <w:right w:val="none" w:sz="0" w:space="0" w:color="auto"/>
      </w:divBdr>
    </w:div>
    <w:div w:id="449936411">
      <w:marLeft w:val="0"/>
      <w:marRight w:val="0"/>
      <w:marTop w:val="0"/>
      <w:marBottom w:val="0"/>
      <w:divBdr>
        <w:top w:val="none" w:sz="0" w:space="0" w:color="auto"/>
        <w:left w:val="none" w:sz="0" w:space="0" w:color="auto"/>
        <w:bottom w:val="none" w:sz="0" w:space="0" w:color="auto"/>
        <w:right w:val="none" w:sz="0" w:space="0" w:color="auto"/>
      </w:divBdr>
      <w:divsChild>
        <w:div w:id="476578493">
          <w:marLeft w:val="0"/>
          <w:marRight w:val="0"/>
          <w:marTop w:val="0"/>
          <w:marBottom w:val="0"/>
          <w:divBdr>
            <w:top w:val="none" w:sz="0" w:space="0" w:color="auto"/>
            <w:left w:val="none" w:sz="0" w:space="0" w:color="auto"/>
            <w:bottom w:val="none" w:sz="0" w:space="0" w:color="auto"/>
            <w:right w:val="none" w:sz="0" w:space="0" w:color="auto"/>
          </w:divBdr>
        </w:div>
      </w:divsChild>
    </w:div>
    <w:div w:id="450980895">
      <w:marLeft w:val="0"/>
      <w:marRight w:val="0"/>
      <w:marTop w:val="180"/>
      <w:marBottom w:val="0"/>
      <w:divBdr>
        <w:top w:val="none" w:sz="0" w:space="0" w:color="auto"/>
        <w:left w:val="none" w:sz="0" w:space="0" w:color="auto"/>
        <w:bottom w:val="none" w:sz="0" w:space="0" w:color="auto"/>
        <w:right w:val="none" w:sz="0" w:space="0" w:color="auto"/>
      </w:divBdr>
    </w:div>
    <w:div w:id="451748961">
      <w:marLeft w:val="0"/>
      <w:marRight w:val="0"/>
      <w:marTop w:val="240"/>
      <w:marBottom w:val="0"/>
      <w:divBdr>
        <w:top w:val="none" w:sz="0" w:space="0" w:color="auto"/>
        <w:left w:val="none" w:sz="0" w:space="0" w:color="auto"/>
        <w:bottom w:val="none" w:sz="0" w:space="0" w:color="auto"/>
        <w:right w:val="none" w:sz="0" w:space="0" w:color="auto"/>
      </w:divBdr>
    </w:div>
    <w:div w:id="451823705">
      <w:marLeft w:val="0"/>
      <w:marRight w:val="0"/>
      <w:marTop w:val="60"/>
      <w:marBottom w:val="60"/>
      <w:divBdr>
        <w:top w:val="none" w:sz="0" w:space="0" w:color="auto"/>
        <w:left w:val="none" w:sz="0" w:space="0" w:color="auto"/>
        <w:bottom w:val="none" w:sz="0" w:space="0" w:color="auto"/>
        <w:right w:val="none" w:sz="0" w:space="0" w:color="auto"/>
      </w:divBdr>
    </w:div>
    <w:div w:id="452676022">
      <w:marLeft w:val="0"/>
      <w:marRight w:val="0"/>
      <w:marTop w:val="240"/>
      <w:marBottom w:val="0"/>
      <w:divBdr>
        <w:top w:val="none" w:sz="0" w:space="0" w:color="auto"/>
        <w:left w:val="none" w:sz="0" w:space="0" w:color="auto"/>
        <w:bottom w:val="none" w:sz="0" w:space="0" w:color="auto"/>
        <w:right w:val="none" w:sz="0" w:space="0" w:color="auto"/>
      </w:divBdr>
    </w:div>
    <w:div w:id="453646069">
      <w:marLeft w:val="0"/>
      <w:marRight w:val="0"/>
      <w:marTop w:val="240"/>
      <w:marBottom w:val="0"/>
      <w:divBdr>
        <w:top w:val="none" w:sz="0" w:space="0" w:color="auto"/>
        <w:left w:val="none" w:sz="0" w:space="0" w:color="auto"/>
        <w:bottom w:val="none" w:sz="0" w:space="0" w:color="auto"/>
        <w:right w:val="none" w:sz="0" w:space="0" w:color="auto"/>
      </w:divBdr>
    </w:div>
    <w:div w:id="454447472">
      <w:marLeft w:val="0"/>
      <w:marRight w:val="0"/>
      <w:marTop w:val="0"/>
      <w:marBottom w:val="0"/>
      <w:divBdr>
        <w:top w:val="none" w:sz="0" w:space="0" w:color="auto"/>
        <w:left w:val="none" w:sz="0" w:space="0" w:color="auto"/>
        <w:bottom w:val="none" w:sz="0" w:space="0" w:color="auto"/>
        <w:right w:val="none" w:sz="0" w:space="0" w:color="auto"/>
      </w:divBdr>
      <w:divsChild>
        <w:div w:id="1775708781">
          <w:marLeft w:val="0"/>
          <w:marRight w:val="0"/>
          <w:marTop w:val="0"/>
          <w:marBottom w:val="0"/>
          <w:divBdr>
            <w:top w:val="none" w:sz="0" w:space="0" w:color="auto"/>
            <w:left w:val="none" w:sz="0" w:space="0" w:color="auto"/>
            <w:bottom w:val="none" w:sz="0" w:space="0" w:color="auto"/>
            <w:right w:val="none" w:sz="0" w:space="0" w:color="auto"/>
          </w:divBdr>
          <w:divsChild>
            <w:div w:id="108831041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54833186">
      <w:marLeft w:val="0"/>
      <w:marRight w:val="0"/>
      <w:marTop w:val="240"/>
      <w:marBottom w:val="0"/>
      <w:divBdr>
        <w:top w:val="none" w:sz="0" w:space="0" w:color="auto"/>
        <w:left w:val="none" w:sz="0" w:space="0" w:color="auto"/>
        <w:bottom w:val="none" w:sz="0" w:space="0" w:color="auto"/>
        <w:right w:val="none" w:sz="0" w:space="0" w:color="auto"/>
      </w:divBdr>
    </w:div>
    <w:div w:id="455831651">
      <w:marLeft w:val="0"/>
      <w:marRight w:val="0"/>
      <w:marTop w:val="240"/>
      <w:marBottom w:val="0"/>
      <w:divBdr>
        <w:top w:val="none" w:sz="0" w:space="0" w:color="auto"/>
        <w:left w:val="none" w:sz="0" w:space="0" w:color="auto"/>
        <w:bottom w:val="none" w:sz="0" w:space="0" w:color="auto"/>
        <w:right w:val="none" w:sz="0" w:space="0" w:color="auto"/>
      </w:divBdr>
    </w:div>
    <w:div w:id="456680502">
      <w:marLeft w:val="0"/>
      <w:marRight w:val="0"/>
      <w:marTop w:val="240"/>
      <w:marBottom w:val="0"/>
      <w:divBdr>
        <w:top w:val="none" w:sz="0" w:space="0" w:color="auto"/>
        <w:left w:val="none" w:sz="0" w:space="0" w:color="auto"/>
        <w:bottom w:val="none" w:sz="0" w:space="0" w:color="auto"/>
        <w:right w:val="none" w:sz="0" w:space="0" w:color="auto"/>
      </w:divBdr>
    </w:div>
    <w:div w:id="457143503">
      <w:marLeft w:val="0"/>
      <w:marRight w:val="0"/>
      <w:marTop w:val="0"/>
      <w:marBottom w:val="0"/>
      <w:divBdr>
        <w:top w:val="none" w:sz="0" w:space="0" w:color="auto"/>
        <w:left w:val="none" w:sz="0" w:space="0" w:color="auto"/>
        <w:bottom w:val="none" w:sz="0" w:space="0" w:color="auto"/>
        <w:right w:val="none" w:sz="0" w:space="0" w:color="auto"/>
      </w:divBdr>
      <w:divsChild>
        <w:div w:id="1298685179">
          <w:marLeft w:val="0"/>
          <w:marRight w:val="0"/>
          <w:marTop w:val="0"/>
          <w:marBottom w:val="0"/>
          <w:divBdr>
            <w:top w:val="none" w:sz="0" w:space="0" w:color="auto"/>
            <w:left w:val="none" w:sz="0" w:space="0" w:color="auto"/>
            <w:bottom w:val="none" w:sz="0" w:space="0" w:color="auto"/>
            <w:right w:val="none" w:sz="0" w:space="0" w:color="auto"/>
          </w:divBdr>
          <w:divsChild>
            <w:div w:id="128758652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57187405">
      <w:marLeft w:val="0"/>
      <w:marRight w:val="0"/>
      <w:marTop w:val="240"/>
      <w:marBottom w:val="0"/>
      <w:divBdr>
        <w:top w:val="none" w:sz="0" w:space="0" w:color="auto"/>
        <w:left w:val="none" w:sz="0" w:space="0" w:color="auto"/>
        <w:bottom w:val="none" w:sz="0" w:space="0" w:color="auto"/>
        <w:right w:val="none" w:sz="0" w:space="0" w:color="auto"/>
      </w:divBdr>
    </w:div>
    <w:div w:id="458257647">
      <w:marLeft w:val="0"/>
      <w:marRight w:val="0"/>
      <w:marTop w:val="240"/>
      <w:marBottom w:val="0"/>
      <w:divBdr>
        <w:top w:val="none" w:sz="0" w:space="0" w:color="auto"/>
        <w:left w:val="none" w:sz="0" w:space="0" w:color="auto"/>
        <w:bottom w:val="none" w:sz="0" w:space="0" w:color="auto"/>
        <w:right w:val="none" w:sz="0" w:space="0" w:color="auto"/>
      </w:divBdr>
    </w:div>
    <w:div w:id="460342317">
      <w:marLeft w:val="0"/>
      <w:marRight w:val="0"/>
      <w:marTop w:val="240"/>
      <w:marBottom w:val="0"/>
      <w:divBdr>
        <w:top w:val="none" w:sz="0" w:space="0" w:color="auto"/>
        <w:left w:val="none" w:sz="0" w:space="0" w:color="auto"/>
        <w:bottom w:val="none" w:sz="0" w:space="0" w:color="auto"/>
        <w:right w:val="none" w:sz="0" w:space="0" w:color="auto"/>
      </w:divBdr>
    </w:div>
    <w:div w:id="461773902">
      <w:marLeft w:val="0"/>
      <w:marRight w:val="0"/>
      <w:marTop w:val="240"/>
      <w:marBottom w:val="240"/>
      <w:divBdr>
        <w:top w:val="none" w:sz="0" w:space="0" w:color="auto"/>
        <w:left w:val="none" w:sz="0" w:space="0" w:color="auto"/>
        <w:bottom w:val="none" w:sz="0" w:space="0" w:color="auto"/>
        <w:right w:val="none" w:sz="0" w:space="0" w:color="auto"/>
      </w:divBdr>
    </w:div>
    <w:div w:id="462581735">
      <w:marLeft w:val="0"/>
      <w:marRight w:val="0"/>
      <w:marTop w:val="120"/>
      <w:marBottom w:val="0"/>
      <w:divBdr>
        <w:top w:val="none" w:sz="0" w:space="0" w:color="auto"/>
        <w:left w:val="none" w:sz="0" w:space="0" w:color="auto"/>
        <w:bottom w:val="none" w:sz="0" w:space="0" w:color="auto"/>
        <w:right w:val="none" w:sz="0" w:space="0" w:color="auto"/>
      </w:divBdr>
    </w:div>
    <w:div w:id="463547016">
      <w:marLeft w:val="0"/>
      <w:marRight w:val="0"/>
      <w:marTop w:val="0"/>
      <w:marBottom w:val="0"/>
      <w:divBdr>
        <w:top w:val="none" w:sz="0" w:space="0" w:color="auto"/>
        <w:left w:val="none" w:sz="0" w:space="0" w:color="auto"/>
        <w:bottom w:val="none" w:sz="0" w:space="0" w:color="auto"/>
        <w:right w:val="none" w:sz="0" w:space="0" w:color="auto"/>
      </w:divBdr>
      <w:divsChild>
        <w:div w:id="123625072">
          <w:marLeft w:val="0"/>
          <w:marRight w:val="0"/>
          <w:marTop w:val="120"/>
          <w:marBottom w:val="0"/>
          <w:divBdr>
            <w:top w:val="none" w:sz="0" w:space="0" w:color="auto"/>
            <w:left w:val="none" w:sz="0" w:space="0" w:color="auto"/>
            <w:bottom w:val="none" w:sz="0" w:space="0" w:color="auto"/>
            <w:right w:val="none" w:sz="0" w:space="0" w:color="auto"/>
          </w:divBdr>
        </w:div>
      </w:divsChild>
    </w:div>
    <w:div w:id="463737287">
      <w:marLeft w:val="0"/>
      <w:marRight w:val="0"/>
      <w:marTop w:val="0"/>
      <w:marBottom w:val="0"/>
      <w:divBdr>
        <w:top w:val="none" w:sz="0" w:space="0" w:color="auto"/>
        <w:left w:val="none" w:sz="0" w:space="0" w:color="auto"/>
        <w:bottom w:val="none" w:sz="0" w:space="0" w:color="auto"/>
        <w:right w:val="none" w:sz="0" w:space="0" w:color="auto"/>
      </w:divBdr>
      <w:divsChild>
        <w:div w:id="1127506748">
          <w:marLeft w:val="0"/>
          <w:marRight w:val="0"/>
          <w:marTop w:val="0"/>
          <w:marBottom w:val="0"/>
          <w:divBdr>
            <w:top w:val="none" w:sz="0" w:space="0" w:color="auto"/>
            <w:left w:val="none" w:sz="0" w:space="0" w:color="auto"/>
            <w:bottom w:val="none" w:sz="0" w:space="0" w:color="auto"/>
            <w:right w:val="none" w:sz="0" w:space="0" w:color="auto"/>
          </w:divBdr>
          <w:divsChild>
            <w:div w:id="4919952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66092993">
      <w:marLeft w:val="0"/>
      <w:marRight w:val="0"/>
      <w:marTop w:val="300"/>
      <w:marBottom w:val="0"/>
      <w:divBdr>
        <w:top w:val="none" w:sz="0" w:space="0" w:color="auto"/>
        <w:left w:val="none" w:sz="0" w:space="0" w:color="auto"/>
        <w:bottom w:val="none" w:sz="0" w:space="0" w:color="auto"/>
        <w:right w:val="none" w:sz="0" w:space="0" w:color="auto"/>
      </w:divBdr>
    </w:div>
    <w:div w:id="466360416">
      <w:marLeft w:val="0"/>
      <w:marRight w:val="0"/>
      <w:marTop w:val="240"/>
      <w:marBottom w:val="0"/>
      <w:divBdr>
        <w:top w:val="none" w:sz="0" w:space="0" w:color="auto"/>
        <w:left w:val="none" w:sz="0" w:space="0" w:color="auto"/>
        <w:bottom w:val="none" w:sz="0" w:space="0" w:color="auto"/>
        <w:right w:val="none" w:sz="0" w:space="0" w:color="auto"/>
      </w:divBdr>
    </w:div>
    <w:div w:id="466747968">
      <w:marLeft w:val="0"/>
      <w:marRight w:val="0"/>
      <w:marTop w:val="180"/>
      <w:marBottom w:val="0"/>
      <w:divBdr>
        <w:top w:val="none" w:sz="0" w:space="0" w:color="auto"/>
        <w:left w:val="none" w:sz="0" w:space="0" w:color="auto"/>
        <w:bottom w:val="none" w:sz="0" w:space="0" w:color="auto"/>
        <w:right w:val="none" w:sz="0" w:space="0" w:color="auto"/>
      </w:divBdr>
    </w:div>
    <w:div w:id="467475379">
      <w:marLeft w:val="0"/>
      <w:marRight w:val="0"/>
      <w:marTop w:val="240"/>
      <w:marBottom w:val="0"/>
      <w:divBdr>
        <w:top w:val="none" w:sz="0" w:space="0" w:color="auto"/>
        <w:left w:val="none" w:sz="0" w:space="0" w:color="auto"/>
        <w:bottom w:val="none" w:sz="0" w:space="0" w:color="auto"/>
        <w:right w:val="none" w:sz="0" w:space="0" w:color="auto"/>
      </w:divBdr>
    </w:div>
    <w:div w:id="467666315">
      <w:marLeft w:val="0"/>
      <w:marRight w:val="0"/>
      <w:marTop w:val="240"/>
      <w:marBottom w:val="0"/>
      <w:divBdr>
        <w:top w:val="none" w:sz="0" w:space="0" w:color="auto"/>
        <w:left w:val="none" w:sz="0" w:space="0" w:color="auto"/>
        <w:bottom w:val="none" w:sz="0" w:space="0" w:color="auto"/>
        <w:right w:val="none" w:sz="0" w:space="0" w:color="auto"/>
      </w:divBdr>
    </w:div>
    <w:div w:id="467816642">
      <w:marLeft w:val="0"/>
      <w:marRight w:val="0"/>
      <w:marTop w:val="0"/>
      <w:marBottom w:val="0"/>
      <w:divBdr>
        <w:top w:val="none" w:sz="0" w:space="0" w:color="auto"/>
        <w:left w:val="none" w:sz="0" w:space="0" w:color="auto"/>
        <w:bottom w:val="none" w:sz="0" w:space="0" w:color="auto"/>
        <w:right w:val="none" w:sz="0" w:space="0" w:color="auto"/>
      </w:divBdr>
      <w:divsChild>
        <w:div w:id="726027483">
          <w:marLeft w:val="0"/>
          <w:marRight w:val="0"/>
          <w:marTop w:val="0"/>
          <w:marBottom w:val="0"/>
          <w:divBdr>
            <w:top w:val="none" w:sz="0" w:space="0" w:color="auto"/>
            <w:left w:val="none" w:sz="0" w:space="0" w:color="auto"/>
            <w:bottom w:val="none" w:sz="0" w:space="0" w:color="auto"/>
            <w:right w:val="none" w:sz="0" w:space="0" w:color="auto"/>
          </w:divBdr>
          <w:divsChild>
            <w:div w:id="208884303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69175713">
      <w:marLeft w:val="0"/>
      <w:marRight w:val="0"/>
      <w:marTop w:val="240"/>
      <w:marBottom w:val="0"/>
      <w:divBdr>
        <w:top w:val="none" w:sz="0" w:space="0" w:color="auto"/>
        <w:left w:val="none" w:sz="0" w:space="0" w:color="auto"/>
        <w:bottom w:val="none" w:sz="0" w:space="0" w:color="auto"/>
        <w:right w:val="none" w:sz="0" w:space="0" w:color="auto"/>
      </w:divBdr>
    </w:div>
    <w:div w:id="469371705">
      <w:marLeft w:val="0"/>
      <w:marRight w:val="0"/>
      <w:marTop w:val="240"/>
      <w:marBottom w:val="240"/>
      <w:divBdr>
        <w:top w:val="none" w:sz="0" w:space="0" w:color="auto"/>
        <w:left w:val="none" w:sz="0" w:space="0" w:color="auto"/>
        <w:bottom w:val="none" w:sz="0" w:space="0" w:color="auto"/>
        <w:right w:val="none" w:sz="0" w:space="0" w:color="auto"/>
      </w:divBdr>
    </w:div>
    <w:div w:id="470562279">
      <w:marLeft w:val="0"/>
      <w:marRight w:val="0"/>
      <w:marTop w:val="240"/>
      <w:marBottom w:val="60"/>
      <w:divBdr>
        <w:top w:val="none" w:sz="0" w:space="0" w:color="auto"/>
        <w:left w:val="none" w:sz="0" w:space="0" w:color="auto"/>
        <w:bottom w:val="none" w:sz="0" w:space="0" w:color="auto"/>
        <w:right w:val="none" w:sz="0" w:space="0" w:color="auto"/>
      </w:divBdr>
    </w:div>
    <w:div w:id="471018299">
      <w:marLeft w:val="0"/>
      <w:marRight w:val="0"/>
      <w:marTop w:val="240"/>
      <w:marBottom w:val="0"/>
      <w:divBdr>
        <w:top w:val="none" w:sz="0" w:space="0" w:color="auto"/>
        <w:left w:val="none" w:sz="0" w:space="0" w:color="auto"/>
        <w:bottom w:val="none" w:sz="0" w:space="0" w:color="auto"/>
        <w:right w:val="none" w:sz="0" w:space="0" w:color="auto"/>
      </w:divBdr>
    </w:div>
    <w:div w:id="471748437">
      <w:marLeft w:val="0"/>
      <w:marRight w:val="0"/>
      <w:marTop w:val="120"/>
      <w:marBottom w:val="0"/>
      <w:divBdr>
        <w:top w:val="none" w:sz="0" w:space="0" w:color="auto"/>
        <w:left w:val="none" w:sz="0" w:space="0" w:color="auto"/>
        <w:bottom w:val="none" w:sz="0" w:space="0" w:color="auto"/>
        <w:right w:val="none" w:sz="0" w:space="0" w:color="auto"/>
      </w:divBdr>
    </w:div>
    <w:div w:id="473639007">
      <w:marLeft w:val="0"/>
      <w:marRight w:val="0"/>
      <w:marTop w:val="240"/>
      <w:marBottom w:val="0"/>
      <w:divBdr>
        <w:top w:val="none" w:sz="0" w:space="0" w:color="auto"/>
        <w:left w:val="none" w:sz="0" w:space="0" w:color="auto"/>
        <w:bottom w:val="none" w:sz="0" w:space="0" w:color="auto"/>
        <w:right w:val="none" w:sz="0" w:space="0" w:color="auto"/>
      </w:divBdr>
    </w:div>
    <w:div w:id="473763406">
      <w:marLeft w:val="0"/>
      <w:marRight w:val="0"/>
      <w:marTop w:val="240"/>
      <w:marBottom w:val="0"/>
      <w:divBdr>
        <w:top w:val="none" w:sz="0" w:space="0" w:color="auto"/>
        <w:left w:val="none" w:sz="0" w:space="0" w:color="auto"/>
        <w:bottom w:val="none" w:sz="0" w:space="0" w:color="auto"/>
        <w:right w:val="none" w:sz="0" w:space="0" w:color="auto"/>
      </w:divBdr>
    </w:div>
    <w:div w:id="474369829">
      <w:marLeft w:val="0"/>
      <w:marRight w:val="0"/>
      <w:marTop w:val="0"/>
      <w:marBottom w:val="0"/>
      <w:divBdr>
        <w:top w:val="none" w:sz="0" w:space="0" w:color="auto"/>
        <w:left w:val="none" w:sz="0" w:space="0" w:color="auto"/>
        <w:bottom w:val="none" w:sz="0" w:space="0" w:color="auto"/>
        <w:right w:val="none" w:sz="0" w:space="0" w:color="auto"/>
      </w:divBdr>
      <w:divsChild>
        <w:div w:id="1004866244">
          <w:marLeft w:val="0"/>
          <w:marRight w:val="0"/>
          <w:marTop w:val="0"/>
          <w:marBottom w:val="0"/>
          <w:divBdr>
            <w:top w:val="none" w:sz="0" w:space="0" w:color="auto"/>
            <w:left w:val="none" w:sz="0" w:space="0" w:color="auto"/>
            <w:bottom w:val="none" w:sz="0" w:space="0" w:color="auto"/>
            <w:right w:val="none" w:sz="0" w:space="0" w:color="auto"/>
          </w:divBdr>
          <w:divsChild>
            <w:div w:id="56105866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75494287">
      <w:marLeft w:val="0"/>
      <w:marRight w:val="0"/>
      <w:marTop w:val="240"/>
      <w:marBottom w:val="0"/>
      <w:divBdr>
        <w:top w:val="none" w:sz="0" w:space="0" w:color="auto"/>
        <w:left w:val="none" w:sz="0" w:space="0" w:color="auto"/>
        <w:bottom w:val="none" w:sz="0" w:space="0" w:color="auto"/>
        <w:right w:val="none" w:sz="0" w:space="0" w:color="auto"/>
      </w:divBdr>
    </w:div>
    <w:div w:id="476801321">
      <w:marLeft w:val="0"/>
      <w:marRight w:val="0"/>
      <w:marTop w:val="240"/>
      <w:marBottom w:val="0"/>
      <w:divBdr>
        <w:top w:val="none" w:sz="0" w:space="0" w:color="auto"/>
        <w:left w:val="none" w:sz="0" w:space="0" w:color="auto"/>
        <w:bottom w:val="none" w:sz="0" w:space="0" w:color="auto"/>
        <w:right w:val="none" w:sz="0" w:space="0" w:color="auto"/>
      </w:divBdr>
    </w:div>
    <w:div w:id="476996433">
      <w:marLeft w:val="0"/>
      <w:marRight w:val="0"/>
      <w:marTop w:val="240"/>
      <w:marBottom w:val="0"/>
      <w:divBdr>
        <w:top w:val="none" w:sz="0" w:space="0" w:color="auto"/>
        <w:left w:val="none" w:sz="0" w:space="0" w:color="auto"/>
        <w:bottom w:val="none" w:sz="0" w:space="0" w:color="auto"/>
        <w:right w:val="none" w:sz="0" w:space="0" w:color="auto"/>
      </w:divBdr>
    </w:div>
    <w:div w:id="480469274">
      <w:marLeft w:val="0"/>
      <w:marRight w:val="0"/>
      <w:marTop w:val="240"/>
      <w:marBottom w:val="0"/>
      <w:divBdr>
        <w:top w:val="none" w:sz="0" w:space="0" w:color="auto"/>
        <w:left w:val="none" w:sz="0" w:space="0" w:color="auto"/>
        <w:bottom w:val="none" w:sz="0" w:space="0" w:color="auto"/>
        <w:right w:val="none" w:sz="0" w:space="0" w:color="auto"/>
      </w:divBdr>
    </w:div>
    <w:div w:id="481387532">
      <w:marLeft w:val="0"/>
      <w:marRight w:val="0"/>
      <w:marTop w:val="240"/>
      <w:marBottom w:val="0"/>
      <w:divBdr>
        <w:top w:val="none" w:sz="0" w:space="0" w:color="auto"/>
        <w:left w:val="none" w:sz="0" w:space="0" w:color="auto"/>
        <w:bottom w:val="none" w:sz="0" w:space="0" w:color="auto"/>
        <w:right w:val="none" w:sz="0" w:space="0" w:color="auto"/>
      </w:divBdr>
    </w:div>
    <w:div w:id="481580632">
      <w:marLeft w:val="0"/>
      <w:marRight w:val="0"/>
      <w:marTop w:val="160"/>
      <w:marBottom w:val="0"/>
      <w:divBdr>
        <w:top w:val="none" w:sz="0" w:space="0" w:color="auto"/>
        <w:left w:val="none" w:sz="0" w:space="0" w:color="auto"/>
        <w:bottom w:val="none" w:sz="0" w:space="0" w:color="auto"/>
        <w:right w:val="none" w:sz="0" w:space="0" w:color="auto"/>
      </w:divBdr>
      <w:divsChild>
        <w:div w:id="1831748536">
          <w:marLeft w:val="0"/>
          <w:marRight w:val="0"/>
          <w:marTop w:val="0"/>
          <w:marBottom w:val="0"/>
          <w:divBdr>
            <w:top w:val="none" w:sz="0" w:space="0" w:color="auto"/>
            <w:left w:val="none" w:sz="0" w:space="0" w:color="auto"/>
            <w:bottom w:val="none" w:sz="0" w:space="0" w:color="auto"/>
            <w:right w:val="none" w:sz="0" w:space="0" w:color="auto"/>
          </w:divBdr>
        </w:div>
        <w:div w:id="2079863358">
          <w:marLeft w:val="0"/>
          <w:marRight w:val="0"/>
          <w:marTop w:val="0"/>
          <w:marBottom w:val="0"/>
          <w:divBdr>
            <w:top w:val="none" w:sz="0" w:space="0" w:color="auto"/>
            <w:left w:val="none" w:sz="0" w:space="0" w:color="auto"/>
            <w:bottom w:val="none" w:sz="0" w:space="0" w:color="auto"/>
            <w:right w:val="none" w:sz="0" w:space="0" w:color="auto"/>
          </w:divBdr>
        </w:div>
        <w:div w:id="401827978">
          <w:marLeft w:val="0"/>
          <w:marRight w:val="0"/>
          <w:marTop w:val="0"/>
          <w:marBottom w:val="0"/>
          <w:divBdr>
            <w:top w:val="none" w:sz="0" w:space="0" w:color="auto"/>
            <w:left w:val="none" w:sz="0" w:space="0" w:color="auto"/>
            <w:bottom w:val="none" w:sz="0" w:space="0" w:color="auto"/>
            <w:right w:val="none" w:sz="0" w:space="0" w:color="auto"/>
          </w:divBdr>
        </w:div>
      </w:divsChild>
    </w:div>
    <w:div w:id="481625023">
      <w:marLeft w:val="0"/>
      <w:marRight w:val="0"/>
      <w:marTop w:val="140"/>
      <w:marBottom w:val="0"/>
      <w:divBdr>
        <w:top w:val="none" w:sz="0" w:space="0" w:color="auto"/>
        <w:left w:val="none" w:sz="0" w:space="0" w:color="auto"/>
        <w:bottom w:val="none" w:sz="0" w:space="0" w:color="auto"/>
        <w:right w:val="none" w:sz="0" w:space="0" w:color="auto"/>
      </w:divBdr>
    </w:div>
    <w:div w:id="483011827">
      <w:marLeft w:val="0"/>
      <w:marRight w:val="0"/>
      <w:marTop w:val="0"/>
      <w:marBottom w:val="0"/>
      <w:divBdr>
        <w:top w:val="none" w:sz="0" w:space="0" w:color="auto"/>
        <w:left w:val="none" w:sz="0" w:space="0" w:color="auto"/>
        <w:bottom w:val="none" w:sz="0" w:space="0" w:color="auto"/>
        <w:right w:val="none" w:sz="0" w:space="0" w:color="auto"/>
      </w:divBdr>
    </w:div>
    <w:div w:id="483666714">
      <w:marLeft w:val="0"/>
      <w:marRight w:val="0"/>
      <w:marTop w:val="240"/>
      <w:marBottom w:val="240"/>
      <w:divBdr>
        <w:top w:val="none" w:sz="0" w:space="0" w:color="auto"/>
        <w:left w:val="none" w:sz="0" w:space="0" w:color="auto"/>
        <w:bottom w:val="none" w:sz="0" w:space="0" w:color="auto"/>
        <w:right w:val="none" w:sz="0" w:space="0" w:color="auto"/>
      </w:divBdr>
    </w:div>
    <w:div w:id="487020102">
      <w:marLeft w:val="0"/>
      <w:marRight w:val="0"/>
      <w:marTop w:val="240"/>
      <w:marBottom w:val="240"/>
      <w:divBdr>
        <w:top w:val="none" w:sz="0" w:space="0" w:color="auto"/>
        <w:left w:val="none" w:sz="0" w:space="0" w:color="auto"/>
        <w:bottom w:val="none" w:sz="0" w:space="0" w:color="auto"/>
        <w:right w:val="none" w:sz="0" w:space="0" w:color="auto"/>
      </w:divBdr>
      <w:divsChild>
        <w:div w:id="1958095104">
          <w:marLeft w:val="0"/>
          <w:marRight w:val="0"/>
          <w:marTop w:val="0"/>
          <w:marBottom w:val="0"/>
          <w:divBdr>
            <w:top w:val="none" w:sz="0" w:space="0" w:color="auto"/>
            <w:left w:val="none" w:sz="0" w:space="0" w:color="auto"/>
            <w:bottom w:val="none" w:sz="0" w:space="0" w:color="auto"/>
            <w:right w:val="none" w:sz="0" w:space="0" w:color="auto"/>
          </w:divBdr>
        </w:div>
      </w:divsChild>
    </w:div>
    <w:div w:id="489323374">
      <w:marLeft w:val="0"/>
      <w:marRight w:val="0"/>
      <w:marTop w:val="240"/>
      <w:marBottom w:val="0"/>
      <w:divBdr>
        <w:top w:val="none" w:sz="0" w:space="0" w:color="auto"/>
        <w:left w:val="none" w:sz="0" w:space="0" w:color="auto"/>
        <w:bottom w:val="none" w:sz="0" w:space="0" w:color="auto"/>
        <w:right w:val="none" w:sz="0" w:space="0" w:color="auto"/>
      </w:divBdr>
    </w:div>
    <w:div w:id="490870797">
      <w:marLeft w:val="0"/>
      <w:marRight w:val="0"/>
      <w:marTop w:val="240"/>
      <w:marBottom w:val="240"/>
      <w:divBdr>
        <w:top w:val="none" w:sz="0" w:space="0" w:color="auto"/>
        <w:left w:val="none" w:sz="0" w:space="0" w:color="auto"/>
        <w:bottom w:val="none" w:sz="0" w:space="0" w:color="auto"/>
        <w:right w:val="none" w:sz="0" w:space="0" w:color="auto"/>
      </w:divBdr>
    </w:div>
    <w:div w:id="491871936">
      <w:marLeft w:val="0"/>
      <w:marRight w:val="0"/>
      <w:marTop w:val="240"/>
      <w:marBottom w:val="0"/>
      <w:divBdr>
        <w:top w:val="none" w:sz="0" w:space="0" w:color="auto"/>
        <w:left w:val="none" w:sz="0" w:space="0" w:color="auto"/>
        <w:bottom w:val="none" w:sz="0" w:space="0" w:color="auto"/>
        <w:right w:val="none" w:sz="0" w:space="0" w:color="auto"/>
      </w:divBdr>
    </w:div>
    <w:div w:id="493644950">
      <w:marLeft w:val="0"/>
      <w:marRight w:val="0"/>
      <w:marTop w:val="100"/>
      <w:marBottom w:val="0"/>
      <w:divBdr>
        <w:top w:val="none" w:sz="0" w:space="0" w:color="auto"/>
        <w:left w:val="none" w:sz="0" w:space="0" w:color="auto"/>
        <w:bottom w:val="none" w:sz="0" w:space="0" w:color="auto"/>
        <w:right w:val="none" w:sz="0" w:space="0" w:color="auto"/>
      </w:divBdr>
    </w:div>
    <w:div w:id="493684230">
      <w:marLeft w:val="0"/>
      <w:marRight w:val="0"/>
      <w:marTop w:val="100"/>
      <w:marBottom w:val="0"/>
      <w:divBdr>
        <w:top w:val="none" w:sz="0" w:space="0" w:color="auto"/>
        <w:left w:val="none" w:sz="0" w:space="0" w:color="auto"/>
        <w:bottom w:val="none" w:sz="0" w:space="0" w:color="auto"/>
        <w:right w:val="none" w:sz="0" w:space="0" w:color="auto"/>
      </w:divBdr>
    </w:div>
    <w:div w:id="494301553">
      <w:marLeft w:val="0"/>
      <w:marRight w:val="0"/>
      <w:marTop w:val="240"/>
      <w:marBottom w:val="0"/>
      <w:divBdr>
        <w:top w:val="none" w:sz="0" w:space="0" w:color="auto"/>
        <w:left w:val="none" w:sz="0" w:space="0" w:color="auto"/>
        <w:bottom w:val="none" w:sz="0" w:space="0" w:color="auto"/>
        <w:right w:val="none" w:sz="0" w:space="0" w:color="auto"/>
      </w:divBdr>
    </w:div>
    <w:div w:id="495000498">
      <w:marLeft w:val="0"/>
      <w:marRight w:val="0"/>
      <w:marTop w:val="160"/>
      <w:marBottom w:val="0"/>
      <w:divBdr>
        <w:top w:val="none" w:sz="0" w:space="0" w:color="auto"/>
        <w:left w:val="none" w:sz="0" w:space="0" w:color="auto"/>
        <w:bottom w:val="none" w:sz="0" w:space="0" w:color="auto"/>
        <w:right w:val="none" w:sz="0" w:space="0" w:color="auto"/>
      </w:divBdr>
      <w:divsChild>
        <w:div w:id="345524206">
          <w:marLeft w:val="0"/>
          <w:marRight w:val="0"/>
          <w:marTop w:val="0"/>
          <w:marBottom w:val="0"/>
          <w:divBdr>
            <w:top w:val="none" w:sz="0" w:space="0" w:color="auto"/>
            <w:left w:val="none" w:sz="0" w:space="0" w:color="auto"/>
            <w:bottom w:val="none" w:sz="0" w:space="0" w:color="auto"/>
            <w:right w:val="none" w:sz="0" w:space="0" w:color="auto"/>
          </w:divBdr>
        </w:div>
        <w:div w:id="391269012">
          <w:marLeft w:val="0"/>
          <w:marRight w:val="0"/>
          <w:marTop w:val="0"/>
          <w:marBottom w:val="0"/>
          <w:divBdr>
            <w:top w:val="none" w:sz="0" w:space="0" w:color="auto"/>
            <w:left w:val="none" w:sz="0" w:space="0" w:color="auto"/>
            <w:bottom w:val="none" w:sz="0" w:space="0" w:color="auto"/>
            <w:right w:val="none" w:sz="0" w:space="0" w:color="auto"/>
          </w:divBdr>
        </w:div>
        <w:div w:id="538055276">
          <w:marLeft w:val="0"/>
          <w:marRight w:val="0"/>
          <w:marTop w:val="0"/>
          <w:marBottom w:val="0"/>
          <w:divBdr>
            <w:top w:val="none" w:sz="0" w:space="0" w:color="auto"/>
            <w:left w:val="none" w:sz="0" w:space="0" w:color="auto"/>
            <w:bottom w:val="none" w:sz="0" w:space="0" w:color="auto"/>
            <w:right w:val="none" w:sz="0" w:space="0" w:color="auto"/>
          </w:divBdr>
        </w:div>
        <w:div w:id="1361853333">
          <w:marLeft w:val="0"/>
          <w:marRight w:val="0"/>
          <w:marTop w:val="0"/>
          <w:marBottom w:val="0"/>
          <w:divBdr>
            <w:top w:val="none" w:sz="0" w:space="0" w:color="auto"/>
            <w:left w:val="none" w:sz="0" w:space="0" w:color="auto"/>
            <w:bottom w:val="none" w:sz="0" w:space="0" w:color="auto"/>
            <w:right w:val="none" w:sz="0" w:space="0" w:color="auto"/>
          </w:divBdr>
        </w:div>
      </w:divsChild>
    </w:div>
    <w:div w:id="497114631">
      <w:marLeft w:val="0"/>
      <w:marRight w:val="0"/>
      <w:marTop w:val="240"/>
      <w:marBottom w:val="0"/>
      <w:divBdr>
        <w:top w:val="none" w:sz="0" w:space="0" w:color="auto"/>
        <w:left w:val="none" w:sz="0" w:space="0" w:color="auto"/>
        <w:bottom w:val="none" w:sz="0" w:space="0" w:color="auto"/>
        <w:right w:val="none" w:sz="0" w:space="0" w:color="auto"/>
      </w:divBdr>
    </w:div>
    <w:div w:id="497575569">
      <w:marLeft w:val="0"/>
      <w:marRight w:val="0"/>
      <w:marTop w:val="0"/>
      <w:marBottom w:val="0"/>
      <w:divBdr>
        <w:top w:val="none" w:sz="0" w:space="0" w:color="auto"/>
        <w:left w:val="none" w:sz="0" w:space="0" w:color="auto"/>
        <w:bottom w:val="none" w:sz="0" w:space="0" w:color="auto"/>
        <w:right w:val="none" w:sz="0" w:space="0" w:color="auto"/>
      </w:divBdr>
      <w:divsChild>
        <w:div w:id="488640671">
          <w:marLeft w:val="0"/>
          <w:marRight w:val="0"/>
          <w:marTop w:val="120"/>
          <w:marBottom w:val="0"/>
          <w:divBdr>
            <w:top w:val="none" w:sz="0" w:space="0" w:color="auto"/>
            <w:left w:val="none" w:sz="0" w:space="0" w:color="auto"/>
            <w:bottom w:val="none" w:sz="0" w:space="0" w:color="auto"/>
            <w:right w:val="none" w:sz="0" w:space="0" w:color="auto"/>
          </w:divBdr>
        </w:div>
      </w:divsChild>
    </w:div>
    <w:div w:id="497842387">
      <w:marLeft w:val="0"/>
      <w:marRight w:val="0"/>
      <w:marTop w:val="240"/>
      <w:marBottom w:val="0"/>
      <w:divBdr>
        <w:top w:val="none" w:sz="0" w:space="0" w:color="auto"/>
        <w:left w:val="none" w:sz="0" w:space="0" w:color="auto"/>
        <w:bottom w:val="none" w:sz="0" w:space="0" w:color="auto"/>
        <w:right w:val="none" w:sz="0" w:space="0" w:color="auto"/>
      </w:divBdr>
    </w:div>
    <w:div w:id="501355778">
      <w:marLeft w:val="0"/>
      <w:marRight w:val="0"/>
      <w:marTop w:val="240"/>
      <w:marBottom w:val="120"/>
      <w:divBdr>
        <w:top w:val="none" w:sz="0" w:space="0" w:color="auto"/>
        <w:left w:val="none" w:sz="0" w:space="0" w:color="auto"/>
        <w:bottom w:val="none" w:sz="0" w:space="0" w:color="auto"/>
        <w:right w:val="none" w:sz="0" w:space="0" w:color="auto"/>
      </w:divBdr>
    </w:div>
    <w:div w:id="503594832">
      <w:marLeft w:val="0"/>
      <w:marRight w:val="0"/>
      <w:marTop w:val="0"/>
      <w:marBottom w:val="0"/>
      <w:divBdr>
        <w:top w:val="none" w:sz="0" w:space="0" w:color="auto"/>
        <w:left w:val="none" w:sz="0" w:space="0" w:color="auto"/>
        <w:bottom w:val="none" w:sz="0" w:space="0" w:color="auto"/>
        <w:right w:val="none" w:sz="0" w:space="0" w:color="auto"/>
      </w:divBdr>
      <w:divsChild>
        <w:div w:id="1990162004">
          <w:marLeft w:val="0"/>
          <w:marRight w:val="0"/>
          <w:marTop w:val="120"/>
          <w:marBottom w:val="0"/>
          <w:divBdr>
            <w:top w:val="none" w:sz="0" w:space="0" w:color="auto"/>
            <w:left w:val="none" w:sz="0" w:space="0" w:color="auto"/>
            <w:bottom w:val="none" w:sz="0" w:space="0" w:color="auto"/>
            <w:right w:val="none" w:sz="0" w:space="0" w:color="auto"/>
          </w:divBdr>
        </w:div>
      </w:divsChild>
    </w:div>
    <w:div w:id="504588155">
      <w:marLeft w:val="0"/>
      <w:marRight w:val="0"/>
      <w:marTop w:val="0"/>
      <w:marBottom w:val="0"/>
      <w:divBdr>
        <w:top w:val="none" w:sz="0" w:space="0" w:color="auto"/>
        <w:left w:val="none" w:sz="0" w:space="0" w:color="auto"/>
        <w:bottom w:val="none" w:sz="0" w:space="0" w:color="auto"/>
        <w:right w:val="none" w:sz="0" w:space="0" w:color="auto"/>
      </w:divBdr>
    </w:div>
    <w:div w:id="508522472">
      <w:marLeft w:val="0"/>
      <w:marRight w:val="0"/>
      <w:marTop w:val="240"/>
      <w:marBottom w:val="0"/>
      <w:divBdr>
        <w:top w:val="none" w:sz="0" w:space="0" w:color="auto"/>
        <w:left w:val="none" w:sz="0" w:space="0" w:color="auto"/>
        <w:bottom w:val="none" w:sz="0" w:space="0" w:color="auto"/>
        <w:right w:val="none" w:sz="0" w:space="0" w:color="auto"/>
      </w:divBdr>
    </w:div>
    <w:div w:id="508760687">
      <w:marLeft w:val="0"/>
      <w:marRight w:val="0"/>
      <w:marTop w:val="0"/>
      <w:marBottom w:val="120"/>
      <w:divBdr>
        <w:top w:val="none" w:sz="0" w:space="0" w:color="auto"/>
        <w:left w:val="none" w:sz="0" w:space="0" w:color="auto"/>
        <w:bottom w:val="none" w:sz="0" w:space="0" w:color="auto"/>
        <w:right w:val="none" w:sz="0" w:space="0" w:color="auto"/>
      </w:divBdr>
    </w:div>
    <w:div w:id="509415583">
      <w:marLeft w:val="0"/>
      <w:marRight w:val="0"/>
      <w:marTop w:val="240"/>
      <w:marBottom w:val="240"/>
      <w:divBdr>
        <w:top w:val="none" w:sz="0" w:space="0" w:color="auto"/>
        <w:left w:val="none" w:sz="0" w:space="0" w:color="auto"/>
        <w:bottom w:val="none" w:sz="0" w:space="0" w:color="auto"/>
        <w:right w:val="none" w:sz="0" w:space="0" w:color="auto"/>
      </w:divBdr>
    </w:div>
    <w:div w:id="510679815">
      <w:marLeft w:val="0"/>
      <w:marRight w:val="0"/>
      <w:marTop w:val="240"/>
      <w:marBottom w:val="0"/>
      <w:divBdr>
        <w:top w:val="none" w:sz="0" w:space="0" w:color="auto"/>
        <w:left w:val="none" w:sz="0" w:space="0" w:color="auto"/>
        <w:bottom w:val="none" w:sz="0" w:space="0" w:color="auto"/>
        <w:right w:val="none" w:sz="0" w:space="0" w:color="auto"/>
      </w:divBdr>
    </w:div>
    <w:div w:id="511266971">
      <w:marLeft w:val="0"/>
      <w:marRight w:val="0"/>
      <w:marTop w:val="220"/>
      <w:marBottom w:val="0"/>
      <w:divBdr>
        <w:top w:val="none" w:sz="0" w:space="0" w:color="auto"/>
        <w:left w:val="none" w:sz="0" w:space="0" w:color="auto"/>
        <w:bottom w:val="none" w:sz="0" w:space="0" w:color="auto"/>
        <w:right w:val="none" w:sz="0" w:space="0" w:color="auto"/>
      </w:divBdr>
    </w:div>
    <w:div w:id="512452371">
      <w:marLeft w:val="0"/>
      <w:marRight w:val="0"/>
      <w:marTop w:val="240"/>
      <w:marBottom w:val="0"/>
      <w:divBdr>
        <w:top w:val="none" w:sz="0" w:space="0" w:color="auto"/>
        <w:left w:val="none" w:sz="0" w:space="0" w:color="auto"/>
        <w:bottom w:val="none" w:sz="0" w:space="0" w:color="auto"/>
        <w:right w:val="none" w:sz="0" w:space="0" w:color="auto"/>
      </w:divBdr>
    </w:div>
    <w:div w:id="512647238">
      <w:marLeft w:val="0"/>
      <w:marRight w:val="0"/>
      <w:marTop w:val="240"/>
      <w:marBottom w:val="0"/>
      <w:divBdr>
        <w:top w:val="none" w:sz="0" w:space="0" w:color="auto"/>
        <w:left w:val="none" w:sz="0" w:space="0" w:color="auto"/>
        <w:bottom w:val="none" w:sz="0" w:space="0" w:color="auto"/>
        <w:right w:val="none" w:sz="0" w:space="0" w:color="auto"/>
      </w:divBdr>
    </w:div>
    <w:div w:id="513109771">
      <w:marLeft w:val="0"/>
      <w:marRight w:val="0"/>
      <w:marTop w:val="240"/>
      <w:marBottom w:val="0"/>
      <w:divBdr>
        <w:top w:val="none" w:sz="0" w:space="0" w:color="auto"/>
        <w:left w:val="none" w:sz="0" w:space="0" w:color="auto"/>
        <w:bottom w:val="none" w:sz="0" w:space="0" w:color="auto"/>
        <w:right w:val="none" w:sz="0" w:space="0" w:color="auto"/>
      </w:divBdr>
    </w:div>
    <w:div w:id="515465657">
      <w:marLeft w:val="0"/>
      <w:marRight w:val="0"/>
      <w:marTop w:val="0"/>
      <w:marBottom w:val="0"/>
      <w:divBdr>
        <w:top w:val="none" w:sz="0" w:space="0" w:color="auto"/>
        <w:left w:val="none" w:sz="0" w:space="0" w:color="auto"/>
        <w:bottom w:val="none" w:sz="0" w:space="0" w:color="auto"/>
        <w:right w:val="none" w:sz="0" w:space="0" w:color="auto"/>
      </w:divBdr>
      <w:divsChild>
        <w:div w:id="1492598866">
          <w:marLeft w:val="0"/>
          <w:marRight w:val="0"/>
          <w:marTop w:val="0"/>
          <w:marBottom w:val="0"/>
          <w:divBdr>
            <w:top w:val="none" w:sz="0" w:space="0" w:color="auto"/>
            <w:left w:val="none" w:sz="0" w:space="0" w:color="auto"/>
            <w:bottom w:val="none" w:sz="0" w:space="0" w:color="auto"/>
            <w:right w:val="none" w:sz="0" w:space="0" w:color="auto"/>
          </w:divBdr>
          <w:divsChild>
            <w:div w:id="54834132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17235039">
      <w:marLeft w:val="0"/>
      <w:marRight w:val="0"/>
      <w:marTop w:val="0"/>
      <w:marBottom w:val="0"/>
      <w:divBdr>
        <w:top w:val="none" w:sz="0" w:space="0" w:color="auto"/>
        <w:left w:val="none" w:sz="0" w:space="0" w:color="auto"/>
        <w:bottom w:val="none" w:sz="0" w:space="0" w:color="auto"/>
        <w:right w:val="none" w:sz="0" w:space="0" w:color="auto"/>
      </w:divBdr>
    </w:div>
    <w:div w:id="518279253">
      <w:marLeft w:val="0"/>
      <w:marRight w:val="0"/>
      <w:marTop w:val="0"/>
      <w:marBottom w:val="0"/>
      <w:divBdr>
        <w:top w:val="none" w:sz="0" w:space="0" w:color="auto"/>
        <w:left w:val="none" w:sz="0" w:space="0" w:color="auto"/>
        <w:bottom w:val="none" w:sz="0" w:space="0" w:color="auto"/>
        <w:right w:val="none" w:sz="0" w:space="0" w:color="auto"/>
      </w:divBdr>
      <w:divsChild>
        <w:div w:id="582111001">
          <w:marLeft w:val="0"/>
          <w:marRight w:val="0"/>
          <w:marTop w:val="0"/>
          <w:marBottom w:val="0"/>
          <w:divBdr>
            <w:top w:val="none" w:sz="0" w:space="0" w:color="auto"/>
            <w:left w:val="none" w:sz="0" w:space="0" w:color="auto"/>
            <w:bottom w:val="none" w:sz="0" w:space="0" w:color="auto"/>
            <w:right w:val="none" w:sz="0" w:space="0" w:color="auto"/>
          </w:divBdr>
          <w:divsChild>
            <w:div w:id="7481917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18280712">
      <w:marLeft w:val="0"/>
      <w:marRight w:val="0"/>
      <w:marTop w:val="0"/>
      <w:marBottom w:val="0"/>
      <w:divBdr>
        <w:top w:val="none" w:sz="0" w:space="0" w:color="auto"/>
        <w:left w:val="none" w:sz="0" w:space="0" w:color="auto"/>
        <w:bottom w:val="none" w:sz="0" w:space="0" w:color="auto"/>
        <w:right w:val="none" w:sz="0" w:space="0" w:color="auto"/>
      </w:divBdr>
      <w:divsChild>
        <w:div w:id="496967109">
          <w:marLeft w:val="0"/>
          <w:marRight w:val="0"/>
          <w:marTop w:val="120"/>
          <w:marBottom w:val="0"/>
          <w:divBdr>
            <w:top w:val="none" w:sz="0" w:space="0" w:color="auto"/>
            <w:left w:val="none" w:sz="0" w:space="0" w:color="auto"/>
            <w:bottom w:val="none" w:sz="0" w:space="0" w:color="auto"/>
            <w:right w:val="none" w:sz="0" w:space="0" w:color="auto"/>
          </w:divBdr>
        </w:div>
      </w:divsChild>
    </w:div>
    <w:div w:id="518737239">
      <w:marLeft w:val="0"/>
      <w:marRight w:val="0"/>
      <w:marTop w:val="240"/>
      <w:marBottom w:val="240"/>
      <w:divBdr>
        <w:top w:val="none" w:sz="0" w:space="0" w:color="auto"/>
        <w:left w:val="none" w:sz="0" w:space="0" w:color="auto"/>
        <w:bottom w:val="none" w:sz="0" w:space="0" w:color="auto"/>
        <w:right w:val="none" w:sz="0" w:space="0" w:color="auto"/>
      </w:divBdr>
    </w:div>
    <w:div w:id="520751992">
      <w:marLeft w:val="0"/>
      <w:marRight w:val="0"/>
      <w:marTop w:val="240"/>
      <w:marBottom w:val="0"/>
      <w:divBdr>
        <w:top w:val="none" w:sz="0" w:space="0" w:color="auto"/>
        <w:left w:val="none" w:sz="0" w:space="0" w:color="auto"/>
        <w:bottom w:val="none" w:sz="0" w:space="0" w:color="auto"/>
        <w:right w:val="none" w:sz="0" w:space="0" w:color="auto"/>
      </w:divBdr>
    </w:div>
    <w:div w:id="522982783">
      <w:marLeft w:val="0"/>
      <w:marRight w:val="0"/>
      <w:marTop w:val="0"/>
      <w:marBottom w:val="60"/>
      <w:divBdr>
        <w:top w:val="none" w:sz="0" w:space="0" w:color="auto"/>
        <w:left w:val="none" w:sz="0" w:space="0" w:color="auto"/>
        <w:bottom w:val="none" w:sz="0" w:space="0" w:color="auto"/>
        <w:right w:val="none" w:sz="0" w:space="0" w:color="auto"/>
      </w:divBdr>
    </w:div>
    <w:div w:id="527254176">
      <w:marLeft w:val="0"/>
      <w:marRight w:val="0"/>
      <w:marTop w:val="120"/>
      <w:marBottom w:val="0"/>
      <w:divBdr>
        <w:top w:val="none" w:sz="0" w:space="0" w:color="auto"/>
        <w:left w:val="none" w:sz="0" w:space="0" w:color="auto"/>
        <w:bottom w:val="none" w:sz="0" w:space="0" w:color="auto"/>
        <w:right w:val="none" w:sz="0" w:space="0" w:color="auto"/>
      </w:divBdr>
    </w:div>
    <w:div w:id="529150859">
      <w:marLeft w:val="0"/>
      <w:marRight w:val="0"/>
      <w:marTop w:val="240"/>
      <w:marBottom w:val="0"/>
      <w:divBdr>
        <w:top w:val="none" w:sz="0" w:space="0" w:color="auto"/>
        <w:left w:val="none" w:sz="0" w:space="0" w:color="auto"/>
        <w:bottom w:val="none" w:sz="0" w:space="0" w:color="auto"/>
        <w:right w:val="none" w:sz="0" w:space="0" w:color="auto"/>
      </w:divBdr>
    </w:div>
    <w:div w:id="529294385">
      <w:marLeft w:val="0"/>
      <w:marRight w:val="0"/>
      <w:marTop w:val="240"/>
      <w:marBottom w:val="0"/>
      <w:divBdr>
        <w:top w:val="none" w:sz="0" w:space="0" w:color="auto"/>
        <w:left w:val="none" w:sz="0" w:space="0" w:color="auto"/>
        <w:bottom w:val="none" w:sz="0" w:space="0" w:color="auto"/>
        <w:right w:val="none" w:sz="0" w:space="0" w:color="auto"/>
      </w:divBdr>
    </w:div>
    <w:div w:id="530412010">
      <w:marLeft w:val="0"/>
      <w:marRight w:val="0"/>
      <w:marTop w:val="300"/>
      <w:marBottom w:val="0"/>
      <w:divBdr>
        <w:top w:val="none" w:sz="0" w:space="0" w:color="auto"/>
        <w:left w:val="none" w:sz="0" w:space="0" w:color="auto"/>
        <w:bottom w:val="none" w:sz="0" w:space="0" w:color="auto"/>
        <w:right w:val="none" w:sz="0" w:space="0" w:color="auto"/>
      </w:divBdr>
    </w:div>
    <w:div w:id="531578048">
      <w:marLeft w:val="0"/>
      <w:marRight w:val="0"/>
      <w:marTop w:val="240"/>
      <w:marBottom w:val="0"/>
      <w:divBdr>
        <w:top w:val="none" w:sz="0" w:space="0" w:color="auto"/>
        <w:left w:val="none" w:sz="0" w:space="0" w:color="auto"/>
        <w:bottom w:val="none" w:sz="0" w:space="0" w:color="auto"/>
        <w:right w:val="none" w:sz="0" w:space="0" w:color="auto"/>
      </w:divBdr>
    </w:div>
    <w:div w:id="534275569">
      <w:marLeft w:val="0"/>
      <w:marRight w:val="0"/>
      <w:marTop w:val="240"/>
      <w:marBottom w:val="0"/>
      <w:divBdr>
        <w:top w:val="none" w:sz="0" w:space="0" w:color="auto"/>
        <w:left w:val="none" w:sz="0" w:space="0" w:color="auto"/>
        <w:bottom w:val="none" w:sz="0" w:space="0" w:color="auto"/>
        <w:right w:val="none" w:sz="0" w:space="0" w:color="auto"/>
      </w:divBdr>
    </w:div>
    <w:div w:id="535658485">
      <w:marLeft w:val="0"/>
      <w:marRight w:val="0"/>
      <w:marTop w:val="140"/>
      <w:marBottom w:val="0"/>
      <w:divBdr>
        <w:top w:val="none" w:sz="0" w:space="0" w:color="auto"/>
        <w:left w:val="none" w:sz="0" w:space="0" w:color="auto"/>
        <w:bottom w:val="none" w:sz="0" w:space="0" w:color="auto"/>
        <w:right w:val="none" w:sz="0" w:space="0" w:color="auto"/>
      </w:divBdr>
    </w:div>
    <w:div w:id="535850831">
      <w:marLeft w:val="0"/>
      <w:marRight w:val="0"/>
      <w:marTop w:val="60"/>
      <w:marBottom w:val="0"/>
      <w:divBdr>
        <w:top w:val="none" w:sz="0" w:space="0" w:color="auto"/>
        <w:left w:val="none" w:sz="0" w:space="0" w:color="auto"/>
        <w:bottom w:val="none" w:sz="0" w:space="0" w:color="auto"/>
        <w:right w:val="none" w:sz="0" w:space="0" w:color="auto"/>
      </w:divBdr>
    </w:div>
    <w:div w:id="540172190">
      <w:marLeft w:val="0"/>
      <w:marRight w:val="0"/>
      <w:marTop w:val="240"/>
      <w:marBottom w:val="240"/>
      <w:divBdr>
        <w:top w:val="none" w:sz="0" w:space="0" w:color="auto"/>
        <w:left w:val="none" w:sz="0" w:space="0" w:color="auto"/>
        <w:bottom w:val="none" w:sz="0" w:space="0" w:color="auto"/>
        <w:right w:val="none" w:sz="0" w:space="0" w:color="auto"/>
      </w:divBdr>
    </w:div>
    <w:div w:id="540283938">
      <w:marLeft w:val="0"/>
      <w:marRight w:val="0"/>
      <w:marTop w:val="0"/>
      <w:marBottom w:val="0"/>
      <w:divBdr>
        <w:top w:val="none" w:sz="0" w:space="0" w:color="auto"/>
        <w:left w:val="none" w:sz="0" w:space="0" w:color="auto"/>
        <w:bottom w:val="none" w:sz="0" w:space="0" w:color="auto"/>
        <w:right w:val="none" w:sz="0" w:space="0" w:color="auto"/>
      </w:divBdr>
    </w:div>
    <w:div w:id="542179742">
      <w:marLeft w:val="0"/>
      <w:marRight w:val="0"/>
      <w:marTop w:val="160"/>
      <w:marBottom w:val="0"/>
      <w:divBdr>
        <w:top w:val="none" w:sz="0" w:space="0" w:color="auto"/>
        <w:left w:val="none" w:sz="0" w:space="0" w:color="auto"/>
        <w:bottom w:val="none" w:sz="0" w:space="0" w:color="auto"/>
        <w:right w:val="none" w:sz="0" w:space="0" w:color="auto"/>
      </w:divBdr>
    </w:div>
    <w:div w:id="545916522">
      <w:marLeft w:val="0"/>
      <w:marRight w:val="0"/>
      <w:marTop w:val="240"/>
      <w:marBottom w:val="0"/>
      <w:divBdr>
        <w:top w:val="none" w:sz="0" w:space="0" w:color="auto"/>
        <w:left w:val="none" w:sz="0" w:space="0" w:color="auto"/>
        <w:bottom w:val="none" w:sz="0" w:space="0" w:color="auto"/>
        <w:right w:val="none" w:sz="0" w:space="0" w:color="auto"/>
      </w:divBdr>
    </w:div>
    <w:div w:id="546181800">
      <w:marLeft w:val="0"/>
      <w:marRight w:val="0"/>
      <w:marTop w:val="0"/>
      <w:marBottom w:val="0"/>
      <w:divBdr>
        <w:top w:val="none" w:sz="0" w:space="0" w:color="auto"/>
        <w:left w:val="none" w:sz="0" w:space="0" w:color="auto"/>
        <w:bottom w:val="none" w:sz="0" w:space="0" w:color="auto"/>
        <w:right w:val="none" w:sz="0" w:space="0" w:color="auto"/>
      </w:divBdr>
    </w:div>
    <w:div w:id="547186701">
      <w:marLeft w:val="0"/>
      <w:marRight w:val="0"/>
      <w:marTop w:val="240"/>
      <w:marBottom w:val="0"/>
      <w:divBdr>
        <w:top w:val="none" w:sz="0" w:space="0" w:color="auto"/>
        <w:left w:val="none" w:sz="0" w:space="0" w:color="auto"/>
        <w:bottom w:val="none" w:sz="0" w:space="0" w:color="auto"/>
        <w:right w:val="none" w:sz="0" w:space="0" w:color="auto"/>
      </w:divBdr>
    </w:div>
    <w:div w:id="547493648">
      <w:marLeft w:val="0"/>
      <w:marRight w:val="0"/>
      <w:marTop w:val="100"/>
      <w:marBottom w:val="240"/>
      <w:divBdr>
        <w:top w:val="none" w:sz="0" w:space="0" w:color="auto"/>
        <w:left w:val="none" w:sz="0" w:space="0" w:color="auto"/>
        <w:bottom w:val="none" w:sz="0" w:space="0" w:color="auto"/>
        <w:right w:val="none" w:sz="0" w:space="0" w:color="auto"/>
      </w:divBdr>
    </w:div>
    <w:div w:id="548230012">
      <w:marLeft w:val="0"/>
      <w:marRight w:val="0"/>
      <w:marTop w:val="240"/>
      <w:marBottom w:val="0"/>
      <w:divBdr>
        <w:top w:val="none" w:sz="0" w:space="0" w:color="auto"/>
        <w:left w:val="none" w:sz="0" w:space="0" w:color="auto"/>
        <w:bottom w:val="none" w:sz="0" w:space="0" w:color="auto"/>
        <w:right w:val="none" w:sz="0" w:space="0" w:color="auto"/>
      </w:divBdr>
    </w:div>
    <w:div w:id="548493670">
      <w:marLeft w:val="0"/>
      <w:marRight w:val="0"/>
      <w:marTop w:val="240"/>
      <w:marBottom w:val="0"/>
      <w:divBdr>
        <w:top w:val="none" w:sz="0" w:space="0" w:color="auto"/>
        <w:left w:val="none" w:sz="0" w:space="0" w:color="auto"/>
        <w:bottom w:val="none" w:sz="0" w:space="0" w:color="auto"/>
        <w:right w:val="none" w:sz="0" w:space="0" w:color="auto"/>
      </w:divBdr>
    </w:div>
    <w:div w:id="549076087">
      <w:marLeft w:val="0"/>
      <w:marRight w:val="0"/>
      <w:marTop w:val="220"/>
      <w:marBottom w:val="0"/>
      <w:divBdr>
        <w:top w:val="none" w:sz="0" w:space="0" w:color="auto"/>
        <w:left w:val="none" w:sz="0" w:space="0" w:color="auto"/>
        <w:bottom w:val="none" w:sz="0" w:space="0" w:color="auto"/>
        <w:right w:val="none" w:sz="0" w:space="0" w:color="auto"/>
      </w:divBdr>
    </w:div>
    <w:div w:id="549344656">
      <w:marLeft w:val="0"/>
      <w:marRight w:val="0"/>
      <w:marTop w:val="0"/>
      <w:marBottom w:val="0"/>
      <w:divBdr>
        <w:top w:val="none" w:sz="0" w:space="0" w:color="auto"/>
        <w:left w:val="none" w:sz="0" w:space="0" w:color="auto"/>
        <w:bottom w:val="none" w:sz="0" w:space="0" w:color="auto"/>
        <w:right w:val="none" w:sz="0" w:space="0" w:color="auto"/>
      </w:divBdr>
      <w:divsChild>
        <w:div w:id="1127360996">
          <w:marLeft w:val="0"/>
          <w:marRight w:val="0"/>
          <w:marTop w:val="0"/>
          <w:marBottom w:val="0"/>
          <w:divBdr>
            <w:top w:val="none" w:sz="0" w:space="0" w:color="auto"/>
            <w:left w:val="none" w:sz="0" w:space="0" w:color="auto"/>
            <w:bottom w:val="none" w:sz="0" w:space="0" w:color="auto"/>
            <w:right w:val="none" w:sz="0" w:space="0" w:color="auto"/>
          </w:divBdr>
          <w:divsChild>
            <w:div w:id="19748711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49464188">
      <w:marLeft w:val="0"/>
      <w:marRight w:val="0"/>
      <w:marTop w:val="240"/>
      <w:marBottom w:val="0"/>
      <w:divBdr>
        <w:top w:val="none" w:sz="0" w:space="0" w:color="auto"/>
        <w:left w:val="none" w:sz="0" w:space="0" w:color="auto"/>
        <w:bottom w:val="none" w:sz="0" w:space="0" w:color="auto"/>
        <w:right w:val="none" w:sz="0" w:space="0" w:color="auto"/>
      </w:divBdr>
    </w:div>
    <w:div w:id="551304795">
      <w:marLeft w:val="0"/>
      <w:marRight w:val="0"/>
      <w:marTop w:val="240"/>
      <w:marBottom w:val="0"/>
      <w:divBdr>
        <w:top w:val="none" w:sz="0" w:space="0" w:color="auto"/>
        <w:left w:val="none" w:sz="0" w:space="0" w:color="auto"/>
        <w:bottom w:val="none" w:sz="0" w:space="0" w:color="auto"/>
        <w:right w:val="none" w:sz="0" w:space="0" w:color="auto"/>
      </w:divBdr>
    </w:div>
    <w:div w:id="552884387">
      <w:marLeft w:val="0"/>
      <w:marRight w:val="0"/>
      <w:marTop w:val="240"/>
      <w:marBottom w:val="0"/>
      <w:divBdr>
        <w:top w:val="none" w:sz="0" w:space="0" w:color="auto"/>
        <w:left w:val="none" w:sz="0" w:space="0" w:color="auto"/>
        <w:bottom w:val="none" w:sz="0" w:space="0" w:color="auto"/>
        <w:right w:val="none" w:sz="0" w:space="0" w:color="auto"/>
      </w:divBdr>
    </w:div>
    <w:div w:id="553346844">
      <w:marLeft w:val="0"/>
      <w:marRight w:val="0"/>
      <w:marTop w:val="0"/>
      <w:marBottom w:val="0"/>
      <w:divBdr>
        <w:top w:val="none" w:sz="0" w:space="0" w:color="auto"/>
        <w:left w:val="none" w:sz="0" w:space="0" w:color="auto"/>
        <w:bottom w:val="none" w:sz="0" w:space="0" w:color="auto"/>
        <w:right w:val="none" w:sz="0" w:space="0" w:color="auto"/>
      </w:divBdr>
      <w:divsChild>
        <w:div w:id="2112895598">
          <w:marLeft w:val="0"/>
          <w:marRight w:val="0"/>
          <w:marTop w:val="0"/>
          <w:marBottom w:val="0"/>
          <w:divBdr>
            <w:top w:val="none" w:sz="0" w:space="0" w:color="auto"/>
            <w:left w:val="none" w:sz="0" w:space="0" w:color="auto"/>
            <w:bottom w:val="none" w:sz="0" w:space="0" w:color="auto"/>
            <w:right w:val="none" w:sz="0" w:space="0" w:color="auto"/>
          </w:divBdr>
          <w:divsChild>
            <w:div w:id="10390082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53349655">
      <w:marLeft w:val="0"/>
      <w:marRight w:val="0"/>
      <w:marTop w:val="240"/>
      <w:marBottom w:val="0"/>
      <w:divBdr>
        <w:top w:val="none" w:sz="0" w:space="0" w:color="auto"/>
        <w:left w:val="none" w:sz="0" w:space="0" w:color="auto"/>
        <w:bottom w:val="none" w:sz="0" w:space="0" w:color="auto"/>
        <w:right w:val="none" w:sz="0" w:space="0" w:color="auto"/>
      </w:divBdr>
    </w:div>
    <w:div w:id="554781269">
      <w:marLeft w:val="0"/>
      <w:marRight w:val="0"/>
      <w:marTop w:val="240"/>
      <w:marBottom w:val="0"/>
      <w:divBdr>
        <w:top w:val="none" w:sz="0" w:space="0" w:color="auto"/>
        <w:left w:val="none" w:sz="0" w:space="0" w:color="auto"/>
        <w:bottom w:val="none" w:sz="0" w:space="0" w:color="auto"/>
        <w:right w:val="none" w:sz="0" w:space="0" w:color="auto"/>
      </w:divBdr>
    </w:div>
    <w:div w:id="557132976">
      <w:marLeft w:val="0"/>
      <w:marRight w:val="0"/>
      <w:marTop w:val="0"/>
      <w:marBottom w:val="0"/>
      <w:divBdr>
        <w:top w:val="none" w:sz="0" w:space="0" w:color="auto"/>
        <w:left w:val="none" w:sz="0" w:space="0" w:color="auto"/>
        <w:bottom w:val="none" w:sz="0" w:space="0" w:color="auto"/>
        <w:right w:val="none" w:sz="0" w:space="0" w:color="auto"/>
      </w:divBdr>
      <w:divsChild>
        <w:div w:id="141897552">
          <w:marLeft w:val="0"/>
          <w:marRight w:val="0"/>
          <w:marTop w:val="0"/>
          <w:marBottom w:val="0"/>
          <w:divBdr>
            <w:top w:val="none" w:sz="0" w:space="0" w:color="auto"/>
            <w:left w:val="none" w:sz="0" w:space="0" w:color="auto"/>
            <w:bottom w:val="none" w:sz="0" w:space="0" w:color="auto"/>
            <w:right w:val="none" w:sz="0" w:space="0" w:color="auto"/>
          </w:divBdr>
          <w:divsChild>
            <w:div w:id="39178133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57207194">
      <w:marLeft w:val="0"/>
      <w:marRight w:val="0"/>
      <w:marTop w:val="240"/>
      <w:marBottom w:val="0"/>
      <w:divBdr>
        <w:top w:val="none" w:sz="0" w:space="0" w:color="auto"/>
        <w:left w:val="none" w:sz="0" w:space="0" w:color="auto"/>
        <w:bottom w:val="none" w:sz="0" w:space="0" w:color="auto"/>
        <w:right w:val="none" w:sz="0" w:space="0" w:color="auto"/>
      </w:divBdr>
    </w:div>
    <w:div w:id="559243771">
      <w:marLeft w:val="0"/>
      <w:marRight w:val="0"/>
      <w:marTop w:val="120"/>
      <w:marBottom w:val="0"/>
      <w:divBdr>
        <w:top w:val="none" w:sz="0" w:space="0" w:color="auto"/>
        <w:left w:val="none" w:sz="0" w:space="0" w:color="auto"/>
        <w:bottom w:val="none" w:sz="0" w:space="0" w:color="auto"/>
        <w:right w:val="none" w:sz="0" w:space="0" w:color="auto"/>
      </w:divBdr>
    </w:div>
    <w:div w:id="563371779">
      <w:marLeft w:val="0"/>
      <w:marRight w:val="0"/>
      <w:marTop w:val="240"/>
      <w:marBottom w:val="0"/>
      <w:divBdr>
        <w:top w:val="none" w:sz="0" w:space="0" w:color="auto"/>
        <w:left w:val="none" w:sz="0" w:space="0" w:color="auto"/>
        <w:bottom w:val="none" w:sz="0" w:space="0" w:color="auto"/>
        <w:right w:val="none" w:sz="0" w:space="0" w:color="auto"/>
      </w:divBdr>
    </w:div>
    <w:div w:id="563836458">
      <w:marLeft w:val="0"/>
      <w:marRight w:val="0"/>
      <w:marTop w:val="240"/>
      <w:marBottom w:val="0"/>
      <w:divBdr>
        <w:top w:val="none" w:sz="0" w:space="0" w:color="auto"/>
        <w:left w:val="none" w:sz="0" w:space="0" w:color="auto"/>
        <w:bottom w:val="none" w:sz="0" w:space="0" w:color="auto"/>
        <w:right w:val="none" w:sz="0" w:space="0" w:color="auto"/>
      </w:divBdr>
    </w:div>
    <w:div w:id="565071186">
      <w:marLeft w:val="0"/>
      <w:marRight w:val="0"/>
      <w:marTop w:val="0"/>
      <w:marBottom w:val="0"/>
      <w:divBdr>
        <w:top w:val="none" w:sz="0" w:space="0" w:color="auto"/>
        <w:left w:val="none" w:sz="0" w:space="0" w:color="auto"/>
        <w:bottom w:val="none" w:sz="0" w:space="0" w:color="auto"/>
        <w:right w:val="none" w:sz="0" w:space="0" w:color="auto"/>
      </w:divBdr>
      <w:divsChild>
        <w:div w:id="582834570">
          <w:marLeft w:val="0"/>
          <w:marRight w:val="0"/>
          <w:marTop w:val="0"/>
          <w:marBottom w:val="0"/>
          <w:divBdr>
            <w:top w:val="none" w:sz="0" w:space="0" w:color="auto"/>
            <w:left w:val="none" w:sz="0" w:space="0" w:color="auto"/>
            <w:bottom w:val="none" w:sz="0" w:space="0" w:color="auto"/>
            <w:right w:val="none" w:sz="0" w:space="0" w:color="auto"/>
          </w:divBdr>
        </w:div>
      </w:divsChild>
    </w:div>
    <w:div w:id="565653536">
      <w:marLeft w:val="0"/>
      <w:marRight w:val="0"/>
      <w:marTop w:val="120"/>
      <w:marBottom w:val="60"/>
      <w:divBdr>
        <w:top w:val="none" w:sz="0" w:space="0" w:color="auto"/>
        <w:left w:val="none" w:sz="0" w:space="0" w:color="auto"/>
        <w:bottom w:val="none" w:sz="0" w:space="0" w:color="auto"/>
        <w:right w:val="none" w:sz="0" w:space="0" w:color="auto"/>
      </w:divBdr>
    </w:div>
    <w:div w:id="567114069">
      <w:marLeft w:val="0"/>
      <w:marRight w:val="0"/>
      <w:marTop w:val="240"/>
      <w:marBottom w:val="0"/>
      <w:divBdr>
        <w:top w:val="none" w:sz="0" w:space="0" w:color="auto"/>
        <w:left w:val="none" w:sz="0" w:space="0" w:color="auto"/>
        <w:bottom w:val="none" w:sz="0" w:space="0" w:color="auto"/>
        <w:right w:val="none" w:sz="0" w:space="0" w:color="auto"/>
      </w:divBdr>
    </w:div>
    <w:div w:id="568688614">
      <w:marLeft w:val="0"/>
      <w:marRight w:val="0"/>
      <w:marTop w:val="240"/>
      <w:marBottom w:val="0"/>
      <w:divBdr>
        <w:top w:val="none" w:sz="0" w:space="0" w:color="auto"/>
        <w:left w:val="none" w:sz="0" w:space="0" w:color="auto"/>
        <w:bottom w:val="none" w:sz="0" w:space="0" w:color="auto"/>
        <w:right w:val="none" w:sz="0" w:space="0" w:color="auto"/>
      </w:divBdr>
    </w:div>
    <w:div w:id="568809997">
      <w:marLeft w:val="0"/>
      <w:marRight w:val="0"/>
      <w:marTop w:val="0"/>
      <w:marBottom w:val="0"/>
      <w:divBdr>
        <w:top w:val="none" w:sz="0" w:space="0" w:color="auto"/>
        <w:left w:val="none" w:sz="0" w:space="0" w:color="auto"/>
        <w:bottom w:val="none" w:sz="0" w:space="0" w:color="auto"/>
        <w:right w:val="none" w:sz="0" w:space="0" w:color="auto"/>
      </w:divBdr>
      <w:divsChild>
        <w:div w:id="144276813">
          <w:marLeft w:val="0"/>
          <w:marRight w:val="0"/>
          <w:marTop w:val="0"/>
          <w:marBottom w:val="0"/>
          <w:divBdr>
            <w:top w:val="none" w:sz="0" w:space="0" w:color="auto"/>
            <w:left w:val="none" w:sz="0" w:space="0" w:color="auto"/>
            <w:bottom w:val="none" w:sz="0" w:space="0" w:color="auto"/>
            <w:right w:val="none" w:sz="0" w:space="0" w:color="auto"/>
          </w:divBdr>
          <w:divsChild>
            <w:div w:id="18096618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70964218">
      <w:marLeft w:val="0"/>
      <w:marRight w:val="0"/>
      <w:marTop w:val="240"/>
      <w:marBottom w:val="0"/>
      <w:divBdr>
        <w:top w:val="none" w:sz="0" w:space="0" w:color="auto"/>
        <w:left w:val="none" w:sz="0" w:space="0" w:color="auto"/>
        <w:bottom w:val="none" w:sz="0" w:space="0" w:color="auto"/>
        <w:right w:val="none" w:sz="0" w:space="0" w:color="auto"/>
      </w:divBdr>
    </w:div>
    <w:div w:id="571475036">
      <w:marLeft w:val="0"/>
      <w:marRight w:val="0"/>
      <w:marTop w:val="120"/>
      <w:marBottom w:val="0"/>
      <w:divBdr>
        <w:top w:val="none" w:sz="0" w:space="0" w:color="auto"/>
        <w:left w:val="none" w:sz="0" w:space="0" w:color="auto"/>
        <w:bottom w:val="none" w:sz="0" w:space="0" w:color="auto"/>
        <w:right w:val="none" w:sz="0" w:space="0" w:color="auto"/>
      </w:divBdr>
    </w:div>
    <w:div w:id="571887691">
      <w:marLeft w:val="0"/>
      <w:marRight w:val="0"/>
      <w:marTop w:val="0"/>
      <w:marBottom w:val="0"/>
      <w:divBdr>
        <w:top w:val="none" w:sz="0" w:space="0" w:color="auto"/>
        <w:left w:val="none" w:sz="0" w:space="0" w:color="auto"/>
        <w:bottom w:val="none" w:sz="0" w:space="0" w:color="auto"/>
        <w:right w:val="none" w:sz="0" w:space="0" w:color="auto"/>
      </w:divBdr>
      <w:divsChild>
        <w:div w:id="235554808">
          <w:marLeft w:val="0"/>
          <w:marRight w:val="0"/>
          <w:marTop w:val="120"/>
          <w:marBottom w:val="0"/>
          <w:divBdr>
            <w:top w:val="none" w:sz="0" w:space="0" w:color="auto"/>
            <w:left w:val="none" w:sz="0" w:space="0" w:color="auto"/>
            <w:bottom w:val="none" w:sz="0" w:space="0" w:color="auto"/>
            <w:right w:val="none" w:sz="0" w:space="0" w:color="auto"/>
          </w:divBdr>
        </w:div>
      </w:divsChild>
    </w:div>
    <w:div w:id="573049389">
      <w:marLeft w:val="0"/>
      <w:marRight w:val="0"/>
      <w:marTop w:val="240"/>
      <w:marBottom w:val="0"/>
      <w:divBdr>
        <w:top w:val="none" w:sz="0" w:space="0" w:color="auto"/>
        <w:left w:val="none" w:sz="0" w:space="0" w:color="auto"/>
        <w:bottom w:val="none" w:sz="0" w:space="0" w:color="auto"/>
        <w:right w:val="none" w:sz="0" w:space="0" w:color="auto"/>
      </w:divBdr>
    </w:div>
    <w:div w:id="573853023">
      <w:marLeft w:val="0"/>
      <w:marRight w:val="0"/>
      <w:marTop w:val="180"/>
      <w:marBottom w:val="0"/>
      <w:divBdr>
        <w:top w:val="none" w:sz="0" w:space="0" w:color="auto"/>
        <w:left w:val="none" w:sz="0" w:space="0" w:color="auto"/>
        <w:bottom w:val="none" w:sz="0" w:space="0" w:color="auto"/>
        <w:right w:val="none" w:sz="0" w:space="0" w:color="auto"/>
      </w:divBdr>
    </w:div>
    <w:div w:id="576331447">
      <w:marLeft w:val="0"/>
      <w:marRight w:val="0"/>
      <w:marTop w:val="180"/>
      <w:marBottom w:val="0"/>
      <w:divBdr>
        <w:top w:val="none" w:sz="0" w:space="0" w:color="auto"/>
        <w:left w:val="none" w:sz="0" w:space="0" w:color="auto"/>
        <w:bottom w:val="none" w:sz="0" w:space="0" w:color="auto"/>
        <w:right w:val="none" w:sz="0" w:space="0" w:color="auto"/>
      </w:divBdr>
    </w:div>
    <w:div w:id="578828453">
      <w:marLeft w:val="0"/>
      <w:marRight w:val="0"/>
      <w:marTop w:val="240"/>
      <w:marBottom w:val="0"/>
      <w:divBdr>
        <w:top w:val="none" w:sz="0" w:space="0" w:color="auto"/>
        <w:left w:val="none" w:sz="0" w:space="0" w:color="auto"/>
        <w:bottom w:val="none" w:sz="0" w:space="0" w:color="auto"/>
        <w:right w:val="none" w:sz="0" w:space="0" w:color="auto"/>
      </w:divBdr>
    </w:div>
    <w:div w:id="580138318">
      <w:marLeft w:val="0"/>
      <w:marRight w:val="0"/>
      <w:marTop w:val="240"/>
      <w:marBottom w:val="0"/>
      <w:divBdr>
        <w:top w:val="none" w:sz="0" w:space="0" w:color="auto"/>
        <w:left w:val="none" w:sz="0" w:space="0" w:color="auto"/>
        <w:bottom w:val="none" w:sz="0" w:space="0" w:color="auto"/>
        <w:right w:val="none" w:sz="0" w:space="0" w:color="auto"/>
      </w:divBdr>
    </w:div>
    <w:div w:id="580793317">
      <w:marLeft w:val="0"/>
      <w:marRight w:val="0"/>
      <w:marTop w:val="240"/>
      <w:marBottom w:val="0"/>
      <w:divBdr>
        <w:top w:val="none" w:sz="0" w:space="0" w:color="auto"/>
        <w:left w:val="none" w:sz="0" w:space="0" w:color="auto"/>
        <w:bottom w:val="none" w:sz="0" w:space="0" w:color="auto"/>
        <w:right w:val="none" w:sz="0" w:space="0" w:color="auto"/>
      </w:divBdr>
    </w:div>
    <w:div w:id="581066049">
      <w:marLeft w:val="0"/>
      <w:marRight w:val="0"/>
      <w:marTop w:val="240"/>
      <w:marBottom w:val="0"/>
      <w:divBdr>
        <w:top w:val="none" w:sz="0" w:space="0" w:color="auto"/>
        <w:left w:val="none" w:sz="0" w:space="0" w:color="auto"/>
        <w:bottom w:val="none" w:sz="0" w:space="0" w:color="auto"/>
        <w:right w:val="none" w:sz="0" w:space="0" w:color="auto"/>
      </w:divBdr>
    </w:div>
    <w:div w:id="581531308">
      <w:marLeft w:val="0"/>
      <w:marRight w:val="0"/>
      <w:marTop w:val="240"/>
      <w:marBottom w:val="0"/>
      <w:divBdr>
        <w:top w:val="none" w:sz="0" w:space="0" w:color="auto"/>
        <w:left w:val="none" w:sz="0" w:space="0" w:color="auto"/>
        <w:bottom w:val="none" w:sz="0" w:space="0" w:color="auto"/>
        <w:right w:val="none" w:sz="0" w:space="0" w:color="auto"/>
      </w:divBdr>
    </w:div>
    <w:div w:id="582761923">
      <w:marLeft w:val="0"/>
      <w:marRight w:val="0"/>
      <w:marTop w:val="240"/>
      <w:marBottom w:val="0"/>
      <w:divBdr>
        <w:top w:val="none" w:sz="0" w:space="0" w:color="auto"/>
        <w:left w:val="none" w:sz="0" w:space="0" w:color="auto"/>
        <w:bottom w:val="none" w:sz="0" w:space="0" w:color="auto"/>
        <w:right w:val="none" w:sz="0" w:space="0" w:color="auto"/>
      </w:divBdr>
    </w:div>
    <w:div w:id="586234150">
      <w:marLeft w:val="0"/>
      <w:marRight w:val="0"/>
      <w:marTop w:val="240"/>
      <w:marBottom w:val="0"/>
      <w:divBdr>
        <w:top w:val="none" w:sz="0" w:space="0" w:color="auto"/>
        <w:left w:val="none" w:sz="0" w:space="0" w:color="auto"/>
        <w:bottom w:val="none" w:sz="0" w:space="0" w:color="auto"/>
        <w:right w:val="none" w:sz="0" w:space="0" w:color="auto"/>
      </w:divBdr>
    </w:div>
    <w:div w:id="588199347">
      <w:marLeft w:val="0"/>
      <w:marRight w:val="0"/>
      <w:marTop w:val="60"/>
      <w:marBottom w:val="0"/>
      <w:divBdr>
        <w:top w:val="none" w:sz="0" w:space="0" w:color="auto"/>
        <w:left w:val="none" w:sz="0" w:space="0" w:color="auto"/>
        <w:bottom w:val="none" w:sz="0" w:space="0" w:color="auto"/>
        <w:right w:val="none" w:sz="0" w:space="0" w:color="auto"/>
      </w:divBdr>
    </w:div>
    <w:div w:id="589702188">
      <w:marLeft w:val="0"/>
      <w:marRight w:val="0"/>
      <w:marTop w:val="300"/>
      <w:marBottom w:val="0"/>
      <w:divBdr>
        <w:top w:val="none" w:sz="0" w:space="0" w:color="auto"/>
        <w:left w:val="none" w:sz="0" w:space="0" w:color="auto"/>
        <w:bottom w:val="none" w:sz="0" w:space="0" w:color="auto"/>
        <w:right w:val="none" w:sz="0" w:space="0" w:color="auto"/>
      </w:divBdr>
    </w:div>
    <w:div w:id="591280266">
      <w:marLeft w:val="0"/>
      <w:marRight w:val="0"/>
      <w:marTop w:val="300"/>
      <w:marBottom w:val="0"/>
      <w:divBdr>
        <w:top w:val="none" w:sz="0" w:space="0" w:color="auto"/>
        <w:left w:val="none" w:sz="0" w:space="0" w:color="auto"/>
        <w:bottom w:val="none" w:sz="0" w:space="0" w:color="auto"/>
        <w:right w:val="none" w:sz="0" w:space="0" w:color="auto"/>
      </w:divBdr>
    </w:div>
    <w:div w:id="593787038">
      <w:marLeft w:val="0"/>
      <w:marRight w:val="0"/>
      <w:marTop w:val="120"/>
      <w:marBottom w:val="0"/>
      <w:divBdr>
        <w:top w:val="none" w:sz="0" w:space="0" w:color="auto"/>
        <w:left w:val="none" w:sz="0" w:space="0" w:color="auto"/>
        <w:bottom w:val="none" w:sz="0" w:space="0" w:color="auto"/>
        <w:right w:val="none" w:sz="0" w:space="0" w:color="auto"/>
      </w:divBdr>
    </w:div>
    <w:div w:id="596522892">
      <w:marLeft w:val="0"/>
      <w:marRight w:val="0"/>
      <w:marTop w:val="0"/>
      <w:marBottom w:val="0"/>
      <w:divBdr>
        <w:top w:val="none" w:sz="0" w:space="0" w:color="auto"/>
        <w:left w:val="none" w:sz="0" w:space="0" w:color="auto"/>
        <w:bottom w:val="none" w:sz="0" w:space="0" w:color="auto"/>
        <w:right w:val="none" w:sz="0" w:space="0" w:color="auto"/>
      </w:divBdr>
    </w:div>
    <w:div w:id="600451521">
      <w:marLeft w:val="0"/>
      <w:marRight w:val="0"/>
      <w:marTop w:val="0"/>
      <w:marBottom w:val="0"/>
      <w:divBdr>
        <w:top w:val="none" w:sz="0" w:space="0" w:color="auto"/>
        <w:left w:val="none" w:sz="0" w:space="0" w:color="auto"/>
        <w:bottom w:val="none" w:sz="0" w:space="0" w:color="auto"/>
        <w:right w:val="none" w:sz="0" w:space="0" w:color="auto"/>
      </w:divBdr>
      <w:divsChild>
        <w:div w:id="840437765">
          <w:marLeft w:val="0"/>
          <w:marRight w:val="0"/>
          <w:marTop w:val="0"/>
          <w:marBottom w:val="0"/>
          <w:divBdr>
            <w:top w:val="none" w:sz="0" w:space="0" w:color="auto"/>
            <w:left w:val="none" w:sz="0" w:space="0" w:color="auto"/>
            <w:bottom w:val="none" w:sz="0" w:space="0" w:color="auto"/>
            <w:right w:val="none" w:sz="0" w:space="0" w:color="auto"/>
          </w:divBdr>
          <w:divsChild>
            <w:div w:id="86023898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01186664">
      <w:marLeft w:val="0"/>
      <w:marRight w:val="0"/>
      <w:marTop w:val="240"/>
      <w:marBottom w:val="0"/>
      <w:divBdr>
        <w:top w:val="none" w:sz="0" w:space="0" w:color="auto"/>
        <w:left w:val="none" w:sz="0" w:space="0" w:color="auto"/>
        <w:bottom w:val="none" w:sz="0" w:space="0" w:color="auto"/>
        <w:right w:val="none" w:sz="0" w:space="0" w:color="auto"/>
      </w:divBdr>
    </w:div>
    <w:div w:id="601647513">
      <w:marLeft w:val="0"/>
      <w:marRight w:val="0"/>
      <w:marTop w:val="240"/>
      <w:marBottom w:val="0"/>
      <w:divBdr>
        <w:top w:val="none" w:sz="0" w:space="0" w:color="auto"/>
        <w:left w:val="none" w:sz="0" w:space="0" w:color="auto"/>
        <w:bottom w:val="none" w:sz="0" w:space="0" w:color="auto"/>
        <w:right w:val="none" w:sz="0" w:space="0" w:color="auto"/>
      </w:divBdr>
    </w:div>
    <w:div w:id="601957688">
      <w:marLeft w:val="0"/>
      <w:marRight w:val="0"/>
      <w:marTop w:val="240"/>
      <w:marBottom w:val="0"/>
      <w:divBdr>
        <w:top w:val="none" w:sz="0" w:space="0" w:color="auto"/>
        <w:left w:val="none" w:sz="0" w:space="0" w:color="auto"/>
        <w:bottom w:val="none" w:sz="0" w:space="0" w:color="auto"/>
        <w:right w:val="none" w:sz="0" w:space="0" w:color="auto"/>
      </w:divBdr>
    </w:div>
    <w:div w:id="602952959">
      <w:marLeft w:val="0"/>
      <w:marRight w:val="0"/>
      <w:marTop w:val="240"/>
      <w:marBottom w:val="0"/>
      <w:divBdr>
        <w:top w:val="none" w:sz="0" w:space="0" w:color="auto"/>
        <w:left w:val="none" w:sz="0" w:space="0" w:color="auto"/>
        <w:bottom w:val="none" w:sz="0" w:space="0" w:color="auto"/>
        <w:right w:val="none" w:sz="0" w:space="0" w:color="auto"/>
      </w:divBdr>
    </w:div>
    <w:div w:id="611059117">
      <w:marLeft w:val="0"/>
      <w:marRight w:val="0"/>
      <w:marTop w:val="120"/>
      <w:marBottom w:val="0"/>
      <w:divBdr>
        <w:top w:val="none" w:sz="0" w:space="0" w:color="auto"/>
        <w:left w:val="none" w:sz="0" w:space="0" w:color="auto"/>
        <w:bottom w:val="none" w:sz="0" w:space="0" w:color="auto"/>
        <w:right w:val="none" w:sz="0" w:space="0" w:color="auto"/>
      </w:divBdr>
    </w:div>
    <w:div w:id="614413294">
      <w:marLeft w:val="0"/>
      <w:marRight w:val="0"/>
      <w:marTop w:val="240"/>
      <w:marBottom w:val="0"/>
      <w:divBdr>
        <w:top w:val="none" w:sz="0" w:space="0" w:color="auto"/>
        <w:left w:val="none" w:sz="0" w:space="0" w:color="auto"/>
        <w:bottom w:val="none" w:sz="0" w:space="0" w:color="auto"/>
        <w:right w:val="none" w:sz="0" w:space="0" w:color="auto"/>
      </w:divBdr>
    </w:div>
    <w:div w:id="614748012">
      <w:marLeft w:val="0"/>
      <w:marRight w:val="0"/>
      <w:marTop w:val="0"/>
      <w:marBottom w:val="0"/>
      <w:divBdr>
        <w:top w:val="none" w:sz="0" w:space="0" w:color="auto"/>
        <w:left w:val="none" w:sz="0" w:space="0" w:color="auto"/>
        <w:bottom w:val="none" w:sz="0" w:space="0" w:color="auto"/>
        <w:right w:val="none" w:sz="0" w:space="0" w:color="auto"/>
      </w:divBdr>
      <w:divsChild>
        <w:div w:id="819881101">
          <w:marLeft w:val="0"/>
          <w:marRight w:val="0"/>
          <w:marTop w:val="0"/>
          <w:marBottom w:val="0"/>
          <w:divBdr>
            <w:top w:val="none" w:sz="0" w:space="0" w:color="auto"/>
            <w:left w:val="none" w:sz="0" w:space="0" w:color="auto"/>
            <w:bottom w:val="none" w:sz="0" w:space="0" w:color="auto"/>
            <w:right w:val="none" w:sz="0" w:space="0" w:color="auto"/>
          </w:divBdr>
          <w:divsChild>
            <w:div w:id="16308581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15409373">
      <w:marLeft w:val="0"/>
      <w:marRight w:val="0"/>
      <w:marTop w:val="120"/>
      <w:marBottom w:val="0"/>
      <w:divBdr>
        <w:top w:val="none" w:sz="0" w:space="0" w:color="auto"/>
        <w:left w:val="none" w:sz="0" w:space="0" w:color="auto"/>
        <w:bottom w:val="none" w:sz="0" w:space="0" w:color="auto"/>
        <w:right w:val="none" w:sz="0" w:space="0" w:color="auto"/>
      </w:divBdr>
    </w:div>
    <w:div w:id="615723077">
      <w:marLeft w:val="0"/>
      <w:marRight w:val="0"/>
      <w:marTop w:val="240"/>
      <w:marBottom w:val="0"/>
      <w:divBdr>
        <w:top w:val="none" w:sz="0" w:space="0" w:color="auto"/>
        <w:left w:val="none" w:sz="0" w:space="0" w:color="auto"/>
        <w:bottom w:val="none" w:sz="0" w:space="0" w:color="auto"/>
        <w:right w:val="none" w:sz="0" w:space="0" w:color="auto"/>
      </w:divBdr>
    </w:div>
    <w:div w:id="616986509">
      <w:marLeft w:val="0"/>
      <w:marRight w:val="0"/>
      <w:marTop w:val="60"/>
      <w:marBottom w:val="0"/>
      <w:divBdr>
        <w:top w:val="none" w:sz="0" w:space="0" w:color="auto"/>
        <w:left w:val="none" w:sz="0" w:space="0" w:color="auto"/>
        <w:bottom w:val="none" w:sz="0" w:space="0" w:color="auto"/>
        <w:right w:val="none" w:sz="0" w:space="0" w:color="auto"/>
      </w:divBdr>
    </w:div>
    <w:div w:id="618295827">
      <w:marLeft w:val="0"/>
      <w:marRight w:val="0"/>
      <w:marTop w:val="0"/>
      <w:marBottom w:val="0"/>
      <w:divBdr>
        <w:top w:val="none" w:sz="0" w:space="0" w:color="auto"/>
        <w:left w:val="none" w:sz="0" w:space="0" w:color="auto"/>
        <w:bottom w:val="none" w:sz="0" w:space="0" w:color="auto"/>
        <w:right w:val="none" w:sz="0" w:space="0" w:color="auto"/>
      </w:divBdr>
      <w:divsChild>
        <w:div w:id="1650792994">
          <w:marLeft w:val="0"/>
          <w:marRight w:val="0"/>
          <w:marTop w:val="0"/>
          <w:marBottom w:val="0"/>
          <w:divBdr>
            <w:top w:val="none" w:sz="0" w:space="0" w:color="auto"/>
            <w:left w:val="none" w:sz="0" w:space="0" w:color="auto"/>
            <w:bottom w:val="none" w:sz="0" w:space="0" w:color="auto"/>
            <w:right w:val="none" w:sz="0" w:space="0" w:color="auto"/>
          </w:divBdr>
          <w:divsChild>
            <w:div w:id="13810061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18335922">
      <w:marLeft w:val="0"/>
      <w:marRight w:val="0"/>
      <w:marTop w:val="0"/>
      <w:marBottom w:val="0"/>
      <w:divBdr>
        <w:top w:val="none" w:sz="0" w:space="0" w:color="auto"/>
        <w:left w:val="none" w:sz="0" w:space="0" w:color="auto"/>
        <w:bottom w:val="none" w:sz="0" w:space="0" w:color="auto"/>
        <w:right w:val="none" w:sz="0" w:space="0" w:color="auto"/>
      </w:divBdr>
      <w:divsChild>
        <w:div w:id="1822042366">
          <w:marLeft w:val="0"/>
          <w:marRight w:val="0"/>
          <w:marTop w:val="0"/>
          <w:marBottom w:val="0"/>
          <w:divBdr>
            <w:top w:val="none" w:sz="0" w:space="0" w:color="auto"/>
            <w:left w:val="none" w:sz="0" w:space="0" w:color="auto"/>
            <w:bottom w:val="none" w:sz="0" w:space="0" w:color="auto"/>
            <w:right w:val="none" w:sz="0" w:space="0" w:color="auto"/>
          </w:divBdr>
        </w:div>
      </w:divsChild>
    </w:div>
    <w:div w:id="619147754">
      <w:marLeft w:val="0"/>
      <w:marRight w:val="0"/>
      <w:marTop w:val="240"/>
      <w:marBottom w:val="0"/>
      <w:divBdr>
        <w:top w:val="none" w:sz="0" w:space="0" w:color="auto"/>
        <w:left w:val="none" w:sz="0" w:space="0" w:color="auto"/>
        <w:bottom w:val="none" w:sz="0" w:space="0" w:color="auto"/>
        <w:right w:val="none" w:sz="0" w:space="0" w:color="auto"/>
      </w:divBdr>
    </w:div>
    <w:div w:id="620383460">
      <w:marLeft w:val="0"/>
      <w:marRight w:val="0"/>
      <w:marTop w:val="340"/>
      <w:marBottom w:val="0"/>
      <w:divBdr>
        <w:top w:val="none" w:sz="0" w:space="0" w:color="auto"/>
        <w:left w:val="none" w:sz="0" w:space="0" w:color="auto"/>
        <w:bottom w:val="none" w:sz="0" w:space="0" w:color="auto"/>
        <w:right w:val="none" w:sz="0" w:space="0" w:color="auto"/>
      </w:divBdr>
      <w:divsChild>
        <w:div w:id="1333608647">
          <w:marLeft w:val="0"/>
          <w:marRight w:val="0"/>
          <w:marTop w:val="0"/>
          <w:marBottom w:val="0"/>
          <w:divBdr>
            <w:top w:val="none" w:sz="0" w:space="0" w:color="auto"/>
            <w:left w:val="none" w:sz="0" w:space="0" w:color="auto"/>
            <w:bottom w:val="none" w:sz="0" w:space="0" w:color="auto"/>
            <w:right w:val="none" w:sz="0" w:space="0" w:color="auto"/>
          </w:divBdr>
        </w:div>
      </w:divsChild>
    </w:div>
    <w:div w:id="620578275">
      <w:marLeft w:val="0"/>
      <w:marRight w:val="0"/>
      <w:marTop w:val="160"/>
      <w:marBottom w:val="0"/>
      <w:divBdr>
        <w:top w:val="none" w:sz="0" w:space="0" w:color="auto"/>
        <w:left w:val="none" w:sz="0" w:space="0" w:color="auto"/>
        <w:bottom w:val="none" w:sz="0" w:space="0" w:color="auto"/>
        <w:right w:val="none" w:sz="0" w:space="0" w:color="auto"/>
      </w:divBdr>
    </w:div>
    <w:div w:id="624234431">
      <w:marLeft w:val="0"/>
      <w:marRight w:val="0"/>
      <w:marTop w:val="0"/>
      <w:marBottom w:val="0"/>
      <w:divBdr>
        <w:top w:val="none" w:sz="0" w:space="0" w:color="auto"/>
        <w:left w:val="none" w:sz="0" w:space="0" w:color="auto"/>
        <w:bottom w:val="none" w:sz="0" w:space="0" w:color="auto"/>
        <w:right w:val="none" w:sz="0" w:space="0" w:color="auto"/>
      </w:divBdr>
      <w:divsChild>
        <w:div w:id="2024747950">
          <w:marLeft w:val="0"/>
          <w:marRight w:val="0"/>
          <w:marTop w:val="0"/>
          <w:marBottom w:val="0"/>
          <w:divBdr>
            <w:top w:val="none" w:sz="0" w:space="0" w:color="auto"/>
            <w:left w:val="none" w:sz="0" w:space="0" w:color="auto"/>
            <w:bottom w:val="none" w:sz="0" w:space="0" w:color="auto"/>
            <w:right w:val="none" w:sz="0" w:space="0" w:color="auto"/>
          </w:divBdr>
        </w:div>
      </w:divsChild>
    </w:div>
    <w:div w:id="625627958">
      <w:marLeft w:val="0"/>
      <w:marRight w:val="0"/>
      <w:marTop w:val="240"/>
      <w:marBottom w:val="0"/>
      <w:divBdr>
        <w:top w:val="none" w:sz="0" w:space="0" w:color="auto"/>
        <w:left w:val="none" w:sz="0" w:space="0" w:color="auto"/>
        <w:bottom w:val="none" w:sz="0" w:space="0" w:color="auto"/>
        <w:right w:val="none" w:sz="0" w:space="0" w:color="auto"/>
      </w:divBdr>
    </w:div>
    <w:div w:id="627661099">
      <w:marLeft w:val="0"/>
      <w:marRight w:val="0"/>
      <w:marTop w:val="200"/>
      <w:marBottom w:val="0"/>
      <w:divBdr>
        <w:top w:val="none" w:sz="0" w:space="0" w:color="auto"/>
        <w:left w:val="none" w:sz="0" w:space="0" w:color="auto"/>
        <w:bottom w:val="none" w:sz="0" w:space="0" w:color="auto"/>
        <w:right w:val="none" w:sz="0" w:space="0" w:color="auto"/>
      </w:divBdr>
    </w:div>
    <w:div w:id="630522333">
      <w:marLeft w:val="0"/>
      <w:marRight w:val="0"/>
      <w:marTop w:val="60"/>
      <w:marBottom w:val="0"/>
      <w:divBdr>
        <w:top w:val="none" w:sz="0" w:space="0" w:color="auto"/>
        <w:left w:val="none" w:sz="0" w:space="0" w:color="auto"/>
        <w:bottom w:val="none" w:sz="0" w:space="0" w:color="auto"/>
        <w:right w:val="none" w:sz="0" w:space="0" w:color="auto"/>
      </w:divBdr>
    </w:div>
    <w:div w:id="631181260">
      <w:marLeft w:val="0"/>
      <w:marRight w:val="0"/>
      <w:marTop w:val="0"/>
      <w:marBottom w:val="0"/>
      <w:divBdr>
        <w:top w:val="none" w:sz="0" w:space="0" w:color="auto"/>
        <w:left w:val="none" w:sz="0" w:space="0" w:color="auto"/>
        <w:bottom w:val="none" w:sz="0" w:space="0" w:color="auto"/>
        <w:right w:val="none" w:sz="0" w:space="0" w:color="auto"/>
      </w:divBdr>
    </w:div>
    <w:div w:id="632056778">
      <w:marLeft w:val="0"/>
      <w:marRight w:val="0"/>
      <w:marTop w:val="0"/>
      <w:marBottom w:val="0"/>
      <w:divBdr>
        <w:top w:val="none" w:sz="0" w:space="0" w:color="auto"/>
        <w:left w:val="none" w:sz="0" w:space="0" w:color="auto"/>
        <w:bottom w:val="none" w:sz="0" w:space="0" w:color="auto"/>
        <w:right w:val="none" w:sz="0" w:space="0" w:color="auto"/>
      </w:divBdr>
      <w:divsChild>
        <w:div w:id="139618159">
          <w:marLeft w:val="0"/>
          <w:marRight w:val="0"/>
          <w:marTop w:val="0"/>
          <w:marBottom w:val="0"/>
          <w:divBdr>
            <w:top w:val="none" w:sz="0" w:space="0" w:color="auto"/>
            <w:left w:val="none" w:sz="0" w:space="0" w:color="auto"/>
            <w:bottom w:val="none" w:sz="0" w:space="0" w:color="auto"/>
            <w:right w:val="none" w:sz="0" w:space="0" w:color="auto"/>
          </w:divBdr>
          <w:divsChild>
            <w:div w:id="4505867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33871580">
      <w:marLeft w:val="0"/>
      <w:marRight w:val="0"/>
      <w:marTop w:val="240"/>
      <w:marBottom w:val="0"/>
      <w:divBdr>
        <w:top w:val="none" w:sz="0" w:space="0" w:color="auto"/>
        <w:left w:val="none" w:sz="0" w:space="0" w:color="auto"/>
        <w:bottom w:val="none" w:sz="0" w:space="0" w:color="auto"/>
        <w:right w:val="none" w:sz="0" w:space="0" w:color="auto"/>
      </w:divBdr>
    </w:div>
    <w:div w:id="635137181">
      <w:marLeft w:val="0"/>
      <w:marRight w:val="0"/>
      <w:marTop w:val="240"/>
      <w:marBottom w:val="0"/>
      <w:divBdr>
        <w:top w:val="none" w:sz="0" w:space="0" w:color="auto"/>
        <w:left w:val="none" w:sz="0" w:space="0" w:color="auto"/>
        <w:bottom w:val="none" w:sz="0" w:space="0" w:color="auto"/>
        <w:right w:val="none" w:sz="0" w:space="0" w:color="auto"/>
      </w:divBdr>
    </w:div>
    <w:div w:id="636027472">
      <w:marLeft w:val="0"/>
      <w:marRight w:val="0"/>
      <w:marTop w:val="240"/>
      <w:marBottom w:val="0"/>
      <w:divBdr>
        <w:top w:val="none" w:sz="0" w:space="0" w:color="auto"/>
        <w:left w:val="none" w:sz="0" w:space="0" w:color="auto"/>
        <w:bottom w:val="none" w:sz="0" w:space="0" w:color="auto"/>
        <w:right w:val="none" w:sz="0" w:space="0" w:color="auto"/>
      </w:divBdr>
    </w:div>
    <w:div w:id="637496121">
      <w:marLeft w:val="0"/>
      <w:marRight w:val="0"/>
      <w:marTop w:val="240"/>
      <w:marBottom w:val="0"/>
      <w:divBdr>
        <w:top w:val="none" w:sz="0" w:space="0" w:color="auto"/>
        <w:left w:val="none" w:sz="0" w:space="0" w:color="auto"/>
        <w:bottom w:val="none" w:sz="0" w:space="0" w:color="auto"/>
        <w:right w:val="none" w:sz="0" w:space="0" w:color="auto"/>
      </w:divBdr>
    </w:div>
    <w:div w:id="637884865">
      <w:marLeft w:val="0"/>
      <w:marRight w:val="0"/>
      <w:marTop w:val="120"/>
      <w:marBottom w:val="0"/>
      <w:divBdr>
        <w:top w:val="none" w:sz="0" w:space="0" w:color="auto"/>
        <w:left w:val="none" w:sz="0" w:space="0" w:color="auto"/>
        <w:bottom w:val="none" w:sz="0" w:space="0" w:color="auto"/>
        <w:right w:val="none" w:sz="0" w:space="0" w:color="auto"/>
      </w:divBdr>
    </w:div>
    <w:div w:id="640309534">
      <w:marLeft w:val="0"/>
      <w:marRight w:val="0"/>
      <w:marTop w:val="100"/>
      <w:marBottom w:val="0"/>
      <w:divBdr>
        <w:top w:val="none" w:sz="0" w:space="0" w:color="auto"/>
        <w:left w:val="none" w:sz="0" w:space="0" w:color="auto"/>
        <w:bottom w:val="none" w:sz="0" w:space="0" w:color="auto"/>
        <w:right w:val="none" w:sz="0" w:space="0" w:color="auto"/>
      </w:divBdr>
    </w:div>
    <w:div w:id="643975209">
      <w:marLeft w:val="0"/>
      <w:marRight w:val="0"/>
      <w:marTop w:val="240"/>
      <w:marBottom w:val="0"/>
      <w:divBdr>
        <w:top w:val="none" w:sz="0" w:space="0" w:color="auto"/>
        <w:left w:val="none" w:sz="0" w:space="0" w:color="auto"/>
        <w:bottom w:val="none" w:sz="0" w:space="0" w:color="auto"/>
        <w:right w:val="none" w:sz="0" w:space="0" w:color="auto"/>
      </w:divBdr>
    </w:div>
    <w:div w:id="646251774">
      <w:marLeft w:val="0"/>
      <w:marRight w:val="0"/>
      <w:marTop w:val="0"/>
      <w:marBottom w:val="0"/>
      <w:divBdr>
        <w:top w:val="none" w:sz="0" w:space="0" w:color="auto"/>
        <w:left w:val="none" w:sz="0" w:space="0" w:color="auto"/>
        <w:bottom w:val="none" w:sz="0" w:space="0" w:color="auto"/>
        <w:right w:val="none" w:sz="0" w:space="0" w:color="auto"/>
      </w:divBdr>
      <w:divsChild>
        <w:div w:id="1189829105">
          <w:marLeft w:val="0"/>
          <w:marRight w:val="0"/>
          <w:marTop w:val="0"/>
          <w:marBottom w:val="0"/>
          <w:divBdr>
            <w:top w:val="none" w:sz="0" w:space="0" w:color="auto"/>
            <w:left w:val="none" w:sz="0" w:space="0" w:color="auto"/>
            <w:bottom w:val="none" w:sz="0" w:space="0" w:color="auto"/>
            <w:right w:val="none" w:sz="0" w:space="0" w:color="auto"/>
          </w:divBdr>
        </w:div>
      </w:divsChild>
    </w:div>
    <w:div w:id="648443740">
      <w:marLeft w:val="0"/>
      <w:marRight w:val="0"/>
      <w:marTop w:val="100"/>
      <w:marBottom w:val="0"/>
      <w:divBdr>
        <w:top w:val="none" w:sz="0" w:space="0" w:color="auto"/>
        <w:left w:val="none" w:sz="0" w:space="0" w:color="auto"/>
        <w:bottom w:val="none" w:sz="0" w:space="0" w:color="auto"/>
        <w:right w:val="none" w:sz="0" w:space="0" w:color="auto"/>
      </w:divBdr>
      <w:divsChild>
        <w:div w:id="1099132700">
          <w:marLeft w:val="0"/>
          <w:marRight w:val="0"/>
          <w:marTop w:val="0"/>
          <w:marBottom w:val="0"/>
          <w:divBdr>
            <w:top w:val="none" w:sz="0" w:space="0" w:color="auto"/>
            <w:left w:val="none" w:sz="0" w:space="0" w:color="auto"/>
            <w:bottom w:val="none" w:sz="0" w:space="0" w:color="auto"/>
            <w:right w:val="none" w:sz="0" w:space="0" w:color="auto"/>
          </w:divBdr>
        </w:div>
        <w:div w:id="778527531">
          <w:marLeft w:val="0"/>
          <w:marRight w:val="0"/>
          <w:marTop w:val="0"/>
          <w:marBottom w:val="0"/>
          <w:divBdr>
            <w:top w:val="none" w:sz="0" w:space="0" w:color="auto"/>
            <w:left w:val="none" w:sz="0" w:space="0" w:color="auto"/>
            <w:bottom w:val="none" w:sz="0" w:space="0" w:color="auto"/>
            <w:right w:val="none" w:sz="0" w:space="0" w:color="auto"/>
          </w:divBdr>
        </w:div>
        <w:div w:id="263848673">
          <w:marLeft w:val="0"/>
          <w:marRight w:val="0"/>
          <w:marTop w:val="0"/>
          <w:marBottom w:val="0"/>
          <w:divBdr>
            <w:top w:val="none" w:sz="0" w:space="0" w:color="auto"/>
            <w:left w:val="none" w:sz="0" w:space="0" w:color="auto"/>
            <w:bottom w:val="none" w:sz="0" w:space="0" w:color="auto"/>
            <w:right w:val="none" w:sz="0" w:space="0" w:color="auto"/>
          </w:divBdr>
        </w:div>
        <w:div w:id="1950115605">
          <w:marLeft w:val="0"/>
          <w:marRight w:val="0"/>
          <w:marTop w:val="0"/>
          <w:marBottom w:val="0"/>
          <w:divBdr>
            <w:top w:val="none" w:sz="0" w:space="0" w:color="auto"/>
            <w:left w:val="none" w:sz="0" w:space="0" w:color="auto"/>
            <w:bottom w:val="none" w:sz="0" w:space="0" w:color="auto"/>
            <w:right w:val="none" w:sz="0" w:space="0" w:color="auto"/>
          </w:divBdr>
        </w:div>
      </w:divsChild>
    </w:div>
    <w:div w:id="648678993">
      <w:marLeft w:val="0"/>
      <w:marRight w:val="0"/>
      <w:marTop w:val="0"/>
      <w:marBottom w:val="0"/>
      <w:divBdr>
        <w:top w:val="none" w:sz="0" w:space="0" w:color="auto"/>
        <w:left w:val="none" w:sz="0" w:space="0" w:color="auto"/>
        <w:bottom w:val="none" w:sz="0" w:space="0" w:color="auto"/>
        <w:right w:val="none" w:sz="0" w:space="0" w:color="auto"/>
      </w:divBdr>
      <w:divsChild>
        <w:div w:id="49034491">
          <w:marLeft w:val="0"/>
          <w:marRight w:val="0"/>
          <w:marTop w:val="0"/>
          <w:marBottom w:val="0"/>
          <w:divBdr>
            <w:top w:val="none" w:sz="0" w:space="0" w:color="auto"/>
            <w:left w:val="none" w:sz="0" w:space="0" w:color="auto"/>
            <w:bottom w:val="none" w:sz="0" w:space="0" w:color="auto"/>
            <w:right w:val="none" w:sz="0" w:space="0" w:color="auto"/>
          </w:divBdr>
        </w:div>
      </w:divsChild>
    </w:div>
    <w:div w:id="651717792">
      <w:marLeft w:val="0"/>
      <w:marRight w:val="0"/>
      <w:marTop w:val="180"/>
      <w:marBottom w:val="0"/>
      <w:divBdr>
        <w:top w:val="none" w:sz="0" w:space="0" w:color="auto"/>
        <w:left w:val="none" w:sz="0" w:space="0" w:color="auto"/>
        <w:bottom w:val="none" w:sz="0" w:space="0" w:color="auto"/>
        <w:right w:val="none" w:sz="0" w:space="0" w:color="auto"/>
      </w:divBdr>
    </w:div>
    <w:div w:id="654605607">
      <w:marLeft w:val="0"/>
      <w:marRight w:val="0"/>
      <w:marTop w:val="140"/>
      <w:marBottom w:val="0"/>
      <w:divBdr>
        <w:top w:val="none" w:sz="0" w:space="0" w:color="auto"/>
        <w:left w:val="none" w:sz="0" w:space="0" w:color="auto"/>
        <w:bottom w:val="none" w:sz="0" w:space="0" w:color="auto"/>
        <w:right w:val="none" w:sz="0" w:space="0" w:color="auto"/>
      </w:divBdr>
    </w:div>
    <w:div w:id="657224035">
      <w:marLeft w:val="0"/>
      <w:marRight w:val="0"/>
      <w:marTop w:val="240"/>
      <w:marBottom w:val="0"/>
      <w:divBdr>
        <w:top w:val="none" w:sz="0" w:space="0" w:color="auto"/>
        <w:left w:val="none" w:sz="0" w:space="0" w:color="auto"/>
        <w:bottom w:val="none" w:sz="0" w:space="0" w:color="auto"/>
        <w:right w:val="none" w:sz="0" w:space="0" w:color="auto"/>
      </w:divBdr>
    </w:div>
    <w:div w:id="657266161">
      <w:marLeft w:val="0"/>
      <w:marRight w:val="0"/>
      <w:marTop w:val="0"/>
      <w:marBottom w:val="0"/>
      <w:divBdr>
        <w:top w:val="none" w:sz="0" w:space="0" w:color="auto"/>
        <w:left w:val="none" w:sz="0" w:space="0" w:color="auto"/>
        <w:bottom w:val="none" w:sz="0" w:space="0" w:color="auto"/>
        <w:right w:val="none" w:sz="0" w:space="0" w:color="auto"/>
      </w:divBdr>
      <w:divsChild>
        <w:div w:id="1953589396">
          <w:marLeft w:val="0"/>
          <w:marRight w:val="0"/>
          <w:marTop w:val="0"/>
          <w:marBottom w:val="0"/>
          <w:divBdr>
            <w:top w:val="none" w:sz="0" w:space="0" w:color="auto"/>
            <w:left w:val="none" w:sz="0" w:space="0" w:color="auto"/>
            <w:bottom w:val="none" w:sz="0" w:space="0" w:color="auto"/>
            <w:right w:val="none" w:sz="0" w:space="0" w:color="auto"/>
          </w:divBdr>
          <w:divsChild>
            <w:div w:id="1183013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57348366">
      <w:marLeft w:val="0"/>
      <w:marRight w:val="0"/>
      <w:marTop w:val="140"/>
      <w:marBottom w:val="0"/>
      <w:divBdr>
        <w:top w:val="none" w:sz="0" w:space="0" w:color="auto"/>
        <w:left w:val="none" w:sz="0" w:space="0" w:color="auto"/>
        <w:bottom w:val="none" w:sz="0" w:space="0" w:color="auto"/>
        <w:right w:val="none" w:sz="0" w:space="0" w:color="auto"/>
      </w:divBdr>
    </w:div>
    <w:div w:id="658273551">
      <w:marLeft w:val="0"/>
      <w:marRight w:val="0"/>
      <w:marTop w:val="240"/>
      <w:marBottom w:val="0"/>
      <w:divBdr>
        <w:top w:val="none" w:sz="0" w:space="0" w:color="auto"/>
        <w:left w:val="none" w:sz="0" w:space="0" w:color="auto"/>
        <w:bottom w:val="none" w:sz="0" w:space="0" w:color="auto"/>
        <w:right w:val="none" w:sz="0" w:space="0" w:color="auto"/>
      </w:divBdr>
    </w:div>
    <w:div w:id="659116749">
      <w:marLeft w:val="0"/>
      <w:marRight w:val="0"/>
      <w:marTop w:val="240"/>
      <w:marBottom w:val="0"/>
      <w:divBdr>
        <w:top w:val="none" w:sz="0" w:space="0" w:color="auto"/>
        <w:left w:val="none" w:sz="0" w:space="0" w:color="auto"/>
        <w:bottom w:val="none" w:sz="0" w:space="0" w:color="auto"/>
        <w:right w:val="none" w:sz="0" w:space="0" w:color="auto"/>
      </w:divBdr>
    </w:div>
    <w:div w:id="662008156">
      <w:marLeft w:val="0"/>
      <w:marRight w:val="0"/>
      <w:marTop w:val="200"/>
      <w:marBottom w:val="0"/>
      <w:divBdr>
        <w:top w:val="none" w:sz="0" w:space="0" w:color="auto"/>
        <w:left w:val="none" w:sz="0" w:space="0" w:color="auto"/>
        <w:bottom w:val="none" w:sz="0" w:space="0" w:color="auto"/>
        <w:right w:val="none" w:sz="0" w:space="0" w:color="auto"/>
      </w:divBdr>
    </w:div>
    <w:div w:id="662660537">
      <w:marLeft w:val="0"/>
      <w:marRight w:val="0"/>
      <w:marTop w:val="0"/>
      <w:marBottom w:val="0"/>
      <w:divBdr>
        <w:top w:val="none" w:sz="0" w:space="0" w:color="auto"/>
        <w:left w:val="none" w:sz="0" w:space="0" w:color="auto"/>
        <w:bottom w:val="none" w:sz="0" w:space="0" w:color="auto"/>
        <w:right w:val="none" w:sz="0" w:space="0" w:color="auto"/>
      </w:divBdr>
    </w:div>
    <w:div w:id="664011693">
      <w:marLeft w:val="0"/>
      <w:marRight w:val="0"/>
      <w:marTop w:val="240"/>
      <w:marBottom w:val="0"/>
      <w:divBdr>
        <w:top w:val="none" w:sz="0" w:space="0" w:color="auto"/>
        <w:left w:val="none" w:sz="0" w:space="0" w:color="auto"/>
        <w:bottom w:val="none" w:sz="0" w:space="0" w:color="auto"/>
        <w:right w:val="none" w:sz="0" w:space="0" w:color="auto"/>
      </w:divBdr>
    </w:div>
    <w:div w:id="665861040">
      <w:marLeft w:val="0"/>
      <w:marRight w:val="0"/>
      <w:marTop w:val="240"/>
      <w:marBottom w:val="0"/>
      <w:divBdr>
        <w:top w:val="none" w:sz="0" w:space="0" w:color="auto"/>
        <w:left w:val="none" w:sz="0" w:space="0" w:color="auto"/>
        <w:bottom w:val="none" w:sz="0" w:space="0" w:color="auto"/>
        <w:right w:val="none" w:sz="0" w:space="0" w:color="auto"/>
      </w:divBdr>
    </w:div>
    <w:div w:id="668488451">
      <w:marLeft w:val="0"/>
      <w:marRight w:val="0"/>
      <w:marTop w:val="120"/>
      <w:marBottom w:val="0"/>
      <w:divBdr>
        <w:top w:val="none" w:sz="0" w:space="0" w:color="auto"/>
        <w:left w:val="none" w:sz="0" w:space="0" w:color="auto"/>
        <w:bottom w:val="none" w:sz="0" w:space="0" w:color="auto"/>
        <w:right w:val="none" w:sz="0" w:space="0" w:color="auto"/>
      </w:divBdr>
    </w:div>
    <w:div w:id="669481151">
      <w:marLeft w:val="0"/>
      <w:marRight w:val="0"/>
      <w:marTop w:val="300"/>
      <w:marBottom w:val="0"/>
      <w:divBdr>
        <w:top w:val="none" w:sz="0" w:space="0" w:color="auto"/>
        <w:left w:val="none" w:sz="0" w:space="0" w:color="auto"/>
        <w:bottom w:val="none" w:sz="0" w:space="0" w:color="auto"/>
        <w:right w:val="none" w:sz="0" w:space="0" w:color="auto"/>
      </w:divBdr>
    </w:div>
    <w:div w:id="669796451">
      <w:marLeft w:val="0"/>
      <w:marRight w:val="0"/>
      <w:marTop w:val="240"/>
      <w:marBottom w:val="0"/>
      <w:divBdr>
        <w:top w:val="none" w:sz="0" w:space="0" w:color="auto"/>
        <w:left w:val="none" w:sz="0" w:space="0" w:color="auto"/>
        <w:bottom w:val="none" w:sz="0" w:space="0" w:color="auto"/>
        <w:right w:val="none" w:sz="0" w:space="0" w:color="auto"/>
      </w:divBdr>
    </w:div>
    <w:div w:id="670914227">
      <w:marLeft w:val="0"/>
      <w:marRight w:val="0"/>
      <w:marTop w:val="240"/>
      <w:marBottom w:val="0"/>
      <w:divBdr>
        <w:top w:val="none" w:sz="0" w:space="0" w:color="auto"/>
        <w:left w:val="none" w:sz="0" w:space="0" w:color="auto"/>
        <w:bottom w:val="none" w:sz="0" w:space="0" w:color="auto"/>
        <w:right w:val="none" w:sz="0" w:space="0" w:color="auto"/>
      </w:divBdr>
    </w:div>
    <w:div w:id="674920169">
      <w:marLeft w:val="0"/>
      <w:marRight w:val="0"/>
      <w:marTop w:val="240"/>
      <w:marBottom w:val="0"/>
      <w:divBdr>
        <w:top w:val="none" w:sz="0" w:space="0" w:color="auto"/>
        <w:left w:val="none" w:sz="0" w:space="0" w:color="auto"/>
        <w:bottom w:val="none" w:sz="0" w:space="0" w:color="auto"/>
        <w:right w:val="none" w:sz="0" w:space="0" w:color="auto"/>
      </w:divBdr>
    </w:div>
    <w:div w:id="677847222">
      <w:marLeft w:val="0"/>
      <w:marRight w:val="0"/>
      <w:marTop w:val="120"/>
      <w:marBottom w:val="0"/>
      <w:divBdr>
        <w:top w:val="none" w:sz="0" w:space="0" w:color="auto"/>
        <w:left w:val="none" w:sz="0" w:space="0" w:color="auto"/>
        <w:bottom w:val="none" w:sz="0" w:space="0" w:color="auto"/>
        <w:right w:val="none" w:sz="0" w:space="0" w:color="auto"/>
      </w:divBdr>
    </w:div>
    <w:div w:id="680278983">
      <w:marLeft w:val="0"/>
      <w:marRight w:val="0"/>
      <w:marTop w:val="60"/>
      <w:marBottom w:val="0"/>
      <w:divBdr>
        <w:top w:val="none" w:sz="0" w:space="0" w:color="auto"/>
        <w:left w:val="none" w:sz="0" w:space="0" w:color="auto"/>
        <w:bottom w:val="none" w:sz="0" w:space="0" w:color="auto"/>
        <w:right w:val="none" w:sz="0" w:space="0" w:color="auto"/>
      </w:divBdr>
    </w:div>
    <w:div w:id="681317358">
      <w:marLeft w:val="0"/>
      <w:marRight w:val="0"/>
      <w:marTop w:val="160"/>
      <w:marBottom w:val="0"/>
      <w:divBdr>
        <w:top w:val="none" w:sz="0" w:space="0" w:color="auto"/>
        <w:left w:val="none" w:sz="0" w:space="0" w:color="auto"/>
        <w:bottom w:val="none" w:sz="0" w:space="0" w:color="auto"/>
        <w:right w:val="none" w:sz="0" w:space="0" w:color="auto"/>
      </w:divBdr>
      <w:divsChild>
        <w:div w:id="1626619129">
          <w:marLeft w:val="0"/>
          <w:marRight w:val="0"/>
          <w:marTop w:val="0"/>
          <w:marBottom w:val="0"/>
          <w:divBdr>
            <w:top w:val="none" w:sz="0" w:space="0" w:color="auto"/>
            <w:left w:val="none" w:sz="0" w:space="0" w:color="auto"/>
            <w:bottom w:val="none" w:sz="0" w:space="0" w:color="auto"/>
            <w:right w:val="none" w:sz="0" w:space="0" w:color="auto"/>
          </w:divBdr>
        </w:div>
        <w:div w:id="857890056">
          <w:marLeft w:val="0"/>
          <w:marRight w:val="0"/>
          <w:marTop w:val="0"/>
          <w:marBottom w:val="0"/>
          <w:divBdr>
            <w:top w:val="none" w:sz="0" w:space="0" w:color="auto"/>
            <w:left w:val="none" w:sz="0" w:space="0" w:color="auto"/>
            <w:bottom w:val="none" w:sz="0" w:space="0" w:color="auto"/>
            <w:right w:val="none" w:sz="0" w:space="0" w:color="auto"/>
          </w:divBdr>
        </w:div>
        <w:div w:id="413862325">
          <w:marLeft w:val="0"/>
          <w:marRight w:val="0"/>
          <w:marTop w:val="0"/>
          <w:marBottom w:val="0"/>
          <w:divBdr>
            <w:top w:val="none" w:sz="0" w:space="0" w:color="auto"/>
            <w:left w:val="none" w:sz="0" w:space="0" w:color="auto"/>
            <w:bottom w:val="none" w:sz="0" w:space="0" w:color="auto"/>
            <w:right w:val="none" w:sz="0" w:space="0" w:color="auto"/>
          </w:divBdr>
        </w:div>
      </w:divsChild>
    </w:div>
    <w:div w:id="682436156">
      <w:marLeft w:val="0"/>
      <w:marRight w:val="0"/>
      <w:marTop w:val="0"/>
      <w:marBottom w:val="0"/>
      <w:divBdr>
        <w:top w:val="none" w:sz="0" w:space="0" w:color="auto"/>
        <w:left w:val="none" w:sz="0" w:space="0" w:color="auto"/>
        <w:bottom w:val="none" w:sz="0" w:space="0" w:color="auto"/>
        <w:right w:val="none" w:sz="0" w:space="0" w:color="auto"/>
      </w:divBdr>
      <w:divsChild>
        <w:div w:id="1127163811">
          <w:marLeft w:val="0"/>
          <w:marRight w:val="0"/>
          <w:marTop w:val="0"/>
          <w:marBottom w:val="0"/>
          <w:divBdr>
            <w:top w:val="none" w:sz="0" w:space="0" w:color="auto"/>
            <w:left w:val="none" w:sz="0" w:space="0" w:color="auto"/>
            <w:bottom w:val="none" w:sz="0" w:space="0" w:color="auto"/>
            <w:right w:val="none" w:sz="0" w:space="0" w:color="auto"/>
          </w:divBdr>
          <w:divsChild>
            <w:div w:id="28727385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82634907">
      <w:marLeft w:val="0"/>
      <w:marRight w:val="0"/>
      <w:marTop w:val="240"/>
      <w:marBottom w:val="0"/>
      <w:divBdr>
        <w:top w:val="none" w:sz="0" w:space="0" w:color="auto"/>
        <w:left w:val="none" w:sz="0" w:space="0" w:color="auto"/>
        <w:bottom w:val="none" w:sz="0" w:space="0" w:color="auto"/>
        <w:right w:val="none" w:sz="0" w:space="0" w:color="auto"/>
      </w:divBdr>
    </w:div>
    <w:div w:id="684358962">
      <w:marLeft w:val="0"/>
      <w:marRight w:val="0"/>
      <w:marTop w:val="140"/>
      <w:marBottom w:val="0"/>
      <w:divBdr>
        <w:top w:val="none" w:sz="0" w:space="0" w:color="auto"/>
        <w:left w:val="none" w:sz="0" w:space="0" w:color="auto"/>
        <w:bottom w:val="none" w:sz="0" w:space="0" w:color="auto"/>
        <w:right w:val="none" w:sz="0" w:space="0" w:color="auto"/>
      </w:divBdr>
    </w:div>
    <w:div w:id="685837110">
      <w:marLeft w:val="0"/>
      <w:marRight w:val="0"/>
      <w:marTop w:val="240"/>
      <w:marBottom w:val="0"/>
      <w:divBdr>
        <w:top w:val="none" w:sz="0" w:space="0" w:color="auto"/>
        <w:left w:val="none" w:sz="0" w:space="0" w:color="auto"/>
        <w:bottom w:val="none" w:sz="0" w:space="0" w:color="auto"/>
        <w:right w:val="none" w:sz="0" w:space="0" w:color="auto"/>
      </w:divBdr>
    </w:div>
    <w:div w:id="686713320">
      <w:marLeft w:val="0"/>
      <w:marRight w:val="0"/>
      <w:marTop w:val="240"/>
      <w:marBottom w:val="0"/>
      <w:divBdr>
        <w:top w:val="none" w:sz="0" w:space="0" w:color="auto"/>
        <w:left w:val="none" w:sz="0" w:space="0" w:color="auto"/>
        <w:bottom w:val="none" w:sz="0" w:space="0" w:color="auto"/>
        <w:right w:val="none" w:sz="0" w:space="0" w:color="auto"/>
      </w:divBdr>
    </w:div>
    <w:div w:id="687489304">
      <w:marLeft w:val="0"/>
      <w:marRight w:val="0"/>
      <w:marTop w:val="240"/>
      <w:marBottom w:val="0"/>
      <w:divBdr>
        <w:top w:val="none" w:sz="0" w:space="0" w:color="auto"/>
        <w:left w:val="none" w:sz="0" w:space="0" w:color="auto"/>
        <w:bottom w:val="none" w:sz="0" w:space="0" w:color="auto"/>
        <w:right w:val="none" w:sz="0" w:space="0" w:color="auto"/>
      </w:divBdr>
    </w:div>
    <w:div w:id="689071196">
      <w:marLeft w:val="0"/>
      <w:marRight w:val="0"/>
      <w:marTop w:val="300"/>
      <w:marBottom w:val="0"/>
      <w:divBdr>
        <w:top w:val="none" w:sz="0" w:space="0" w:color="auto"/>
        <w:left w:val="none" w:sz="0" w:space="0" w:color="auto"/>
        <w:bottom w:val="none" w:sz="0" w:space="0" w:color="auto"/>
        <w:right w:val="none" w:sz="0" w:space="0" w:color="auto"/>
      </w:divBdr>
    </w:div>
    <w:div w:id="690642962">
      <w:marLeft w:val="0"/>
      <w:marRight w:val="0"/>
      <w:marTop w:val="240"/>
      <w:marBottom w:val="0"/>
      <w:divBdr>
        <w:top w:val="none" w:sz="0" w:space="0" w:color="auto"/>
        <w:left w:val="none" w:sz="0" w:space="0" w:color="auto"/>
        <w:bottom w:val="none" w:sz="0" w:space="0" w:color="auto"/>
        <w:right w:val="none" w:sz="0" w:space="0" w:color="auto"/>
      </w:divBdr>
    </w:div>
    <w:div w:id="691031836">
      <w:marLeft w:val="0"/>
      <w:marRight w:val="0"/>
      <w:marTop w:val="240"/>
      <w:marBottom w:val="0"/>
      <w:divBdr>
        <w:top w:val="none" w:sz="0" w:space="0" w:color="auto"/>
        <w:left w:val="none" w:sz="0" w:space="0" w:color="auto"/>
        <w:bottom w:val="none" w:sz="0" w:space="0" w:color="auto"/>
        <w:right w:val="none" w:sz="0" w:space="0" w:color="auto"/>
      </w:divBdr>
    </w:div>
    <w:div w:id="693579144">
      <w:marLeft w:val="0"/>
      <w:marRight w:val="0"/>
      <w:marTop w:val="240"/>
      <w:marBottom w:val="0"/>
      <w:divBdr>
        <w:top w:val="none" w:sz="0" w:space="0" w:color="auto"/>
        <w:left w:val="none" w:sz="0" w:space="0" w:color="auto"/>
        <w:bottom w:val="none" w:sz="0" w:space="0" w:color="auto"/>
        <w:right w:val="none" w:sz="0" w:space="0" w:color="auto"/>
      </w:divBdr>
    </w:div>
    <w:div w:id="697702233">
      <w:marLeft w:val="0"/>
      <w:marRight w:val="0"/>
      <w:marTop w:val="60"/>
      <w:marBottom w:val="240"/>
      <w:divBdr>
        <w:top w:val="none" w:sz="0" w:space="0" w:color="auto"/>
        <w:left w:val="none" w:sz="0" w:space="0" w:color="auto"/>
        <w:bottom w:val="none" w:sz="0" w:space="0" w:color="auto"/>
        <w:right w:val="none" w:sz="0" w:space="0" w:color="auto"/>
      </w:divBdr>
    </w:div>
    <w:div w:id="698090671">
      <w:marLeft w:val="0"/>
      <w:marRight w:val="0"/>
      <w:marTop w:val="120"/>
      <w:marBottom w:val="0"/>
      <w:divBdr>
        <w:top w:val="none" w:sz="0" w:space="0" w:color="auto"/>
        <w:left w:val="none" w:sz="0" w:space="0" w:color="auto"/>
        <w:bottom w:val="none" w:sz="0" w:space="0" w:color="auto"/>
        <w:right w:val="none" w:sz="0" w:space="0" w:color="auto"/>
      </w:divBdr>
    </w:div>
    <w:div w:id="702487150">
      <w:marLeft w:val="0"/>
      <w:marRight w:val="0"/>
      <w:marTop w:val="0"/>
      <w:marBottom w:val="0"/>
      <w:divBdr>
        <w:top w:val="none" w:sz="0" w:space="0" w:color="auto"/>
        <w:left w:val="none" w:sz="0" w:space="0" w:color="auto"/>
        <w:bottom w:val="none" w:sz="0" w:space="0" w:color="auto"/>
        <w:right w:val="none" w:sz="0" w:space="0" w:color="auto"/>
      </w:divBdr>
      <w:divsChild>
        <w:div w:id="562451299">
          <w:marLeft w:val="0"/>
          <w:marRight w:val="0"/>
          <w:marTop w:val="0"/>
          <w:marBottom w:val="0"/>
          <w:divBdr>
            <w:top w:val="none" w:sz="0" w:space="0" w:color="auto"/>
            <w:left w:val="none" w:sz="0" w:space="0" w:color="auto"/>
            <w:bottom w:val="none" w:sz="0" w:space="0" w:color="auto"/>
            <w:right w:val="none" w:sz="0" w:space="0" w:color="auto"/>
          </w:divBdr>
          <w:divsChild>
            <w:div w:id="17364674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03361633">
      <w:marLeft w:val="0"/>
      <w:marRight w:val="0"/>
      <w:marTop w:val="0"/>
      <w:marBottom w:val="0"/>
      <w:divBdr>
        <w:top w:val="none" w:sz="0" w:space="0" w:color="auto"/>
        <w:left w:val="none" w:sz="0" w:space="0" w:color="auto"/>
        <w:bottom w:val="none" w:sz="0" w:space="0" w:color="auto"/>
        <w:right w:val="none" w:sz="0" w:space="0" w:color="auto"/>
      </w:divBdr>
      <w:divsChild>
        <w:div w:id="1730415301">
          <w:marLeft w:val="0"/>
          <w:marRight w:val="0"/>
          <w:marTop w:val="0"/>
          <w:marBottom w:val="0"/>
          <w:divBdr>
            <w:top w:val="none" w:sz="0" w:space="0" w:color="auto"/>
            <w:left w:val="none" w:sz="0" w:space="0" w:color="auto"/>
            <w:bottom w:val="none" w:sz="0" w:space="0" w:color="auto"/>
            <w:right w:val="none" w:sz="0" w:space="0" w:color="auto"/>
          </w:divBdr>
        </w:div>
      </w:divsChild>
    </w:div>
    <w:div w:id="703746831">
      <w:marLeft w:val="0"/>
      <w:marRight w:val="0"/>
      <w:marTop w:val="160"/>
      <w:marBottom w:val="0"/>
      <w:divBdr>
        <w:top w:val="none" w:sz="0" w:space="0" w:color="auto"/>
        <w:left w:val="none" w:sz="0" w:space="0" w:color="auto"/>
        <w:bottom w:val="none" w:sz="0" w:space="0" w:color="auto"/>
        <w:right w:val="none" w:sz="0" w:space="0" w:color="auto"/>
      </w:divBdr>
    </w:div>
    <w:div w:id="704332122">
      <w:marLeft w:val="0"/>
      <w:marRight w:val="0"/>
      <w:marTop w:val="240"/>
      <w:marBottom w:val="0"/>
      <w:divBdr>
        <w:top w:val="none" w:sz="0" w:space="0" w:color="auto"/>
        <w:left w:val="none" w:sz="0" w:space="0" w:color="auto"/>
        <w:bottom w:val="none" w:sz="0" w:space="0" w:color="auto"/>
        <w:right w:val="none" w:sz="0" w:space="0" w:color="auto"/>
      </w:divBdr>
    </w:div>
    <w:div w:id="705183492">
      <w:marLeft w:val="0"/>
      <w:marRight w:val="0"/>
      <w:marTop w:val="0"/>
      <w:marBottom w:val="0"/>
      <w:divBdr>
        <w:top w:val="none" w:sz="0" w:space="0" w:color="auto"/>
        <w:left w:val="none" w:sz="0" w:space="0" w:color="auto"/>
        <w:bottom w:val="none" w:sz="0" w:space="0" w:color="auto"/>
        <w:right w:val="none" w:sz="0" w:space="0" w:color="auto"/>
      </w:divBdr>
    </w:div>
    <w:div w:id="706830245">
      <w:marLeft w:val="0"/>
      <w:marRight w:val="0"/>
      <w:marTop w:val="240"/>
      <w:marBottom w:val="240"/>
      <w:divBdr>
        <w:top w:val="none" w:sz="0" w:space="0" w:color="auto"/>
        <w:left w:val="none" w:sz="0" w:space="0" w:color="auto"/>
        <w:bottom w:val="none" w:sz="0" w:space="0" w:color="auto"/>
        <w:right w:val="none" w:sz="0" w:space="0" w:color="auto"/>
      </w:divBdr>
    </w:div>
    <w:div w:id="706835142">
      <w:marLeft w:val="0"/>
      <w:marRight w:val="0"/>
      <w:marTop w:val="0"/>
      <w:marBottom w:val="120"/>
      <w:divBdr>
        <w:top w:val="none" w:sz="0" w:space="0" w:color="auto"/>
        <w:left w:val="none" w:sz="0" w:space="0" w:color="auto"/>
        <w:bottom w:val="none" w:sz="0" w:space="0" w:color="auto"/>
        <w:right w:val="none" w:sz="0" w:space="0" w:color="auto"/>
      </w:divBdr>
    </w:div>
    <w:div w:id="709648149">
      <w:marLeft w:val="0"/>
      <w:marRight w:val="0"/>
      <w:marTop w:val="270"/>
      <w:marBottom w:val="0"/>
      <w:divBdr>
        <w:top w:val="none" w:sz="0" w:space="0" w:color="auto"/>
        <w:left w:val="none" w:sz="0" w:space="0" w:color="auto"/>
        <w:bottom w:val="none" w:sz="0" w:space="0" w:color="auto"/>
        <w:right w:val="none" w:sz="0" w:space="0" w:color="auto"/>
      </w:divBdr>
    </w:div>
    <w:div w:id="709843926">
      <w:marLeft w:val="0"/>
      <w:marRight w:val="0"/>
      <w:marTop w:val="60"/>
      <w:marBottom w:val="0"/>
      <w:divBdr>
        <w:top w:val="none" w:sz="0" w:space="0" w:color="auto"/>
        <w:left w:val="none" w:sz="0" w:space="0" w:color="auto"/>
        <w:bottom w:val="none" w:sz="0" w:space="0" w:color="auto"/>
        <w:right w:val="none" w:sz="0" w:space="0" w:color="auto"/>
      </w:divBdr>
    </w:div>
    <w:div w:id="710689580">
      <w:marLeft w:val="0"/>
      <w:marRight w:val="0"/>
      <w:marTop w:val="240"/>
      <w:marBottom w:val="0"/>
      <w:divBdr>
        <w:top w:val="none" w:sz="0" w:space="0" w:color="auto"/>
        <w:left w:val="none" w:sz="0" w:space="0" w:color="auto"/>
        <w:bottom w:val="none" w:sz="0" w:space="0" w:color="auto"/>
        <w:right w:val="none" w:sz="0" w:space="0" w:color="auto"/>
      </w:divBdr>
    </w:div>
    <w:div w:id="711000418">
      <w:marLeft w:val="0"/>
      <w:marRight w:val="0"/>
      <w:marTop w:val="0"/>
      <w:marBottom w:val="0"/>
      <w:divBdr>
        <w:top w:val="none" w:sz="0" w:space="0" w:color="auto"/>
        <w:left w:val="none" w:sz="0" w:space="0" w:color="auto"/>
        <w:bottom w:val="none" w:sz="0" w:space="0" w:color="auto"/>
        <w:right w:val="none" w:sz="0" w:space="0" w:color="auto"/>
      </w:divBdr>
      <w:divsChild>
        <w:div w:id="1666281287">
          <w:marLeft w:val="0"/>
          <w:marRight w:val="0"/>
          <w:marTop w:val="0"/>
          <w:marBottom w:val="0"/>
          <w:divBdr>
            <w:top w:val="none" w:sz="0" w:space="0" w:color="auto"/>
            <w:left w:val="none" w:sz="0" w:space="0" w:color="auto"/>
            <w:bottom w:val="none" w:sz="0" w:space="0" w:color="auto"/>
            <w:right w:val="none" w:sz="0" w:space="0" w:color="auto"/>
          </w:divBdr>
        </w:div>
      </w:divsChild>
    </w:div>
    <w:div w:id="711658891">
      <w:marLeft w:val="0"/>
      <w:marRight w:val="0"/>
      <w:marTop w:val="240"/>
      <w:marBottom w:val="0"/>
      <w:divBdr>
        <w:top w:val="none" w:sz="0" w:space="0" w:color="auto"/>
        <w:left w:val="none" w:sz="0" w:space="0" w:color="auto"/>
        <w:bottom w:val="none" w:sz="0" w:space="0" w:color="auto"/>
        <w:right w:val="none" w:sz="0" w:space="0" w:color="auto"/>
      </w:divBdr>
    </w:div>
    <w:div w:id="712391653">
      <w:marLeft w:val="0"/>
      <w:marRight w:val="0"/>
      <w:marTop w:val="0"/>
      <w:marBottom w:val="0"/>
      <w:divBdr>
        <w:top w:val="none" w:sz="0" w:space="0" w:color="auto"/>
        <w:left w:val="none" w:sz="0" w:space="0" w:color="auto"/>
        <w:bottom w:val="none" w:sz="0" w:space="0" w:color="auto"/>
        <w:right w:val="none" w:sz="0" w:space="0" w:color="auto"/>
      </w:divBdr>
      <w:divsChild>
        <w:div w:id="722291408">
          <w:marLeft w:val="0"/>
          <w:marRight w:val="0"/>
          <w:marTop w:val="0"/>
          <w:marBottom w:val="0"/>
          <w:divBdr>
            <w:top w:val="none" w:sz="0" w:space="0" w:color="auto"/>
            <w:left w:val="none" w:sz="0" w:space="0" w:color="auto"/>
            <w:bottom w:val="none" w:sz="0" w:space="0" w:color="auto"/>
            <w:right w:val="none" w:sz="0" w:space="0" w:color="auto"/>
          </w:divBdr>
          <w:divsChild>
            <w:div w:id="11053465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12654815">
      <w:marLeft w:val="0"/>
      <w:marRight w:val="0"/>
      <w:marTop w:val="100"/>
      <w:marBottom w:val="0"/>
      <w:divBdr>
        <w:top w:val="none" w:sz="0" w:space="0" w:color="auto"/>
        <w:left w:val="none" w:sz="0" w:space="0" w:color="auto"/>
        <w:bottom w:val="none" w:sz="0" w:space="0" w:color="auto"/>
        <w:right w:val="none" w:sz="0" w:space="0" w:color="auto"/>
      </w:divBdr>
    </w:div>
    <w:div w:id="712846285">
      <w:marLeft w:val="0"/>
      <w:marRight w:val="0"/>
      <w:marTop w:val="180"/>
      <w:marBottom w:val="0"/>
      <w:divBdr>
        <w:top w:val="none" w:sz="0" w:space="0" w:color="auto"/>
        <w:left w:val="none" w:sz="0" w:space="0" w:color="auto"/>
        <w:bottom w:val="none" w:sz="0" w:space="0" w:color="auto"/>
        <w:right w:val="none" w:sz="0" w:space="0" w:color="auto"/>
      </w:divBdr>
    </w:div>
    <w:div w:id="713894310">
      <w:marLeft w:val="0"/>
      <w:marRight w:val="0"/>
      <w:marTop w:val="240"/>
      <w:marBottom w:val="0"/>
      <w:divBdr>
        <w:top w:val="none" w:sz="0" w:space="0" w:color="auto"/>
        <w:left w:val="none" w:sz="0" w:space="0" w:color="auto"/>
        <w:bottom w:val="none" w:sz="0" w:space="0" w:color="auto"/>
        <w:right w:val="none" w:sz="0" w:space="0" w:color="auto"/>
      </w:divBdr>
    </w:div>
    <w:div w:id="714278789">
      <w:marLeft w:val="0"/>
      <w:marRight w:val="0"/>
      <w:marTop w:val="60"/>
      <w:marBottom w:val="0"/>
      <w:divBdr>
        <w:top w:val="none" w:sz="0" w:space="0" w:color="auto"/>
        <w:left w:val="none" w:sz="0" w:space="0" w:color="auto"/>
        <w:bottom w:val="none" w:sz="0" w:space="0" w:color="auto"/>
        <w:right w:val="none" w:sz="0" w:space="0" w:color="auto"/>
      </w:divBdr>
    </w:div>
    <w:div w:id="715616597">
      <w:marLeft w:val="0"/>
      <w:marRight w:val="0"/>
      <w:marTop w:val="240"/>
      <w:marBottom w:val="0"/>
      <w:divBdr>
        <w:top w:val="none" w:sz="0" w:space="0" w:color="auto"/>
        <w:left w:val="none" w:sz="0" w:space="0" w:color="auto"/>
        <w:bottom w:val="none" w:sz="0" w:space="0" w:color="auto"/>
        <w:right w:val="none" w:sz="0" w:space="0" w:color="auto"/>
      </w:divBdr>
    </w:div>
    <w:div w:id="716006182">
      <w:marLeft w:val="0"/>
      <w:marRight w:val="0"/>
      <w:marTop w:val="240"/>
      <w:marBottom w:val="0"/>
      <w:divBdr>
        <w:top w:val="none" w:sz="0" w:space="0" w:color="auto"/>
        <w:left w:val="none" w:sz="0" w:space="0" w:color="auto"/>
        <w:bottom w:val="none" w:sz="0" w:space="0" w:color="auto"/>
        <w:right w:val="none" w:sz="0" w:space="0" w:color="auto"/>
      </w:divBdr>
    </w:div>
    <w:div w:id="716126784">
      <w:marLeft w:val="0"/>
      <w:marRight w:val="0"/>
      <w:marTop w:val="60"/>
      <w:marBottom w:val="0"/>
      <w:divBdr>
        <w:top w:val="none" w:sz="0" w:space="0" w:color="auto"/>
        <w:left w:val="none" w:sz="0" w:space="0" w:color="auto"/>
        <w:bottom w:val="none" w:sz="0" w:space="0" w:color="auto"/>
        <w:right w:val="none" w:sz="0" w:space="0" w:color="auto"/>
      </w:divBdr>
    </w:div>
    <w:div w:id="716272698">
      <w:marLeft w:val="0"/>
      <w:marRight w:val="0"/>
      <w:marTop w:val="240"/>
      <w:marBottom w:val="0"/>
      <w:divBdr>
        <w:top w:val="none" w:sz="0" w:space="0" w:color="auto"/>
        <w:left w:val="none" w:sz="0" w:space="0" w:color="auto"/>
        <w:bottom w:val="none" w:sz="0" w:space="0" w:color="auto"/>
        <w:right w:val="none" w:sz="0" w:space="0" w:color="auto"/>
      </w:divBdr>
    </w:div>
    <w:div w:id="717314502">
      <w:marLeft w:val="0"/>
      <w:marRight w:val="0"/>
      <w:marTop w:val="240"/>
      <w:marBottom w:val="0"/>
      <w:divBdr>
        <w:top w:val="none" w:sz="0" w:space="0" w:color="auto"/>
        <w:left w:val="none" w:sz="0" w:space="0" w:color="auto"/>
        <w:bottom w:val="none" w:sz="0" w:space="0" w:color="auto"/>
        <w:right w:val="none" w:sz="0" w:space="0" w:color="auto"/>
      </w:divBdr>
    </w:div>
    <w:div w:id="718936781">
      <w:marLeft w:val="0"/>
      <w:marRight w:val="0"/>
      <w:marTop w:val="240"/>
      <w:marBottom w:val="0"/>
      <w:divBdr>
        <w:top w:val="none" w:sz="0" w:space="0" w:color="auto"/>
        <w:left w:val="none" w:sz="0" w:space="0" w:color="auto"/>
        <w:bottom w:val="none" w:sz="0" w:space="0" w:color="auto"/>
        <w:right w:val="none" w:sz="0" w:space="0" w:color="auto"/>
      </w:divBdr>
    </w:div>
    <w:div w:id="719522342">
      <w:marLeft w:val="0"/>
      <w:marRight w:val="0"/>
      <w:marTop w:val="240"/>
      <w:marBottom w:val="0"/>
      <w:divBdr>
        <w:top w:val="none" w:sz="0" w:space="0" w:color="auto"/>
        <w:left w:val="none" w:sz="0" w:space="0" w:color="auto"/>
        <w:bottom w:val="none" w:sz="0" w:space="0" w:color="auto"/>
        <w:right w:val="none" w:sz="0" w:space="0" w:color="auto"/>
      </w:divBdr>
    </w:div>
    <w:div w:id="719672977">
      <w:marLeft w:val="0"/>
      <w:marRight w:val="0"/>
      <w:marTop w:val="240"/>
      <w:marBottom w:val="0"/>
      <w:divBdr>
        <w:top w:val="none" w:sz="0" w:space="0" w:color="auto"/>
        <w:left w:val="none" w:sz="0" w:space="0" w:color="auto"/>
        <w:bottom w:val="none" w:sz="0" w:space="0" w:color="auto"/>
        <w:right w:val="none" w:sz="0" w:space="0" w:color="auto"/>
      </w:divBdr>
    </w:div>
    <w:div w:id="722173657">
      <w:marLeft w:val="0"/>
      <w:marRight w:val="0"/>
      <w:marTop w:val="0"/>
      <w:marBottom w:val="60"/>
      <w:divBdr>
        <w:top w:val="none" w:sz="0" w:space="0" w:color="auto"/>
        <w:left w:val="none" w:sz="0" w:space="0" w:color="auto"/>
        <w:bottom w:val="none" w:sz="0" w:space="0" w:color="auto"/>
        <w:right w:val="none" w:sz="0" w:space="0" w:color="auto"/>
      </w:divBdr>
    </w:div>
    <w:div w:id="723023477">
      <w:marLeft w:val="0"/>
      <w:marRight w:val="0"/>
      <w:marTop w:val="240"/>
      <w:marBottom w:val="0"/>
      <w:divBdr>
        <w:top w:val="none" w:sz="0" w:space="0" w:color="auto"/>
        <w:left w:val="none" w:sz="0" w:space="0" w:color="auto"/>
        <w:bottom w:val="none" w:sz="0" w:space="0" w:color="auto"/>
        <w:right w:val="none" w:sz="0" w:space="0" w:color="auto"/>
      </w:divBdr>
    </w:div>
    <w:div w:id="724180709">
      <w:marLeft w:val="0"/>
      <w:marRight w:val="0"/>
      <w:marTop w:val="0"/>
      <w:marBottom w:val="0"/>
      <w:divBdr>
        <w:top w:val="none" w:sz="0" w:space="0" w:color="auto"/>
        <w:left w:val="none" w:sz="0" w:space="0" w:color="auto"/>
        <w:bottom w:val="none" w:sz="0" w:space="0" w:color="auto"/>
        <w:right w:val="none" w:sz="0" w:space="0" w:color="auto"/>
      </w:divBdr>
      <w:divsChild>
        <w:div w:id="20671970">
          <w:marLeft w:val="0"/>
          <w:marRight w:val="0"/>
          <w:marTop w:val="120"/>
          <w:marBottom w:val="0"/>
          <w:divBdr>
            <w:top w:val="none" w:sz="0" w:space="0" w:color="auto"/>
            <w:left w:val="none" w:sz="0" w:space="0" w:color="auto"/>
            <w:bottom w:val="none" w:sz="0" w:space="0" w:color="auto"/>
            <w:right w:val="none" w:sz="0" w:space="0" w:color="auto"/>
          </w:divBdr>
        </w:div>
      </w:divsChild>
    </w:div>
    <w:div w:id="724643997">
      <w:marLeft w:val="0"/>
      <w:marRight w:val="0"/>
      <w:marTop w:val="240"/>
      <w:marBottom w:val="0"/>
      <w:divBdr>
        <w:top w:val="none" w:sz="0" w:space="0" w:color="auto"/>
        <w:left w:val="none" w:sz="0" w:space="0" w:color="auto"/>
        <w:bottom w:val="none" w:sz="0" w:space="0" w:color="auto"/>
        <w:right w:val="none" w:sz="0" w:space="0" w:color="auto"/>
      </w:divBdr>
    </w:div>
    <w:div w:id="726030479">
      <w:marLeft w:val="0"/>
      <w:marRight w:val="0"/>
      <w:marTop w:val="240"/>
      <w:marBottom w:val="0"/>
      <w:divBdr>
        <w:top w:val="none" w:sz="0" w:space="0" w:color="auto"/>
        <w:left w:val="none" w:sz="0" w:space="0" w:color="auto"/>
        <w:bottom w:val="none" w:sz="0" w:space="0" w:color="auto"/>
        <w:right w:val="none" w:sz="0" w:space="0" w:color="auto"/>
      </w:divBdr>
    </w:div>
    <w:div w:id="727341304">
      <w:marLeft w:val="0"/>
      <w:marRight w:val="0"/>
      <w:marTop w:val="0"/>
      <w:marBottom w:val="0"/>
      <w:divBdr>
        <w:top w:val="none" w:sz="0" w:space="0" w:color="auto"/>
        <w:left w:val="none" w:sz="0" w:space="0" w:color="auto"/>
        <w:bottom w:val="none" w:sz="0" w:space="0" w:color="auto"/>
        <w:right w:val="none" w:sz="0" w:space="0" w:color="auto"/>
      </w:divBdr>
      <w:divsChild>
        <w:div w:id="117912764">
          <w:marLeft w:val="0"/>
          <w:marRight w:val="0"/>
          <w:marTop w:val="0"/>
          <w:marBottom w:val="0"/>
          <w:divBdr>
            <w:top w:val="none" w:sz="0" w:space="0" w:color="auto"/>
            <w:left w:val="none" w:sz="0" w:space="0" w:color="auto"/>
            <w:bottom w:val="none" w:sz="0" w:space="0" w:color="auto"/>
            <w:right w:val="none" w:sz="0" w:space="0" w:color="auto"/>
          </w:divBdr>
        </w:div>
      </w:divsChild>
    </w:div>
    <w:div w:id="727732086">
      <w:marLeft w:val="0"/>
      <w:marRight w:val="0"/>
      <w:marTop w:val="240"/>
      <w:marBottom w:val="0"/>
      <w:divBdr>
        <w:top w:val="none" w:sz="0" w:space="0" w:color="auto"/>
        <w:left w:val="none" w:sz="0" w:space="0" w:color="auto"/>
        <w:bottom w:val="none" w:sz="0" w:space="0" w:color="auto"/>
        <w:right w:val="none" w:sz="0" w:space="0" w:color="auto"/>
      </w:divBdr>
    </w:div>
    <w:div w:id="728261610">
      <w:marLeft w:val="0"/>
      <w:marRight w:val="0"/>
      <w:marTop w:val="180"/>
      <w:marBottom w:val="120"/>
      <w:divBdr>
        <w:top w:val="none" w:sz="0" w:space="0" w:color="auto"/>
        <w:left w:val="none" w:sz="0" w:space="0" w:color="auto"/>
        <w:bottom w:val="none" w:sz="0" w:space="0" w:color="auto"/>
        <w:right w:val="none" w:sz="0" w:space="0" w:color="auto"/>
      </w:divBdr>
    </w:div>
    <w:div w:id="729811024">
      <w:marLeft w:val="0"/>
      <w:marRight w:val="0"/>
      <w:marTop w:val="240"/>
      <w:marBottom w:val="0"/>
      <w:divBdr>
        <w:top w:val="none" w:sz="0" w:space="0" w:color="auto"/>
        <w:left w:val="none" w:sz="0" w:space="0" w:color="auto"/>
        <w:bottom w:val="none" w:sz="0" w:space="0" w:color="auto"/>
        <w:right w:val="none" w:sz="0" w:space="0" w:color="auto"/>
      </w:divBdr>
    </w:div>
    <w:div w:id="731464660">
      <w:marLeft w:val="0"/>
      <w:marRight w:val="0"/>
      <w:marTop w:val="240"/>
      <w:marBottom w:val="0"/>
      <w:divBdr>
        <w:top w:val="none" w:sz="0" w:space="0" w:color="auto"/>
        <w:left w:val="none" w:sz="0" w:space="0" w:color="auto"/>
        <w:bottom w:val="none" w:sz="0" w:space="0" w:color="auto"/>
        <w:right w:val="none" w:sz="0" w:space="0" w:color="auto"/>
      </w:divBdr>
    </w:div>
    <w:div w:id="732388452">
      <w:marLeft w:val="0"/>
      <w:marRight w:val="0"/>
      <w:marTop w:val="240"/>
      <w:marBottom w:val="0"/>
      <w:divBdr>
        <w:top w:val="none" w:sz="0" w:space="0" w:color="auto"/>
        <w:left w:val="none" w:sz="0" w:space="0" w:color="auto"/>
        <w:bottom w:val="none" w:sz="0" w:space="0" w:color="auto"/>
        <w:right w:val="none" w:sz="0" w:space="0" w:color="auto"/>
      </w:divBdr>
    </w:div>
    <w:div w:id="733165641">
      <w:marLeft w:val="0"/>
      <w:marRight w:val="0"/>
      <w:marTop w:val="240"/>
      <w:marBottom w:val="0"/>
      <w:divBdr>
        <w:top w:val="none" w:sz="0" w:space="0" w:color="auto"/>
        <w:left w:val="none" w:sz="0" w:space="0" w:color="auto"/>
        <w:bottom w:val="none" w:sz="0" w:space="0" w:color="auto"/>
        <w:right w:val="none" w:sz="0" w:space="0" w:color="auto"/>
      </w:divBdr>
    </w:div>
    <w:div w:id="733167641">
      <w:marLeft w:val="0"/>
      <w:marRight w:val="0"/>
      <w:marTop w:val="0"/>
      <w:marBottom w:val="0"/>
      <w:divBdr>
        <w:top w:val="none" w:sz="0" w:space="0" w:color="auto"/>
        <w:left w:val="none" w:sz="0" w:space="0" w:color="auto"/>
        <w:bottom w:val="none" w:sz="0" w:space="0" w:color="auto"/>
        <w:right w:val="none" w:sz="0" w:space="0" w:color="auto"/>
      </w:divBdr>
      <w:divsChild>
        <w:div w:id="930891282">
          <w:marLeft w:val="0"/>
          <w:marRight w:val="0"/>
          <w:marTop w:val="0"/>
          <w:marBottom w:val="0"/>
          <w:divBdr>
            <w:top w:val="none" w:sz="0" w:space="0" w:color="auto"/>
            <w:left w:val="none" w:sz="0" w:space="0" w:color="auto"/>
            <w:bottom w:val="none" w:sz="0" w:space="0" w:color="auto"/>
            <w:right w:val="none" w:sz="0" w:space="0" w:color="auto"/>
          </w:divBdr>
          <w:divsChild>
            <w:div w:id="16606887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34742356">
      <w:marLeft w:val="0"/>
      <w:marRight w:val="0"/>
      <w:marTop w:val="240"/>
      <w:marBottom w:val="0"/>
      <w:divBdr>
        <w:top w:val="none" w:sz="0" w:space="0" w:color="auto"/>
        <w:left w:val="none" w:sz="0" w:space="0" w:color="auto"/>
        <w:bottom w:val="none" w:sz="0" w:space="0" w:color="auto"/>
        <w:right w:val="none" w:sz="0" w:space="0" w:color="auto"/>
      </w:divBdr>
    </w:div>
    <w:div w:id="735203437">
      <w:marLeft w:val="0"/>
      <w:marRight w:val="0"/>
      <w:marTop w:val="0"/>
      <w:marBottom w:val="0"/>
      <w:divBdr>
        <w:top w:val="none" w:sz="0" w:space="0" w:color="auto"/>
        <w:left w:val="none" w:sz="0" w:space="0" w:color="auto"/>
        <w:bottom w:val="none" w:sz="0" w:space="0" w:color="auto"/>
        <w:right w:val="none" w:sz="0" w:space="0" w:color="auto"/>
      </w:divBdr>
    </w:div>
    <w:div w:id="737677576">
      <w:marLeft w:val="0"/>
      <w:marRight w:val="0"/>
      <w:marTop w:val="240"/>
      <w:marBottom w:val="0"/>
      <w:divBdr>
        <w:top w:val="none" w:sz="0" w:space="0" w:color="auto"/>
        <w:left w:val="none" w:sz="0" w:space="0" w:color="auto"/>
        <w:bottom w:val="none" w:sz="0" w:space="0" w:color="auto"/>
        <w:right w:val="none" w:sz="0" w:space="0" w:color="auto"/>
      </w:divBdr>
    </w:div>
    <w:div w:id="738557400">
      <w:marLeft w:val="0"/>
      <w:marRight w:val="0"/>
      <w:marTop w:val="0"/>
      <w:marBottom w:val="0"/>
      <w:divBdr>
        <w:top w:val="none" w:sz="0" w:space="0" w:color="auto"/>
        <w:left w:val="none" w:sz="0" w:space="0" w:color="auto"/>
        <w:bottom w:val="none" w:sz="0" w:space="0" w:color="auto"/>
        <w:right w:val="none" w:sz="0" w:space="0" w:color="auto"/>
      </w:divBdr>
      <w:divsChild>
        <w:div w:id="1759522707">
          <w:marLeft w:val="0"/>
          <w:marRight w:val="0"/>
          <w:marTop w:val="0"/>
          <w:marBottom w:val="0"/>
          <w:divBdr>
            <w:top w:val="none" w:sz="0" w:space="0" w:color="auto"/>
            <w:left w:val="none" w:sz="0" w:space="0" w:color="auto"/>
            <w:bottom w:val="none" w:sz="0" w:space="0" w:color="auto"/>
            <w:right w:val="none" w:sz="0" w:space="0" w:color="auto"/>
          </w:divBdr>
        </w:div>
      </w:divsChild>
    </w:div>
    <w:div w:id="745151201">
      <w:marLeft w:val="0"/>
      <w:marRight w:val="0"/>
      <w:marTop w:val="240"/>
      <w:marBottom w:val="0"/>
      <w:divBdr>
        <w:top w:val="none" w:sz="0" w:space="0" w:color="auto"/>
        <w:left w:val="none" w:sz="0" w:space="0" w:color="auto"/>
        <w:bottom w:val="none" w:sz="0" w:space="0" w:color="auto"/>
        <w:right w:val="none" w:sz="0" w:space="0" w:color="auto"/>
      </w:divBdr>
    </w:div>
    <w:div w:id="746927235">
      <w:marLeft w:val="0"/>
      <w:marRight w:val="0"/>
      <w:marTop w:val="180"/>
      <w:marBottom w:val="0"/>
      <w:divBdr>
        <w:top w:val="none" w:sz="0" w:space="0" w:color="auto"/>
        <w:left w:val="none" w:sz="0" w:space="0" w:color="auto"/>
        <w:bottom w:val="none" w:sz="0" w:space="0" w:color="auto"/>
        <w:right w:val="none" w:sz="0" w:space="0" w:color="auto"/>
      </w:divBdr>
    </w:div>
    <w:div w:id="749814892">
      <w:marLeft w:val="0"/>
      <w:marRight w:val="0"/>
      <w:marTop w:val="240"/>
      <w:marBottom w:val="0"/>
      <w:divBdr>
        <w:top w:val="none" w:sz="0" w:space="0" w:color="auto"/>
        <w:left w:val="none" w:sz="0" w:space="0" w:color="auto"/>
        <w:bottom w:val="none" w:sz="0" w:space="0" w:color="auto"/>
        <w:right w:val="none" w:sz="0" w:space="0" w:color="auto"/>
      </w:divBdr>
    </w:div>
    <w:div w:id="751851020">
      <w:marLeft w:val="0"/>
      <w:marRight w:val="0"/>
      <w:marTop w:val="240"/>
      <w:marBottom w:val="240"/>
      <w:divBdr>
        <w:top w:val="none" w:sz="0" w:space="0" w:color="auto"/>
        <w:left w:val="none" w:sz="0" w:space="0" w:color="auto"/>
        <w:bottom w:val="none" w:sz="0" w:space="0" w:color="auto"/>
        <w:right w:val="none" w:sz="0" w:space="0" w:color="auto"/>
      </w:divBdr>
    </w:div>
    <w:div w:id="752123278">
      <w:marLeft w:val="0"/>
      <w:marRight w:val="0"/>
      <w:marTop w:val="180"/>
      <w:marBottom w:val="0"/>
      <w:divBdr>
        <w:top w:val="none" w:sz="0" w:space="0" w:color="auto"/>
        <w:left w:val="none" w:sz="0" w:space="0" w:color="auto"/>
        <w:bottom w:val="none" w:sz="0" w:space="0" w:color="auto"/>
        <w:right w:val="none" w:sz="0" w:space="0" w:color="auto"/>
      </w:divBdr>
    </w:div>
    <w:div w:id="753863540">
      <w:marLeft w:val="0"/>
      <w:marRight w:val="0"/>
      <w:marTop w:val="240"/>
      <w:marBottom w:val="0"/>
      <w:divBdr>
        <w:top w:val="none" w:sz="0" w:space="0" w:color="auto"/>
        <w:left w:val="none" w:sz="0" w:space="0" w:color="auto"/>
        <w:bottom w:val="none" w:sz="0" w:space="0" w:color="auto"/>
        <w:right w:val="none" w:sz="0" w:space="0" w:color="auto"/>
      </w:divBdr>
    </w:div>
    <w:div w:id="754474356">
      <w:marLeft w:val="0"/>
      <w:marRight w:val="0"/>
      <w:marTop w:val="240"/>
      <w:marBottom w:val="0"/>
      <w:divBdr>
        <w:top w:val="none" w:sz="0" w:space="0" w:color="auto"/>
        <w:left w:val="none" w:sz="0" w:space="0" w:color="auto"/>
        <w:bottom w:val="none" w:sz="0" w:space="0" w:color="auto"/>
        <w:right w:val="none" w:sz="0" w:space="0" w:color="auto"/>
      </w:divBdr>
    </w:div>
    <w:div w:id="754592580">
      <w:marLeft w:val="0"/>
      <w:marRight w:val="0"/>
      <w:marTop w:val="0"/>
      <w:marBottom w:val="0"/>
      <w:divBdr>
        <w:top w:val="none" w:sz="0" w:space="0" w:color="auto"/>
        <w:left w:val="none" w:sz="0" w:space="0" w:color="auto"/>
        <w:bottom w:val="none" w:sz="0" w:space="0" w:color="auto"/>
        <w:right w:val="none" w:sz="0" w:space="0" w:color="auto"/>
      </w:divBdr>
      <w:divsChild>
        <w:div w:id="1342508848">
          <w:marLeft w:val="0"/>
          <w:marRight w:val="0"/>
          <w:marTop w:val="120"/>
          <w:marBottom w:val="0"/>
          <w:divBdr>
            <w:top w:val="none" w:sz="0" w:space="0" w:color="auto"/>
            <w:left w:val="none" w:sz="0" w:space="0" w:color="auto"/>
            <w:bottom w:val="none" w:sz="0" w:space="0" w:color="auto"/>
            <w:right w:val="none" w:sz="0" w:space="0" w:color="auto"/>
          </w:divBdr>
        </w:div>
      </w:divsChild>
    </w:div>
    <w:div w:id="756441502">
      <w:marLeft w:val="0"/>
      <w:marRight w:val="0"/>
      <w:marTop w:val="60"/>
      <w:marBottom w:val="0"/>
      <w:divBdr>
        <w:top w:val="none" w:sz="0" w:space="0" w:color="auto"/>
        <w:left w:val="none" w:sz="0" w:space="0" w:color="auto"/>
        <w:bottom w:val="none" w:sz="0" w:space="0" w:color="auto"/>
        <w:right w:val="none" w:sz="0" w:space="0" w:color="auto"/>
      </w:divBdr>
    </w:div>
    <w:div w:id="757098172">
      <w:marLeft w:val="0"/>
      <w:marRight w:val="0"/>
      <w:marTop w:val="240"/>
      <w:marBottom w:val="0"/>
      <w:divBdr>
        <w:top w:val="none" w:sz="0" w:space="0" w:color="auto"/>
        <w:left w:val="none" w:sz="0" w:space="0" w:color="auto"/>
        <w:bottom w:val="none" w:sz="0" w:space="0" w:color="auto"/>
        <w:right w:val="none" w:sz="0" w:space="0" w:color="auto"/>
      </w:divBdr>
    </w:div>
    <w:div w:id="757678254">
      <w:marLeft w:val="0"/>
      <w:marRight w:val="0"/>
      <w:marTop w:val="160"/>
      <w:marBottom w:val="0"/>
      <w:divBdr>
        <w:top w:val="none" w:sz="0" w:space="0" w:color="auto"/>
        <w:left w:val="none" w:sz="0" w:space="0" w:color="auto"/>
        <w:bottom w:val="none" w:sz="0" w:space="0" w:color="auto"/>
        <w:right w:val="none" w:sz="0" w:space="0" w:color="auto"/>
      </w:divBdr>
    </w:div>
    <w:div w:id="759714687">
      <w:marLeft w:val="0"/>
      <w:marRight w:val="0"/>
      <w:marTop w:val="120"/>
      <w:marBottom w:val="0"/>
      <w:divBdr>
        <w:top w:val="none" w:sz="0" w:space="0" w:color="auto"/>
        <w:left w:val="none" w:sz="0" w:space="0" w:color="auto"/>
        <w:bottom w:val="none" w:sz="0" w:space="0" w:color="auto"/>
        <w:right w:val="none" w:sz="0" w:space="0" w:color="auto"/>
      </w:divBdr>
    </w:div>
    <w:div w:id="761030057">
      <w:marLeft w:val="0"/>
      <w:marRight w:val="0"/>
      <w:marTop w:val="0"/>
      <w:marBottom w:val="0"/>
      <w:divBdr>
        <w:top w:val="none" w:sz="0" w:space="0" w:color="auto"/>
        <w:left w:val="none" w:sz="0" w:space="0" w:color="auto"/>
        <w:bottom w:val="none" w:sz="0" w:space="0" w:color="auto"/>
        <w:right w:val="none" w:sz="0" w:space="0" w:color="auto"/>
      </w:divBdr>
      <w:divsChild>
        <w:div w:id="1450125012">
          <w:marLeft w:val="0"/>
          <w:marRight w:val="0"/>
          <w:marTop w:val="0"/>
          <w:marBottom w:val="0"/>
          <w:divBdr>
            <w:top w:val="none" w:sz="0" w:space="0" w:color="auto"/>
            <w:left w:val="none" w:sz="0" w:space="0" w:color="auto"/>
            <w:bottom w:val="none" w:sz="0" w:space="0" w:color="auto"/>
            <w:right w:val="none" w:sz="0" w:space="0" w:color="auto"/>
          </w:divBdr>
        </w:div>
      </w:divsChild>
    </w:div>
    <w:div w:id="763451225">
      <w:marLeft w:val="0"/>
      <w:marRight w:val="0"/>
      <w:marTop w:val="240"/>
      <w:marBottom w:val="0"/>
      <w:divBdr>
        <w:top w:val="none" w:sz="0" w:space="0" w:color="auto"/>
        <w:left w:val="none" w:sz="0" w:space="0" w:color="auto"/>
        <w:bottom w:val="none" w:sz="0" w:space="0" w:color="auto"/>
        <w:right w:val="none" w:sz="0" w:space="0" w:color="auto"/>
      </w:divBdr>
    </w:div>
    <w:div w:id="764617033">
      <w:marLeft w:val="0"/>
      <w:marRight w:val="0"/>
      <w:marTop w:val="240"/>
      <w:marBottom w:val="0"/>
      <w:divBdr>
        <w:top w:val="none" w:sz="0" w:space="0" w:color="auto"/>
        <w:left w:val="none" w:sz="0" w:space="0" w:color="auto"/>
        <w:bottom w:val="none" w:sz="0" w:space="0" w:color="auto"/>
        <w:right w:val="none" w:sz="0" w:space="0" w:color="auto"/>
      </w:divBdr>
    </w:div>
    <w:div w:id="768038878">
      <w:marLeft w:val="0"/>
      <w:marRight w:val="0"/>
      <w:marTop w:val="220"/>
      <w:marBottom w:val="0"/>
      <w:divBdr>
        <w:top w:val="none" w:sz="0" w:space="0" w:color="auto"/>
        <w:left w:val="none" w:sz="0" w:space="0" w:color="auto"/>
        <w:bottom w:val="none" w:sz="0" w:space="0" w:color="auto"/>
        <w:right w:val="none" w:sz="0" w:space="0" w:color="auto"/>
      </w:divBdr>
    </w:div>
    <w:div w:id="771894847">
      <w:marLeft w:val="0"/>
      <w:marRight w:val="0"/>
      <w:marTop w:val="180"/>
      <w:marBottom w:val="0"/>
      <w:divBdr>
        <w:top w:val="none" w:sz="0" w:space="0" w:color="auto"/>
        <w:left w:val="none" w:sz="0" w:space="0" w:color="auto"/>
        <w:bottom w:val="none" w:sz="0" w:space="0" w:color="auto"/>
        <w:right w:val="none" w:sz="0" w:space="0" w:color="auto"/>
      </w:divBdr>
    </w:div>
    <w:div w:id="772242600">
      <w:marLeft w:val="0"/>
      <w:marRight w:val="0"/>
      <w:marTop w:val="240"/>
      <w:marBottom w:val="0"/>
      <w:divBdr>
        <w:top w:val="none" w:sz="0" w:space="0" w:color="auto"/>
        <w:left w:val="none" w:sz="0" w:space="0" w:color="auto"/>
        <w:bottom w:val="none" w:sz="0" w:space="0" w:color="auto"/>
        <w:right w:val="none" w:sz="0" w:space="0" w:color="auto"/>
      </w:divBdr>
    </w:div>
    <w:div w:id="772747908">
      <w:marLeft w:val="0"/>
      <w:marRight w:val="0"/>
      <w:marTop w:val="0"/>
      <w:marBottom w:val="0"/>
      <w:divBdr>
        <w:top w:val="none" w:sz="0" w:space="0" w:color="auto"/>
        <w:left w:val="none" w:sz="0" w:space="0" w:color="auto"/>
        <w:bottom w:val="none" w:sz="0" w:space="0" w:color="auto"/>
        <w:right w:val="none" w:sz="0" w:space="0" w:color="auto"/>
      </w:divBdr>
      <w:divsChild>
        <w:div w:id="306470543">
          <w:marLeft w:val="0"/>
          <w:marRight w:val="0"/>
          <w:marTop w:val="0"/>
          <w:marBottom w:val="0"/>
          <w:divBdr>
            <w:top w:val="none" w:sz="0" w:space="0" w:color="auto"/>
            <w:left w:val="none" w:sz="0" w:space="0" w:color="auto"/>
            <w:bottom w:val="none" w:sz="0" w:space="0" w:color="auto"/>
            <w:right w:val="none" w:sz="0" w:space="0" w:color="auto"/>
          </w:divBdr>
          <w:divsChild>
            <w:div w:id="13520317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73093630">
      <w:marLeft w:val="0"/>
      <w:marRight w:val="0"/>
      <w:marTop w:val="240"/>
      <w:marBottom w:val="0"/>
      <w:divBdr>
        <w:top w:val="none" w:sz="0" w:space="0" w:color="auto"/>
        <w:left w:val="none" w:sz="0" w:space="0" w:color="auto"/>
        <w:bottom w:val="none" w:sz="0" w:space="0" w:color="auto"/>
        <w:right w:val="none" w:sz="0" w:space="0" w:color="auto"/>
      </w:divBdr>
    </w:div>
    <w:div w:id="775487937">
      <w:marLeft w:val="0"/>
      <w:marRight w:val="0"/>
      <w:marTop w:val="240"/>
      <w:marBottom w:val="0"/>
      <w:divBdr>
        <w:top w:val="none" w:sz="0" w:space="0" w:color="auto"/>
        <w:left w:val="none" w:sz="0" w:space="0" w:color="auto"/>
        <w:bottom w:val="none" w:sz="0" w:space="0" w:color="auto"/>
        <w:right w:val="none" w:sz="0" w:space="0" w:color="auto"/>
      </w:divBdr>
    </w:div>
    <w:div w:id="778571750">
      <w:marLeft w:val="0"/>
      <w:marRight w:val="0"/>
      <w:marTop w:val="240"/>
      <w:marBottom w:val="0"/>
      <w:divBdr>
        <w:top w:val="none" w:sz="0" w:space="0" w:color="auto"/>
        <w:left w:val="none" w:sz="0" w:space="0" w:color="auto"/>
        <w:bottom w:val="none" w:sz="0" w:space="0" w:color="auto"/>
        <w:right w:val="none" w:sz="0" w:space="0" w:color="auto"/>
      </w:divBdr>
    </w:div>
    <w:div w:id="779446464">
      <w:marLeft w:val="0"/>
      <w:marRight w:val="0"/>
      <w:marTop w:val="300"/>
      <w:marBottom w:val="0"/>
      <w:divBdr>
        <w:top w:val="none" w:sz="0" w:space="0" w:color="auto"/>
        <w:left w:val="none" w:sz="0" w:space="0" w:color="auto"/>
        <w:bottom w:val="none" w:sz="0" w:space="0" w:color="auto"/>
        <w:right w:val="none" w:sz="0" w:space="0" w:color="auto"/>
      </w:divBdr>
    </w:div>
    <w:div w:id="780494586">
      <w:marLeft w:val="0"/>
      <w:marRight w:val="0"/>
      <w:marTop w:val="240"/>
      <w:marBottom w:val="0"/>
      <w:divBdr>
        <w:top w:val="none" w:sz="0" w:space="0" w:color="auto"/>
        <w:left w:val="none" w:sz="0" w:space="0" w:color="auto"/>
        <w:bottom w:val="none" w:sz="0" w:space="0" w:color="auto"/>
        <w:right w:val="none" w:sz="0" w:space="0" w:color="auto"/>
      </w:divBdr>
    </w:div>
    <w:div w:id="781341675">
      <w:marLeft w:val="0"/>
      <w:marRight w:val="0"/>
      <w:marTop w:val="0"/>
      <w:marBottom w:val="0"/>
      <w:divBdr>
        <w:top w:val="none" w:sz="0" w:space="0" w:color="auto"/>
        <w:left w:val="none" w:sz="0" w:space="0" w:color="auto"/>
        <w:bottom w:val="none" w:sz="0" w:space="0" w:color="auto"/>
        <w:right w:val="none" w:sz="0" w:space="0" w:color="auto"/>
      </w:divBdr>
      <w:divsChild>
        <w:div w:id="2109346091">
          <w:marLeft w:val="0"/>
          <w:marRight w:val="0"/>
          <w:marTop w:val="0"/>
          <w:marBottom w:val="0"/>
          <w:divBdr>
            <w:top w:val="none" w:sz="0" w:space="0" w:color="auto"/>
            <w:left w:val="none" w:sz="0" w:space="0" w:color="auto"/>
            <w:bottom w:val="none" w:sz="0" w:space="0" w:color="auto"/>
            <w:right w:val="none" w:sz="0" w:space="0" w:color="auto"/>
          </w:divBdr>
          <w:divsChild>
            <w:div w:id="65557075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81919408">
      <w:marLeft w:val="0"/>
      <w:marRight w:val="0"/>
      <w:marTop w:val="240"/>
      <w:marBottom w:val="0"/>
      <w:divBdr>
        <w:top w:val="none" w:sz="0" w:space="0" w:color="auto"/>
        <w:left w:val="none" w:sz="0" w:space="0" w:color="auto"/>
        <w:bottom w:val="none" w:sz="0" w:space="0" w:color="auto"/>
        <w:right w:val="none" w:sz="0" w:space="0" w:color="auto"/>
      </w:divBdr>
    </w:div>
    <w:div w:id="782726537">
      <w:marLeft w:val="0"/>
      <w:marRight w:val="0"/>
      <w:marTop w:val="0"/>
      <w:marBottom w:val="0"/>
      <w:divBdr>
        <w:top w:val="none" w:sz="0" w:space="0" w:color="auto"/>
        <w:left w:val="none" w:sz="0" w:space="0" w:color="auto"/>
        <w:bottom w:val="none" w:sz="0" w:space="0" w:color="auto"/>
        <w:right w:val="none" w:sz="0" w:space="0" w:color="auto"/>
      </w:divBdr>
      <w:divsChild>
        <w:div w:id="848374962">
          <w:marLeft w:val="0"/>
          <w:marRight w:val="0"/>
          <w:marTop w:val="0"/>
          <w:marBottom w:val="0"/>
          <w:divBdr>
            <w:top w:val="none" w:sz="0" w:space="0" w:color="auto"/>
            <w:left w:val="none" w:sz="0" w:space="0" w:color="auto"/>
            <w:bottom w:val="none" w:sz="0" w:space="0" w:color="auto"/>
            <w:right w:val="none" w:sz="0" w:space="0" w:color="auto"/>
          </w:divBdr>
        </w:div>
      </w:divsChild>
    </w:div>
    <w:div w:id="783693294">
      <w:marLeft w:val="0"/>
      <w:marRight w:val="0"/>
      <w:marTop w:val="160"/>
      <w:marBottom w:val="0"/>
      <w:divBdr>
        <w:top w:val="none" w:sz="0" w:space="0" w:color="auto"/>
        <w:left w:val="none" w:sz="0" w:space="0" w:color="auto"/>
        <w:bottom w:val="none" w:sz="0" w:space="0" w:color="auto"/>
        <w:right w:val="none" w:sz="0" w:space="0" w:color="auto"/>
      </w:divBdr>
      <w:divsChild>
        <w:div w:id="614486824">
          <w:marLeft w:val="0"/>
          <w:marRight w:val="0"/>
          <w:marTop w:val="0"/>
          <w:marBottom w:val="0"/>
          <w:divBdr>
            <w:top w:val="none" w:sz="0" w:space="0" w:color="auto"/>
            <w:left w:val="none" w:sz="0" w:space="0" w:color="auto"/>
            <w:bottom w:val="none" w:sz="0" w:space="0" w:color="auto"/>
            <w:right w:val="none" w:sz="0" w:space="0" w:color="auto"/>
          </w:divBdr>
        </w:div>
        <w:div w:id="1371227494">
          <w:marLeft w:val="0"/>
          <w:marRight w:val="0"/>
          <w:marTop w:val="0"/>
          <w:marBottom w:val="0"/>
          <w:divBdr>
            <w:top w:val="none" w:sz="0" w:space="0" w:color="auto"/>
            <w:left w:val="none" w:sz="0" w:space="0" w:color="auto"/>
            <w:bottom w:val="none" w:sz="0" w:space="0" w:color="auto"/>
            <w:right w:val="none" w:sz="0" w:space="0" w:color="auto"/>
          </w:divBdr>
        </w:div>
        <w:div w:id="1964844345">
          <w:marLeft w:val="0"/>
          <w:marRight w:val="0"/>
          <w:marTop w:val="0"/>
          <w:marBottom w:val="0"/>
          <w:divBdr>
            <w:top w:val="none" w:sz="0" w:space="0" w:color="auto"/>
            <w:left w:val="none" w:sz="0" w:space="0" w:color="auto"/>
            <w:bottom w:val="none" w:sz="0" w:space="0" w:color="auto"/>
            <w:right w:val="none" w:sz="0" w:space="0" w:color="auto"/>
          </w:divBdr>
        </w:div>
        <w:div w:id="203366426">
          <w:marLeft w:val="0"/>
          <w:marRight w:val="0"/>
          <w:marTop w:val="0"/>
          <w:marBottom w:val="0"/>
          <w:divBdr>
            <w:top w:val="none" w:sz="0" w:space="0" w:color="auto"/>
            <w:left w:val="none" w:sz="0" w:space="0" w:color="auto"/>
            <w:bottom w:val="none" w:sz="0" w:space="0" w:color="auto"/>
            <w:right w:val="none" w:sz="0" w:space="0" w:color="auto"/>
          </w:divBdr>
        </w:div>
        <w:div w:id="434253211">
          <w:marLeft w:val="0"/>
          <w:marRight w:val="0"/>
          <w:marTop w:val="0"/>
          <w:marBottom w:val="0"/>
          <w:divBdr>
            <w:top w:val="none" w:sz="0" w:space="0" w:color="auto"/>
            <w:left w:val="none" w:sz="0" w:space="0" w:color="auto"/>
            <w:bottom w:val="none" w:sz="0" w:space="0" w:color="auto"/>
            <w:right w:val="none" w:sz="0" w:space="0" w:color="auto"/>
          </w:divBdr>
        </w:div>
        <w:div w:id="493224369">
          <w:marLeft w:val="0"/>
          <w:marRight w:val="0"/>
          <w:marTop w:val="0"/>
          <w:marBottom w:val="0"/>
          <w:divBdr>
            <w:top w:val="none" w:sz="0" w:space="0" w:color="auto"/>
            <w:left w:val="none" w:sz="0" w:space="0" w:color="auto"/>
            <w:bottom w:val="none" w:sz="0" w:space="0" w:color="auto"/>
            <w:right w:val="none" w:sz="0" w:space="0" w:color="auto"/>
          </w:divBdr>
        </w:div>
        <w:div w:id="2092965690">
          <w:marLeft w:val="0"/>
          <w:marRight w:val="0"/>
          <w:marTop w:val="0"/>
          <w:marBottom w:val="0"/>
          <w:divBdr>
            <w:top w:val="none" w:sz="0" w:space="0" w:color="auto"/>
            <w:left w:val="none" w:sz="0" w:space="0" w:color="auto"/>
            <w:bottom w:val="none" w:sz="0" w:space="0" w:color="auto"/>
            <w:right w:val="none" w:sz="0" w:space="0" w:color="auto"/>
          </w:divBdr>
        </w:div>
        <w:div w:id="94253490">
          <w:marLeft w:val="0"/>
          <w:marRight w:val="0"/>
          <w:marTop w:val="0"/>
          <w:marBottom w:val="0"/>
          <w:divBdr>
            <w:top w:val="none" w:sz="0" w:space="0" w:color="auto"/>
            <w:left w:val="none" w:sz="0" w:space="0" w:color="auto"/>
            <w:bottom w:val="none" w:sz="0" w:space="0" w:color="auto"/>
            <w:right w:val="none" w:sz="0" w:space="0" w:color="auto"/>
          </w:divBdr>
        </w:div>
      </w:divsChild>
    </w:div>
    <w:div w:id="784467902">
      <w:marLeft w:val="0"/>
      <w:marRight w:val="0"/>
      <w:marTop w:val="240"/>
      <w:marBottom w:val="0"/>
      <w:divBdr>
        <w:top w:val="none" w:sz="0" w:space="0" w:color="auto"/>
        <w:left w:val="none" w:sz="0" w:space="0" w:color="auto"/>
        <w:bottom w:val="none" w:sz="0" w:space="0" w:color="auto"/>
        <w:right w:val="none" w:sz="0" w:space="0" w:color="auto"/>
      </w:divBdr>
    </w:div>
    <w:div w:id="785272476">
      <w:marLeft w:val="0"/>
      <w:marRight w:val="0"/>
      <w:marTop w:val="220"/>
      <w:marBottom w:val="0"/>
      <w:divBdr>
        <w:top w:val="none" w:sz="0" w:space="0" w:color="auto"/>
        <w:left w:val="none" w:sz="0" w:space="0" w:color="auto"/>
        <w:bottom w:val="none" w:sz="0" w:space="0" w:color="auto"/>
        <w:right w:val="none" w:sz="0" w:space="0" w:color="auto"/>
      </w:divBdr>
    </w:div>
    <w:div w:id="787119546">
      <w:marLeft w:val="0"/>
      <w:marRight w:val="0"/>
      <w:marTop w:val="240"/>
      <w:marBottom w:val="0"/>
      <w:divBdr>
        <w:top w:val="none" w:sz="0" w:space="0" w:color="auto"/>
        <w:left w:val="none" w:sz="0" w:space="0" w:color="auto"/>
        <w:bottom w:val="none" w:sz="0" w:space="0" w:color="auto"/>
        <w:right w:val="none" w:sz="0" w:space="0" w:color="auto"/>
      </w:divBdr>
    </w:div>
    <w:div w:id="787774432">
      <w:marLeft w:val="0"/>
      <w:marRight w:val="0"/>
      <w:marTop w:val="240"/>
      <w:marBottom w:val="240"/>
      <w:divBdr>
        <w:top w:val="none" w:sz="0" w:space="0" w:color="auto"/>
        <w:left w:val="none" w:sz="0" w:space="0" w:color="auto"/>
        <w:bottom w:val="none" w:sz="0" w:space="0" w:color="auto"/>
        <w:right w:val="none" w:sz="0" w:space="0" w:color="auto"/>
      </w:divBdr>
    </w:div>
    <w:div w:id="788011430">
      <w:marLeft w:val="0"/>
      <w:marRight w:val="0"/>
      <w:marTop w:val="0"/>
      <w:marBottom w:val="0"/>
      <w:divBdr>
        <w:top w:val="none" w:sz="0" w:space="0" w:color="auto"/>
        <w:left w:val="none" w:sz="0" w:space="0" w:color="auto"/>
        <w:bottom w:val="none" w:sz="0" w:space="0" w:color="auto"/>
        <w:right w:val="none" w:sz="0" w:space="0" w:color="auto"/>
      </w:divBdr>
      <w:divsChild>
        <w:div w:id="1201819298">
          <w:marLeft w:val="0"/>
          <w:marRight w:val="0"/>
          <w:marTop w:val="0"/>
          <w:marBottom w:val="0"/>
          <w:divBdr>
            <w:top w:val="none" w:sz="0" w:space="0" w:color="auto"/>
            <w:left w:val="none" w:sz="0" w:space="0" w:color="auto"/>
            <w:bottom w:val="none" w:sz="0" w:space="0" w:color="auto"/>
            <w:right w:val="none" w:sz="0" w:space="0" w:color="auto"/>
          </w:divBdr>
          <w:divsChild>
            <w:div w:id="50378740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89670261">
      <w:marLeft w:val="0"/>
      <w:marRight w:val="0"/>
      <w:marTop w:val="300"/>
      <w:marBottom w:val="0"/>
      <w:divBdr>
        <w:top w:val="none" w:sz="0" w:space="0" w:color="auto"/>
        <w:left w:val="none" w:sz="0" w:space="0" w:color="auto"/>
        <w:bottom w:val="none" w:sz="0" w:space="0" w:color="auto"/>
        <w:right w:val="none" w:sz="0" w:space="0" w:color="auto"/>
      </w:divBdr>
    </w:div>
    <w:div w:id="792098955">
      <w:marLeft w:val="0"/>
      <w:marRight w:val="0"/>
      <w:marTop w:val="0"/>
      <w:marBottom w:val="120"/>
      <w:divBdr>
        <w:top w:val="none" w:sz="0" w:space="0" w:color="auto"/>
        <w:left w:val="none" w:sz="0" w:space="0" w:color="auto"/>
        <w:bottom w:val="none" w:sz="0" w:space="0" w:color="auto"/>
        <w:right w:val="none" w:sz="0" w:space="0" w:color="auto"/>
      </w:divBdr>
    </w:div>
    <w:div w:id="797795491">
      <w:marLeft w:val="0"/>
      <w:marRight w:val="0"/>
      <w:marTop w:val="240"/>
      <w:marBottom w:val="0"/>
      <w:divBdr>
        <w:top w:val="none" w:sz="0" w:space="0" w:color="auto"/>
        <w:left w:val="none" w:sz="0" w:space="0" w:color="auto"/>
        <w:bottom w:val="none" w:sz="0" w:space="0" w:color="auto"/>
        <w:right w:val="none" w:sz="0" w:space="0" w:color="auto"/>
      </w:divBdr>
    </w:div>
    <w:div w:id="797990490">
      <w:marLeft w:val="0"/>
      <w:marRight w:val="0"/>
      <w:marTop w:val="140"/>
      <w:marBottom w:val="0"/>
      <w:divBdr>
        <w:top w:val="none" w:sz="0" w:space="0" w:color="auto"/>
        <w:left w:val="none" w:sz="0" w:space="0" w:color="auto"/>
        <w:bottom w:val="none" w:sz="0" w:space="0" w:color="auto"/>
        <w:right w:val="none" w:sz="0" w:space="0" w:color="auto"/>
      </w:divBdr>
    </w:div>
    <w:div w:id="798841056">
      <w:marLeft w:val="0"/>
      <w:marRight w:val="0"/>
      <w:marTop w:val="220"/>
      <w:marBottom w:val="240"/>
      <w:divBdr>
        <w:top w:val="none" w:sz="0" w:space="0" w:color="auto"/>
        <w:left w:val="none" w:sz="0" w:space="0" w:color="auto"/>
        <w:bottom w:val="none" w:sz="0" w:space="0" w:color="auto"/>
        <w:right w:val="none" w:sz="0" w:space="0" w:color="auto"/>
      </w:divBdr>
    </w:div>
    <w:div w:id="798842730">
      <w:marLeft w:val="0"/>
      <w:marRight w:val="0"/>
      <w:marTop w:val="240"/>
      <w:marBottom w:val="240"/>
      <w:divBdr>
        <w:top w:val="none" w:sz="0" w:space="0" w:color="auto"/>
        <w:left w:val="none" w:sz="0" w:space="0" w:color="auto"/>
        <w:bottom w:val="none" w:sz="0" w:space="0" w:color="auto"/>
        <w:right w:val="none" w:sz="0" w:space="0" w:color="auto"/>
      </w:divBdr>
    </w:div>
    <w:div w:id="799231817">
      <w:marLeft w:val="0"/>
      <w:marRight w:val="0"/>
      <w:marTop w:val="240"/>
      <w:marBottom w:val="0"/>
      <w:divBdr>
        <w:top w:val="none" w:sz="0" w:space="0" w:color="auto"/>
        <w:left w:val="none" w:sz="0" w:space="0" w:color="auto"/>
        <w:bottom w:val="none" w:sz="0" w:space="0" w:color="auto"/>
        <w:right w:val="none" w:sz="0" w:space="0" w:color="auto"/>
      </w:divBdr>
    </w:div>
    <w:div w:id="799687659">
      <w:marLeft w:val="0"/>
      <w:marRight w:val="0"/>
      <w:marTop w:val="240"/>
      <w:marBottom w:val="0"/>
      <w:divBdr>
        <w:top w:val="none" w:sz="0" w:space="0" w:color="auto"/>
        <w:left w:val="none" w:sz="0" w:space="0" w:color="auto"/>
        <w:bottom w:val="none" w:sz="0" w:space="0" w:color="auto"/>
        <w:right w:val="none" w:sz="0" w:space="0" w:color="auto"/>
      </w:divBdr>
    </w:div>
    <w:div w:id="800071986">
      <w:marLeft w:val="0"/>
      <w:marRight w:val="0"/>
      <w:marTop w:val="240"/>
      <w:marBottom w:val="0"/>
      <w:divBdr>
        <w:top w:val="none" w:sz="0" w:space="0" w:color="auto"/>
        <w:left w:val="none" w:sz="0" w:space="0" w:color="auto"/>
        <w:bottom w:val="none" w:sz="0" w:space="0" w:color="auto"/>
        <w:right w:val="none" w:sz="0" w:space="0" w:color="auto"/>
      </w:divBdr>
    </w:div>
    <w:div w:id="801387734">
      <w:marLeft w:val="0"/>
      <w:marRight w:val="0"/>
      <w:marTop w:val="60"/>
      <w:marBottom w:val="120"/>
      <w:divBdr>
        <w:top w:val="none" w:sz="0" w:space="0" w:color="auto"/>
        <w:left w:val="none" w:sz="0" w:space="0" w:color="auto"/>
        <w:bottom w:val="none" w:sz="0" w:space="0" w:color="auto"/>
        <w:right w:val="none" w:sz="0" w:space="0" w:color="auto"/>
      </w:divBdr>
    </w:div>
    <w:div w:id="801654398">
      <w:marLeft w:val="0"/>
      <w:marRight w:val="0"/>
      <w:marTop w:val="140"/>
      <w:marBottom w:val="0"/>
      <w:divBdr>
        <w:top w:val="none" w:sz="0" w:space="0" w:color="auto"/>
        <w:left w:val="none" w:sz="0" w:space="0" w:color="auto"/>
        <w:bottom w:val="none" w:sz="0" w:space="0" w:color="auto"/>
        <w:right w:val="none" w:sz="0" w:space="0" w:color="auto"/>
      </w:divBdr>
    </w:div>
    <w:div w:id="805464178">
      <w:marLeft w:val="0"/>
      <w:marRight w:val="0"/>
      <w:marTop w:val="180"/>
      <w:marBottom w:val="0"/>
      <w:divBdr>
        <w:top w:val="none" w:sz="0" w:space="0" w:color="auto"/>
        <w:left w:val="none" w:sz="0" w:space="0" w:color="auto"/>
        <w:bottom w:val="none" w:sz="0" w:space="0" w:color="auto"/>
        <w:right w:val="none" w:sz="0" w:space="0" w:color="auto"/>
      </w:divBdr>
    </w:div>
    <w:div w:id="805701567">
      <w:marLeft w:val="0"/>
      <w:marRight w:val="0"/>
      <w:marTop w:val="0"/>
      <w:marBottom w:val="0"/>
      <w:divBdr>
        <w:top w:val="none" w:sz="0" w:space="0" w:color="auto"/>
        <w:left w:val="none" w:sz="0" w:space="0" w:color="auto"/>
        <w:bottom w:val="none" w:sz="0" w:space="0" w:color="auto"/>
        <w:right w:val="none" w:sz="0" w:space="0" w:color="auto"/>
      </w:divBdr>
      <w:divsChild>
        <w:div w:id="35128852">
          <w:marLeft w:val="0"/>
          <w:marRight w:val="0"/>
          <w:marTop w:val="0"/>
          <w:marBottom w:val="0"/>
          <w:divBdr>
            <w:top w:val="none" w:sz="0" w:space="0" w:color="auto"/>
            <w:left w:val="none" w:sz="0" w:space="0" w:color="auto"/>
            <w:bottom w:val="none" w:sz="0" w:space="0" w:color="auto"/>
            <w:right w:val="none" w:sz="0" w:space="0" w:color="auto"/>
          </w:divBdr>
        </w:div>
      </w:divsChild>
    </w:div>
    <w:div w:id="810637845">
      <w:marLeft w:val="0"/>
      <w:marRight w:val="0"/>
      <w:marTop w:val="0"/>
      <w:marBottom w:val="0"/>
      <w:divBdr>
        <w:top w:val="none" w:sz="0" w:space="0" w:color="auto"/>
        <w:left w:val="none" w:sz="0" w:space="0" w:color="auto"/>
        <w:bottom w:val="none" w:sz="0" w:space="0" w:color="auto"/>
        <w:right w:val="none" w:sz="0" w:space="0" w:color="auto"/>
      </w:divBdr>
      <w:divsChild>
        <w:div w:id="360861853">
          <w:marLeft w:val="0"/>
          <w:marRight w:val="0"/>
          <w:marTop w:val="0"/>
          <w:marBottom w:val="0"/>
          <w:divBdr>
            <w:top w:val="none" w:sz="0" w:space="0" w:color="auto"/>
            <w:left w:val="none" w:sz="0" w:space="0" w:color="auto"/>
            <w:bottom w:val="none" w:sz="0" w:space="0" w:color="auto"/>
            <w:right w:val="none" w:sz="0" w:space="0" w:color="auto"/>
          </w:divBdr>
          <w:divsChild>
            <w:div w:id="9632715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11941773">
      <w:marLeft w:val="0"/>
      <w:marRight w:val="0"/>
      <w:marTop w:val="240"/>
      <w:marBottom w:val="0"/>
      <w:divBdr>
        <w:top w:val="none" w:sz="0" w:space="0" w:color="auto"/>
        <w:left w:val="none" w:sz="0" w:space="0" w:color="auto"/>
        <w:bottom w:val="none" w:sz="0" w:space="0" w:color="auto"/>
        <w:right w:val="none" w:sz="0" w:space="0" w:color="auto"/>
      </w:divBdr>
    </w:div>
    <w:div w:id="812059902">
      <w:marLeft w:val="0"/>
      <w:marRight w:val="0"/>
      <w:marTop w:val="0"/>
      <w:marBottom w:val="0"/>
      <w:divBdr>
        <w:top w:val="none" w:sz="0" w:space="0" w:color="auto"/>
        <w:left w:val="none" w:sz="0" w:space="0" w:color="auto"/>
        <w:bottom w:val="none" w:sz="0" w:space="0" w:color="auto"/>
        <w:right w:val="none" w:sz="0" w:space="0" w:color="auto"/>
      </w:divBdr>
      <w:divsChild>
        <w:div w:id="61871043">
          <w:marLeft w:val="0"/>
          <w:marRight w:val="0"/>
          <w:marTop w:val="0"/>
          <w:marBottom w:val="0"/>
          <w:divBdr>
            <w:top w:val="none" w:sz="0" w:space="0" w:color="auto"/>
            <w:left w:val="none" w:sz="0" w:space="0" w:color="auto"/>
            <w:bottom w:val="none" w:sz="0" w:space="0" w:color="auto"/>
            <w:right w:val="none" w:sz="0" w:space="0" w:color="auto"/>
          </w:divBdr>
          <w:divsChild>
            <w:div w:id="196249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12647215">
      <w:marLeft w:val="0"/>
      <w:marRight w:val="0"/>
      <w:marTop w:val="60"/>
      <w:marBottom w:val="0"/>
      <w:divBdr>
        <w:top w:val="none" w:sz="0" w:space="0" w:color="auto"/>
        <w:left w:val="none" w:sz="0" w:space="0" w:color="auto"/>
        <w:bottom w:val="none" w:sz="0" w:space="0" w:color="auto"/>
        <w:right w:val="none" w:sz="0" w:space="0" w:color="auto"/>
      </w:divBdr>
    </w:div>
    <w:div w:id="814221965">
      <w:marLeft w:val="0"/>
      <w:marRight w:val="0"/>
      <w:marTop w:val="180"/>
      <w:marBottom w:val="0"/>
      <w:divBdr>
        <w:top w:val="none" w:sz="0" w:space="0" w:color="auto"/>
        <w:left w:val="none" w:sz="0" w:space="0" w:color="auto"/>
        <w:bottom w:val="none" w:sz="0" w:space="0" w:color="auto"/>
        <w:right w:val="none" w:sz="0" w:space="0" w:color="auto"/>
      </w:divBdr>
    </w:div>
    <w:div w:id="814684858">
      <w:marLeft w:val="0"/>
      <w:marRight w:val="0"/>
      <w:marTop w:val="240"/>
      <w:marBottom w:val="0"/>
      <w:divBdr>
        <w:top w:val="none" w:sz="0" w:space="0" w:color="auto"/>
        <w:left w:val="none" w:sz="0" w:space="0" w:color="auto"/>
        <w:bottom w:val="none" w:sz="0" w:space="0" w:color="auto"/>
        <w:right w:val="none" w:sz="0" w:space="0" w:color="auto"/>
      </w:divBdr>
    </w:div>
    <w:div w:id="815146565">
      <w:marLeft w:val="0"/>
      <w:marRight w:val="0"/>
      <w:marTop w:val="240"/>
      <w:marBottom w:val="0"/>
      <w:divBdr>
        <w:top w:val="none" w:sz="0" w:space="0" w:color="auto"/>
        <w:left w:val="none" w:sz="0" w:space="0" w:color="auto"/>
        <w:bottom w:val="none" w:sz="0" w:space="0" w:color="auto"/>
        <w:right w:val="none" w:sz="0" w:space="0" w:color="auto"/>
      </w:divBdr>
    </w:div>
    <w:div w:id="821504313">
      <w:marLeft w:val="0"/>
      <w:marRight w:val="0"/>
      <w:marTop w:val="240"/>
      <w:marBottom w:val="0"/>
      <w:divBdr>
        <w:top w:val="none" w:sz="0" w:space="0" w:color="auto"/>
        <w:left w:val="none" w:sz="0" w:space="0" w:color="auto"/>
        <w:bottom w:val="none" w:sz="0" w:space="0" w:color="auto"/>
        <w:right w:val="none" w:sz="0" w:space="0" w:color="auto"/>
      </w:divBdr>
    </w:div>
    <w:div w:id="822164128">
      <w:marLeft w:val="0"/>
      <w:marRight w:val="0"/>
      <w:marTop w:val="240"/>
      <w:marBottom w:val="0"/>
      <w:divBdr>
        <w:top w:val="none" w:sz="0" w:space="0" w:color="auto"/>
        <w:left w:val="none" w:sz="0" w:space="0" w:color="auto"/>
        <w:bottom w:val="none" w:sz="0" w:space="0" w:color="auto"/>
        <w:right w:val="none" w:sz="0" w:space="0" w:color="auto"/>
      </w:divBdr>
    </w:div>
    <w:div w:id="822546756">
      <w:marLeft w:val="0"/>
      <w:marRight w:val="0"/>
      <w:marTop w:val="0"/>
      <w:marBottom w:val="0"/>
      <w:divBdr>
        <w:top w:val="none" w:sz="0" w:space="0" w:color="auto"/>
        <w:left w:val="none" w:sz="0" w:space="0" w:color="auto"/>
        <w:bottom w:val="none" w:sz="0" w:space="0" w:color="auto"/>
        <w:right w:val="none" w:sz="0" w:space="0" w:color="auto"/>
      </w:divBdr>
      <w:divsChild>
        <w:div w:id="785927935">
          <w:marLeft w:val="0"/>
          <w:marRight w:val="0"/>
          <w:marTop w:val="0"/>
          <w:marBottom w:val="0"/>
          <w:divBdr>
            <w:top w:val="none" w:sz="0" w:space="0" w:color="auto"/>
            <w:left w:val="none" w:sz="0" w:space="0" w:color="auto"/>
            <w:bottom w:val="none" w:sz="0" w:space="0" w:color="auto"/>
            <w:right w:val="none" w:sz="0" w:space="0" w:color="auto"/>
          </w:divBdr>
          <w:divsChild>
            <w:div w:id="159593927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22623737">
      <w:marLeft w:val="0"/>
      <w:marRight w:val="0"/>
      <w:marTop w:val="140"/>
      <w:marBottom w:val="0"/>
      <w:divBdr>
        <w:top w:val="none" w:sz="0" w:space="0" w:color="auto"/>
        <w:left w:val="none" w:sz="0" w:space="0" w:color="auto"/>
        <w:bottom w:val="none" w:sz="0" w:space="0" w:color="auto"/>
        <w:right w:val="none" w:sz="0" w:space="0" w:color="auto"/>
      </w:divBdr>
    </w:div>
    <w:div w:id="822966387">
      <w:marLeft w:val="0"/>
      <w:marRight w:val="0"/>
      <w:marTop w:val="240"/>
      <w:marBottom w:val="240"/>
      <w:divBdr>
        <w:top w:val="none" w:sz="0" w:space="0" w:color="auto"/>
        <w:left w:val="none" w:sz="0" w:space="0" w:color="auto"/>
        <w:bottom w:val="none" w:sz="0" w:space="0" w:color="auto"/>
        <w:right w:val="none" w:sz="0" w:space="0" w:color="auto"/>
      </w:divBdr>
    </w:div>
    <w:div w:id="825167077">
      <w:marLeft w:val="0"/>
      <w:marRight w:val="0"/>
      <w:marTop w:val="240"/>
      <w:marBottom w:val="0"/>
      <w:divBdr>
        <w:top w:val="none" w:sz="0" w:space="0" w:color="auto"/>
        <w:left w:val="none" w:sz="0" w:space="0" w:color="auto"/>
        <w:bottom w:val="none" w:sz="0" w:space="0" w:color="auto"/>
        <w:right w:val="none" w:sz="0" w:space="0" w:color="auto"/>
      </w:divBdr>
    </w:div>
    <w:div w:id="828208511">
      <w:marLeft w:val="0"/>
      <w:marRight w:val="0"/>
      <w:marTop w:val="240"/>
      <w:marBottom w:val="0"/>
      <w:divBdr>
        <w:top w:val="none" w:sz="0" w:space="0" w:color="auto"/>
        <w:left w:val="none" w:sz="0" w:space="0" w:color="auto"/>
        <w:bottom w:val="none" w:sz="0" w:space="0" w:color="auto"/>
        <w:right w:val="none" w:sz="0" w:space="0" w:color="auto"/>
      </w:divBdr>
    </w:div>
    <w:div w:id="829491021">
      <w:marLeft w:val="0"/>
      <w:marRight w:val="0"/>
      <w:marTop w:val="0"/>
      <w:marBottom w:val="0"/>
      <w:divBdr>
        <w:top w:val="none" w:sz="0" w:space="0" w:color="auto"/>
        <w:left w:val="none" w:sz="0" w:space="0" w:color="auto"/>
        <w:bottom w:val="none" w:sz="0" w:space="0" w:color="auto"/>
        <w:right w:val="none" w:sz="0" w:space="0" w:color="auto"/>
      </w:divBdr>
      <w:divsChild>
        <w:div w:id="795609330">
          <w:marLeft w:val="0"/>
          <w:marRight w:val="0"/>
          <w:marTop w:val="0"/>
          <w:marBottom w:val="0"/>
          <w:divBdr>
            <w:top w:val="none" w:sz="0" w:space="0" w:color="auto"/>
            <w:left w:val="none" w:sz="0" w:space="0" w:color="auto"/>
            <w:bottom w:val="none" w:sz="0" w:space="0" w:color="auto"/>
            <w:right w:val="none" w:sz="0" w:space="0" w:color="auto"/>
          </w:divBdr>
        </w:div>
      </w:divsChild>
    </w:div>
    <w:div w:id="834153338">
      <w:marLeft w:val="0"/>
      <w:marRight w:val="0"/>
      <w:marTop w:val="180"/>
      <w:marBottom w:val="0"/>
      <w:divBdr>
        <w:top w:val="none" w:sz="0" w:space="0" w:color="auto"/>
        <w:left w:val="none" w:sz="0" w:space="0" w:color="auto"/>
        <w:bottom w:val="none" w:sz="0" w:space="0" w:color="auto"/>
        <w:right w:val="none" w:sz="0" w:space="0" w:color="auto"/>
      </w:divBdr>
    </w:div>
    <w:div w:id="836766041">
      <w:marLeft w:val="0"/>
      <w:marRight w:val="0"/>
      <w:marTop w:val="0"/>
      <w:marBottom w:val="0"/>
      <w:divBdr>
        <w:top w:val="none" w:sz="0" w:space="0" w:color="auto"/>
        <w:left w:val="none" w:sz="0" w:space="0" w:color="auto"/>
        <w:bottom w:val="none" w:sz="0" w:space="0" w:color="auto"/>
        <w:right w:val="none" w:sz="0" w:space="0" w:color="auto"/>
      </w:divBdr>
      <w:divsChild>
        <w:div w:id="16009946">
          <w:marLeft w:val="0"/>
          <w:marRight w:val="0"/>
          <w:marTop w:val="0"/>
          <w:marBottom w:val="0"/>
          <w:divBdr>
            <w:top w:val="none" w:sz="0" w:space="0" w:color="auto"/>
            <w:left w:val="none" w:sz="0" w:space="0" w:color="auto"/>
            <w:bottom w:val="none" w:sz="0" w:space="0" w:color="auto"/>
            <w:right w:val="none" w:sz="0" w:space="0" w:color="auto"/>
          </w:divBdr>
          <w:divsChild>
            <w:div w:id="10171243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37572210">
      <w:marLeft w:val="0"/>
      <w:marRight w:val="0"/>
      <w:marTop w:val="0"/>
      <w:marBottom w:val="0"/>
      <w:divBdr>
        <w:top w:val="none" w:sz="0" w:space="0" w:color="auto"/>
        <w:left w:val="none" w:sz="0" w:space="0" w:color="auto"/>
        <w:bottom w:val="none" w:sz="0" w:space="0" w:color="auto"/>
        <w:right w:val="none" w:sz="0" w:space="0" w:color="auto"/>
      </w:divBdr>
      <w:divsChild>
        <w:div w:id="819082068">
          <w:marLeft w:val="0"/>
          <w:marRight w:val="0"/>
          <w:marTop w:val="0"/>
          <w:marBottom w:val="0"/>
          <w:divBdr>
            <w:top w:val="none" w:sz="0" w:space="0" w:color="auto"/>
            <w:left w:val="none" w:sz="0" w:space="0" w:color="auto"/>
            <w:bottom w:val="none" w:sz="0" w:space="0" w:color="auto"/>
            <w:right w:val="none" w:sz="0" w:space="0" w:color="auto"/>
          </w:divBdr>
          <w:divsChild>
            <w:div w:id="17219743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37767615">
      <w:marLeft w:val="0"/>
      <w:marRight w:val="0"/>
      <w:marTop w:val="0"/>
      <w:marBottom w:val="0"/>
      <w:divBdr>
        <w:top w:val="none" w:sz="0" w:space="0" w:color="auto"/>
        <w:left w:val="none" w:sz="0" w:space="0" w:color="auto"/>
        <w:bottom w:val="none" w:sz="0" w:space="0" w:color="auto"/>
        <w:right w:val="none" w:sz="0" w:space="0" w:color="auto"/>
      </w:divBdr>
      <w:divsChild>
        <w:div w:id="804081938">
          <w:marLeft w:val="0"/>
          <w:marRight w:val="0"/>
          <w:marTop w:val="0"/>
          <w:marBottom w:val="0"/>
          <w:divBdr>
            <w:top w:val="none" w:sz="0" w:space="0" w:color="auto"/>
            <w:left w:val="none" w:sz="0" w:space="0" w:color="auto"/>
            <w:bottom w:val="none" w:sz="0" w:space="0" w:color="auto"/>
            <w:right w:val="none" w:sz="0" w:space="0" w:color="auto"/>
          </w:divBdr>
          <w:divsChild>
            <w:div w:id="33797138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38934497">
      <w:marLeft w:val="0"/>
      <w:marRight w:val="0"/>
      <w:marTop w:val="120"/>
      <w:marBottom w:val="0"/>
      <w:divBdr>
        <w:top w:val="none" w:sz="0" w:space="0" w:color="auto"/>
        <w:left w:val="none" w:sz="0" w:space="0" w:color="auto"/>
        <w:bottom w:val="none" w:sz="0" w:space="0" w:color="auto"/>
        <w:right w:val="none" w:sz="0" w:space="0" w:color="auto"/>
      </w:divBdr>
    </w:div>
    <w:div w:id="839658094">
      <w:marLeft w:val="0"/>
      <w:marRight w:val="0"/>
      <w:marTop w:val="0"/>
      <w:marBottom w:val="0"/>
      <w:divBdr>
        <w:top w:val="none" w:sz="0" w:space="0" w:color="auto"/>
        <w:left w:val="none" w:sz="0" w:space="0" w:color="auto"/>
        <w:bottom w:val="none" w:sz="0" w:space="0" w:color="auto"/>
        <w:right w:val="none" w:sz="0" w:space="0" w:color="auto"/>
      </w:divBdr>
      <w:divsChild>
        <w:div w:id="821509109">
          <w:marLeft w:val="0"/>
          <w:marRight w:val="0"/>
          <w:marTop w:val="120"/>
          <w:marBottom w:val="0"/>
          <w:divBdr>
            <w:top w:val="none" w:sz="0" w:space="0" w:color="auto"/>
            <w:left w:val="none" w:sz="0" w:space="0" w:color="auto"/>
            <w:bottom w:val="none" w:sz="0" w:space="0" w:color="auto"/>
            <w:right w:val="none" w:sz="0" w:space="0" w:color="auto"/>
          </w:divBdr>
        </w:div>
      </w:divsChild>
    </w:div>
    <w:div w:id="839808527">
      <w:marLeft w:val="0"/>
      <w:marRight w:val="0"/>
      <w:marTop w:val="220"/>
      <w:marBottom w:val="240"/>
      <w:divBdr>
        <w:top w:val="none" w:sz="0" w:space="0" w:color="auto"/>
        <w:left w:val="none" w:sz="0" w:space="0" w:color="auto"/>
        <w:bottom w:val="none" w:sz="0" w:space="0" w:color="auto"/>
        <w:right w:val="none" w:sz="0" w:space="0" w:color="auto"/>
      </w:divBdr>
    </w:div>
    <w:div w:id="840701692">
      <w:marLeft w:val="0"/>
      <w:marRight w:val="0"/>
      <w:marTop w:val="120"/>
      <w:marBottom w:val="0"/>
      <w:divBdr>
        <w:top w:val="none" w:sz="0" w:space="0" w:color="auto"/>
        <w:left w:val="none" w:sz="0" w:space="0" w:color="auto"/>
        <w:bottom w:val="none" w:sz="0" w:space="0" w:color="auto"/>
        <w:right w:val="none" w:sz="0" w:space="0" w:color="auto"/>
      </w:divBdr>
    </w:div>
    <w:div w:id="842090234">
      <w:marLeft w:val="0"/>
      <w:marRight w:val="0"/>
      <w:marTop w:val="0"/>
      <w:marBottom w:val="0"/>
      <w:divBdr>
        <w:top w:val="none" w:sz="0" w:space="0" w:color="auto"/>
        <w:left w:val="none" w:sz="0" w:space="0" w:color="auto"/>
        <w:bottom w:val="none" w:sz="0" w:space="0" w:color="auto"/>
        <w:right w:val="none" w:sz="0" w:space="0" w:color="auto"/>
      </w:divBdr>
      <w:divsChild>
        <w:div w:id="1692871534">
          <w:marLeft w:val="0"/>
          <w:marRight w:val="0"/>
          <w:marTop w:val="0"/>
          <w:marBottom w:val="0"/>
          <w:divBdr>
            <w:top w:val="none" w:sz="0" w:space="0" w:color="auto"/>
            <w:left w:val="none" w:sz="0" w:space="0" w:color="auto"/>
            <w:bottom w:val="none" w:sz="0" w:space="0" w:color="auto"/>
            <w:right w:val="none" w:sz="0" w:space="0" w:color="auto"/>
          </w:divBdr>
        </w:div>
      </w:divsChild>
    </w:div>
    <w:div w:id="844054926">
      <w:marLeft w:val="0"/>
      <w:marRight w:val="0"/>
      <w:marTop w:val="0"/>
      <w:marBottom w:val="0"/>
      <w:divBdr>
        <w:top w:val="none" w:sz="0" w:space="0" w:color="auto"/>
        <w:left w:val="none" w:sz="0" w:space="0" w:color="auto"/>
        <w:bottom w:val="none" w:sz="0" w:space="0" w:color="auto"/>
        <w:right w:val="none" w:sz="0" w:space="0" w:color="auto"/>
      </w:divBdr>
    </w:div>
    <w:div w:id="844975640">
      <w:marLeft w:val="0"/>
      <w:marRight w:val="0"/>
      <w:marTop w:val="240"/>
      <w:marBottom w:val="0"/>
      <w:divBdr>
        <w:top w:val="none" w:sz="0" w:space="0" w:color="auto"/>
        <w:left w:val="none" w:sz="0" w:space="0" w:color="auto"/>
        <w:bottom w:val="none" w:sz="0" w:space="0" w:color="auto"/>
        <w:right w:val="none" w:sz="0" w:space="0" w:color="auto"/>
      </w:divBdr>
    </w:div>
    <w:div w:id="856038957">
      <w:marLeft w:val="0"/>
      <w:marRight w:val="0"/>
      <w:marTop w:val="60"/>
      <w:marBottom w:val="0"/>
      <w:divBdr>
        <w:top w:val="none" w:sz="0" w:space="0" w:color="auto"/>
        <w:left w:val="none" w:sz="0" w:space="0" w:color="auto"/>
        <w:bottom w:val="none" w:sz="0" w:space="0" w:color="auto"/>
        <w:right w:val="none" w:sz="0" w:space="0" w:color="auto"/>
      </w:divBdr>
    </w:div>
    <w:div w:id="856427902">
      <w:marLeft w:val="0"/>
      <w:marRight w:val="0"/>
      <w:marTop w:val="180"/>
      <w:marBottom w:val="120"/>
      <w:divBdr>
        <w:top w:val="none" w:sz="0" w:space="0" w:color="auto"/>
        <w:left w:val="none" w:sz="0" w:space="0" w:color="auto"/>
        <w:bottom w:val="none" w:sz="0" w:space="0" w:color="auto"/>
        <w:right w:val="none" w:sz="0" w:space="0" w:color="auto"/>
      </w:divBdr>
    </w:div>
    <w:div w:id="856848909">
      <w:marLeft w:val="0"/>
      <w:marRight w:val="0"/>
      <w:marTop w:val="100"/>
      <w:marBottom w:val="0"/>
      <w:divBdr>
        <w:top w:val="none" w:sz="0" w:space="0" w:color="auto"/>
        <w:left w:val="none" w:sz="0" w:space="0" w:color="auto"/>
        <w:bottom w:val="none" w:sz="0" w:space="0" w:color="auto"/>
        <w:right w:val="none" w:sz="0" w:space="0" w:color="auto"/>
      </w:divBdr>
      <w:divsChild>
        <w:div w:id="1961372206">
          <w:marLeft w:val="0"/>
          <w:marRight w:val="0"/>
          <w:marTop w:val="0"/>
          <w:marBottom w:val="0"/>
          <w:divBdr>
            <w:top w:val="none" w:sz="0" w:space="0" w:color="auto"/>
            <w:left w:val="none" w:sz="0" w:space="0" w:color="auto"/>
            <w:bottom w:val="none" w:sz="0" w:space="0" w:color="auto"/>
            <w:right w:val="none" w:sz="0" w:space="0" w:color="auto"/>
          </w:divBdr>
        </w:div>
      </w:divsChild>
    </w:div>
    <w:div w:id="857088527">
      <w:marLeft w:val="0"/>
      <w:marRight w:val="0"/>
      <w:marTop w:val="240"/>
      <w:marBottom w:val="0"/>
      <w:divBdr>
        <w:top w:val="none" w:sz="0" w:space="0" w:color="auto"/>
        <w:left w:val="none" w:sz="0" w:space="0" w:color="auto"/>
        <w:bottom w:val="none" w:sz="0" w:space="0" w:color="auto"/>
        <w:right w:val="none" w:sz="0" w:space="0" w:color="auto"/>
      </w:divBdr>
    </w:div>
    <w:div w:id="857504653">
      <w:marLeft w:val="0"/>
      <w:marRight w:val="0"/>
      <w:marTop w:val="240"/>
      <w:marBottom w:val="240"/>
      <w:divBdr>
        <w:top w:val="none" w:sz="0" w:space="0" w:color="auto"/>
        <w:left w:val="none" w:sz="0" w:space="0" w:color="auto"/>
        <w:bottom w:val="none" w:sz="0" w:space="0" w:color="auto"/>
        <w:right w:val="none" w:sz="0" w:space="0" w:color="auto"/>
      </w:divBdr>
    </w:div>
    <w:div w:id="858347970">
      <w:marLeft w:val="0"/>
      <w:marRight w:val="0"/>
      <w:marTop w:val="240"/>
      <w:marBottom w:val="0"/>
      <w:divBdr>
        <w:top w:val="none" w:sz="0" w:space="0" w:color="auto"/>
        <w:left w:val="none" w:sz="0" w:space="0" w:color="auto"/>
        <w:bottom w:val="none" w:sz="0" w:space="0" w:color="auto"/>
        <w:right w:val="none" w:sz="0" w:space="0" w:color="auto"/>
      </w:divBdr>
    </w:div>
    <w:div w:id="858349199">
      <w:marLeft w:val="0"/>
      <w:marRight w:val="0"/>
      <w:marTop w:val="240"/>
      <w:marBottom w:val="0"/>
      <w:divBdr>
        <w:top w:val="none" w:sz="0" w:space="0" w:color="auto"/>
        <w:left w:val="none" w:sz="0" w:space="0" w:color="auto"/>
        <w:bottom w:val="none" w:sz="0" w:space="0" w:color="auto"/>
        <w:right w:val="none" w:sz="0" w:space="0" w:color="auto"/>
      </w:divBdr>
    </w:div>
    <w:div w:id="858858906">
      <w:marLeft w:val="0"/>
      <w:marRight w:val="0"/>
      <w:marTop w:val="0"/>
      <w:marBottom w:val="0"/>
      <w:divBdr>
        <w:top w:val="none" w:sz="0" w:space="0" w:color="auto"/>
        <w:left w:val="none" w:sz="0" w:space="0" w:color="auto"/>
        <w:bottom w:val="none" w:sz="0" w:space="0" w:color="auto"/>
        <w:right w:val="none" w:sz="0" w:space="0" w:color="auto"/>
      </w:divBdr>
      <w:divsChild>
        <w:div w:id="671109197">
          <w:marLeft w:val="0"/>
          <w:marRight w:val="0"/>
          <w:marTop w:val="0"/>
          <w:marBottom w:val="0"/>
          <w:divBdr>
            <w:top w:val="none" w:sz="0" w:space="0" w:color="auto"/>
            <w:left w:val="none" w:sz="0" w:space="0" w:color="auto"/>
            <w:bottom w:val="none" w:sz="0" w:space="0" w:color="auto"/>
            <w:right w:val="none" w:sz="0" w:space="0" w:color="auto"/>
          </w:divBdr>
        </w:div>
      </w:divsChild>
    </w:div>
    <w:div w:id="859703644">
      <w:marLeft w:val="0"/>
      <w:marRight w:val="0"/>
      <w:marTop w:val="240"/>
      <w:marBottom w:val="0"/>
      <w:divBdr>
        <w:top w:val="none" w:sz="0" w:space="0" w:color="auto"/>
        <w:left w:val="none" w:sz="0" w:space="0" w:color="auto"/>
        <w:bottom w:val="none" w:sz="0" w:space="0" w:color="auto"/>
        <w:right w:val="none" w:sz="0" w:space="0" w:color="auto"/>
      </w:divBdr>
    </w:div>
    <w:div w:id="862062201">
      <w:marLeft w:val="0"/>
      <w:marRight w:val="0"/>
      <w:marTop w:val="0"/>
      <w:marBottom w:val="0"/>
      <w:divBdr>
        <w:top w:val="none" w:sz="0" w:space="0" w:color="auto"/>
        <w:left w:val="none" w:sz="0" w:space="0" w:color="auto"/>
        <w:bottom w:val="none" w:sz="0" w:space="0" w:color="auto"/>
        <w:right w:val="none" w:sz="0" w:space="0" w:color="auto"/>
      </w:divBdr>
    </w:div>
    <w:div w:id="862208024">
      <w:marLeft w:val="0"/>
      <w:marRight w:val="0"/>
      <w:marTop w:val="300"/>
      <w:marBottom w:val="0"/>
      <w:divBdr>
        <w:top w:val="none" w:sz="0" w:space="0" w:color="auto"/>
        <w:left w:val="none" w:sz="0" w:space="0" w:color="auto"/>
        <w:bottom w:val="none" w:sz="0" w:space="0" w:color="auto"/>
        <w:right w:val="none" w:sz="0" w:space="0" w:color="auto"/>
      </w:divBdr>
    </w:div>
    <w:div w:id="864828292">
      <w:marLeft w:val="0"/>
      <w:marRight w:val="0"/>
      <w:marTop w:val="240"/>
      <w:marBottom w:val="0"/>
      <w:divBdr>
        <w:top w:val="none" w:sz="0" w:space="0" w:color="auto"/>
        <w:left w:val="none" w:sz="0" w:space="0" w:color="auto"/>
        <w:bottom w:val="none" w:sz="0" w:space="0" w:color="auto"/>
        <w:right w:val="none" w:sz="0" w:space="0" w:color="auto"/>
      </w:divBdr>
    </w:div>
    <w:div w:id="866531287">
      <w:marLeft w:val="0"/>
      <w:marRight w:val="0"/>
      <w:marTop w:val="180"/>
      <w:marBottom w:val="120"/>
      <w:divBdr>
        <w:top w:val="none" w:sz="0" w:space="0" w:color="auto"/>
        <w:left w:val="none" w:sz="0" w:space="0" w:color="auto"/>
        <w:bottom w:val="none" w:sz="0" w:space="0" w:color="auto"/>
        <w:right w:val="none" w:sz="0" w:space="0" w:color="auto"/>
      </w:divBdr>
    </w:div>
    <w:div w:id="867521611">
      <w:marLeft w:val="0"/>
      <w:marRight w:val="0"/>
      <w:marTop w:val="120"/>
      <w:marBottom w:val="0"/>
      <w:divBdr>
        <w:top w:val="none" w:sz="0" w:space="0" w:color="auto"/>
        <w:left w:val="none" w:sz="0" w:space="0" w:color="auto"/>
        <w:bottom w:val="none" w:sz="0" w:space="0" w:color="auto"/>
        <w:right w:val="none" w:sz="0" w:space="0" w:color="auto"/>
      </w:divBdr>
    </w:div>
    <w:div w:id="867571281">
      <w:marLeft w:val="0"/>
      <w:marRight w:val="0"/>
      <w:marTop w:val="240"/>
      <w:marBottom w:val="0"/>
      <w:divBdr>
        <w:top w:val="none" w:sz="0" w:space="0" w:color="auto"/>
        <w:left w:val="none" w:sz="0" w:space="0" w:color="auto"/>
        <w:bottom w:val="none" w:sz="0" w:space="0" w:color="auto"/>
        <w:right w:val="none" w:sz="0" w:space="0" w:color="auto"/>
      </w:divBdr>
    </w:div>
    <w:div w:id="868955313">
      <w:marLeft w:val="0"/>
      <w:marRight w:val="0"/>
      <w:marTop w:val="240"/>
      <w:marBottom w:val="0"/>
      <w:divBdr>
        <w:top w:val="none" w:sz="0" w:space="0" w:color="auto"/>
        <w:left w:val="none" w:sz="0" w:space="0" w:color="auto"/>
        <w:bottom w:val="none" w:sz="0" w:space="0" w:color="auto"/>
        <w:right w:val="none" w:sz="0" w:space="0" w:color="auto"/>
      </w:divBdr>
    </w:div>
    <w:div w:id="869995989">
      <w:marLeft w:val="0"/>
      <w:marRight w:val="0"/>
      <w:marTop w:val="240"/>
      <w:marBottom w:val="0"/>
      <w:divBdr>
        <w:top w:val="none" w:sz="0" w:space="0" w:color="auto"/>
        <w:left w:val="none" w:sz="0" w:space="0" w:color="auto"/>
        <w:bottom w:val="none" w:sz="0" w:space="0" w:color="auto"/>
        <w:right w:val="none" w:sz="0" w:space="0" w:color="auto"/>
      </w:divBdr>
    </w:div>
    <w:div w:id="870072818">
      <w:marLeft w:val="0"/>
      <w:marRight w:val="0"/>
      <w:marTop w:val="160"/>
      <w:marBottom w:val="0"/>
      <w:divBdr>
        <w:top w:val="none" w:sz="0" w:space="0" w:color="auto"/>
        <w:left w:val="none" w:sz="0" w:space="0" w:color="auto"/>
        <w:bottom w:val="none" w:sz="0" w:space="0" w:color="auto"/>
        <w:right w:val="none" w:sz="0" w:space="0" w:color="auto"/>
      </w:divBdr>
      <w:divsChild>
        <w:div w:id="1538733786">
          <w:marLeft w:val="0"/>
          <w:marRight w:val="0"/>
          <w:marTop w:val="0"/>
          <w:marBottom w:val="0"/>
          <w:divBdr>
            <w:top w:val="none" w:sz="0" w:space="0" w:color="auto"/>
            <w:left w:val="none" w:sz="0" w:space="0" w:color="auto"/>
            <w:bottom w:val="none" w:sz="0" w:space="0" w:color="auto"/>
            <w:right w:val="none" w:sz="0" w:space="0" w:color="auto"/>
          </w:divBdr>
        </w:div>
      </w:divsChild>
    </w:div>
    <w:div w:id="871113698">
      <w:marLeft w:val="0"/>
      <w:marRight w:val="0"/>
      <w:marTop w:val="240"/>
      <w:marBottom w:val="0"/>
      <w:divBdr>
        <w:top w:val="none" w:sz="0" w:space="0" w:color="auto"/>
        <w:left w:val="none" w:sz="0" w:space="0" w:color="auto"/>
        <w:bottom w:val="none" w:sz="0" w:space="0" w:color="auto"/>
        <w:right w:val="none" w:sz="0" w:space="0" w:color="auto"/>
      </w:divBdr>
    </w:div>
    <w:div w:id="871113977">
      <w:marLeft w:val="0"/>
      <w:marRight w:val="0"/>
      <w:marTop w:val="240"/>
      <w:marBottom w:val="0"/>
      <w:divBdr>
        <w:top w:val="none" w:sz="0" w:space="0" w:color="auto"/>
        <w:left w:val="none" w:sz="0" w:space="0" w:color="auto"/>
        <w:bottom w:val="none" w:sz="0" w:space="0" w:color="auto"/>
        <w:right w:val="none" w:sz="0" w:space="0" w:color="auto"/>
      </w:divBdr>
    </w:div>
    <w:div w:id="876240794">
      <w:marLeft w:val="0"/>
      <w:marRight w:val="0"/>
      <w:marTop w:val="240"/>
      <w:marBottom w:val="0"/>
      <w:divBdr>
        <w:top w:val="none" w:sz="0" w:space="0" w:color="auto"/>
        <w:left w:val="none" w:sz="0" w:space="0" w:color="auto"/>
        <w:bottom w:val="none" w:sz="0" w:space="0" w:color="auto"/>
        <w:right w:val="none" w:sz="0" w:space="0" w:color="auto"/>
      </w:divBdr>
    </w:div>
    <w:div w:id="877157222">
      <w:marLeft w:val="0"/>
      <w:marRight w:val="0"/>
      <w:marTop w:val="240"/>
      <w:marBottom w:val="0"/>
      <w:divBdr>
        <w:top w:val="none" w:sz="0" w:space="0" w:color="auto"/>
        <w:left w:val="none" w:sz="0" w:space="0" w:color="auto"/>
        <w:bottom w:val="none" w:sz="0" w:space="0" w:color="auto"/>
        <w:right w:val="none" w:sz="0" w:space="0" w:color="auto"/>
      </w:divBdr>
    </w:div>
    <w:div w:id="877858552">
      <w:marLeft w:val="0"/>
      <w:marRight w:val="0"/>
      <w:marTop w:val="160"/>
      <w:marBottom w:val="0"/>
      <w:divBdr>
        <w:top w:val="none" w:sz="0" w:space="0" w:color="auto"/>
        <w:left w:val="none" w:sz="0" w:space="0" w:color="auto"/>
        <w:bottom w:val="none" w:sz="0" w:space="0" w:color="auto"/>
        <w:right w:val="none" w:sz="0" w:space="0" w:color="auto"/>
      </w:divBdr>
      <w:divsChild>
        <w:div w:id="147862164">
          <w:marLeft w:val="0"/>
          <w:marRight w:val="0"/>
          <w:marTop w:val="0"/>
          <w:marBottom w:val="0"/>
          <w:divBdr>
            <w:top w:val="none" w:sz="0" w:space="0" w:color="auto"/>
            <w:left w:val="none" w:sz="0" w:space="0" w:color="auto"/>
            <w:bottom w:val="none" w:sz="0" w:space="0" w:color="auto"/>
            <w:right w:val="none" w:sz="0" w:space="0" w:color="auto"/>
          </w:divBdr>
        </w:div>
        <w:div w:id="1881820869">
          <w:marLeft w:val="0"/>
          <w:marRight w:val="0"/>
          <w:marTop w:val="0"/>
          <w:marBottom w:val="0"/>
          <w:divBdr>
            <w:top w:val="none" w:sz="0" w:space="0" w:color="auto"/>
            <w:left w:val="none" w:sz="0" w:space="0" w:color="auto"/>
            <w:bottom w:val="none" w:sz="0" w:space="0" w:color="auto"/>
            <w:right w:val="none" w:sz="0" w:space="0" w:color="auto"/>
          </w:divBdr>
        </w:div>
        <w:div w:id="1844205688">
          <w:marLeft w:val="0"/>
          <w:marRight w:val="0"/>
          <w:marTop w:val="0"/>
          <w:marBottom w:val="0"/>
          <w:divBdr>
            <w:top w:val="none" w:sz="0" w:space="0" w:color="auto"/>
            <w:left w:val="none" w:sz="0" w:space="0" w:color="auto"/>
            <w:bottom w:val="none" w:sz="0" w:space="0" w:color="auto"/>
            <w:right w:val="none" w:sz="0" w:space="0" w:color="auto"/>
          </w:divBdr>
        </w:div>
      </w:divsChild>
    </w:div>
    <w:div w:id="879709350">
      <w:marLeft w:val="0"/>
      <w:marRight w:val="0"/>
      <w:marTop w:val="240"/>
      <w:marBottom w:val="0"/>
      <w:divBdr>
        <w:top w:val="none" w:sz="0" w:space="0" w:color="auto"/>
        <w:left w:val="none" w:sz="0" w:space="0" w:color="auto"/>
        <w:bottom w:val="none" w:sz="0" w:space="0" w:color="auto"/>
        <w:right w:val="none" w:sz="0" w:space="0" w:color="auto"/>
      </w:divBdr>
    </w:div>
    <w:div w:id="880479924">
      <w:marLeft w:val="0"/>
      <w:marRight w:val="0"/>
      <w:marTop w:val="180"/>
      <w:marBottom w:val="0"/>
      <w:divBdr>
        <w:top w:val="none" w:sz="0" w:space="0" w:color="auto"/>
        <w:left w:val="none" w:sz="0" w:space="0" w:color="auto"/>
        <w:bottom w:val="none" w:sz="0" w:space="0" w:color="auto"/>
        <w:right w:val="none" w:sz="0" w:space="0" w:color="auto"/>
      </w:divBdr>
    </w:div>
    <w:div w:id="881551166">
      <w:marLeft w:val="0"/>
      <w:marRight w:val="0"/>
      <w:marTop w:val="180"/>
      <w:marBottom w:val="0"/>
      <w:divBdr>
        <w:top w:val="none" w:sz="0" w:space="0" w:color="auto"/>
        <w:left w:val="none" w:sz="0" w:space="0" w:color="auto"/>
        <w:bottom w:val="none" w:sz="0" w:space="0" w:color="auto"/>
        <w:right w:val="none" w:sz="0" w:space="0" w:color="auto"/>
      </w:divBdr>
    </w:div>
    <w:div w:id="881552987">
      <w:marLeft w:val="0"/>
      <w:marRight w:val="0"/>
      <w:marTop w:val="200"/>
      <w:marBottom w:val="0"/>
      <w:divBdr>
        <w:top w:val="none" w:sz="0" w:space="0" w:color="auto"/>
        <w:left w:val="none" w:sz="0" w:space="0" w:color="auto"/>
        <w:bottom w:val="none" w:sz="0" w:space="0" w:color="auto"/>
        <w:right w:val="none" w:sz="0" w:space="0" w:color="auto"/>
      </w:divBdr>
    </w:div>
    <w:div w:id="881937409">
      <w:marLeft w:val="0"/>
      <w:marRight w:val="0"/>
      <w:marTop w:val="240"/>
      <w:marBottom w:val="0"/>
      <w:divBdr>
        <w:top w:val="none" w:sz="0" w:space="0" w:color="auto"/>
        <w:left w:val="none" w:sz="0" w:space="0" w:color="auto"/>
        <w:bottom w:val="none" w:sz="0" w:space="0" w:color="auto"/>
        <w:right w:val="none" w:sz="0" w:space="0" w:color="auto"/>
      </w:divBdr>
    </w:div>
    <w:div w:id="883368621">
      <w:marLeft w:val="0"/>
      <w:marRight w:val="0"/>
      <w:marTop w:val="240"/>
      <w:marBottom w:val="0"/>
      <w:divBdr>
        <w:top w:val="none" w:sz="0" w:space="0" w:color="auto"/>
        <w:left w:val="none" w:sz="0" w:space="0" w:color="auto"/>
        <w:bottom w:val="none" w:sz="0" w:space="0" w:color="auto"/>
        <w:right w:val="none" w:sz="0" w:space="0" w:color="auto"/>
      </w:divBdr>
    </w:div>
    <w:div w:id="885800452">
      <w:marLeft w:val="0"/>
      <w:marRight w:val="0"/>
      <w:marTop w:val="0"/>
      <w:marBottom w:val="0"/>
      <w:divBdr>
        <w:top w:val="none" w:sz="0" w:space="0" w:color="auto"/>
        <w:left w:val="none" w:sz="0" w:space="0" w:color="auto"/>
        <w:bottom w:val="none" w:sz="0" w:space="0" w:color="auto"/>
        <w:right w:val="none" w:sz="0" w:space="0" w:color="auto"/>
      </w:divBdr>
      <w:divsChild>
        <w:div w:id="1339038797">
          <w:marLeft w:val="0"/>
          <w:marRight w:val="0"/>
          <w:marTop w:val="0"/>
          <w:marBottom w:val="0"/>
          <w:divBdr>
            <w:top w:val="none" w:sz="0" w:space="0" w:color="auto"/>
            <w:left w:val="none" w:sz="0" w:space="0" w:color="auto"/>
            <w:bottom w:val="none" w:sz="0" w:space="0" w:color="auto"/>
            <w:right w:val="none" w:sz="0" w:space="0" w:color="auto"/>
          </w:divBdr>
        </w:div>
      </w:divsChild>
    </w:div>
    <w:div w:id="886842709">
      <w:marLeft w:val="0"/>
      <w:marRight w:val="0"/>
      <w:marTop w:val="240"/>
      <w:marBottom w:val="0"/>
      <w:divBdr>
        <w:top w:val="none" w:sz="0" w:space="0" w:color="auto"/>
        <w:left w:val="none" w:sz="0" w:space="0" w:color="auto"/>
        <w:bottom w:val="none" w:sz="0" w:space="0" w:color="auto"/>
        <w:right w:val="none" w:sz="0" w:space="0" w:color="auto"/>
      </w:divBdr>
    </w:div>
    <w:div w:id="887423381">
      <w:marLeft w:val="0"/>
      <w:marRight w:val="0"/>
      <w:marTop w:val="240"/>
      <w:marBottom w:val="240"/>
      <w:divBdr>
        <w:top w:val="none" w:sz="0" w:space="0" w:color="auto"/>
        <w:left w:val="none" w:sz="0" w:space="0" w:color="auto"/>
        <w:bottom w:val="none" w:sz="0" w:space="0" w:color="auto"/>
        <w:right w:val="none" w:sz="0" w:space="0" w:color="auto"/>
      </w:divBdr>
    </w:div>
    <w:div w:id="888110537">
      <w:marLeft w:val="0"/>
      <w:marRight w:val="0"/>
      <w:marTop w:val="0"/>
      <w:marBottom w:val="0"/>
      <w:divBdr>
        <w:top w:val="none" w:sz="0" w:space="0" w:color="auto"/>
        <w:left w:val="none" w:sz="0" w:space="0" w:color="auto"/>
        <w:bottom w:val="none" w:sz="0" w:space="0" w:color="auto"/>
        <w:right w:val="none" w:sz="0" w:space="0" w:color="auto"/>
      </w:divBdr>
      <w:divsChild>
        <w:div w:id="379406319">
          <w:marLeft w:val="0"/>
          <w:marRight w:val="0"/>
          <w:marTop w:val="0"/>
          <w:marBottom w:val="0"/>
          <w:divBdr>
            <w:top w:val="none" w:sz="0" w:space="0" w:color="auto"/>
            <w:left w:val="none" w:sz="0" w:space="0" w:color="auto"/>
            <w:bottom w:val="none" w:sz="0" w:space="0" w:color="auto"/>
            <w:right w:val="none" w:sz="0" w:space="0" w:color="auto"/>
          </w:divBdr>
          <w:divsChild>
            <w:div w:id="148334723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88420059">
      <w:marLeft w:val="0"/>
      <w:marRight w:val="0"/>
      <w:marTop w:val="240"/>
      <w:marBottom w:val="0"/>
      <w:divBdr>
        <w:top w:val="none" w:sz="0" w:space="0" w:color="auto"/>
        <w:left w:val="none" w:sz="0" w:space="0" w:color="auto"/>
        <w:bottom w:val="none" w:sz="0" w:space="0" w:color="auto"/>
        <w:right w:val="none" w:sz="0" w:space="0" w:color="auto"/>
      </w:divBdr>
    </w:div>
    <w:div w:id="889460736">
      <w:marLeft w:val="0"/>
      <w:marRight w:val="0"/>
      <w:marTop w:val="0"/>
      <w:marBottom w:val="0"/>
      <w:divBdr>
        <w:top w:val="none" w:sz="0" w:space="0" w:color="auto"/>
        <w:left w:val="none" w:sz="0" w:space="0" w:color="auto"/>
        <w:bottom w:val="none" w:sz="0" w:space="0" w:color="auto"/>
        <w:right w:val="none" w:sz="0" w:space="0" w:color="auto"/>
      </w:divBdr>
      <w:divsChild>
        <w:div w:id="217665376">
          <w:marLeft w:val="0"/>
          <w:marRight w:val="0"/>
          <w:marTop w:val="0"/>
          <w:marBottom w:val="0"/>
          <w:divBdr>
            <w:top w:val="none" w:sz="0" w:space="0" w:color="auto"/>
            <w:left w:val="none" w:sz="0" w:space="0" w:color="auto"/>
            <w:bottom w:val="none" w:sz="0" w:space="0" w:color="auto"/>
            <w:right w:val="none" w:sz="0" w:space="0" w:color="auto"/>
          </w:divBdr>
        </w:div>
      </w:divsChild>
    </w:div>
    <w:div w:id="889998525">
      <w:marLeft w:val="0"/>
      <w:marRight w:val="0"/>
      <w:marTop w:val="240"/>
      <w:marBottom w:val="0"/>
      <w:divBdr>
        <w:top w:val="none" w:sz="0" w:space="0" w:color="auto"/>
        <w:left w:val="none" w:sz="0" w:space="0" w:color="auto"/>
        <w:bottom w:val="none" w:sz="0" w:space="0" w:color="auto"/>
        <w:right w:val="none" w:sz="0" w:space="0" w:color="auto"/>
      </w:divBdr>
    </w:div>
    <w:div w:id="890920663">
      <w:marLeft w:val="0"/>
      <w:marRight w:val="0"/>
      <w:marTop w:val="60"/>
      <w:marBottom w:val="0"/>
      <w:divBdr>
        <w:top w:val="none" w:sz="0" w:space="0" w:color="auto"/>
        <w:left w:val="none" w:sz="0" w:space="0" w:color="auto"/>
        <w:bottom w:val="none" w:sz="0" w:space="0" w:color="auto"/>
        <w:right w:val="none" w:sz="0" w:space="0" w:color="auto"/>
      </w:divBdr>
    </w:div>
    <w:div w:id="892274421">
      <w:marLeft w:val="0"/>
      <w:marRight w:val="0"/>
      <w:marTop w:val="160"/>
      <w:marBottom w:val="0"/>
      <w:divBdr>
        <w:top w:val="none" w:sz="0" w:space="0" w:color="auto"/>
        <w:left w:val="none" w:sz="0" w:space="0" w:color="auto"/>
        <w:bottom w:val="none" w:sz="0" w:space="0" w:color="auto"/>
        <w:right w:val="none" w:sz="0" w:space="0" w:color="auto"/>
      </w:divBdr>
    </w:div>
    <w:div w:id="893393593">
      <w:marLeft w:val="0"/>
      <w:marRight w:val="0"/>
      <w:marTop w:val="0"/>
      <w:marBottom w:val="60"/>
      <w:divBdr>
        <w:top w:val="none" w:sz="0" w:space="0" w:color="auto"/>
        <w:left w:val="none" w:sz="0" w:space="0" w:color="auto"/>
        <w:bottom w:val="none" w:sz="0" w:space="0" w:color="auto"/>
        <w:right w:val="none" w:sz="0" w:space="0" w:color="auto"/>
      </w:divBdr>
    </w:div>
    <w:div w:id="893663725">
      <w:marLeft w:val="0"/>
      <w:marRight w:val="0"/>
      <w:marTop w:val="60"/>
      <w:marBottom w:val="0"/>
      <w:divBdr>
        <w:top w:val="none" w:sz="0" w:space="0" w:color="auto"/>
        <w:left w:val="none" w:sz="0" w:space="0" w:color="auto"/>
        <w:bottom w:val="none" w:sz="0" w:space="0" w:color="auto"/>
        <w:right w:val="none" w:sz="0" w:space="0" w:color="auto"/>
      </w:divBdr>
    </w:div>
    <w:div w:id="896282824">
      <w:marLeft w:val="0"/>
      <w:marRight w:val="0"/>
      <w:marTop w:val="240"/>
      <w:marBottom w:val="0"/>
      <w:divBdr>
        <w:top w:val="none" w:sz="0" w:space="0" w:color="auto"/>
        <w:left w:val="none" w:sz="0" w:space="0" w:color="auto"/>
        <w:bottom w:val="none" w:sz="0" w:space="0" w:color="auto"/>
        <w:right w:val="none" w:sz="0" w:space="0" w:color="auto"/>
      </w:divBdr>
    </w:div>
    <w:div w:id="896474345">
      <w:marLeft w:val="0"/>
      <w:marRight w:val="0"/>
      <w:marTop w:val="0"/>
      <w:marBottom w:val="0"/>
      <w:divBdr>
        <w:top w:val="none" w:sz="0" w:space="0" w:color="auto"/>
        <w:left w:val="none" w:sz="0" w:space="0" w:color="auto"/>
        <w:bottom w:val="none" w:sz="0" w:space="0" w:color="auto"/>
        <w:right w:val="none" w:sz="0" w:space="0" w:color="auto"/>
      </w:divBdr>
      <w:divsChild>
        <w:div w:id="329020906">
          <w:marLeft w:val="0"/>
          <w:marRight w:val="0"/>
          <w:marTop w:val="120"/>
          <w:marBottom w:val="0"/>
          <w:divBdr>
            <w:top w:val="none" w:sz="0" w:space="0" w:color="auto"/>
            <w:left w:val="none" w:sz="0" w:space="0" w:color="auto"/>
            <w:bottom w:val="none" w:sz="0" w:space="0" w:color="auto"/>
            <w:right w:val="none" w:sz="0" w:space="0" w:color="auto"/>
          </w:divBdr>
        </w:div>
      </w:divsChild>
    </w:div>
    <w:div w:id="898249606">
      <w:marLeft w:val="0"/>
      <w:marRight w:val="0"/>
      <w:marTop w:val="60"/>
      <w:marBottom w:val="0"/>
      <w:divBdr>
        <w:top w:val="none" w:sz="0" w:space="0" w:color="auto"/>
        <w:left w:val="none" w:sz="0" w:space="0" w:color="auto"/>
        <w:bottom w:val="none" w:sz="0" w:space="0" w:color="auto"/>
        <w:right w:val="none" w:sz="0" w:space="0" w:color="auto"/>
      </w:divBdr>
    </w:div>
    <w:div w:id="899242822">
      <w:marLeft w:val="0"/>
      <w:marRight w:val="0"/>
      <w:marTop w:val="120"/>
      <w:marBottom w:val="0"/>
      <w:divBdr>
        <w:top w:val="none" w:sz="0" w:space="0" w:color="auto"/>
        <w:left w:val="none" w:sz="0" w:space="0" w:color="auto"/>
        <w:bottom w:val="none" w:sz="0" w:space="0" w:color="auto"/>
        <w:right w:val="none" w:sz="0" w:space="0" w:color="auto"/>
      </w:divBdr>
    </w:div>
    <w:div w:id="900675611">
      <w:marLeft w:val="0"/>
      <w:marRight w:val="0"/>
      <w:marTop w:val="240"/>
      <w:marBottom w:val="0"/>
      <w:divBdr>
        <w:top w:val="none" w:sz="0" w:space="0" w:color="auto"/>
        <w:left w:val="none" w:sz="0" w:space="0" w:color="auto"/>
        <w:bottom w:val="none" w:sz="0" w:space="0" w:color="auto"/>
        <w:right w:val="none" w:sz="0" w:space="0" w:color="auto"/>
      </w:divBdr>
    </w:div>
    <w:div w:id="901451062">
      <w:marLeft w:val="0"/>
      <w:marRight w:val="0"/>
      <w:marTop w:val="240"/>
      <w:marBottom w:val="240"/>
      <w:divBdr>
        <w:top w:val="none" w:sz="0" w:space="0" w:color="auto"/>
        <w:left w:val="none" w:sz="0" w:space="0" w:color="auto"/>
        <w:bottom w:val="none" w:sz="0" w:space="0" w:color="auto"/>
        <w:right w:val="none" w:sz="0" w:space="0" w:color="auto"/>
      </w:divBdr>
    </w:div>
    <w:div w:id="901598053">
      <w:marLeft w:val="0"/>
      <w:marRight w:val="0"/>
      <w:marTop w:val="240"/>
      <w:marBottom w:val="0"/>
      <w:divBdr>
        <w:top w:val="none" w:sz="0" w:space="0" w:color="auto"/>
        <w:left w:val="none" w:sz="0" w:space="0" w:color="auto"/>
        <w:bottom w:val="none" w:sz="0" w:space="0" w:color="auto"/>
        <w:right w:val="none" w:sz="0" w:space="0" w:color="auto"/>
      </w:divBdr>
    </w:div>
    <w:div w:id="905065496">
      <w:marLeft w:val="0"/>
      <w:marRight w:val="0"/>
      <w:marTop w:val="0"/>
      <w:marBottom w:val="0"/>
      <w:divBdr>
        <w:top w:val="none" w:sz="0" w:space="0" w:color="auto"/>
        <w:left w:val="none" w:sz="0" w:space="0" w:color="auto"/>
        <w:bottom w:val="none" w:sz="0" w:space="0" w:color="auto"/>
        <w:right w:val="none" w:sz="0" w:space="0" w:color="auto"/>
      </w:divBdr>
      <w:divsChild>
        <w:div w:id="1780371583">
          <w:marLeft w:val="0"/>
          <w:marRight w:val="0"/>
          <w:marTop w:val="0"/>
          <w:marBottom w:val="0"/>
          <w:divBdr>
            <w:top w:val="none" w:sz="0" w:space="0" w:color="auto"/>
            <w:left w:val="none" w:sz="0" w:space="0" w:color="auto"/>
            <w:bottom w:val="none" w:sz="0" w:space="0" w:color="auto"/>
            <w:right w:val="none" w:sz="0" w:space="0" w:color="auto"/>
          </w:divBdr>
        </w:div>
      </w:divsChild>
    </w:div>
    <w:div w:id="905148280">
      <w:marLeft w:val="0"/>
      <w:marRight w:val="0"/>
      <w:marTop w:val="240"/>
      <w:marBottom w:val="0"/>
      <w:divBdr>
        <w:top w:val="none" w:sz="0" w:space="0" w:color="auto"/>
        <w:left w:val="none" w:sz="0" w:space="0" w:color="auto"/>
        <w:bottom w:val="none" w:sz="0" w:space="0" w:color="auto"/>
        <w:right w:val="none" w:sz="0" w:space="0" w:color="auto"/>
      </w:divBdr>
    </w:div>
    <w:div w:id="905919846">
      <w:marLeft w:val="0"/>
      <w:marRight w:val="0"/>
      <w:marTop w:val="240"/>
      <w:marBottom w:val="0"/>
      <w:divBdr>
        <w:top w:val="none" w:sz="0" w:space="0" w:color="auto"/>
        <w:left w:val="none" w:sz="0" w:space="0" w:color="auto"/>
        <w:bottom w:val="none" w:sz="0" w:space="0" w:color="auto"/>
        <w:right w:val="none" w:sz="0" w:space="0" w:color="auto"/>
      </w:divBdr>
    </w:div>
    <w:div w:id="908462739">
      <w:marLeft w:val="0"/>
      <w:marRight w:val="0"/>
      <w:marTop w:val="240"/>
      <w:marBottom w:val="0"/>
      <w:divBdr>
        <w:top w:val="none" w:sz="0" w:space="0" w:color="auto"/>
        <w:left w:val="none" w:sz="0" w:space="0" w:color="auto"/>
        <w:bottom w:val="none" w:sz="0" w:space="0" w:color="auto"/>
        <w:right w:val="none" w:sz="0" w:space="0" w:color="auto"/>
      </w:divBdr>
    </w:div>
    <w:div w:id="908733873">
      <w:marLeft w:val="0"/>
      <w:marRight w:val="0"/>
      <w:marTop w:val="240"/>
      <w:marBottom w:val="0"/>
      <w:divBdr>
        <w:top w:val="none" w:sz="0" w:space="0" w:color="auto"/>
        <w:left w:val="none" w:sz="0" w:space="0" w:color="auto"/>
        <w:bottom w:val="none" w:sz="0" w:space="0" w:color="auto"/>
        <w:right w:val="none" w:sz="0" w:space="0" w:color="auto"/>
      </w:divBdr>
    </w:div>
    <w:div w:id="909383673">
      <w:marLeft w:val="0"/>
      <w:marRight w:val="0"/>
      <w:marTop w:val="0"/>
      <w:marBottom w:val="0"/>
      <w:divBdr>
        <w:top w:val="none" w:sz="0" w:space="0" w:color="auto"/>
        <w:left w:val="none" w:sz="0" w:space="0" w:color="auto"/>
        <w:bottom w:val="none" w:sz="0" w:space="0" w:color="auto"/>
        <w:right w:val="none" w:sz="0" w:space="0" w:color="auto"/>
      </w:divBdr>
      <w:divsChild>
        <w:div w:id="393234322">
          <w:marLeft w:val="0"/>
          <w:marRight w:val="0"/>
          <w:marTop w:val="0"/>
          <w:marBottom w:val="0"/>
          <w:divBdr>
            <w:top w:val="none" w:sz="0" w:space="0" w:color="auto"/>
            <w:left w:val="none" w:sz="0" w:space="0" w:color="auto"/>
            <w:bottom w:val="none" w:sz="0" w:space="0" w:color="auto"/>
            <w:right w:val="none" w:sz="0" w:space="0" w:color="auto"/>
          </w:divBdr>
          <w:divsChild>
            <w:div w:id="212345312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09849407">
      <w:marLeft w:val="0"/>
      <w:marRight w:val="0"/>
      <w:marTop w:val="0"/>
      <w:marBottom w:val="0"/>
      <w:divBdr>
        <w:top w:val="none" w:sz="0" w:space="0" w:color="auto"/>
        <w:left w:val="none" w:sz="0" w:space="0" w:color="auto"/>
        <w:bottom w:val="none" w:sz="0" w:space="0" w:color="auto"/>
        <w:right w:val="none" w:sz="0" w:space="0" w:color="auto"/>
      </w:divBdr>
      <w:divsChild>
        <w:div w:id="1620263178">
          <w:marLeft w:val="0"/>
          <w:marRight w:val="0"/>
          <w:marTop w:val="0"/>
          <w:marBottom w:val="0"/>
          <w:divBdr>
            <w:top w:val="none" w:sz="0" w:space="0" w:color="auto"/>
            <w:left w:val="none" w:sz="0" w:space="0" w:color="auto"/>
            <w:bottom w:val="none" w:sz="0" w:space="0" w:color="auto"/>
            <w:right w:val="none" w:sz="0" w:space="0" w:color="auto"/>
          </w:divBdr>
          <w:divsChild>
            <w:div w:id="1667984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11427831">
      <w:marLeft w:val="0"/>
      <w:marRight w:val="0"/>
      <w:marTop w:val="240"/>
      <w:marBottom w:val="0"/>
      <w:divBdr>
        <w:top w:val="none" w:sz="0" w:space="0" w:color="auto"/>
        <w:left w:val="none" w:sz="0" w:space="0" w:color="auto"/>
        <w:bottom w:val="none" w:sz="0" w:space="0" w:color="auto"/>
        <w:right w:val="none" w:sz="0" w:space="0" w:color="auto"/>
      </w:divBdr>
    </w:div>
    <w:div w:id="913196768">
      <w:marLeft w:val="0"/>
      <w:marRight w:val="0"/>
      <w:marTop w:val="200"/>
      <w:marBottom w:val="0"/>
      <w:divBdr>
        <w:top w:val="none" w:sz="0" w:space="0" w:color="auto"/>
        <w:left w:val="none" w:sz="0" w:space="0" w:color="auto"/>
        <w:bottom w:val="none" w:sz="0" w:space="0" w:color="auto"/>
        <w:right w:val="none" w:sz="0" w:space="0" w:color="auto"/>
      </w:divBdr>
    </w:div>
    <w:div w:id="913508153">
      <w:marLeft w:val="0"/>
      <w:marRight w:val="0"/>
      <w:marTop w:val="180"/>
      <w:marBottom w:val="0"/>
      <w:divBdr>
        <w:top w:val="none" w:sz="0" w:space="0" w:color="auto"/>
        <w:left w:val="none" w:sz="0" w:space="0" w:color="auto"/>
        <w:bottom w:val="none" w:sz="0" w:space="0" w:color="auto"/>
        <w:right w:val="none" w:sz="0" w:space="0" w:color="auto"/>
      </w:divBdr>
    </w:div>
    <w:div w:id="914709256">
      <w:marLeft w:val="0"/>
      <w:marRight w:val="0"/>
      <w:marTop w:val="240"/>
      <w:marBottom w:val="0"/>
      <w:divBdr>
        <w:top w:val="none" w:sz="0" w:space="0" w:color="auto"/>
        <w:left w:val="none" w:sz="0" w:space="0" w:color="auto"/>
        <w:bottom w:val="none" w:sz="0" w:space="0" w:color="auto"/>
        <w:right w:val="none" w:sz="0" w:space="0" w:color="auto"/>
      </w:divBdr>
    </w:div>
    <w:div w:id="916205338">
      <w:marLeft w:val="0"/>
      <w:marRight w:val="0"/>
      <w:marTop w:val="0"/>
      <w:marBottom w:val="0"/>
      <w:divBdr>
        <w:top w:val="none" w:sz="0" w:space="0" w:color="auto"/>
        <w:left w:val="none" w:sz="0" w:space="0" w:color="auto"/>
        <w:bottom w:val="none" w:sz="0" w:space="0" w:color="auto"/>
        <w:right w:val="none" w:sz="0" w:space="0" w:color="auto"/>
      </w:divBdr>
      <w:divsChild>
        <w:div w:id="211309061">
          <w:marLeft w:val="0"/>
          <w:marRight w:val="0"/>
          <w:marTop w:val="0"/>
          <w:marBottom w:val="0"/>
          <w:divBdr>
            <w:top w:val="none" w:sz="0" w:space="0" w:color="auto"/>
            <w:left w:val="none" w:sz="0" w:space="0" w:color="auto"/>
            <w:bottom w:val="none" w:sz="0" w:space="0" w:color="auto"/>
            <w:right w:val="none" w:sz="0" w:space="0" w:color="auto"/>
          </w:divBdr>
          <w:divsChild>
            <w:div w:id="6334832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16670659">
      <w:marLeft w:val="0"/>
      <w:marRight w:val="0"/>
      <w:marTop w:val="240"/>
      <w:marBottom w:val="0"/>
      <w:divBdr>
        <w:top w:val="none" w:sz="0" w:space="0" w:color="auto"/>
        <w:left w:val="none" w:sz="0" w:space="0" w:color="auto"/>
        <w:bottom w:val="none" w:sz="0" w:space="0" w:color="auto"/>
        <w:right w:val="none" w:sz="0" w:space="0" w:color="auto"/>
      </w:divBdr>
    </w:div>
    <w:div w:id="922296885">
      <w:marLeft w:val="0"/>
      <w:marRight w:val="0"/>
      <w:marTop w:val="120"/>
      <w:marBottom w:val="0"/>
      <w:divBdr>
        <w:top w:val="none" w:sz="0" w:space="0" w:color="auto"/>
        <w:left w:val="none" w:sz="0" w:space="0" w:color="auto"/>
        <w:bottom w:val="none" w:sz="0" w:space="0" w:color="auto"/>
        <w:right w:val="none" w:sz="0" w:space="0" w:color="auto"/>
      </w:divBdr>
    </w:div>
    <w:div w:id="922641889">
      <w:marLeft w:val="0"/>
      <w:marRight w:val="0"/>
      <w:marTop w:val="0"/>
      <w:marBottom w:val="0"/>
      <w:divBdr>
        <w:top w:val="none" w:sz="0" w:space="0" w:color="auto"/>
        <w:left w:val="none" w:sz="0" w:space="0" w:color="auto"/>
        <w:bottom w:val="none" w:sz="0" w:space="0" w:color="auto"/>
        <w:right w:val="none" w:sz="0" w:space="0" w:color="auto"/>
      </w:divBdr>
      <w:divsChild>
        <w:div w:id="68234575">
          <w:marLeft w:val="0"/>
          <w:marRight w:val="0"/>
          <w:marTop w:val="0"/>
          <w:marBottom w:val="0"/>
          <w:divBdr>
            <w:top w:val="none" w:sz="0" w:space="0" w:color="auto"/>
            <w:left w:val="none" w:sz="0" w:space="0" w:color="auto"/>
            <w:bottom w:val="none" w:sz="0" w:space="0" w:color="auto"/>
            <w:right w:val="none" w:sz="0" w:space="0" w:color="auto"/>
          </w:divBdr>
          <w:divsChild>
            <w:div w:id="3807127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22956511">
      <w:marLeft w:val="0"/>
      <w:marRight w:val="0"/>
      <w:marTop w:val="0"/>
      <w:marBottom w:val="0"/>
      <w:divBdr>
        <w:top w:val="none" w:sz="0" w:space="0" w:color="auto"/>
        <w:left w:val="none" w:sz="0" w:space="0" w:color="auto"/>
        <w:bottom w:val="none" w:sz="0" w:space="0" w:color="auto"/>
        <w:right w:val="none" w:sz="0" w:space="0" w:color="auto"/>
      </w:divBdr>
      <w:divsChild>
        <w:div w:id="415902561">
          <w:marLeft w:val="0"/>
          <w:marRight w:val="0"/>
          <w:marTop w:val="0"/>
          <w:marBottom w:val="0"/>
          <w:divBdr>
            <w:top w:val="none" w:sz="0" w:space="0" w:color="auto"/>
            <w:left w:val="none" w:sz="0" w:space="0" w:color="auto"/>
            <w:bottom w:val="none" w:sz="0" w:space="0" w:color="auto"/>
            <w:right w:val="none" w:sz="0" w:space="0" w:color="auto"/>
          </w:divBdr>
          <w:divsChild>
            <w:div w:id="3742792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24144937">
      <w:marLeft w:val="0"/>
      <w:marRight w:val="0"/>
      <w:marTop w:val="240"/>
      <w:marBottom w:val="0"/>
      <w:divBdr>
        <w:top w:val="none" w:sz="0" w:space="0" w:color="auto"/>
        <w:left w:val="none" w:sz="0" w:space="0" w:color="auto"/>
        <w:bottom w:val="none" w:sz="0" w:space="0" w:color="auto"/>
        <w:right w:val="none" w:sz="0" w:space="0" w:color="auto"/>
      </w:divBdr>
    </w:div>
    <w:div w:id="925574596">
      <w:marLeft w:val="0"/>
      <w:marRight w:val="0"/>
      <w:marTop w:val="240"/>
      <w:marBottom w:val="0"/>
      <w:divBdr>
        <w:top w:val="none" w:sz="0" w:space="0" w:color="auto"/>
        <w:left w:val="none" w:sz="0" w:space="0" w:color="auto"/>
        <w:bottom w:val="none" w:sz="0" w:space="0" w:color="auto"/>
        <w:right w:val="none" w:sz="0" w:space="0" w:color="auto"/>
      </w:divBdr>
    </w:div>
    <w:div w:id="931276203">
      <w:marLeft w:val="0"/>
      <w:marRight w:val="0"/>
      <w:marTop w:val="0"/>
      <w:marBottom w:val="0"/>
      <w:divBdr>
        <w:top w:val="none" w:sz="0" w:space="0" w:color="auto"/>
        <w:left w:val="none" w:sz="0" w:space="0" w:color="auto"/>
        <w:bottom w:val="none" w:sz="0" w:space="0" w:color="auto"/>
        <w:right w:val="none" w:sz="0" w:space="0" w:color="auto"/>
      </w:divBdr>
      <w:divsChild>
        <w:div w:id="2109810749">
          <w:marLeft w:val="0"/>
          <w:marRight w:val="0"/>
          <w:marTop w:val="0"/>
          <w:marBottom w:val="0"/>
          <w:divBdr>
            <w:top w:val="none" w:sz="0" w:space="0" w:color="auto"/>
            <w:left w:val="none" w:sz="0" w:space="0" w:color="auto"/>
            <w:bottom w:val="none" w:sz="0" w:space="0" w:color="auto"/>
            <w:right w:val="none" w:sz="0" w:space="0" w:color="auto"/>
          </w:divBdr>
        </w:div>
      </w:divsChild>
    </w:div>
    <w:div w:id="932543368">
      <w:marLeft w:val="0"/>
      <w:marRight w:val="0"/>
      <w:marTop w:val="240"/>
      <w:marBottom w:val="0"/>
      <w:divBdr>
        <w:top w:val="none" w:sz="0" w:space="0" w:color="auto"/>
        <w:left w:val="none" w:sz="0" w:space="0" w:color="auto"/>
        <w:bottom w:val="none" w:sz="0" w:space="0" w:color="auto"/>
        <w:right w:val="none" w:sz="0" w:space="0" w:color="auto"/>
      </w:divBdr>
    </w:div>
    <w:div w:id="932906695">
      <w:marLeft w:val="0"/>
      <w:marRight w:val="0"/>
      <w:marTop w:val="240"/>
      <w:marBottom w:val="0"/>
      <w:divBdr>
        <w:top w:val="none" w:sz="0" w:space="0" w:color="auto"/>
        <w:left w:val="none" w:sz="0" w:space="0" w:color="auto"/>
        <w:bottom w:val="none" w:sz="0" w:space="0" w:color="auto"/>
        <w:right w:val="none" w:sz="0" w:space="0" w:color="auto"/>
      </w:divBdr>
    </w:div>
    <w:div w:id="932972907">
      <w:marLeft w:val="0"/>
      <w:marRight w:val="0"/>
      <w:marTop w:val="300"/>
      <w:marBottom w:val="0"/>
      <w:divBdr>
        <w:top w:val="none" w:sz="0" w:space="0" w:color="auto"/>
        <w:left w:val="none" w:sz="0" w:space="0" w:color="auto"/>
        <w:bottom w:val="none" w:sz="0" w:space="0" w:color="auto"/>
        <w:right w:val="none" w:sz="0" w:space="0" w:color="auto"/>
      </w:divBdr>
    </w:div>
    <w:div w:id="935332792">
      <w:marLeft w:val="0"/>
      <w:marRight w:val="0"/>
      <w:marTop w:val="160"/>
      <w:marBottom w:val="0"/>
      <w:divBdr>
        <w:top w:val="none" w:sz="0" w:space="0" w:color="auto"/>
        <w:left w:val="none" w:sz="0" w:space="0" w:color="auto"/>
        <w:bottom w:val="none" w:sz="0" w:space="0" w:color="auto"/>
        <w:right w:val="none" w:sz="0" w:space="0" w:color="auto"/>
      </w:divBdr>
      <w:divsChild>
        <w:div w:id="1369062375">
          <w:marLeft w:val="0"/>
          <w:marRight w:val="0"/>
          <w:marTop w:val="0"/>
          <w:marBottom w:val="0"/>
          <w:divBdr>
            <w:top w:val="none" w:sz="0" w:space="0" w:color="auto"/>
            <w:left w:val="none" w:sz="0" w:space="0" w:color="auto"/>
            <w:bottom w:val="none" w:sz="0" w:space="0" w:color="auto"/>
            <w:right w:val="none" w:sz="0" w:space="0" w:color="auto"/>
          </w:divBdr>
        </w:div>
      </w:divsChild>
    </w:div>
    <w:div w:id="935672250">
      <w:marLeft w:val="0"/>
      <w:marRight w:val="0"/>
      <w:marTop w:val="240"/>
      <w:marBottom w:val="0"/>
      <w:divBdr>
        <w:top w:val="none" w:sz="0" w:space="0" w:color="auto"/>
        <w:left w:val="none" w:sz="0" w:space="0" w:color="auto"/>
        <w:bottom w:val="none" w:sz="0" w:space="0" w:color="auto"/>
        <w:right w:val="none" w:sz="0" w:space="0" w:color="auto"/>
      </w:divBdr>
    </w:div>
    <w:div w:id="936400354">
      <w:marLeft w:val="0"/>
      <w:marRight w:val="0"/>
      <w:marTop w:val="240"/>
      <w:marBottom w:val="0"/>
      <w:divBdr>
        <w:top w:val="none" w:sz="0" w:space="0" w:color="auto"/>
        <w:left w:val="none" w:sz="0" w:space="0" w:color="auto"/>
        <w:bottom w:val="none" w:sz="0" w:space="0" w:color="auto"/>
        <w:right w:val="none" w:sz="0" w:space="0" w:color="auto"/>
      </w:divBdr>
    </w:div>
    <w:div w:id="939414675">
      <w:marLeft w:val="0"/>
      <w:marRight w:val="0"/>
      <w:marTop w:val="120"/>
      <w:marBottom w:val="0"/>
      <w:divBdr>
        <w:top w:val="none" w:sz="0" w:space="0" w:color="auto"/>
        <w:left w:val="none" w:sz="0" w:space="0" w:color="auto"/>
        <w:bottom w:val="none" w:sz="0" w:space="0" w:color="auto"/>
        <w:right w:val="none" w:sz="0" w:space="0" w:color="auto"/>
      </w:divBdr>
    </w:div>
    <w:div w:id="942881055">
      <w:marLeft w:val="0"/>
      <w:marRight w:val="0"/>
      <w:marTop w:val="0"/>
      <w:marBottom w:val="0"/>
      <w:divBdr>
        <w:top w:val="none" w:sz="0" w:space="0" w:color="auto"/>
        <w:left w:val="none" w:sz="0" w:space="0" w:color="auto"/>
        <w:bottom w:val="none" w:sz="0" w:space="0" w:color="auto"/>
        <w:right w:val="none" w:sz="0" w:space="0" w:color="auto"/>
      </w:divBdr>
      <w:divsChild>
        <w:div w:id="1322923110">
          <w:marLeft w:val="0"/>
          <w:marRight w:val="0"/>
          <w:marTop w:val="0"/>
          <w:marBottom w:val="0"/>
          <w:divBdr>
            <w:top w:val="none" w:sz="0" w:space="0" w:color="auto"/>
            <w:left w:val="none" w:sz="0" w:space="0" w:color="auto"/>
            <w:bottom w:val="none" w:sz="0" w:space="0" w:color="auto"/>
            <w:right w:val="none" w:sz="0" w:space="0" w:color="auto"/>
          </w:divBdr>
        </w:div>
      </w:divsChild>
    </w:div>
    <w:div w:id="944730520">
      <w:marLeft w:val="0"/>
      <w:marRight w:val="0"/>
      <w:marTop w:val="240"/>
      <w:marBottom w:val="0"/>
      <w:divBdr>
        <w:top w:val="none" w:sz="0" w:space="0" w:color="auto"/>
        <w:left w:val="none" w:sz="0" w:space="0" w:color="auto"/>
        <w:bottom w:val="none" w:sz="0" w:space="0" w:color="auto"/>
        <w:right w:val="none" w:sz="0" w:space="0" w:color="auto"/>
      </w:divBdr>
    </w:div>
    <w:div w:id="947783107">
      <w:marLeft w:val="0"/>
      <w:marRight w:val="0"/>
      <w:marTop w:val="0"/>
      <w:marBottom w:val="0"/>
      <w:divBdr>
        <w:top w:val="none" w:sz="0" w:space="0" w:color="auto"/>
        <w:left w:val="none" w:sz="0" w:space="0" w:color="auto"/>
        <w:bottom w:val="none" w:sz="0" w:space="0" w:color="auto"/>
        <w:right w:val="none" w:sz="0" w:space="0" w:color="auto"/>
      </w:divBdr>
      <w:divsChild>
        <w:div w:id="1858274756">
          <w:marLeft w:val="0"/>
          <w:marRight w:val="0"/>
          <w:marTop w:val="0"/>
          <w:marBottom w:val="0"/>
          <w:divBdr>
            <w:top w:val="none" w:sz="0" w:space="0" w:color="auto"/>
            <w:left w:val="none" w:sz="0" w:space="0" w:color="auto"/>
            <w:bottom w:val="none" w:sz="0" w:space="0" w:color="auto"/>
            <w:right w:val="none" w:sz="0" w:space="0" w:color="auto"/>
          </w:divBdr>
          <w:divsChild>
            <w:div w:id="101117723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48272014">
      <w:marLeft w:val="0"/>
      <w:marRight w:val="0"/>
      <w:marTop w:val="240"/>
      <w:marBottom w:val="0"/>
      <w:divBdr>
        <w:top w:val="none" w:sz="0" w:space="0" w:color="auto"/>
        <w:left w:val="none" w:sz="0" w:space="0" w:color="auto"/>
        <w:bottom w:val="none" w:sz="0" w:space="0" w:color="auto"/>
        <w:right w:val="none" w:sz="0" w:space="0" w:color="auto"/>
      </w:divBdr>
    </w:div>
    <w:div w:id="950624661">
      <w:marLeft w:val="0"/>
      <w:marRight w:val="0"/>
      <w:marTop w:val="240"/>
      <w:marBottom w:val="0"/>
      <w:divBdr>
        <w:top w:val="none" w:sz="0" w:space="0" w:color="auto"/>
        <w:left w:val="none" w:sz="0" w:space="0" w:color="auto"/>
        <w:bottom w:val="none" w:sz="0" w:space="0" w:color="auto"/>
        <w:right w:val="none" w:sz="0" w:space="0" w:color="auto"/>
      </w:divBdr>
    </w:div>
    <w:div w:id="950743452">
      <w:marLeft w:val="0"/>
      <w:marRight w:val="0"/>
      <w:marTop w:val="180"/>
      <w:marBottom w:val="0"/>
      <w:divBdr>
        <w:top w:val="none" w:sz="0" w:space="0" w:color="auto"/>
        <w:left w:val="none" w:sz="0" w:space="0" w:color="auto"/>
        <w:bottom w:val="none" w:sz="0" w:space="0" w:color="auto"/>
        <w:right w:val="none" w:sz="0" w:space="0" w:color="auto"/>
      </w:divBdr>
    </w:div>
    <w:div w:id="950892141">
      <w:marLeft w:val="0"/>
      <w:marRight w:val="0"/>
      <w:marTop w:val="240"/>
      <w:marBottom w:val="0"/>
      <w:divBdr>
        <w:top w:val="none" w:sz="0" w:space="0" w:color="auto"/>
        <w:left w:val="none" w:sz="0" w:space="0" w:color="auto"/>
        <w:bottom w:val="none" w:sz="0" w:space="0" w:color="auto"/>
        <w:right w:val="none" w:sz="0" w:space="0" w:color="auto"/>
      </w:divBdr>
    </w:div>
    <w:div w:id="950892357">
      <w:marLeft w:val="0"/>
      <w:marRight w:val="0"/>
      <w:marTop w:val="0"/>
      <w:marBottom w:val="0"/>
      <w:divBdr>
        <w:top w:val="none" w:sz="0" w:space="0" w:color="auto"/>
        <w:left w:val="none" w:sz="0" w:space="0" w:color="auto"/>
        <w:bottom w:val="none" w:sz="0" w:space="0" w:color="auto"/>
        <w:right w:val="none" w:sz="0" w:space="0" w:color="auto"/>
      </w:divBdr>
      <w:divsChild>
        <w:div w:id="2050184486">
          <w:marLeft w:val="0"/>
          <w:marRight w:val="0"/>
          <w:marTop w:val="0"/>
          <w:marBottom w:val="0"/>
          <w:divBdr>
            <w:top w:val="none" w:sz="0" w:space="0" w:color="auto"/>
            <w:left w:val="none" w:sz="0" w:space="0" w:color="auto"/>
            <w:bottom w:val="none" w:sz="0" w:space="0" w:color="auto"/>
            <w:right w:val="none" w:sz="0" w:space="0" w:color="auto"/>
          </w:divBdr>
        </w:div>
      </w:divsChild>
    </w:div>
    <w:div w:id="952593355">
      <w:marLeft w:val="0"/>
      <w:marRight w:val="0"/>
      <w:marTop w:val="200"/>
      <w:marBottom w:val="0"/>
      <w:divBdr>
        <w:top w:val="none" w:sz="0" w:space="0" w:color="auto"/>
        <w:left w:val="none" w:sz="0" w:space="0" w:color="auto"/>
        <w:bottom w:val="none" w:sz="0" w:space="0" w:color="auto"/>
        <w:right w:val="none" w:sz="0" w:space="0" w:color="auto"/>
      </w:divBdr>
    </w:div>
    <w:div w:id="954292048">
      <w:marLeft w:val="0"/>
      <w:marRight w:val="0"/>
      <w:marTop w:val="180"/>
      <w:marBottom w:val="0"/>
      <w:divBdr>
        <w:top w:val="none" w:sz="0" w:space="0" w:color="auto"/>
        <w:left w:val="none" w:sz="0" w:space="0" w:color="auto"/>
        <w:bottom w:val="none" w:sz="0" w:space="0" w:color="auto"/>
        <w:right w:val="none" w:sz="0" w:space="0" w:color="auto"/>
      </w:divBdr>
    </w:div>
    <w:div w:id="956369164">
      <w:marLeft w:val="0"/>
      <w:marRight w:val="0"/>
      <w:marTop w:val="240"/>
      <w:marBottom w:val="0"/>
      <w:divBdr>
        <w:top w:val="none" w:sz="0" w:space="0" w:color="auto"/>
        <w:left w:val="none" w:sz="0" w:space="0" w:color="auto"/>
        <w:bottom w:val="none" w:sz="0" w:space="0" w:color="auto"/>
        <w:right w:val="none" w:sz="0" w:space="0" w:color="auto"/>
      </w:divBdr>
    </w:div>
    <w:div w:id="957957620">
      <w:marLeft w:val="0"/>
      <w:marRight w:val="0"/>
      <w:marTop w:val="240"/>
      <w:marBottom w:val="0"/>
      <w:divBdr>
        <w:top w:val="none" w:sz="0" w:space="0" w:color="auto"/>
        <w:left w:val="none" w:sz="0" w:space="0" w:color="auto"/>
        <w:bottom w:val="none" w:sz="0" w:space="0" w:color="auto"/>
        <w:right w:val="none" w:sz="0" w:space="0" w:color="auto"/>
      </w:divBdr>
    </w:div>
    <w:div w:id="959340146">
      <w:marLeft w:val="0"/>
      <w:marRight w:val="0"/>
      <w:marTop w:val="240"/>
      <w:marBottom w:val="0"/>
      <w:divBdr>
        <w:top w:val="none" w:sz="0" w:space="0" w:color="auto"/>
        <w:left w:val="none" w:sz="0" w:space="0" w:color="auto"/>
        <w:bottom w:val="none" w:sz="0" w:space="0" w:color="auto"/>
        <w:right w:val="none" w:sz="0" w:space="0" w:color="auto"/>
      </w:divBdr>
    </w:div>
    <w:div w:id="960189385">
      <w:marLeft w:val="0"/>
      <w:marRight w:val="0"/>
      <w:marTop w:val="180"/>
      <w:marBottom w:val="0"/>
      <w:divBdr>
        <w:top w:val="none" w:sz="0" w:space="0" w:color="auto"/>
        <w:left w:val="none" w:sz="0" w:space="0" w:color="auto"/>
        <w:bottom w:val="none" w:sz="0" w:space="0" w:color="auto"/>
        <w:right w:val="none" w:sz="0" w:space="0" w:color="auto"/>
      </w:divBdr>
    </w:div>
    <w:div w:id="960648163">
      <w:marLeft w:val="0"/>
      <w:marRight w:val="0"/>
      <w:marTop w:val="240"/>
      <w:marBottom w:val="240"/>
      <w:divBdr>
        <w:top w:val="none" w:sz="0" w:space="0" w:color="auto"/>
        <w:left w:val="none" w:sz="0" w:space="0" w:color="auto"/>
        <w:bottom w:val="none" w:sz="0" w:space="0" w:color="auto"/>
        <w:right w:val="none" w:sz="0" w:space="0" w:color="auto"/>
      </w:divBdr>
    </w:div>
    <w:div w:id="961114805">
      <w:marLeft w:val="0"/>
      <w:marRight w:val="0"/>
      <w:marTop w:val="140"/>
      <w:marBottom w:val="0"/>
      <w:divBdr>
        <w:top w:val="none" w:sz="0" w:space="0" w:color="auto"/>
        <w:left w:val="none" w:sz="0" w:space="0" w:color="auto"/>
        <w:bottom w:val="none" w:sz="0" w:space="0" w:color="auto"/>
        <w:right w:val="none" w:sz="0" w:space="0" w:color="auto"/>
      </w:divBdr>
    </w:div>
    <w:div w:id="962885757">
      <w:marLeft w:val="0"/>
      <w:marRight w:val="0"/>
      <w:marTop w:val="240"/>
      <w:marBottom w:val="0"/>
      <w:divBdr>
        <w:top w:val="none" w:sz="0" w:space="0" w:color="auto"/>
        <w:left w:val="none" w:sz="0" w:space="0" w:color="auto"/>
        <w:bottom w:val="none" w:sz="0" w:space="0" w:color="auto"/>
        <w:right w:val="none" w:sz="0" w:space="0" w:color="auto"/>
      </w:divBdr>
    </w:div>
    <w:div w:id="964189667">
      <w:marLeft w:val="0"/>
      <w:marRight w:val="0"/>
      <w:marTop w:val="240"/>
      <w:marBottom w:val="0"/>
      <w:divBdr>
        <w:top w:val="none" w:sz="0" w:space="0" w:color="auto"/>
        <w:left w:val="none" w:sz="0" w:space="0" w:color="auto"/>
        <w:bottom w:val="none" w:sz="0" w:space="0" w:color="auto"/>
        <w:right w:val="none" w:sz="0" w:space="0" w:color="auto"/>
      </w:divBdr>
    </w:div>
    <w:div w:id="964233702">
      <w:marLeft w:val="0"/>
      <w:marRight w:val="0"/>
      <w:marTop w:val="180"/>
      <w:marBottom w:val="0"/>
      <w:divBdr>
        <w:top w:val="none" w:sz="0" w:space="0" w:color="auto"/>
        <w:left w:val="none" w:sz="0" w:space="0" w:color="auto"/>
        <w:bottom w:val="none" w:sz="0" w:space="0" w:color="auto"/>
        <w:right w:val="none" w:sz="0" w:space="0" w:color="auto"/>
      </w:divBdr>
    </w:div>
    <w:div w:id="965157231">
      <w:marLeft w:val="0"/>
      <w:marRight w:val="0"/>
      <w:marTop w:val="180"/>
      <w:marBottom w:val="0"/>
      <w:divBdr>
        <w:top w:val="none" w:sz="0" w:space="0" w:color="auto"/>
        <w:left w:val="none" w:sz="0" w:space="0" w:color="auto"/>
        <w:bottom w:val="none" w:sz="0" w:space="0" w:color="auto"/>
        <w:right w:val="none" w:sz="0" w:space="0" w:color="auto"/>
      </w:divBdr>
    </w:div>
    <w:div w:id="965621522">
      <w:marLeft w:val="0"/>
      <w:marRight w:val="0"/>
      <w:marTop w:val="240"/>
      <w:marBottom w:val="240"/>
      <w:divBdr>
        <w:top w:val="none" w:sz="0" w:space="0" w:color="auto"/>
        <w:left w:val="none" w:sz="0" w:space="0" w:color="auto"/>
        <w:bottom w:val="none" w:sz="0" w:space="0" w:color="auto"/>
        <w:right w:val="none" w:sz="0" w:space="0" w:color="auto"/>
      </w:divBdr>
    </w:div>
    <w:div w:id="965893458">
      <w:marLeft w:val="0"/>
      <w:marRight w:val="0"/>
      <w:marTop w:val="240"/>
      <w:marBottom w:val="240"/>
      <w:divBdr>
        <w:top w:val="none" w:sz="0" w:space="0" w:color="auto"/>
        <w:left w:val="none" w:sz="0" w:space="0" w:color="auto"/>
        <w:bottom w:val="none" w:sz="0" w:space="0" w:color="auto"/>
        <w:right w:val="none" w:sz="0" w:space="0" w:color="auto"/>
      </w:divBdr>
    </w:div>
    <w:div w:id="966929896">
      <w:marLeft w:val="0"/>
      <w:marRight w:val="0"/>
      <w:marTop w:val="0"/>
      <w:marBottom w:val="0"/>
      <w:divBdr>
        <w:top w:val="none" w:sz="0" w:space="0" w:color="auto"/>
        <w:left w:val="none" w:sz="0" w:space="0" w:color="auto"/>
        <w:bottom w:val="none" w:sz="0" w:space="0" w:color="auto"/>
        <w:right w:val="none" w:sz="0" w:space="0" w:color="auto"/>
      </w:divBdr>
      <w:divsChild>
        <w:div w:id="1618490103">
          <w:marLeft w:val="0"/>
          <w:marRight w:val="0"/>
          <w:marTop w:val="0"/>
          <w:marBottom w:val="0"/>
          <w:divBdr>
            <w:top w:val="none" w:sz="0" w:space="0" w:color="auto"/>
            <w:left w:val="none" w:sz="0" w:space="0" w:color="auto"/>
            <w:bottom w:val="none" w:sz="0" w:space="0" w:color="auto"/>
            <w:right w:val="none" w:sz="0" w:space="0" w:color="auto"/>
          </w:divBdr>
          <w:divsChild>
            <w:div w:id="2119609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67860637">
      <w:marLeft w:val="0"/>
      <w:marRight w:val="0"/>
      <w:marTop w:val="240"/>
      <w:marBottom w:val="0"/>
      <w:divBdr>
        <w:top w:val="none" w:sz="0" w:space="0" w:color="auto"/>
        <w:left w:val="none" w:sz="0" w:space="0" w:color="auto"/>
        <w:bottom w:val="none" w:sz="0" w:space="0" w:color="auto"/>
        <w:right w:val="none" w:sz="0" w:space="0" w:color="auto"/>
      </w:divBdr>
    </w:div>
    <w:div w:id="968318662">
      <w:marLeft w:val="0"/>
      <w:marRight w:val="0"/>
      <w:marTop w:val="240"/>
      <w:marBottom w:val="0"/>
      <w:divBdr>
        <w:top w:val="none" w:sz="0" w:space="0" w:color="auto"/>
        <w:left w:val="none" w:sz="0" w:space="0" w:color="auto"/>
        <w:bottom w:val="none" w:sz="0" w:space="0" w:color="auto"/>
        <w:right w:val="none" w:sz="0" w:space="0" w:color="auto"/>
      </w:divBdr>
    </w:div>
    <w:div w:id="970941903">
      <w:marLeft w:val="0"/>
      <w:marRight w:val="0"/>
      <w:marTop w:val="240"/>
      <w:marBottom w:val="0"/>
      <w:divBdr>
        <w:top w:val="none" w:sz="0" w:space="0" w:color="auto"/>
        <w:left w:val="none" w:sz="0" w:space="0" w:color="auto"/>
        <w:bottom w:val="none" w:sz="0" w:space="0" w:color="auto"/>
        <w:right w:val="none" w:sz="0" w:space="0" w:color="auto"/>
      </w:divBdr>
    </w:div>
    <w:div w:id="971209186">
      <w:marLeft w:val="0"/>
      <w:marRight w:val="0"/>
      <w:marTop w:val="0"/>
      <w:marBottom w:val="0"/>
      <w:divBdr>
        <w:top w:val="none" w:sz="0" w:space="0" w:color="auto"/>
        <w:left w:val="none" w:sz="0" w:space="0" w:color="auto"/>
        <w:bottom w:val="none" w:sz="0" w:space="0" w:color="auto"/>
        <w:right w:val="none" w:sz="0" w:space="0" w:color="auto"/>
      </w:divBdr>
      <w:divsChild>
        <w:div w:id="295182810">
          <w:marLeft w:val="0"/>
          <w:marRight w:val="0"/>
          <w:marTop w:val="0"/>
          <w:marBottom w:val="0"/>
          <w:divBdr>
            <w:top w:val="none" w:sz="0" w:space="0" w:color="auto"/>
            <w:left w:val="none" w:sz="0" w:space="0" w:color="auto"/>
            <w:bottom w:val="none" w:sz="0" w:space="0" w:color="auto"/>
            <w:right w:val="none" w:sz="0" w:space="0" w:color="auto"/>
          </w:divBdr>
          <w:divsChild>
            <w:div w:id="8281326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71516050">
      <w:marLeft w:val="0"/>
      <w:marRight w:val="0"/>
      <w:marTop w:val="240"/>
      <w:marBottom w:val="0"/>
      <w:divBdr>
        <w:top w:val="none" w:sz="0" w:space="0" w:color="auto"/>
        <w:left w:val="none" w:sz="0" w:space="0" w:color="auto"/>
        <w:bottom w:val="none" w:sz="0" w:space="0" w:color="auto"/>
        <w:right w:val="none" w:sz="0" w:space="0" w:color="auto"/>
      </w:divBdr>
    </w:div>
    <w:div w:id="971981204">
      <w:marLeft w:val="0"/>
      <w:marRight w:val="0"/>
      <w:marTop w:val="240"/>
      <w:marBottom w:val="0"/>
      <w:divBdr>
        <w:top w:val="none" w:sz="0" w:space="0" w:color="auto"/>
        <w:left w:val="none" w:sz="0" w:space="0" w:color="auto"/>
        <w:bottom w:val="none" w:sz="0" w:space="0" w:color="auto"/>
        <w:right w:val="none" w:sz="0" w:space="0" w:color="auto"/>
      </w:divBdr>
    </w:div>
    <w:div w:id="973758436">
      <w:marLeft w:val="0"/>
      <w:marRight w:val="0"/>
      <w:marTop w:val="240"/>
      <w:marBottom w:val="0"/>
      <w:divBdr>
        <w:top w:val="none" w:sz="0" w:space="0" w:color="auto"/>
        <w:left w:val="none" w:sz="0" w:space="0" w:color="auto"/>
        <w:bottom w:val="none" w:sz="0" w:space="0" w:color="auto"/>
        <w:right w:val="none" w:sz="0" w:space="0" w:color="auto"/>
      </w:divBdr>
    </w:div>
    <w:div w:id="974876569">
      <w:marLeft w:val="0"/>
      <w:marRight w:val="0"/>
      <w:marTop w:val="60"/>
      <w:marBottom w:val="0"/>
      <w:divBdr>
        <w:top w:val="none" w:sz="0" w:space="0" w:color="auto"/>
        <w:left w:val="none" w:sz="0" w:space="0" w:color="auto"/>
        <w:bottom w:val="none" w:sz="0" w:space="0" w:color="auto"/>
        <w:right w:val="none" w:sz="0" w:space="0" w:color="auto"/>
      </w:divBdr>
    </w:div>
    <w:div w:id="975447535">
      <w:marLeft w:val="0"/>
      <w:marRight w:val="0"/>
      <w:marTop w:val="220"/>
      <w:marBottom w:val="0"/>
      <w:divBdr>
        <w:top w:val="none" w:sz="0" w:space="0" w:color="auto"/>
        <w:left w:val="none" w:sz="0" w:space="0" w:color="auto"/>
        <w:bottom w:val="none" w:sz="0" w:space="0" w:color="auto"/>
        <w:right w:val="none" w:sz="0" w:space="0" w:color="auto"/>
      </w:divBdr>
    </w:div>
    <w:div w:id="976568188">
      <w:marLeft w:val="0"/>
      <w:marRight w:val="0"/>
      <w:marTop w:val="240"/>
      <w:marBottom w:val="0"/>
      <w:divBdr>
        <w:top w:val="none" w:sz="0" w:space="0" w:color="auto"/>
        <w:left w:val="none" w:sz="0" w:space="0" w:color="auto"/>
        <w:bottom w:val="none" w:sz="0" w:space="0" w:color="auto"/>
        <w:right w:val="none" w:sz="0" w:space="0" w:color="auto"/>
      </w:divBdr>
    </w:div>
    <w:div w:id="977496667">
      <w:marLeft w:val="0"/>
      <w:marRight w:val="0"/>
      <w:marTop w:val="200"/>
      <w:marBottom w:val="0"/>
      <w:divBdr>
        <w:top w:val="none" w:sz="0" w:space="0" w:color="auto"/>
        <w:left w:val="none" w:sz="0" w:space="0" w:color="auto"/>
        <w:bottom w:val="none" w:sz="0" w:space="0" w:color="auto"/>
        <w:right w:val="none" w:sz="0" w:space="0" w:color="auto"/>
      </w:divBdr>
    </w:div>
    <w:div w:id="977805305">
      <w:marLeft w:val="0"/>
      <w:marRight w:val="0"/>
      <w:marTop w:val="0"/>
      <w:marBottom w:val="0"/>
      <w:divBdr>
        <w:top w:val="none" w:sz="0" w:space="0" w:color="auto"/>
        <w:left w:val="none" w:sz="0" w:space="0" w:color="auto"/>
        <w:bottom w:val="none" w:sz="0" w:space="0" w:color="auto"/>
        <w:right w:val="none" w:sz="0" w:space="0" w:color="auto"/>
      </w:divBdr>
      <w:divsChild>
        <w:div w:id="979967290">
          <w:marLeft w:val="0"/>
          <w:marRight w:val="0"/>
          <w:marTop w:val="0"/>
          <w:marBottom w:val="0"/>
          <w:divBdr>
            <w:top w:val="none" w:sz="0" w:space="0" w:color="auto"/>
            <w:left w:val="none" w:sz="0" w:space="0" w:color="auto"/>
            <w:bottom w:val="none" w:sz="0" w:space="0" w:color="auto"/>
            <w:right w:val="none" w:sz="0" w:space="0" w:color="auto"/>
          </w:divBdr>
          <w:divsChild>
            <w:div w:id="154169953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78609730">
      <w:marLeft w:val="0"/>
      <w:marRight w:val="0"/>
      <w:marTop w:val="120"/>
      <w:marBottom w:val="0"/>
      <w:divBdr>
        <w:top w:val="none" w:sz="0" w:space="0" w:color="auto"/>
        <w:left w:val="none" w:sz="0" w:space="0" w:color="auto"/>
        <w:bottom w:val="none" w:sz="0" w:space="0" w:color="auto"/>
        <w:right w:val="none" w:sz="0" w:space="0" w:color="auto"/>
      </w:divBdr>
    </w:div>
    <w:div w:id="978918202">
      <w:marLeft w:val="0"/>
      <w:marRight w:val="0"/>
      <w:marTop w:val="0"/>
      <w:marBottom w:val="0"/>
      <w:divBdr>
        <w:top w:val="none" w:sz="0" w:space="0" w:color="auto"/>
        <w:left w:val="none" w:sz="0" w:space="0" w:color="auto"/>
        <w:bottom w:val="none" w:sz="0" w:space="0" w:color="auto"/>
        <w:right w:val="none" w:sz="0" w:space="0" w:color="auto"/>
      </w:divBdr>
    </w:div>
    <w:div w:id="981077495">
      <w:marLeft w:val="0"/>
      <w:marRight w:val="0"/>
      <w:marTop w:val="180"/>
      <w:marBottom w:val="0"/>
      <w:divBdr>
        <w:top w:val="none" w:sz="0" w:space="0" w:color="auto"/>
        <w:left w:val="none" w:sz="0" w:space="0" w:color="auto"/>
        <w:bottom w:val="none" w:sz="0" w:space="0" w:color="auto"/>
        <w:right w:val="none" w:sz="0" w:space="0" w:color="auto"/>
      </w:divBdr>
    </w:div>
    <w:div w:id="982077681">
      <w:marLeft w:val="0"/>
      <w:marRight w:val="0"/>
      <w:marTop w:val="300"/>
      <w:marBottom w:val="0"/>
      <w:divBdr>
        <w:top w:val="none" w:sz="0" w:space="0" w:color="auto"/>
        <w:left w:val="none" w:sz="0" w:space="0" w:color="auto"/>
        <w:bottom w:val="none" w:sz="0" w:space="0" w:color="auto"/>
        <w:right w:val="none" w:sz="0" w:space="0" w:color="auto"/>
      </w:divBdr>
    </w:div>
    <w:div w:id="984427530">
      <w:marLeft w:val="0"/>
      <w:marRight w:val="0"/>
      <w:marTop w:val="240"/>
      <w:marBottom w:val="0"/>
      <w:divBdr>
        <w:top w:val="none" w:sz="0" w:space="0" w:color="auto"/>
        <w:left w:val="none" w:sz="0" w:space="0" w:color="auto"/>
        <w:bottom w:val="none" w:sz="0" w:space="0" w:color="auto"/>
        <w:right w:val="none" w:sz="0" w:space="0" w:color="auto"/>
      </w:divBdr>
    </w:div>
    <w:div w:id="986400662">
      <w:marLeft w:val="0"/>
      <w:marRight w:val="0"/>
      <w:marTop w:val="0"/>
      <w:marBottom w:val="0"/>
      <w:divBdr>
        <w:top w:val="none" w:sz="0" w:space="0" w:color="auto"/>
        <w:left w:val="none" w:sz="0" w:space="0" w:color="auto"/>
        <w:bottom w:val="none" w:sz="0" w:space="0" w:color="auto"/>
        <w:right w:val="none" w:sz="0" w:space="0" w:color="auto"/>
      </w:divBdr>
      <w:divsChild>
        <w:div w:id="1341198946">
          <w:marLeft w:val="0"/>
          <w:marRight w:val="0"/>
          <w:marTop w:val="0"/>
          <w:marBottom w:val="0"/>
          <w:divBdr>
            <w:top w:val="none" w:sz="0" w:space="0" w:color="auto"/>
            <w:left w:val="none" w:sz="0" w:space="0" w:color="auto"/>
            <w:bottom w:val="none" w:sz="0" w:space="0" w:color="auto"/>
            <w:right w:val="none" w:sz="0" w:space="0" w:color="auto"/>
          </w:divBdr>
        </w:div>
      </w:divsChild>
    </w:div>
    <w:div w:id="991718100">
      <w:marLeft w:val="0"/>
      <w:marRight w:val="0"/>
      <w:marTop w:val="240"/>
      <w:marBottom w:val="0"/>
      <w:divBdr>
        <w:top w:val="none" w:sz="0" w:space="0" w:color="auto"/>
        <w:left w:val="none" w:sz="0" w:space="0" w:color="auto"/>
        <w:bottom w:val="none" w:sz="0" w:space="0" w:color="auto"/>
        <w:right w:val="none" w:sz="0" w:space="0" w:color="auto"/>
      </w:divBdr>
    </w:div>
    <w:div w:id="993144118">
      <w:marLeft w:val="0"/>
      <w:marRight w:val="0"/>
      <w:marTop w:val="240"/>
      <w:marBottom w:val="0"/>
      <w:divBdr>
        <w:top w:val="none" w:sz="0" w:space="0" w:color="auto"/>
        <w:left w:val="none" w:sz="0" w:space="0" w:color="auto"/>
        <w:bottom w:val="none" w:sz="0" w:space="0" w:color="auto"/>
        <w:right w:val="none" w:sz="0" w:space="0" w:color="auto"/>
      </w:divBdr>
    </w:div>
    <w:div w:id="993221508">
      <w:marLeft w:val="0"/>
      <w:marRight w:val="0"/>
      <w:marTop w:val="0"/>
      <w:marBottom w:val="0"/>
      <w:divBdr>
        <w:top w:val="none" w:sz="0" w:space="0" w:color="auto"/>
        <w:left w:val="none" w:sz="0" w:space="0" w:color="auto"/>
        <w:bottom w:val="none" w:sz="0" w:space="0" w:color="auto"/>
        <w:right w:val="none" w:sz="0" w:space="0" w:color="auto"/>
      </w:divBdr>
      <w:divsChild>
        <w:div w:id="845898967">
          <w:marLeft w:val="0"/>
          <w:marRight w:val="0"/>
          <w:marTop w:val="0"/>
          <w:marBottom w:val="0"/>
          <w:divBdr>
            <w:top w:val="none" w:sz="0" w:space="0" w:color="auto"/>
            <w:left w:val="none" w:sz="0" w:space="0" w:color="auto"/>
            <w:bottom w:val="none" w:sz="0" w:space="0" w:color="auto"/>
            <w:right w:val="none" w:sz="0" w:space="0" w:color="auto"/>
          </w:divBdr>
        </w:div>
      </w:divsChild>
    </w:div>
    <w:div w:id="993604281">
      <w:marLeft w:val="0"/>
      <w:marRight w:val="0"/>
      <w:marTop w:val="180"/>
      <w:marBottom w:val="0"/>
      <w:divBdr>
        <w:top w:val="none" w:sz="0" w:space="0" w:color="auto"/>
        <w:left w:val="none" w:sz="0" w:space="0" w:color="auto"/>
        <w:bottom w:val="none" w:sz="0" w:space="0" w:color="auto"/>
        <w:right w:val="none" w:sz="0" w:space="0" w:color="auto"/>
      </w:divBdr>
    </w:div>
    <w:div w:id="996684854">
      <w:marLeft w:val="0"/>
      <w:marRight w:val="0"/>
      <w:marTop w:val="0"/>
      <w:marBottom w:val="0"/>
      <w:divBdr>
        <w:top w:val="none" w:sz="0" w:space="0" w:color="auto"/>
        <w:left w:val="none" w:sz="0" w:space="0" w:color="auto"/>
        <w:bottom w:val="none" w:sz="0" w:space="0" w:color="auto"/>
        <w:right w:val="none" w:sz="0" w:space="0" w:color="auto"/>
      </w:divBdr>
      <w:divsChild>
        <w:div w:id="1185706754">
          <w:marLeft w:val="0"/>
          <w:marRight w:val="0"/>
          <w:marTop w:val="0"/>
          <w:marBottom w:val="0"/>
          <w:divBdr>
            <w:top w:val="none" w:sz="0" w:space="0" w:color="auto"/>
            <w:left w:val="none" w:sz="0" w:space="0" w:color="auto"/>
            <w:bottom w:val="none" w:sz="0" w:space="0" w:color="auto"/>
            <w:right w:val="none" w:sz="0" w:space="0" w:color="auto"/>
          </w:divBdr>
          <w:divsChild>
            <w:div w:id="6906443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98272199">
      <w:marLeft w:val="0"/>
      <w:marRight w:val="0"/>
      <w:marTop w:val="120"/>
      <w:marBottom w:val="0"/>
      <w:divBdr>
        <w:top w:val="none" w:sz="0" w:space="0" w:color="auto"/>
        <w:left w:val="none" w:sz="0" w:space="0" w:color="auto"/>
        <w:bottom w:val="none" w:sz="0" w:space="0" w:color="auto"/>
        <w:right w:val="none" w:sz="0" w:space="0" w:color="auto"/>
      </w:divBdr>
    </w:div>
    <w:div w:id="999625216">
      <w:marLeft w:val="0"/>
      <w:marRight w:val="0"/>
      <w:marTop w:val="240"/>
      <w:marBottom w:val="0"/>
      <w:divBdr>
        <w:top w:val="none" w:sz="0" w:space="0" w:color="auto"/>
        <w:left w:val="none" w:sz="0" w:space="0" w:color="auto"/>
        <w:bottom w:val="none" w:sz="0" w:space="0" w:color="auto"/>
        <w:right w:val="none" w:sz="0" w:space="0" w:color="auto"/>
      </w:divBdr>
    </w:div>
    <w:div w:id="1000691593">
      <w:marLeft w:val="0"/>
      <w:marRight w:val="0"/>
      <w:marTop w:val="160"/>
      <w:marBottom w:val="0"/>
      <w:divBdr>
        <w:top w:val="none" w:sz="0" w:space="0" w:color="auto"/>
        <w:left w:val="none" w:sz="0" w:space="0" w:color="auto"/>
        <w:bottom w:val="none" w:sz="0" w:space="0" w:color="auto"/>
        <w:right w:val="none" w:sz="0" w:space="0" w:color="auto"/>
      </w:divBdr>
      <w:divsChild>
        <w:div w:id="264581438">
          <w:marLeft w:val="0"/>
          <w:marRight w:val="0"/>
          <w:marTop w:val="0"/>
          <w:marBottom w:val="0"/>
          <w:divBdr>
            <w:top w:val="none" w:sz="0" w:space="0" w:color="auto"/>
            <w:left w:val="none" w:sz="0" w:space="0" w:color="auto"/>
            <w:bottom w:val="none" w:sz="0" w:space="0" w:color="auto"/>
            <w:right w:val="none" w:sz="0" w:space="0" w:color="auto"/>
          </w:divBdr>
        </w:div>
        <w:div w:id="912398421">
          <w:marLeft w:val="0"/>
          <w:marRight w:val="0"/>
          <w:marTop w:val="0"/>
          <w:marBottom w:val="0"/>
          <w:divBdr>
            <w:top w:val="none" w:sz="0" w:space="0" w:color="auto"/>
            <w:left w:val="none" w:sz="0" w:space="0" w:color="auto"/>
            <w:bottom w:val="none" w:sz="0" w:space="0" w:color="auto"/>
            <w:right w:val="none" w:sz="0" w:space="0" w:color="auto"/>
          </w:divBdr>
        </w:div>
        <w:div w:id="265503856">
          <w:marLeft w:val="0"/>
          <w:marRight w:val="0"/>
          <w:marTop w:val="0"/>
          <w:marBottom w:val="0"/>
          <w:divBdr>
            <w:top w:val="none" w:sz="0" w:space="0" w:color="auto"/>
            <w:left w:val="none" w:sz="0" w:space="0" w:color="auto"/>
            <w:bottom w:val="none" w:sz="0" w:space="0" w:color="auto"/>
            <w:right w:val="none" w:sz="0" w:space="0" w:color="auto"/>
          </w:divBdr>
        </w:div>
      </w:divsChild>
    </w:div>
    <w:div w:id="1003776601">
      <w:marLeft w:val="0"/>
      <w:marRight w:val="0"/>
      <w:marTop w:val="240"/>
      <w:marBottom w:val="0"/>
      <w:divBdr>
        <w:top w:val="none" w:sz="0" w:space="0" w:color="auto"/>
        <w:left w:val="none" w:sz="0" w:space="0" w:color="auto"/>
        <w:bottom w:val="none" w:sz="0" w:space="0" w:color="auto"/>
        <w:right w:val="none" w:sz="0" w:space="0" w:color="auto"/>
      </w:divBdr>
    </w:div>
    <w:div w:id="1005323127">
      <w:marLeft w:val="0"/>
      <w:marRight w:val="0"/>
      <w:marTop w:val="100"/>
      <w:marBottom w:val="0"/>
      <w:divBdr>
        <w:top w:val="none" w:sz="0" w:space="0" w:color="auto"/>
        <w:left w:val="none" w:sz="0" w:space="0" w:color="auto"/>
        <w:bottom w:val="none" w:sz="0" w:space="0" w:color="auto"/>
        <w:right w:val="none" w:sz="0" w:space="0" w:color="auto"/>
      </w:divBdr>
    </w:div>
    <w:div w:id="1005550010">
      <w:marLeft w:val="0"/>
      <w:marRight w:val="0"/>
      <w:marTop w:val="240"/>
      <w:marBottom w:val="0"/>
      <w:divBdr>
        <w:top w:val="none" w:sz="0" w:space="0" w:color="auto"/>
        <w:left w:val="none" w:sz="0" w:space="0" w:color="auto"/>
        <w:bottom w:val="none" w:sz="0" w:space="0" w:color="auto"/>
        <w:right w:val="none" w:sz="0" w:space="0" w:color="auto"/>
      </w:divBdr>
    </w:div>
    <w:div w:id="1007633178">
      <w:marLeft w:val="0"/>
      <w:marRight w:val="0"/>
      <w:marTop w:val="160"/>
      <w:marBottom w:val="0"/>
      <w:divBdr>
        <w:top w:val="none" w:sz="0" w:space="0" w:color="auto"/>
        <w:left w:val="none" w:sz="0" w:space="0" w:color="auto"/>
        <w:bottom w:val="none" w:sz="0" w:space="0" w:color="auto"/>
        <w:right w:val="none" w:sz="0" w:space="0" w:color="auto"/>
      </w:divBdr>
    </w:div>
    <w:div w:id="1008485938">
      <w:marLeft w:val="0"/>
      <w:marRight w:val="0"/>
      <w:marTop w:val="240"/>
      <w:marBottom w:val="0"/>
      <w:divBdr>
        <w:top w:val="none" w:sz="0" w:space="0" w:color="auto"/>
        <w:left w:val="none" w:sz="0" w:space="0" w:color="auto"/>
        <w:bottom w:val="none" w:sz="0" w:space="0" w:color="auto"/>
        <w:right w:val="none" w:sz="0" w:space="0" w:color="auto"/>
      </w:divBdr>
    </w:div>
    <w:div w:id="1009336759">
      <w:marLeft w:val="0"/>
      <w:marRight w:val="0"/>
      <w:marTop w:val="60"/>
      <w:marBottom w:val="0"/>
      <w:divBdr>
        <w:top w:val="none" w:sz="0" w:space="0" w:color="auto"/>
        <w:left w:val="none" w:sz="0" w:space="0" w:color="auto"/>
        <w:bottom w:val="none" w:sz="0" w:space="0" w:color="auto"/>
        <w:right w:val="none" w:sz="0" w:space="0" w:color="auto"/>
      </w:divBdr>
    </w:div>
    <w:div w:id="1010378796">
      <w:marLeft w:val="0"/>
      <w:marRight w:val="0"/>
      <w:marTop w:val="60"/>
      <w:marBottom w:val="0"/>
      <w:divBdr>
        <w:top w:val="none" w:sz="0" w:space="0" w:color="auto"/>
        <w:left w:val="none" w:sz="0" w:space="0" w:color="auto"/>
        <w:bottom w:val="none" w:sz="0" w:space="0" w:color="auto"/>
        <w:right w:val="none" w:sz="0" w:space="0" w:color="auto"/>
      </w:divBdr>
    </w:div>
    <w:div w:id="1017469135">
      <w:marLeft w:val="0"/>
      <w:marRight w:val="0"/>
      <w:marTop w:val="240"/>
      <w:marBottom w:val="0"/>
      <w:divBdr>
        <w:top w:val="none" w:sz="0" w:space="0" w:color="auto"/>
        <w:left w:val="none" w:sz="0" w:space="0" w:color="auto"/>
        <w:bottom w:val="none" w:sz="0" w:space="0" w:color="auto"/>
        <w:right w:val="none" w:sz="0" w:space="0" w:color="auto"/>
      </w:divBdr>
    </w:div>
    <w:div w:id="1017543141">
      <w:marLeft w:val="0"/>
      <w:marRight w:val="0"/>
      <w:marTop w:val="0"/>
      <w:marBottom w:val="0"/>
      <w:divBdr>
        <w:top w:val="none" w:sz="0" w:space="0" w:color="auto"/>
        <w:left w:val="none" w:sz="0" w:space="0" w:color="auto"/>
        <w:bottom w:val="none" w:sz="0" w:space="0" w:color="auto"/>
        <w:right w:val="none" w:sz="0" w:space="0" w:color="auto"/>
      </w:divBdr>
      <w:divsChild>
        <w:div w:id="713849422">
          <w:marLeft w:val="0"/>
          <w:marRight w:val="0"/>
          <w:marTop w:val="0"/>
          <w:marBottom w:val="0"/>
          <w:divBdr>
            <w:top w:val="none" w:sz="0" w:space="0" w:color="auto"/>
            <w:left w:val="none" w:sz="0" w:space="0" w:color="auto"/>
            <w:bottom w:val="none" w:sz="0" w:space="0" w:color="auto"/>
            <w:right w:val="none" w:sz="0" w:space="0" w:color="auto"/>
          </w:divBdr>
        </w:div>
      </w:divsChild>
    </w:div>
    <w:div w:id="1020935242">
      <w:marLeft w:val="0"/>
      <w:marRight w:val="0"/>
      <w:marTop w:val="160"/>
      <w:marBottom w:val="0"/>
      <w:divBdr>
        <w:top w:val="none" w:sz="0" w:space="0" w:color="auto"/>
        <w:left w:val="none" w:sz="0" w:space="0" w:color="auto"/>
        <w:bottom w:val="none" w:sz="0" w:space="0" w:color="auto"/>
        <w:right w:val="none" w:sz="0" w:space="0" w:color="auto"/>
      </w:divBdr>
    </w:div>
    <w:div w:id="1022711226">
      <w:marLeft w:val="0"/>
      <w:marRight w:val="0"/>
      <w:marTop w:val="300"/>
      <w:marBottom w:val="0"/>
      <w:divBdr>
        <w:top w:val="none" w:sz="0" w:space="0" w:color="auto"/>
        <w:left w:val="none" w:sz="0" w:space="0" w:color="auto"/>
        <w:bottom w:val="none" w:sz="0" w:space="0" w:color="auto"/>
        <w:right w:val="none" w:sz="0" w:space="0" w:color="auto"/>
      </w:divBdr>
    </w:div>
    <w:div w:id="1023825479">
      <w:marLeft w:val="0"/>
      <w:marRight w:val="0"/>
      <w:marTop w:val="0"/>
      <w:marBottom w:val="0"/>
      <w:divBdr>
        <w:top w:val="none" w:sz="0" w:space="0" w:color="auto"/>
        <w:left w:val="none" w:sz="0" w:space="0" w:color="auto"/>
        <w:bottom w:val="none" w:sz="0" w:space="0" w:color="auto"/>
        <w:right w:val="none" w:sz="0" w:space="0" w:color="auto"/>
      </w:divBdr>
      <w:divsChild>
        <w:div w:id="2047096947">
          <w:marLeft w:val="0"/>
          <w:marRight w:val="0"/>
          <w:marTop w:val="0"/>
          <w:marBottom w:val="0"/>
          <w:divBdr>
            <w:top w:val="none" w:sz="0" w:space="0" w:color="auto"/>
            <w:left w:val="none" w:sz="0" w:space="0" w:color="auto"/>
            <w:bottom w:val="none" w:sz="0" w:space="0" w:color="auto"/>
            <w:right w:val="none" w:sz="0" w:space="0" w:color="auto"/>
          </w:divBdr>
        </w:div>
      </w:divsChild>
    </w:div>
    <w:div w:id="1024399817">
      <w:marLeft w:val="0"/>
      <w:marRight w:val="0"/>
      <w:marTop w:val="240"/>
      <w:marBottom w:val="0"/>
      <w:divBdr>
        <w:top w:val="none" w:sz="0" w:space="0" w:color="auto"/>
        <w:left w:val="none" w:sz="0" w:space="0" w:color="auto"/>
        <w:bottom w:val="none" w:sz="0" w:space="0" w:color="auto"/>
        <w:right w:val="none" w:sz="0" w:space="0" w:color="auto"/>
      </w:divBdr>
    </w:div>
    <w:div w:id="1024862366">
      <w:marLeft w:val="0"/>
      <w:marRight w:val="0"/>
      <w:marTop w:val="240"/>
      <w:marBottom w:val="0"/>
      <w:divBdr>
        <w:top w:val="none" w:sz="0" w:space="0" w:color="auto"/>
        <w:left w:val="none" w:sz="0" w:space="0" w:color="auto"/>
        <w:bottom w:val="none" w:sz="0" w:space="0" w:color="auto"/>
        <w:right w:val="none" w:sz="0" w:space="0" w:color="auto"/>
      </w:divBdr>
    </w:div>
    <w:div w:id="1025063493">
      <w:marLeft w:val="0"/>
      <w:marRight w:val="0"/>
      <w:marTop w:val="0"/>
      <w:marBottom w:val="0"/>
      <w:divBdr>
        <w:top w:val="none" w:sz="0" w:space="0" w:color="auto"/>
        <w:left w:val="none" w:sz="0" w:space="0" w:color="auto"/>
        <w:bottom w:val="none" w:sz="0" w:space="0" w:color="auto"/>
        <w:right w:val="none" w:sz="0" w:space="0" w:color="auto"/>
      </w:divBdr>
      <w:divsChild>
        <w:div w:id="1912234669">
          <w:marLeft w:val="0"/>
          <w:marRight w:val="0"/>
          <w:marTop w:val="0"/>
          <w:marBottom w:val="0"/>
          <w:divBdr>
            <w:top w:val="none" w:sz="0" w:space="0" w:color="auto"/>
            <w:left w:val="none" w:sz="0" w:space="0" w:color="auto"/>
            <w:bottom w:val="none" w:sz="0" w:space="0" w:color="auto"/>
            <w:right w:val="none" w:sz="0" w:space="0" w:color="auto"/>
          </w:divBdr>
          <w:divsChild>
            <w:div w:id="15560442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25984581">
      <w:marLeft w:val="0"/>
      <w:marRight w:val="0"/>
      <w:marTop w:val="0"/>
      <w:marBottom w:val="0"/>
      <w:divBdr>
        <w:top w:val="none" w:sz="0" w:space="0" w:color="auto"/>
        <w:left w:val="none" w:sz="0" w:space="0" w:color="auto"/>
        <w:bottom w:val="none" w:sz="0" w:space="0" w:color="auto"/>
        <w:right w:val="none" w:sz="0" w:space="0" w:color="auto"/>
      </w:divBdr>
      <w:divsChild>
        <w:div w:id="243298180">
          <w:marLeft w:val="0"/>
          <w:marRight w:val="0"/>
          <w:marTop w:val="0"/>
          <w:marBottom w:val="0"/>
          <w:divBdr>
            <w:top w:val="none" w:sz="0" w:space="0" w:color="auto"/>
            <w:left w:val="none" w:sz="0" w:space="0" w:color="auto"/>
            <w:bottom w:val="none" w:sz="0" w:space="0" w:color="auto"/>
            <w:right w:val="none" w:sz="0" w:space="0" w:color="auto"/>
          </w:divBdr>
          <w:divsChild>
            <w:div w:id="82008231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26440998">
      <w:marLeft w:val="0"/>
      <w:marRight w:val="0"/>
      <w:marTop w:val="240"/>
      <w:marBottom w:val="0"/>
      <w:divBdr>
        <w:top w:val="none" w:sz="0" w:space="0" w:color="auto"/>
        <w:left w:val="none" w:sz="0" w:space="0" w:color="auto"/>
        <w:bottom w:val="none" w:sz="0" w:space="0" w:color="auto"/>
        <w:right w:val="none" w:sz="0" w:space="0" w:color="auto"/>
      </w:divBdr>
    </w:div>
    <w:div w:id="1028993020">
      <w:marLeft w:val="0"/>
      <w:marRight w:val="0"/>
      <w:marTop w:val="240"/>
      <w:marBottom w:val="0"/>
      <w:divBdr>
        <w:top w:val="none" w:sz="0" w:space="0" w:color="auto"/>
        <w:left w:val="none" w:sz="0" w:space="0" w:color="auto"/>
        <w:bottom w:val="none" w:sz="0" w:space="0" w:color="auto"/>
        <w:right w:val="none" w:sz="0" w:space="0" w:color="auto"/>
      </w:divBdr>
    </w:div>
    <w:div w:id="1029063573">
      <w:marLeft w:val="0"/>
      <w:marRight w:val="0"/>
      <w:marTop w:val="240"/>
      <w:marBottom w:val="0"/>
      <w:divBdr>
        <w:top w:val="none" w:sz="0" w:space="0" w:color="auto"/>
        <w:left w:val="none" w:sz="0" w:space="0" w:color="auto"/>
        <w:bottom w:val="none" w:sz="0" w:space="0" w:color="auto"/>
        <w:right w:val="none" w:sz="0" w:space="0" w:color="auto"/>
      </w:divBdr>
    </w:div>
    <w:div w:id="1031882389">
      <w:marLeft w:val="0"/>
      <w:marRight w:val="0"/>
      <w:marTop w:val="100"/>
      <w:marBottom w:val="0"/>
      <w:divBdr>
        <w:top w:val="none" w:sz="0" w:space="0" w:color="auto"/>
        <w:left w:val="none" w:sz="0" w:space="0" w:color="auto"/>
        <w:bottom w:val="none" w:sz="0" w:space="0" w:color="auto"/>
        <w:right w:val="none" w:sz="0" w:space="0" w:color="auto"/>
      </w:divBdr>
      <w:divsChild>
        <w:div w:id="1449618159">
          <w:marLeft w:val="0"/>
          <w:marRight w:val="0"/>
          <w:marTop w:val="0"/>
          <w:marBottom w:val="0"/>
          <w:divBdr>
            <w:top w:val="none" w:sz="0" w:space="0" w:color="auto"/>
            <w:left w:val="none" w:sz="0" w:space="0" w:color="auto"/>
            <w:bottom w:val="none" w:sz="0" w:space="0" w:color="auto"/>
            <w:right w:val="none" w:sz="0" w:space="0" w:color="auto"/>
          </w:divBdr>
        </w:div>
      </w:divsChild>
    </w:div>
    <w:div w:id="1038317074">
      <w:marLeft w:val="0"/>
      <w:marRight w:val="0"/>
      <w:marTop w:val="240"/>
      <w:marBottom w:val="0"/>
      <w:divBdr>
        <w:top w:val="none" w:sz="0" w:space="0" w:color="auto"/>
        <w:left w:val="none" w:sz="0" w:space="0" w:color="auto"/>
        <w:bottom w:val="none" w:sz="0" w:space="0" w:color="auto"/>
        <w:right w:val="none" w:sz="0" w:space="0" w:color="auto"/>
      </w:divBdr>
    </w:div>
    <w:div w:id="1038817529">
      <w:marLeft w:val="0"/>
      <w:marRight w:val="0"/>
      <w:marTop w:val="0"/>
      <w:marBottom w:val="0"/>
      <w:divBdr>
        <w:top w:val="none" w:sz="0" w:space="0" w:color="auto"/>
        <w:left w:val="none" w:sz="0" w:space="0" w:color="auto"/>
        <w:bottom w:val="none" w:sz="0" w:space="0" w:color="auto"/>
        <w:right w:val="none" w:sz="0" w:space="0" w:color="auto"/>
      </w:divBdr>
      <w:divsChild>
        <w:div w:id="802500800">
          <w:marLeft w:val="0"/>
          <w:marRight w:val="0"/>
          <w:marTop w:val="0"/>
          <w:marBottom w:val="0"/>
          <w:divBdr>
            <w:top w:val="none" w:sz="0" w:space="0" w:color="auto"/>
            <w:left w:val="none" w:sz="0" w:space="0" w:color="auto"/>
            <w:bottom w:val="none" w:sz="0" w:space="0" w:color="auto"/>
            <w:right w:val="none" w:sz="0" w:space="0" w:color="auto"/>
          </w:divBdr>
          <w:divsChild>
            <w:div w:id="168710067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39359473">
      <w:marLeft w:val="0"/>
      <w:marRight w:val="0"/>
      <w:marTop w:val="220"/>
      <w:marBottom w:val="0"/>
      <w:divBdr>
        <w:top w:val="none" w:sz="0" w:space="0" w:color="auto"/>
        <w:left w:val="none" w:sz="0" w:space="0" w:color="auto"/>
        <w:bottom w:val="none" w:sz="0" w:space="0" w:color="auto"/>
        <w:right w:val="none" w:sz="0" w:space="0" w:color="auto"/>
      </w:divBdr>
    </w:div>
    <w:div w:id="1039891643">
      <w:marLeft w:val="0"/>
      <w:marRight w:val="0"/>
      <w:marTop w:val="200"/>
      <w:marBottom w:val="0"/>
      <w:divBdr>
        <w:top w:val="none" w:sz="0" w:space="0" w:color="auto"/>
        <w:left w:val="none" w:sz="0" w:space="0" w:color="auto"/>
        <w:bottom w:val="none" w:sz="0" w:space="0" w:color="auto"/>
        <w:right w:val="none" w:sz="0" w:space="0" w:color="auto"/>
      </w:divBdr>
    </w:div>
    <w:div w:id="1040738938">
      <w:marLeft w:val="0"/>
      <w:marRight w:val="0"/>
      <w:marTop w:val="240"/>
      <w:marBottom w:val="0"/>
      <w:divBdr>
        <w:top w:val="none" w:sz="0" w:space="0" w:color="auto"/>
        <w:left w:val="none" w:sz="0" w:space="0" w:color="auto"/>
        <w:bottom w:val="none" w:sz="0" w:space="0" w:color="auto"/>
        <w:right w:val="none" w:sz="0" w:space="0" w:color="auto"/>
      </w:divBdr>
    </w:div>
    <w:div w:id="1041442632">
      <w:marLeft w:val="0"/>
      <w:marRight w:val="0"/>
      <w:marTop w:val="0"/>
      <w:marBottom w:val="0"/>
      <w:divBdr>
        <w:top w:val="none" w:sz="0" w:space="0" w:color="auto"/>
        <w:left w:val="none" w:sz="0" w:space="0" w:color="auto"/>
        <w:bottom w:val="none" w:sz="0" w:space="0" w:color="auto"/>
        <w:right w:val="none" w:sz="0" w:space="0" w:color="auto"/>
      </w:divBdr>
      <w:divsChild>
        <w:div w:id="34278229">
          <w:marLeft w:val="0"/>
          <w:marRight w:val="0"/>
          <w:marTop w:val="0"/>
          <w:marBottom w:val="0"/>
          <w:divBdr>
            <w:top w:val="none" w:sz="0" w:space="0" w:color="auto"/>
            <w:left w:val="none" w:sz="0" w:space="0" w:color="auto"/>
            <w:bottom w:val="none" w:sz="0" w:space="0" w:color="auto"/>
            <w:right w:val="none" w:sz="0" w:space="0" w:color="auto"/>
          </w:divBdr>
          <w:divsChild>
            <w:div w:id="3315680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41635430">
      <w:marLeft w:val="0"/>
      <w:marRight w:val="0"/>
      <w:marTop w:val="180"/>
      <w:marBottom w:val="0"/>
      <w:divBdr>
        <w:top w:val="none" w:sz="0" w:space="0" w:color="auto"/>
        <w:left w:val="none" w:sz="0" w:space="0" w:color="auto"/>
        <w:bottom w:val="none" w:sz="0" w:space="0" w:color="auto"/>
        <w:right w:val="none" w:sz="0" w:space="0" w:color="auto"/>
      </w:divBdr>
    </w:div>
    <w:div w:id="1042483740">
      <w:marLeft w:val="0"/>
      <w:marRight w:val="0"/>
      <w:marTop w:val="240"/>
      <w:marBottom w:val="0"/>
      <w:divBdr>
        <w:top w:val="none" w:sz="0" w:space="0" w:color="auto"/>
        <w:left w:val="none" w:sz="0" w:space="0" w:color="auto"/>
        <w:bottom w:val="none" w:sz="0" w:space="0" w:color="auto"/>
        <w:right w:val="none" w:sz="0" w:space="0" w:color="auto"/>
      </w:divBdr>
    </w:div>
    <w:div w:id="1043671202">
      <w:marLeft w:val="0"/>
      <w:marRight w:val="0"/>
      <w:marTop w:val="240"/>
      <w:marBottom w:val="0"/>
      <w:divBdr>
        <w:top w:val="none" w:sz="0" w:space="0" w:color="auto"/>
        <w:left w:val="none" w:sz="0" w:space="0" w:color="auto"/>
        <w:bottom w:val="none" w:sz="0" w:space="0" w:color="auto"/>
        <w:right w:val="none" w:sz="0" w:space="0" w:color="auto"/>
      </w:divBdr>
    </w:div>
    <w:div w:id="1045639619">
      <w:marLeft w:val="0"/>
      <w:marRight w:val="0"/>
      <w:marTop w:val="240"/>
      <w:marBottom w:val="0"/>
      <w:divBdr>
        <w:top w:val="none" w:sz="0" w:space="0" w:color="auto"/>
        <w:left w:val="none" w:sz="0" w:space="0" w:color="auto"/>
        <w:bottom w:val="none" w:sz="0" w:space="0" w:color="auto"/>
        <w:right w:val="none" w:sz="0" w:space="0" w:color="auto"/>
      </w:divBdr>
    </w:div>
    <w:div w:id="1046218397">
      <w:marLeft w:val="0"/>
      <w:marRight w:val="0"/>
      <w:marTop w:val="240"/>
      <w:marBottom w:val="240"/>
      <w:divBdr>
        <w:top w:val="none" w:sz="0" w:space="0" w:color="auto"/>
        <w:left w:val="none" w:sz="0" w:space="0" w:color="auto"/>
        <w:bottom w:val="none" w:sz="0" w:space="0" w:color="auto"/>
        <w:right w:val="none" w:sz="0" w:space="0" w:color="auto"/>
      </w:divBdr>
    </w:div>
    <w:div w:id="1047069168">
      <w:marLeft w:val="0"/>
      <w:marRight w:val="0"/>
      <w:marTop w:val="240"/>
      <w:marBottom w:val="0"/>
      <w:divBdr>
        <w:top w:val="none" w:sz="0" w:space="0" w:color="auto"/>
        <w:left w:val="none" w:sz="0" w:space="0" w:color="auto"/>
        <w:bottom w:val="none" w:sz="0" w:space="0" w:color="auto"/>
        <w:right w:val="none" w:sz="0" w:space="0" w:color="auto"/>
      </w:divBdr>
    </w:div>
    <w:div w:id="1048383796">
      <w:marLeft w:val="0"/>
      <w:marRight w:val="0"/>
      <w:marTop w:val="240"/>
      <w:marBottom w:val="0"/>
      <w:divBdr>
        <w:top w:val="none" w:sz="0" w:space="0" w:color="auto"/>
        <w:left w:val="none" w:sz="0" w:space="0" w:color="auto"/>
        <w:bottom w:val="none" w:sz="0" w:space="0" w:color="auto"/>
        <w:right w:val="none" w:sz="0" w:space="0" w:color="auto"/>
      </w:divBdr>
    </w:div>
    <w:div w:id="1048576717">
      <w:marLeft w:val="0"/>
      <w:marRight w:val="0"/>
      <w:marTop w:val="0"/>
      <w:marBottom w:val="0"/>
      <w:divBdr>
        <w:top w:val="none" w:sz="0" w:space="0" w:color="auto"/>
        <w:left w:val="none" w:sz="0" w:space="0" w:color="auto"/>
        <w:bottom w:val="none" w:sz="0" w:space="0" w:color="auto"/>
        <w:right w:val="none" w:sz="0" w:space="0" w:color="auto"/>
      </w:divBdr>
      <w:divsChild>
        <w:div w:id="1860779628">
          <w:marLeft w:val="0"/>
          <w:marRight w:val="0"/>
          <w:marTop w:val="0"/>
          <w:marBottom w:val="0"/>
          <w:divBdr>
            <w:top w:val="none" w:sz="0" w:space="0" w:color="auto"/>
            <w:left w:val="none" w:sz="0" w:space="0" w:color="auto"/>
            <w:bottom w:val="none" w:sz="0" w:space="0" w:color="auto"/>
            <w:right w:val="none" w:sz="0" w:space="0" w:color="auto"/>
          </w:divBdr>
        </w:div>
      </w:divsChild>
    </w:div>
    <w:div w:id="1049186255">
      <w:marLeft w:val="0"/>
      <w:marRight w:val="0"/>
      <w:marTop w:val="240"/>
      <w:marBottom w:val="0"/>
      <w:divBdr>
        <w:top w:val="none" w:sz="0" w:space="0" w:color="auto"/>
        <w:left w:val="none" w:sz="0" w:space="0" w:color="auto"/>
        <w:bottom w:val="none" w:sz="0" w:space="0" w:color="auto"/>
        <w:right w:val="none" w:sz="0" w:space="0" w:color="auto"/>
      </w:divBdr>
    </w:div>
    <w:div w:id="1049957545">
      <w:marLeft w:val="0"/>
      <w:marRight w:val="0"/>
      <w:marTop w:val="240"/>
      <w:marBottom w:val="0"/>
      <w:divBdr>
        <w:top w:val="none" w:sz="0" w:space="0" w:color="auto"/>
        <w:left w:val="none" w:sz="0" w:space="0" w:color="auto"/>
        <w:bottom w:val="none" w:sz="0" w:space="0" w:color="auto"/>
        <w:right w:val="none" w:sz="0" w:space="0" w:color="auto"/>
      </w:divBdr>
    </w:div>
    <w:div w:id="1050959748">
      <w:marLeft w:val="0"/>
      <w:marRight w:val="0"/>
      <w:marTop w:val="240"/>
      <w:marBottom w:val="0"/>
      <w:divBdr>
        <w:top w:val="none" w:sz="0" w:space="0" w:color="auto"/>
        <w:left w:val="none" w:sz="0" w:space="0" w:color="auto"/>
        <w:bottom w:val="none" w:sz="0" w:space="0" w:color="auto"/>
        <w:right w:val="none" w:sz="0" w:space="0" w:color="auto"/>
      </w:divBdr>
    </w:div>
    <w:div w:id="1053964420">
      <w:marLeft w:val="0"/>
      <w:marRight w:val="0"/>
      <w:marTop w:val="300"/>
      <w:marBottom w:val="0"/>
      <w:divBdr>
        <w:top w:val="none" w:sz="0" w:space="0" w:color="auto"/>
        <w:left w:val="none" w:sz="0" w:space="0" w:color="auto"/>
        <w:bottom w:val="none" w:sz="0" w:space="0" w:color="auto"/>
        <w:right w:val="none" w:sz="0" w:space="0" w:color="auto"/>
      </w:divBdr>
    </w:div>
    <w:div w:id="1054506233">
      <w:marLeft w:val="0"/>
      <w:marRight w:val="0"/>
      <w:marTop w:val="240"/>
      <w:marBottom w:val="240"/>
      <w:divBdr>
        <w:top w:val="none" w:sz="0" w:space="0" w:color="auto"/>
        <w:left w:val="none" w:sz="0" w:space="0" w:color="auto"/>
        <w:bottom w:val="none" w:sz="0" w:space="0" w:color="auto"/>
        <w:right w:val="none" w:sz="0" w:space="0" w:color="auto"/>
      </w:divBdr>
    </w:div>
    <w:div w:id="1054736499">
      <w:marLeft w:val="0"/>
      <w:marRight w:val="0"/>
      <w:marTop w:val="240"/>
      <w:marBottom w:val="0"/>
      <w:divBdr>
        <w:top w:val="none" w:sz="0" w:space="0" w:color="auto"/>
        <w:left w:val="none" w:sz="0" w:space="0" w:color="auto"/>
        <w:bottom w:val="none" w:sz="0" w:space="0" w:color="auto"/>
        <w:right w:val="none" w:sz="0" w:space="0" w:color="auto"/>
      </w:divBdr>
    </w:div>
    <w:div w:id="1056853409">
      <w:marLeft w:val="0"/>
      <w:marRight w:val="0"/>
      <w:marTop w:val="240"/>
      <w:marBottom w:val="240"/>
      <w:divBdr>
        <w:top w:val="none" w:sz="0" w:space="0" w:color="auto"/>
        <w:left w:val="none" w:sz="0" w:space="0" w:color="auto"/>
        <w:bottom w:val="none" w:sz="0" w:space="0" w:color="auto"/>
        <w:right w:val="none" w:sz="0" w:space="0" w:color="auto"/>
      </w:divBdr>
    </w:div>
    <w:div w:id="1059745945">
      <w:marLeft w:val="0"/>
      <w:marRight w:val="0"/>
      <w:marTop w:val="120"/>
      <w:marBottom w:val="0"/>
      <w:divBdr>
        <w:top w:val="none" w:sz="0" w:space="0" w:color="auto"/>
        <w:left w:val="none" w:sz="0" w:space="0" w:color="auto"/>
        <w:bottom w:val="none" w:sz="0" w:space="0" w:color="auto"/>
        <w:right w:val="none" w:sz="0" w:space="0" w:color="auto"/>
      </w:divBdr>
    </w:div>
    <w:div w:id="1062168673">
      <w:marLeft w:val="0"/>
      <w:marRight w:val="0"/>
      <w:marTop w:val="240"/>
      <w:marBottom w:val="0"/>
      <w:divBdr>
        <w:top w:val="none" w:sz="0" w:space="0" w:color="auto"/>
        <w:left w:val="none" w:sz="0" w:space="0" w:color="auto"/>
        <w:bottom w:val="none" w:sz="0" w:space="0" w:color="auto"/>
        <w:right w:val="none" w:sz="0" w:space="0" w:color="auto"/>
      </w:divBdr>
    </w:div>
    <w:div w:id="1063411636">
      <w:marLeft w:val="0"/>
      <w:marRight w:val="0"/>
      <w:marTop w:val="240"/>
      <w:marBottom w:val="0"/>
      <w:divBdr>
        <w:top w:val="none" w:sz="0" w:space="0" w:color="auto"/>
        <w:left w:val="none" w:sz="0" w:space="0" w:color="auto"/>
        <w:bottom w:val="none" w:sz="0" w:space="0" w:color="auto"/>
        <w:right w:val="none" w:sz="0" w:space="0" w:color="auto"/>
      </w:divBdr>
    </w:div>
    <w:div w:id="1063797774">
      <w:marLeft w:val="0"/>
      <w:marRight w:val="0"/>
      <w:marTop w:val="0"/>
      <w:marBottom w:val="0"/>
      <w:divBdr>
        <w:top w:val="none" w:sz="0" w:space="0" w:color="auto"/>
        <w:left w:val="none" w:sz="0" w:space="0" w:color="auto"/>
        <w:bottom w:val="none" w:sz="0" w:space="0" w:color="auto"/>
        <w:right w:val="none" w:sz="0" w:space="0" w:color="auto"/>
      </w:divBdr>
      <w:divsChild>
        <w:div w:id="745147177">
          <w:marLeft w:val="0"/>
          <w:marRight w:val="0"/>
          <w:marTop w:val="0"/>
          <w:marBottom w:val="0"/>
          <w:divBdr>
            <w:top w:val="none" w:sz="0" w:space="0" w:color="auto"/>
            <w:left w:val="none" w:sz="0" w:space="0" w:color="auto"/>
            <w:bottom w:val="none" w:sz="0" w:space="0" w:color="auto"/>
            <w:right w:val="none" w:sz="0" w:space="0" w:color="auto"/>
          </w:divBdr>
          <w:divsChild>
            <w:div w:id="9823938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65370322">
      <w:marLeft w:val="0"/>
      <w:marRight w:val="0"/>
      <w:marTop w:val="240"/>
      <w:marBottom w:val="0"/>
      <w:divBdr>
        <w:top w:val="none" w:sz="0" w:space="0" w:color="auto"/>
        <w:left w:val="none" w:sz="0" w:space="0" w:color="auto"/>
        <w:bottom w:val="none" w:sz="0" w:space="0" w:color="auto"/>
        <w:right w:val="none" w:sz="0" w:space="0" w:color="auto"/>
      </w:divBdr>
    </w:div>
    <w:div w:id="1067916326">
      <w:marLeft w:val="0"/>
      <w:marRight w:val="0"/>
      <w:marTop w:val="100"/>
      <w:marBottom w:val="0"/>
      <w:divBdr>
        <w:top w:val="none" w:sz="0" w:space="0" w:color="auto"/>
        <w:left w:val="none" w:sz="0" w:space="0" w:color="auto"/>
        <w:bottom w:val="none" w:sz="0" w:space="0" w:color="auto"/>
        <w:right w:val="none" w:sz="0" w:space="0" w:color="auto"/>
      </w:divBdr>
      <w:divsChild>
        <w:div w:id="100490054">
          <w:marLeft w:val="0"/>
          <w:marRight w:val="0"/>
          <w:marTop w:val="0"/>
          <w:marBottom w:val="0"/>
          <w:divBdr>
            <w:top w:val="none" w:sz="0" w:space="0" w:color="auto"/>
            <w:left w:val="none" w:sz="0" w:space="0" w:color="auto"/>
            <w:bottom w:val="none" w:sz="0" w:space="0" w:color="auto"/>
            <w:right w:val="none" w:sz="0" w:space="0" w:color="auto"/>
          </w:divBdr>
        </w:div>
      </w:divsChild>
    </w:div>
    <w:div w:id="1070418433">
      <w:marLeft w:val="0"/>
      <w:marRight w:val="0"/>
      <w:marTop w:val="240"/>
      <w:marBottom w:val="0"/>
      <w:divBdr>
        <w:top w:val="none" w:sz="0" w:space="0" w:color="auto"/>
        <w:left w:val="none" w:sz="0" w:space="0" w:color="auto"/>
        <w:bottom w:val="none" w:sz="0" w:space="0" w:color="auto"/>
        <w:right w:val="none" w:sz="0" w:space="0" w:color="auto"/>
      </w:divBdr>
    </w:div>
    <w:div w:id="1071318025">
      <w:marLeft w:val="0"/>
      <w:marRight w:val="0"/>
      <w:marTop w:val="180"/>
      <w:marBottom w:val="0"/>
      <w:divBdr>
        <w:top w:val="none" w:sz="0" w:space="0" w:color="auto"/>
        <w:left w:val="none" w:sz="0" w:space="0" w:color="auto"/>
        <w:bottom w:val="none" w:sz="0" w:space="0" w:color="auto"/>
        <w:right w:val="none" w:sz="0" w:space="0" w:color="auto"/>
      </w:divBdr>
    </w:div>
    <w:div w:id="1074814562">
      <w:marLeft w:val="0"/>
      <w:marRight w:val="0"/>
      <w:marTop w:val="140"/>
      <w:marBottom w:val="0"/>
      <w:divBdr>
        <w:top w:val="none" w:sz="0" w:space="0" w:color="auto"/>
        <w:left w:val="none" w:sz="0" w:space="0" w:color="auto"/>
        <w:bottom w:val="none" w:sz="0" w:space="0" w:color="auto"/>
        <w:right w:val="none" w:sz="0" w:space="0" w:color="auto"/>
      </w:divBdr>
    </w:div>
    <w:div w:id="1074819052">
      <w:marLeft w:val="0"/>
      <w:marRight w:val="0"/>
      <w:marTop w:val="180"/>
      <w:marBottom w:val="0"/>
      <w:divBdr>
        <w:top w:val="none" w:sz="0" w:space="0" w:color="auto"/>
        <w:left w:val="none" w:sz="0" w:space="0" w:color="auto"/>
        <w:bottom w:val="none" w:sz="0" w:space="0" w:color="auto"/>
        <w:right w:val="none" w:sz="0" w:space="0" w:color="auto"/>
      </w:divBdr>
    </w:div>
    <w:div w:id="1075669554">
      <w:marLeft w:val="0"/>
      <w:marRight w:val="0"/>
      <w:marTop w:val="240"/>
      <w:marBottom w:val="0"/>
      <w:divBdr>
        <w:top w:val="none" w:sz="0" w:space="0" w:color="auto"/>
        <w:left w:val="none" w:sz="0" w:space="0" w:color="auto"/>
        <w:bottom w:val="none" w:sz="0" w:space="0" w:color="auto"/>
        <w:right w:val="none" w:sz="0" w:space="0" w:color="auto"/>
      </w:divBdr>
    </w:div>
    <w:div w:id="1075976319">
      <w:marLeft w:val="0"/>
      <w:marRight w:val="0"/>
      <w:marTop w:val="240"/>
      <w:marBottom w:val="0"/>
      <w:divBdr>
        <w:top w:val="none" w:sz="0" w:space="0" w:color="auto"/>
        <w:left w:val="none" w:sz="0" w:space="0" w:color="auto"/>
        <w:bottom w:val="none" w:sz="0" w:space="0" w:color="auto"/>
        <w:right w:val="none" w:sz="0" w:space="0" w:color="auto"/>
      </w:divBdr>
    </w:div>
    <w:div w:id="1077019350">
      <w:marLeft w:val="0"/>
      <w:marRight w:val="0"/>
      <w:marTop w:val="180"/>
      <w:marBottom w:val="240"/>
      <w:divBdr>
        <w:top w:val="none" w:sz="0" w:space="0" w:color="auto"/>
        <w:left w:val="none" w:sz="0" w:space="0" w:color="auto"/>
        <w:bottom w:val="none" w:sz="0" w:space="0" w:color="auto"/>
        <w:right w:val="none" w:sz="0" w:space="0" w:color="auto"/>
      </w:divBdr>
    </w:div>
    <w:div w:id="1077165499">
      <w:marLeft w:val="0"/>
      <w:marRight w:val="0"/>
      <w:marTop w:val="0"/>
      <w:marBottom w:val="0"/>
      <w:divBdr>
        <w:top w:val="none" w:sz="0" w:space="0" w:color="auto"/>
        <w:left w:val="none" w:sz="0" w:space="0" w:color="auto"/>
        <w:bottom w:val="none" w:sz="0" w:space="0" w:color="auto"/>
        <w:right w:val="none" w:sz="0" w:space="0" w:color="auto"/>
      </w:divBdr>
      <w:divsChild>
        <w:div w:id="911625500">
          <w:marLeft w:val="0"/>
          <w:marRight w:val="0"/>
          <w:marTop w:val="120"/>
          <w:marBottom w:val="0"/>
          <w:divBdr>
            <w:top w:val="none" w:sz="0" w:space="0" w:color="auto"/>
            <w:left w:val="none" w:sz="0" w:space="0" w:color="auto"/>
            <w:bottom w:val="none" w:sz="0" w:space="0" w:color="auto"/>
            <w:right w:val="none" w:sz="0" w:space="0" w:color="auto"/>
          </w:divBdr>
        </w:div>
      </w:divsChild>
    </w:div>
    <w:div w:id="1077291234">
      <w:marLeft w:val="0"/>
      <w:marRight w:val="0"/>
      <w:marTop w:val="240"/>
      <w:marBottom w:val="0"/>
      <w:divBdr>
        <w:top w:val="none" w:sz="0" w:space="0" w:color="auto"/>
        <w:left w:val="none" w:sz="0" w:space="0" w:color="auto"/>
        <w:bottom w:val="none" w:sz="0" w:space="0" w:color="auto"/>
        <w:right w:val="none" w:sz="0" w:space="0" w:color="auto"/>
      </w:divBdr>
    </w:div>
    <w:div w:id="1080448164">
      <w:marLeft w:val="0"/>
      <w:marRight w:val="0"/>
      <w:marTop w:val="0"/>
      <w:marBottom w:val="0"/>
      <w:divBdr>
        <w:top w:val="none" w:sz="0" w:space="0" w:color="auto"/>
        <w:left w:val="none" w:sz="0" w:space="0" w:color="auto"/>
        <w:bottom w:val="none" w:sz="0" w:space="0" w:color="auto"/>
        <w:right w:val="none" w:sz="0" w:space="0" w:color="auto"/>
      </w:divBdr>
      <w:divsChild>
        <w:div w:id="72967951">
          <w:marLeft w:val="0"/>
          <w:marRight w:val="0"/>
          <w:marTop w:val="0"/>
          <w:marBottom w:val="0"/>
          <w:divBdr>
            <w:top w:val="none" w:sz="0" w:space="0" w:color="auto"/>
            <w:left w:val="none" w:sz="0" w:space="0" w:color="auto"/>
            <w:bottom w:val="none" w:sz="0" w:space="0" w:color="auto"/>
            <w:right w:val="none" w:sz="0" w:space="0" w:color="auto"/>
          </w:divBdr>
        </w:div>
      </w:divsChild>
    </w:div>
    <w:div w:id="1081292632">
      <w:marLeft w:val="0"/>
      <w:marRight w:val="0"/>
      <w:marTop w:val="240"/>
      <w:marBottom w:val="0"/>
      <w:divBdr>
        <w:top w:val="none" w:sz="0" w:space="0" w:color="auto"/>
        <w:left w:val="none" w:sz="0" w:space="0" w:color="auto"/>
        <w:bottom w:val="none" w:sz="0" w:space="0" w:color="auto"/>
        <w:right w:val="none" w:sz="0" w:space="0" w:color="auto"/>
      </w:divBdr>
    </w:div>
    <w:div w:id="1082024438">
      <w:marLeft w:val="0"/>
      <w:marRight w:val="0"/>
      <w:marTop w:val="160"/>
      <w:marBottom w:val="0"/>
      <w:divBdr>
        <w:top w:val="none" w:sz="0" w:space="0" w:color="auto"/>
        <w:left w:val="none" w:sz="0" w:space="0" w:color="auto"/>
        <w:bottom w:val="none" w:sz="0" w:space="0" w:color="auto"/>
        <w:right w:val="none" w:sz="0" w:space="0" w:color="auto"/>
      </w:divBdr>
      <w:divsChild>
        <w:div w:id="2120830536">
          <w:marLeft w:val="0"/>
          <w:marRight w:val="0"/>
          <w:marTop w:val="0"/>
          <w:marBottom w:val="0"/>
          <w:divBdr>
            <w:top w:val="none" w:sz="0" w:space="0" w:color="auto"/>
            <w:left w:val="none" w:sz="0" w:space="0" w:color="auto"/>
            <w:bottom w:val="none" w:sz="0" w:space="0" w:color="auto"/>
            <w:right w:val="none" w:sz="0" w:space="0" w:color="auto"/>
          </w:divBdr>
        </w:div>
        <w:div w:id="991909388">
          <w:marLeft w:val="0"/>
          <w:marRight w:val="0"/>
          <w:marTop w:val="0"/>
          <w:marBottom w:val="0"/>
          <w:divBdr>
            <w:top w:val="none" w:sz="0" w:space="0" w:color="auto"/>
            <w:left w:val="none" w:sz="0" w:space="0" w:color="auto"/>
            <w:bottom w:val="none" w:sz="0" w:space="0" w:color="auto"/>
            <w:right w:val="none" w:sz="0" w:space="0" w:color="auto"/>
          </w:divBdr>
        </w:div>
        <w:div w:id="1008602159">
          <w:marLeft w:val="0"/>
          <w:marRight w:val="0"/>
          <w:marTop w:val="0"/>
          <w:marBottom w:val="0"/>
          <w:divBdr>
            <w:top w:val="none" w:sz="0" w:space="0" w:color="auto"/>
            <w:left w:val="none" w:sz="0" w:space="0" w:color="auto"/>
            <w:bottom w:val="none" w:sz="0" w:space="0" w:color="auto"/>
            <w:right w:val="none" w:sz="0" w:space="0" w:color="auto"/>
          </w:divBdr>
        </w:div>
        <w:div w:id="1656641679">
          <w:marLeft w:val="0"/>
          <w:marRight w:val="0"/>
          <w:marTop w:val="0"/>
          <w:marBottom w:val="0"/>
          <w:divBdr>
            <w:top w:val="none" w:sz="0" w:space="0" w:color="auto"/>
            <w:left w:val="none" w:sz="0" w:space="0" w:color="auto"/>
            <w:bottom w:val="none" w:sz="0" w:space="0" w:color="auto"/>
            <w:right w:val="none" w:sz="0" w:space="0" w:color="auto"/>
          </w:divBdr>
        </w:div>
        <w:div w:id="401487075">
          <w:marLeft w:val="0"/>
          <w:marRight w:val="0"/>
          <w:marTop w:val="0"/>
          <w:marBottom w:val="0"/>
          <w:divBdr>
            <w:top w:val="none" w:sz="0" w:space="0" w:color="auto"/>
            <w:left w:val="none" w:sz="0" w:space="0" w:color="auto"/>
            <w:bottom w:val="none" w:sz="0" w:space="0" w:color="auto"/>
            <w:right w:val="none" w:sz="0" w:space="0" w:color="auto"/>
          </w:divBdr>
        </w:div>
        <w:div w:id="125702677">
          <w:marLeft w:val="0"/>
          <w:marRight w:val="0"/>
          <w:marTop w:val="0"/>
          <w:marBottom w:val="0"/>
          <w:divBdr>
            <w:top w:val="none" w:sz="0" w:space="0" w:color="auto"/>
            <w:left w:val="none" w:sz="0" w:space="0" w:color="auto"/>
            <w:bottom w:val="none" w:sz="0" w:space="0" w:color="auto"/>
            <w:right w:val="none" w:sz="0" w:space="0" w:color="auto"/>
          </w:divBdr>
        </w:div>
        <w:div w:id="1148742008">
          <w:marLeft w:val="0"/>
          <w:marRight w:val="0"/>
          <w:marTop w:val="0"/>
          <w:marBottom w:val="0"/>
          <w:divBdr>
            <w:top w:val="none" w:sz="0" w:space="0" w:color="auto"/>
            <w:left w:val="none" w:sz="0" w:space="0" w:color="auto"/>
            <w:bottom w:val="none" w:sz="0" w:space="0" w:color="auto"/>
            <w:right w:val="none" w:sz="0" w:space="0" w:color="auto"/>
          </w:divBdr>
        </w:div>
        <w:div w:id="1038355933">
          <w:marLeft w:val="0"/>
          <w:marRight w:val="0"/>
          <w:marTop w:val="0"/>
          <w:marBottom w:val="0"/>
          <w:divBdr>
            <w:top w:val="none" w:sz="0" w:space="0" w:color="auto"/>
            <w:left w:val="none" w:sz="0" w:space="0" w:color="auto"/>
            <w:bottom w:val="none" w:sz="0" w:space="0" w:color="auto"/>
            <w:right w:val="none" w:sz="0" w:space="0" w:color="auto"/>
          </w:divBdr>
        </w:div>
      </w:divsChild>
    </w:div>
    <w:div w:id="1082265245">
      <w:marLeft w:val="0"/>
      <w:marRight w:val="0"/>
      <w:marTop w:val="0"/>
      <w:marBottom w:val="0"/>
      <w:divBdr>
        <w:top w:val="none" w:sz="0" w:space="0" w:color="auto"/>
        <w:left w:val="none" w:sz="0" w:space="0" w:color="auto"/>
        <w:bottom w:val="none" w:sz="0" w:space="0" w:color="auto"/>
        <w:right w:val="none" w:sz="0" w:space="0" w:color="auto"/>
      </w:divBdr>
      <w:divsChild>
        <w:div w:id="1712414578">
          <w:marLeft w:val="0"/>
          <w:marRight w:val="0"/>
          <w:marTop w:val="0"/>
          <w:marBottom w:val="0"/>
          <w:divBdr>
            <w:top w:val="none" w:sz="0" w:space="0" w:color="auto"/>
            <w:left w:val="none" w:sz="0" w:space="0" w:color="auto"/>
            <w:bottom w:val="none" w:sz="0" w:space="0" w:color="auto"/>
            <w:right w:val="none" w:sz="0" w:space="0" w:color="auto"/>
          </w:divBdr>
        </w:div>
      </w:divsChild>
    </w:div>
    <w:div w:id="1082878075">
      <w:marLeft w:val="0"/>
      <w:marRight w:val="0"/>
      <w:marTop w:val="240"/>
      <w:marBottom w:val="0"/>
      <w:divBdr>
        <w:top w:val="none" w:sz="0" w:space="0" w:color="auto"/>
        <w:left w:val="none" w:sz="0" w:space="0" w:color="auto"/>
        <w:bottom w:val="none" w:sz="0" w:space="0" w:color="auto"/>
        <w:right w:val="none" w:sz="0" w:space="0" w:color="auto"/>
      </w:divBdr>
    </w:div>
    <w:div w:id="1085147895">
      <w:marLeft w:val="0"/>
      <w:marRight w:val="0"/>
      <w:marTop w:val="0"/>
      <w:marBottom w:val="0"/>
      <w:divBdr>
        <w:top w:val="none" w:sz="0" w:space="0" w:color="auto"/>
        <w:left w:val="none" w:sz="0" w:space="0" w:color="auto"/>
        <w:bottom w:val="none" w:sz="0" w:space="0" w:color="auto"/>
        <w:right w:val="none" w:sz="0" w:space="0" w:color="auto"/>
      </w:divBdr>
      <w:divsChild>
        <w:div w:id="616372758">
          <w:marLeft w:val="0"/>
          <w:marRight w:val="0"/>
          <w:marTop w:val="0"/>
          <w:marBottom w:val="0"/>
          <w:divBdr>
            <w:top w:val="none" w:sz="0" w:space="0" w:color="auto"/>
            <w:left w:val="none" w:sz="0" w:space="0" w:color="auto"/>
            <w:bottom w:val="none" w:sz="0" w:space="0" w:color="auto"/>
            <w:right w:val="none" w:sz="0" w:space="0" w:color="auto"/>
          </w:divBdr>
        </w:div>
      </w:divsChild>
    </w:div>
    <w:div w:id="1086195185">
      <w:marLeft w:val="0"/>
      <w:marRight w:val="0"/>
      <w:marTop w:val="0"/>
      <w:marBottom w:val="0"/>
      <w:divBdr>
        <w:top w:val="none" w:sz="0" w:space="0" w:color="auto"/>
        <w:left w:val="none" w:sz="0" w:space="0" w:color="auto"/>
        <w:bottom w:val="none" w:sz="0" w:space="0" w:color="auto"/>
        <w:right w:val="none" w:sz="0" w:space="0" w:color="auto"/>
      </w:divBdr>
      <w:divsChild>
        <w:div w:id="1098327798">
          <w:marLeft w:val="0"/>
          <w:marRight w:val="0"/>
          <w:marTop w:val="0"/>
          <w:marBottom w:val="0"/>
          <w:divBdr>
            <w:top w:val="none" w:sz="0" w:space="0" w:color="auto"/>
            <w:left w:val="none" w:sz="0" w:space="0" w:color="auto"/>
            <w:bottom w:val="none" w:sz="0" w:space="0" w:color="auto"/>
            <w:right w:val="none" w:sz="0" w:space="0" w:color="auto"/>
          </w:divBdr>
        </w:div>
      </w:divsChild>
    </w:div>
    <w:div w:id="1087074413">
      <w:marLeft w:val="0"/>
      <w:marRight w:val="0"/>
      <w:marTop w:val="240"/>
      <w:marBottom w:val="0"/>
      <w:divBdr>
        <w:top w:val="none" w:sz="0" w:space="0" w:color="auto"/>
        <w:left w:val="none" w:sz="0" w:space="0" w:color="auto"/>
        <w:bottom w:val="none" w:sz="0" w:space="0" w:color="auto"/>
        <w:right w:val="none" w:sz="0" w:space="0" w:color="auto"/>
      </w:divBdr>
    </w:div>
    <w:div w:id="1088428866">
      <w:marLeft w:val="0"/>
      <w:marRight w:val="0"/>
      <w:marTop w:val="240"/>
      <w:marBottom w:val="240"/>
      <w:divBdr>
        <w:top w:val="none" w:sz="0" w:space="0" w:color="auto"/>
        <w:left w:val="none" w:sz="0" w:space="0" w:color="auto"/>
        <w:bottom w:val="none" w:sz="0" w:space="0" w:color="auto"/>
        <w:right w:val="none" w:sz="0" w:space="0" w:color="auto"/>
      </w:divBdr>
    </w:div>
    <w:div w:id="1089038192">
      <w:marLeft w:val="0"/>
      <w:marRight w:val="0"/>
      <w:marTop w:val="240"/>
      <w:marBottom w:val="0"/>
      <w:divBdr>
        <w:top w:val="none" w:sz="0" w:space="0" w:color="auto"/>
        <w:left w:val="none" w:sz="0" w:space="0" w:color="auto"/>
        <w:bottom w:val="none" w:sz="0" w:space="0" w:color="auto"/>
        <w:right w:val="none" w:sz="0" w:space="0" w:color="auto"/>
      </w:divBdr>
    </w:div>
    <w:div w:id="1091047331">
      <w:marLeft w:val="0"/>
      <w:marRight w:val="0"/>
      <w:marTop w:val="240"/>
      <w:marBottom w:val="0"/>
      <w:divBdr>
        <w:top w:val="none" w:sz="0" w:space="0" w:color="auto"/>
        <w:left w:val="none" w:sz="0" w:space="0" w:color="auto"/>
        <w:bottom w:val="none" w:sz="0" w:space="0" w:color="auto"/>
        <w:right w:val="none" w:sz="0" w:space="0" w:color="auto"/>
      </w:divBdr>
    </w:div>
    <w:div w:id="1093936021">
      <w:marLeft w:val="0"/>
      <w:marRight w:val="0"/>
      <w:marTop w:val="0"/>
      <w:marBottom w:val="0"/>
      <w:divBdr>
        <w:top w:val="none" w:sz="0" w:space="0" w:color="auto"/>
        <w:left w:val="none" w:sz="0" w:space="0" w:color="auto"/>
        <w:bottom w:val="none" w:sz="0" w:space="0" w:color="auto"/>
        <w:right w:val="none" w:sz="0" w:space="0" w:color="auto"/>
      </w:divBdr>
      <w:divsChild>
        <w:div w:id="507989863">
          <w:marLeft w:val="0"/>
          <w:marRight w:val="0"/>
          <w:marTop w:val="0"/>
          <w:marBottom w:val="0"/>
          <w:divBdr>
            <w:top w:val="none" w:sz="0" w:space="0" w:color="auto"/>
            <w:left w:val="none" w:sz="0" w:space="0" w:color="auto"/>
            <w:bottom w:val="none" w:sz="0" w:space="0" w:color="auto"/>
            <w:right w:val="none" w:sz="0" w:space="0" w:color="auto"/>
          </w:divBdr>
          <w:divsChild>
            <w:div w:id="20286792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94133427">
      <w:marLeft w:val="0"/>
      <w:marRight w:val="0"/>
      <w:marTop w:val="240"/>
      <w:marBottom w:val="0"/>
      <w:divBdr>
        <w:top w:val="none" w:sz="0" w:space="0" w:color="auto"/>
        <w:left w:val="none" w:sz="0" w:space="0" w:color="auto"/>
        <w:bottom w:val="none" w:sz="0" w:space="0" w:color="auto"/>
        <w:right w:val="none" w:sz="0" w:space="0" w:color="auto"/>
      </w:divBdr>
    </w:div>
    <w:div w:id="1094981484">
      <w:marLeft w:val="0"/>
      <w:marRight w:val="0"/>
      <w:marTop w:val="0"/>
      <w:marBottom w:val="0"/>
      <w:divBdr>
        <w:top w:val="none" w:sz="0" w:space="0" w:color="auto"/>
        <w:left w:val="none" w:sz="0" w:space="0" w:color="auto"/>
        <w:bottom w:val="none" w:sz="0" w:space="0" w:color="auto"/>
        <w:right w:val="none" w:sz="0" w:space="0" w:color="auto"/>
      </w:divBdr>
      <w:divsChild>
        <w:div w:id="723258781">
          <w:marLeft w:val="0"/>
          <w:marRight w:val="0"/>
          <w:marTop w:val="0"/>
          <w:marBottom w:val="0"/>
          <w:divBdr>
            <w:top w:val="none" w:sz="0" w:space="0" w:color="auto"/>
            <w:left w:val="none" w:sz="0" w:space="0" w:color="auto"/>
            <w:bottom w:val="none" w:sz="0" w:space="0" w:color="auto"/>
            <w:right w:val="none" w:sz="0" w:space="0" w:color="auto"/>
          </w:divBdr>
          <w:divsChild>
            <w:div w:id="71100432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95125871">
      <w:marLeft w:val="0"/>
      <w:marRight w:val="0"/>
      <w:marTop w:val="0"/>
      <w:marBottom w:val="0"/>
      <w:divBdr>
        <w:top w:val="none" w:sz="0" w:space="0" w:color="auto"/>
        <w:left w:val="none" w:sz="0" w:space="0" w:color="auto"/>
        <w:bottom w:val="none" w:sz="0" w:space="0" w:color="auto"/>
        <w:right w:val="none" w:sz="0" w:space="0" w:color="auto"/>
      </w:divBdr>
      <w:divsChild>
        <w:div w:id="932319">
          <w:marLeft w:val="0"/>
          <w:marRight w:val="0"/>
          <w:marTop w:val="120"/>
          <w:marBottom w:val="0"/>
          <w:divBdr>
            <w:top w:val="none" w:sz="0" w:space="0" w:color="auto"/>
            <w:left w:val="none" w:sz="0" w:space="0" w:color="auto"/>
            <w:bottom w:val="none" w:sz="0" w:space="0" w:color="auto"/>
            <w:right w:val="none" w:sz="0" w:space="0" w:color="auto"/>
          </w:divBdr>
        </w:div>
      </w:divsChild>
    </w:div>
    <w:div w:id="1095129799">
      <w:marLeft w:val="0"/>
      <w:marRight w:val="0"/>
      <w:marTop w:val="240"/>
      <w:marBottom w:val="0"/>
      <w:divBdr>
        <w:top w:val="none" w:sz="0" w:space="0" w:color="auto"/>
        <w:left w:val="none" w:sz="0" w:space="0" w:color="auto"/>
        <w:bottom w:val="none" w:sz="0" w:space="0" w:color="auto"/>
        <w:right w:val="none" w:sz="0" w:space="0" w:color="auto"/>
      </w:divBdr>
    </w:div>
    <w:div w:id="1095246517">
      <w:marLeft w:val="0"/>
      <w:marRight w:val="0"/>
      <w:marTop w:val="240"/>
      <w:marBottom w:val="0"/>
      <w:divBdr>
        <w:top w:val="none" w:sz="0" w:space="0" w:color="auto"/>
        <w:left w:val="none" w:sz="0" w:space="0" w:color="auto"/>
        <w:bottom w:val="none" w:sz="0" w:space="0" w:color="auto"/>
        <w:right w:val="none" w:sz="0" w:space="0" w:color="auto"/>
      </w:divBdr>
    </w:div>
    <w:div w:id="1096561571">
      <w:marLeft w:val="0"/>
      <w:marRight w:val="0"/>
      <w:marTop w:val="160"/>
      <w:marBottom w:val="0"/>
      <w:divBdr>
        <w:top w:val="none" w:sz="0" w:space="0" w:color="auto"/>
        <w:left w:val="none" w:sz="0" w:space="0" w:color="auto"/>
        <w:bottom w:val="none" w:sz="0" w:space="0" w:color="auto"/>
        <w:right w:val="none" w:sz="0" w:space="0" w:color="auto"/>
      </w:divBdr>
    </w:div>
    <w:div w:id="1097362134">
      <w:marLeft w:val="0"/>
      <w:marRight w:val="0"/>
      <w:marTop w:val="240"/>
      <w:marBottom w:val="0"/>
      <w:divBdr>
        <w:top w:val="none" w:sz="0" w:space="0" w:color="auto"/>
        <w:left w:val="none" w:sz="0" w:space="0" w:color="auto"/>
        <w:bottom w:val="none" w:sz="0" w:space="0" w:color="auto"/>
        <w:right w:val="none" w:sz="0" w:space="0" w:color="auto"/>
      </w:divBdr>
    </w:div>
    <w:div w:id="1099175971">
      <w:marLeft w:val="0"/>
      <w:marRight w:val="0"/>
      <w:marTop w:val="240"/>
      <w:marBottom w:val="0"/>
      <w:divBdr>
        <w:top w:val="none" w:sz="0" w:space="0" w:color="auto"/>
        <w:left w:val="none" w:sz="0" w:space="0" w:color="auto"/>
        <w:bottom w:val="none" w:sz="0" w:space="0" w:color="auto"/>
        <w:right w:val="none" w:sz="0" w:space="0" w:color="auto"/>
      </w:divBdr>
    </w:div>
    <w:div w:id="1100757065">
      <w:marLeft w:val="0"/>
      <w:marRight w:val="0"/>
      <w:marTop w:val="240"/>
      <w:marBottom w:val="0"/>
      <w:divBdr>
        <w:top w:val="none" w:sz="0" w:space="0" w:color="auto"/>
        <w:left w:val="none" w:sz="0" w:space="0" w:color="auto"/>
        <w:bottom w:val="none" w:sz="0" w:space="0" w:color="auto"/>
        <w:right w:val="none" w:sz="0" w:space="0" w:color="auto"/>
      </w:divBdr>
    </w:div>
    <w:div w:id="1100758922">
      <w:marLeft w:val="0"/>
      <w:marRight w:val="0"/>
      <w:marTop w:val="180"/>
      <w:marBottom w:val="0"/>
      <w:divBdr>
        <w:top w:val="none" w:sz="0" w:space="0" w:color="auto"/>
        <w:left w:val="none" w:sz="0" w:space="0" w:color="auto"/>
        <w:bottom w:val="none" w:sz="0" w:space="0" w:color="auto"/>
        <w:right w:val="none" w:sz="0" w:space="0" w:color="auto"/>
      </w:divBdr>
    </w:div>
    <w:div w:id="1104303148">
      <w:marLeft w:val="0"/>
      <w:marRight w:val="0"/>
      <w:marTop w:val="240"/>
      <w:marBottom w:val="0"/>
      <w:divBdr>
        <w:top w:val="none" w:sz="0" w:space="0" w:color="auto"/>
        <w:left w:val="none" w:sz="0" w:space="0" w:color="auto"/>
        <w:bottom w:val="none" w:sz="0" w:space="0" w:color="auto"/>
        <w:right w:val="none" w:sz="0" w:space="0" w:color="auto"/>
      </w:divBdr>
    </w:div>
    <w:div w:id="1104304424">
      <w:marLeft w:val="0"/>
      <w:marRight w:val="0"/>
      <w:marTop w:val="240"/>
      <w:marBottom w:val="240"/>
      <w:divBdr>
        <w:top w:val="none" w:sz="0" w:space="0" w:color="auto"/>
        <w:left w:val="none" w:sz="0" w:space="0" w:color="auto"/>
        <w:bottom w:val="none" w:sz="0" w:space="0" w:color="auto"/>
        <w:right w:val="none" w:sz="0" w:space="0" w:color="auto"/>
      </w:divBdr>
    </w:div>
    <w:div w:id="1104304820">
      <w:marLeft w:val="0"/>
      <w:marRight w:val="0"/>
      <w:marTop w:val="0"/>
      <w:marBottom w:val="0"/>
      <w:divBdr>
        <w:top w:val="none" w:sz="0" w:space="0" w:color="auto"/>
        <w:left w:val="none" w:sz="0" w:space="0" w:color="auto"/>
        <w:bottom w:val="none" w:sz="0" w:space="0" w:color="auto"/>
        <w:right w:val="none" w:sz="0" w:space="0" w:color="auto"/>
      </w:divBdr>
      <w:divsChild>
        <w:div w:id="211314430">
          <w:marLeft w:val="0"/>
          <w:marRight w:val="0"/>
          <w:marTop w:val="120"/>
          <w:marBottom w:val="0"/>
          <w:divBdr>
            <w:top w:val="none" w:sz="0" w:space="0" w:color="auto"/>
            <w:left w:val="none" w:sz="0" w:space="0" w:color="auto"/>
            <w:bottom w:val="none" w:sz="0" w:space="0" w:color="auto"/>
            <w:right w:val="none" w:sz="0" w:space="0" w:color="auto"/>
          </w:divBdr>
        </w:div>
      </w:divsChild>
    </w:div>
    <w:div w:id="1104685985">
      <w:marLeft w:val="0"/>
      <w:marRight w:val="0"/>
      <w:marTop w:val="0"/>
      <w:marBottom w:val="0"/>
      <w:divBdr>
        <w:top w:val="none" w:sz="0" w:space="0" w:color="auto"/>
        <w:left w:val="none" w:sz="0" w:space="0" w:color="auto"/>
        <w:bottom w:val="none" w:sz="0" w:space="0" w:color="auto"/>
        <w:right w:val="none" w:sz="0" w:space="0" w:color="auto"/>
      </w:divBdr>
    </w:div>
    <w:div w:id="1106072668">
      <w:marLeft w:val="0"/>
      <w:marRight w:val="0"/>
      <w:marTop w:val="240"/>
      <w:marBottom w:val="0"/>
      <w:divBdr>
        <w:top w:val="none" w:sz="0" w:space="0" w:color="auto"/>
        <w:left w:val="none" w:sz="0" w:space="0" w:color="auto"/>
        <w:bottom w:val="none" w:sz="0" w:space="0" w:color="auto"/>
        <w:right w:val="none" w:sz="0" w:space="0" w:color="auto"/>
      </w:divBdr>
    </w:div>
    <w:div w:id="1107383547">
      <w:marLeft w:val="0"/>
      <w:marRight w:val="0"/>
      <w:marTop w:val="0"/>
      <w:marBottom w:val="0"/>
      <w:divBdr>
        <w:top w:val="none" w:sz="0" w:space="0" w:color="auto"/>
        <w:left w:val="none" w:sz="0" w:space="0" w:color="auto"/>
        <w:bottom w:val="none" w:sz="0" w:space="0" w:color="auto"/>
        <w:right w:val="none" w:sz="0" w:space="0" w:color="auto"/>
      </w:divBdr>
      <w:divsChild>
        <w:div w:id="625965853">
          <w:marLeft w:val="0"/>
          <w:marRight w:val="0"/>
          <w:marTop w:val="0"/>
          <w:marBottom w:val="0"/>
          <w:divBdr>
            <w:top w:val="none" w:sz="0" w:space="0" w:color="auto"/>
            <w:left w:val="none" w:sz="0" w:space="0" w:color="auto"/>
            <w:bottom w:val="none" w:sz="0" w:space="0" w:color="auto"/>
            <w:right w:val="none" w:sz="0" w:space="0" w:color="auto"/>
          </w:divBdr>
        </w:div>
      </w:divsChild>
    </w:div>
    <w:div w:id="1109467049">
      <w:marLeft w:val="0"/>
      <w:marRight w:val="0"/>
      <w:marTop w:val="240"/>
      <w:marBottom w:val="0"/>
      <w:divBdr>
        <w:top w:val="none" w:sz="0" w:space="0" w:color="auto"/>
        <w:left w:val="none" w:sz="0" w:space="0" w:color="auto"/>
        <w:bottom w:val="none" w:sz="0" w:space="0" w:color="auto"/>
        <w:right w:val="none" w:sz="0" w:space="0" w:color="auto"/>
      </w:divBdr>
    </w:div>
    <w:div w:id="1110122030">
      <w:marLeft w:val="0"/>
      <w:marRight w:val="0"/>
      <w:marTop w:val="60"/>
      <w:marBottom w:val="0"/>
      <w:divBdr>
        <w:top w:val="none" w:sz="0" w:space="0" w:color="auto"/>
        <w:left w:val="none" w:sz="0" w:space="0" w:color="auto"/>
        <w:bottom w:val="none" w:sz="0" w:space="0" w:color="auto"/>
        <w:right w:val="none" w:sz="0" w:space="0" w:color="auto"/>
      </w:divBdr>
    </w:div>
    <w:div w:id="1111172680">
      <w:marLeft w:val="0"/>
      <w:marRight w:val="0"/>
      <w:marTop w:val="240"/>
      <w:marBottom w:val="0"/>
      <w:divBdr>
        <w:top w:val="none" w:sz="0" w:space="0" w:color="auto"/>
        <w:left w:val="none" w:sz="0" w:space="0" w:color="auto"/>
        <w:bottom w:val="none" w:sz="0" w:space="0" w:color="auto"/>
        <w:right w:val="none" w:sz="0" w:space="0" w:color="auto"/>
      </w:divBdr>
    </w:div>
    <w:div w:id="1111976068">
      <w:marLeft w:val="0"/>
      <w:marRight w:val="0"/>
      <w:marTop w:val="240"/>
      <w:marBottom w:val="0"/>
      <w:divBdr>
        <w:top w:val="none" w:sz="0" w:space="0" w:color="auto"/>
        <w:left w:val="none" w:sz="0" w:space="0" w:color="auto"/>
        <w:bottom w:val="none" w:sz="0" w:space="0" w:color="auto"/>
        <w:right w:val="none" w:sz="0" w:space="0" w:color="auto"/>
      </w:divBdr>
    </w:div>
    <w:div w:id="1113138397">
      <w:marLeft w:val="0"/>
      <w:marRight w:val="0"/>
      <w:marTop w:val="0"/>
      <w:marBottom w:val="0"/>
      <w:divBdr>
        <w:top w:val="none" w:sz="0" w:space="0" w:color="auto"/>
        <w:left w:val="none" w:sz="0" w:space="0" w:color="auto"/>
        <w:bottom w:val="none" w:sz="0" w:space="0" w:color="auto"/>
        <w:right w:val="none" w:sz="0" w:space="0" w:color="auto"/>
      </w:divBdr>
      <w:divsChild>
        <w:div w:id="845559336">
          <w:marLeft w:val="0"/>
          <w:marRight w:val="0"/>
          <w:marTop w:val="0"/>
          <w:marBottom w:val="0"/>
          <w:divBdr>
            <w:top w:val="none" w:sz="0" w:space="0" w:color="auto"/>
            <w:left w:val="none" w:sz="0" w:space="0" w:color="auto"/>
            <w:bottom w:val="none" w:sz="0" w:space="0" w:color="auto"/>
            <w:right w:val="none" w:sz="0" w:space="0" w:color="auto"/>
          </w:divBdr>
          <w:divsChild>
            <w:div w:id="92199132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16409774">
      <w:marLeft w:val="0"/>
      <w:marRight w:val="0"/>
      <w:marTop w:val="240"/>
      <w:marBottom w:val="0"/>
      <w:divBdr>
        <w:top w:val="none" w:sz="0" w:space="0" w:color="auto"/>
        <w:left w:val="none" w:sz="0" w:space="0" w:color="auto"/>
        <w:bottom w:val="none" w:sz="0" w:space="0" w:color="auto"/>
        <w:right w:val="none" w:sz="0" w:space="0" w:color="auto"/>
      </w:divBdr>
    </w:div>
    <w:div w:id="1118571866">
      <w:marLeft w:val="0"/>
      <w:marRight w:val="0"/>
      <w:marTop w:val="180"/>
      <w:marBottom w:val="0"/>
      <w:divBdr>
        <w:top w:val="none" w:sz="0" w:space="0" w:color="auto"/>
        <w:left w:val="none" w:sz="0" w:space="0" w:color="auto"/>
        <w:bottom w:val="none" w:sz="0" w:space="0" w:color="auto"/>
        <w:right w:val="none" w:sz="0" w:space="0" w:color="auto"/>
      </w:divBdr>
    </w:div>
    <w:div w:id="1118765170">
      <w:marLeft w:val="0"/>
      <w:marRight w:val="0"/>
      <w:marTop w:val="240"/>
      <w:marBottom w:val="0"/>
      <w:divBdr>
        <w:top w:val="none" w:sz="0" w:space="0" w:color="auto"/>
        <w:left w:val="none" w:sz="0" w:space="0" w:color="auto"/>
        <w:bottom w:val="none" w:sz="0" w:space="0" w:color="auto"/>
        <w:right w:val="none" w:sz="0" w:space="0" w:color="auto"/>
      </w:divBdr>
    </w:div>
    <w:div w:id="1120146265">
      <w:marLeft w:val="0"/>
      <w:marRight w:val="0"/>
      <w:marTop w:val="180"/>
      <w:marBottom w:val="0"/>
      <w:divBdr>
        <w:top w:val="none" w:sz="0" w:space="0" w:color="auto"/>
        <w:left w:val="none" w:sz="0" w:space="0" w:color="auto"/>
        <w:bottom w:val="none" w:sz="0" w:space="0" w:color="auto"/>
        <w:right w:val="none" w:sz="0" w:space="0" w:color="auto"/>
      </w:divBdr>
    </w:div>
    <w:div w:id="1120681122">
      <w:marLeft w:val="0"/>
      <w:marRight w:val="0"/>
      <w:marTop w:val="300"/>
      <w:marBottom w:val="0"/>
      <w:divBdr>
        <w:top w:val="none" w:sz="0" w:space="0" w:color="auto"/>
        <w:left w:val="none" w:sz="0" w:space="0" w:color="auto"/>
        <w:bottom w:val="none" w:sz="0" w:space="0" w:color="auto"/>
        <w:right w:val="none" w:sz="0" w:space="0" w:color="auto"/>
      </w:divBdr>
    </w:div>
    <w:div w:id="1121536137">
      <w:marLeft w:val="0"/>
      <w:marRight w:val="0"/>
      <w:marTop w:val="240"/>
      <w:marBottom w:val="0"/>
      <w:divBdr>
        <w:top w:val="none" w:sz="0" w:space="0" w:color="auto"/>
        <w:left w:val="none" w:sz="0" w:space="0" w:color="auto"/>
        <w:bottom w:val="none" w:sz="0" w:space="0" w:color="auto"/>
        <w:right w:val="none" w:sz="0" w:space="0" w:color="auto"/>
      </w:divBdr>
    </w:div>
    <w:div w:id="1122187439">
      <w:marLeft w:val="0"/>
      <w:marRight w:val="0"/>
      <w:marTop w:val="240"/>
      <w:marBottom w:val="0"/>
      <w:divBdr>
        <w:top w:val="none" w:sz="0" w:space="0" w:color="auto"/>
        <w:left w:val="none" w:sz="0" w:space="0" w:color="auto"/>
        <w:bottom w:val="none" w:sz="0" w:space="0" w:color="auto"/>
        <w:right w:val="none" w:sz="0" w:space="0" w:color="auto"/>
      </w:divBdr>
    </w:div>
    <w:div w:id="1123571322">
      <w:marLeft w:val="0"/>
      <w:marRight w:val="0"/>
      <w:marTop w:val="240"/>
      <w:marBottom w:val="0"/>
      <w:divBdr>
        <w:top w:val="none" w:sz="0" w:space="0" w:color="auto"/>
        <w:left w:val="none" w:sz="0" w:space="0" w:color="auto"/>
        <w:bottom w:val="none" w:sz="0" w:space="0" w:color="auto"/>
        <w:right w:val="none" w:sz="0" w:space="0" w:color="auto"/>
      </w:divBdr>
    </w:div>
    <w:div w:id="1125659270">
      <w:marLeft w:val="0"/>
      <w:marRight w:val="0"/>
      <w:marTop w:val="240"/>
      <w:marBottom w:val="240"/>
      <w:divBdr>
        <w:top w:val="none" w:sz="0" w:space="0" w:color="auto"/>
        <w:left w:val="none" w:sz="0" w:space="0" w:color="auto"/>
        <w:bottom w:val="none" w:sz="0" w:space="0" w:color="auto"/>
        <w:right w:val="none" w:sz="0" w:space="0" w:color="auto"/>
      </w:divBdr>
    </w:div>
    <w:div w:id="1126507700">
      <w:marLeft w:val="0"/>
      <w:marRight w:val="0"/>
      <w:marTop w:val="220"/>
      <w:marBottom w:val="0"/>
      <w:divBdr>
        <w:top w:val="none" w:sz="0" w:space="0" w:color="auto"/>
        <w:left w:val="none" w:sz="0" w:space="0" w:color="auto"/>
        <w:bottom w:val="none" w:sz="0" w:space="0" w:color="auto"/>
        <w:right w:val="none" w:sz="0" w:space="0" w:color="auto"/>
      </w:divBdr>
    </w:div>
    <w:div w:id="1126853020">
      <w:marLeft w:val="0"/>
      <w:marRight w:val="0"/>
      <w:marTop w:val="0"/>
      <w:marBottom w:val="0"/>
      <w:divBdr>
        <w:top w:val="none" w:sz="0" w:space="0" w:color="auto"/>
        <w:left w:val="none" w:sz="0" w:space="0" w:color="auto"/>
        <w:bottom w:val="none" w:sz="0" w:space="0" w:color="auto"/>
        <w:right w:val="none" w:sz="0" w:space="0" w:color="auto"/>
      </w:divBdr>
      <w:divsChild>
        <w:div w:id="840462229">
          <w:marLeft w:val="0"/>
          <w:marRight w:val="0"/>
          <w:marTop w:val="0"/>
          <w:marBottom w:val="0"/>
          <w:divBdr>
            <w:top w:val="none" w:sz="0" w:space="0" w:color="auto"/>
            <w:left w:val="none" w:sz="0" w:space="0" w:color="auto"/>
            <w:bottom w:val="none" w:sz="0" w:space="0" w:color="auto"/>
            <w:right w:val="none" w:sz="0" w:space="0" w:color="auto"/>
          </w:divBdr>
          <w:divsChild>
            <w:div w:id="2412627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27042249">
      <w:marLeft w:val="0"/>
      <w:marRight w:val="0"/>
      <w:marTop w:val="240"/>
      <w:marBottom w:val="0"/>
      <w:divBdr>
        <w:top w:val="none" w:sz="0" w:space="0" w:color="auto"/>
        <w:left w:val="none" w:sz="0" w:space="0" w:color="auto"/>
        <w:bottom w:val="none" w:sz="0" w:space="0" w:color="auto"/>
        <w:right w:val="none" w:sz="0" w:space="0" w:color="auto"/>
      </w:divBdr>
    </w:div>
    <w:div w:id="1127433464">
      <w:marLeft w:val="0"/>
      <w:marRight w:val="0"/>
      <w:marTop w:val="240"/>
      <w:marBottom w:val="0"/>
      <w:divBdr>
        <w:top w:val="none" w:sz="0" w:space="0" w:color="auto"/>
        <w:left w:val="none" w:sz="0" w:space="0" w:color="auto"/>
        <w:bottom w:val="none" w:sz="0" w:space="0" w:color="auto"/>
        <w:right w:val="none" w:sz="0" w:space="0" w:color="auto"/>
      </w:divBdr>
    </w:div>
    <w:div w:id="1129010655">
      <w:marLeft w:val="0"/>
      <w:marRight w:val="0"/>
      <w:marTop w:val="240"/>
      <w:marBottom w:val="0"/>
      <w:divBdr>
        <w:top w:val="none" w:sz="0" w:space="0" w:color="auto"/>
        <w:left w:val="none" w:sz="0" w:space="0" w:color="auto"/>
        <w:bottom w:val="none" w:sz="0" w:space="0" w:color="auto"/>
        <w:right w:val="none" w:sz="0" w:space="0" w:color="auto"/>
      </w:divBdr>
    </w:div>
    <w:div w:id="1129667906">
      <w:marLeft w:val="0"/>
      <w:marRight w:val="0"/>
      <w:marTop w:val="160"/>
      <w:marBottom w:val="0"/>
      <w:divBdr>
        <w:top w:val="none" w:sz="0" w:space="0" w:color="auto"/>
        <w:left w:val="none" w:sz="0" w:space="0" w:color="auto"/>
        <w:bottom w:val="none" w:sz="0" w:space="0" w:color="auto"/>
        <w:right w:val="none" w:sz="0" w:space="0" w:color="auto"/>
      </w:divBdr>
    </w:div>
    <w:div w:id="1130709590">
      <w:marLeft w:val="0"/>
      <w:marRight w:val="0"/>
      <w:marTop w:val="240"/>
      <w:marBottom w:val="0"/>
      <w:divBdr>
        <w:top w:val="none" w:sz="0" w:space="0" w:color="auto"/>
        <w:left w:val="none" w:sz="0" w:space="0" w:color="auto"/>
        <w:bottom w:val="none" w:sz="0" w:space="0" w:color="auto"/>
        <w:right w:val="none" w:sz="0" w:space="0" w:color="auto"/>
      </w:divBdr>
    </w:div>
    <w:div w:id="1132018542">
      <w:marLeft w:val="0"/>
      <w:marRight w:val="0"/>
      <w:marTop w:val="240"/>
      <w:marBottom w:val="0"/>
      <w:divBdr>
        <w:top w:val="none" w:sz="0" w:space="0" w:color="auto"/>
        <w:left w:val="none" w:sz="0" w:space="0" w:color="auto"/>
        <w:bottom w:val="none" w:sz="0" w:space="0" w:color="auto"/>
        <w:right w:val="none" w:sz="0" w:space="0" w:color="auto"/>
      </w:divBdr>
    </w:div>
    <w:div w:id="1133445350">
      <w:marLeft w:val="0"/>
      <w:marRight w:val="0"/>
      <w:marTop w:val="300"/>
      <w:marBottom w:val="0"/>
      <w:divBdr>
        <w:top w:val="none" w:sz="0" w:space="0" w:color="auto"/>
        <w:left w:val="none" w:sz="0" w:space="0" w:color="auto"/>
        <w:bottom w:val="none" w:sz="0" w:space="0" w:color="auto"/>
        <w:right w:val="none" w:sz="0" w:space="0" w:color="auto"/>
      </w:divBdr>
    </w:div>
    <w:div w:id="1133711401">
      <w:marLeft w:val="0"/>
      <w:marRight w:val="0"/>
      <w:marTop w:val="240"/>
      <w:marBottom w:val="0"/>
      <w:divBdr>
        <w:top w:val="none" w:sz="0" w:space="0" w:color="auto"/>
        <w:left w:val="none" w:sz="0" w:space="0" w:color="auto"/>
        <w:bottom w:val="none" w:sz="0" w:space="0" w:color="auto"/>
        <w:right w:val="none" w:sz="0" w:space="0" w:color="auto"/>
      </w:divBdr>
    </w:div>
    <w:div w:id="1134787627">
      <w:marLeft w:val="0"/>
      <w:marRight w:val="0"/>
      <w:marTop w:val="0"/>
      <w:marBottom w:val="0"/>
      <w:divBdr>
        <w:top w:val="none" w:sz="0" w:space="0" w:color="auto"/>
        <w:left w:val="none" w:sz="0" w:space="0" w:color="auto"/>
        <w:bottom w:val="none" w:sz="0" w:space="0" w:color="auto"/>
        <w:right w:val="none" w:sz="0" w:space="0" w:color="auto"/>
      </w:divBdr>
      <w:divsChild>
        <w:div w:id="1141532708">
          <w:marLeft w:val="0"/>
          <w:marRight w:val="0"/>
          <w:marTop w:val="120"/>
          <w:marBottom w:val="0"/>
          <w:divBdr>
            <w:top w:val="none" w:sz="0" w:space="0" w:color="auto"/>
            <w:left w:val="none" w:sz="0" w:space="0" w:color="auto"/>
            <w:bottom w:val="none" w:sz="0" w:space="0" w:color="auto"/>
            <w:right w:val="none" w:sz="0" w:space="0" w:color="auto"/>
          </w:divBdr>
        </w:div>
      </w:divsChild>
    </w:div>
    <w:div w:id="1135414244">
      <w:marLeft w:val="0"/>
      <w:marRight w:val="0"/>
      <w:marTop w:val="300"/>
      <w:marBottom w:val="0"/>
      <w:divBdr>
        <w:top w:val="none" w:sz="0" w:space="0" w:color="auto"/>
        <w:left w:val="none" w:sz="0" w:space="0" w:color="auto"/>
        <w:bottom w:val="none" w:sz="0" w:space="0" w:color="auto"/>
        <w:right w:val="none" w:sz="0" w:space="0" w:color="auto"/>
      </w:divBdr>
    </w:div>
    <w:div w:id="1136949887">
      <w:marLeft w:val="0"/>
      <w:marRight w:val="0"/>
      <w:marTop w:val="240"/>
      <w:marBottom w:val="0"/>
      <w:divBdr>
        <w:top w:val="none" w:sz="0" w:space="0" w:color="auto"/>
        <w:left w:val="none" w:sz="0" w:space="0" w:color="auto"/>
        <w:bottom w:val="none" w:sz="0" w:space="0" w:color="auto"/>
        <w:right w:val="none" w:sz="0" w:space="0" w:color="auto"/>
      </w:divBdr>
    </w:div>
    <w:div w:id="1140030213">
      <w:marLeft w:val="0"/>
      <w:marRight w:val="0"/>
      <w:marTop w:val="240"/>
      <w:marBottom w:val="0"/>
      <w:divBdr>
        <w:top w:val="none" w:sz="0" w:space="0" w:color="auto"/>
        <w:left w:val="none" w:sz="0" w:space="0" w:color="auto"/>
        <w:bottom w:val="none" w:sz="0" w:space="0" w:color="auto"/>
        <w:right w:val="none" w:sz="0" w:space="0" w:color="auto"/>
      </w:divBdr>
    </w:div>
    <w:div w:id="1140613023">
      <w:marLeft w:val="0"/>
      <w:marRight w:val="0"/>
      <w:marTop w:val="100"/>
      <w:marBottom w:val="0"/>
      <w:divBdr>
        <w:top w:val="none" w:sz="0" w:space="0" w:color="auto"/>
        <w:left w:val="none" w:sz="0" w:space="0" w:color="auto"/>
        <w:bottom w:val="none" w:sz="0" w:space="0" w:color="auto"/>
        <w:right w:val="none" w:sz="0" w:space="0" w:color="auto"/>
      </w:divBdr>
    </w:div>
    <w:div w:id="1141925089">
      <w:marLeft w:val="0"/>
      <w:marRight w:val="0"/>
      <w:marTop w:val="160"/>
      <w:marBottom w:val="0"/>
      <w:divBdr>
        <w:top w:val="none" w:sz="0" w:space="0" w:color="auto"/>
        <w:left w:val="none" w:sz="0" w:space="0" w:color="auto"/>
        <w:bottom w:val="none" w:sz="0" w:space="0" w:color="auto"/>
        <w:right w:val="none" w:sz="0" w:space="0" w:color="auto"/>
      </w:divBdr>
    </w:div>
    <w:div w:id="1142843635">
      <w:marLeft w:val="0"/>
      <w:marRight w:val="0"/>
      <w:marTop w:val="240"/>
      <w:marBottom w:val="0"/>
      <w:divBdr>
        <w:top w:val="none" w:sz="0" w:space="0" w:color="auto"/>
        <w:left w:val="none" w:sz="0" w:space="0" w:color="auto"/>
        <w:bottom w:val="none" w:sz="0" w:space="0" w:color="auto"/>
        <w:right w:val="none" w:sz="0" w:space="0" w:color="auto"/>
      </w:divBdr>
    </w:div>
    <w:div w:id="1143959937">
      <w:marLeft w:val="0"/>
      <w:marRight w:val="0"/>
      <w:marTop w:val="0"/>
      <w:marBottom w:val="0"/>
      <w:divBdr>
        <w:top w:val="none" w:sz="0" w:space="0" w:color="auto"/>
        <w:left w:val="none" w:sz="0" w:space="0" w:color="auto"/>
        <w:bottom w:val="none" w:sz="0" w:space="0" w:color="auto"/>
        <w:right w:val="none" w:sz="0" w:space="0" w:color="auto"/>
      </w:divBdr>
    </w:div>
    <w:div w:id="1144857072">
      <w:marLeft w:val="0"/>
      <w:marRight w:val="0"/>
      <w:marTop w:val="240"/>
      <w:marBottom w:val="0"/>
      <w:divBdr>
        <w:top w:val="none" w:sz="0" w:space="0" w:color="auto"/>
        <w:left w:val="none" w:sz="0" w:space="0" w:color="auto"/>
        <w:bottom w:val="none" w:sz="0" w:space="0" w:color="auto"/>
        <w:right w:val="none" w:sz="0" w:space="0" w:color="auto"/>
      </w:divBdr>
    </w:div>
    <w:div w:id="1146319067">
      <w:marLeft w:val="0"/>
      <w:marRight w:val="0"/>
      <w:marTop w:val="240"/>
      <w:marBottom w:val="0"/>
      <w:divBdr>
        <w:top w:val="none" w:sz="0" w:space="0" w:color="auto"/>
        <w:left w:val="none" w:sz="0" w:space="0" w:color="auto"/>
        <w:bottom w:val="none" w:sz="0" w:space="0" w:color="auto"/>
        <w:right w:val="none" w:sz="0" w:space="0" w:color="auto"/>
      </w:divBdr>
    </w:div>
    <w:div w:id="1147043615">
      <w:marLeft w:val="0"/>
      <w:marRight w:val="0"/>
      <w:marTop w:val="120"/>
      <w:marBottom w:val="0"/>
      <w:divBdr>
        <w:top w:val="none" w:sz="0" w:space="0" w:color="auto"/>
        <w:left w:val="none" w:sz="0" w:space="0" w:color="auto"/>
        <w:bottom w:val="none" w:sz="0" w:space="0" w:color="auto"/>
        <w:right w:val="none" w:sz="0" w:space="0" w:color="auto"/>
      </w:divBdr>
    </w:div>
    <w:div w:id="1147433752">
      <w:marLeft w:val="0"/>
      <w:marRight w:val="0"/>
      <w:marTop w:val="140"/>
      <w:marBottom w:val="0"/>
      <w:divBdr>
        <w:top w:val="none" w:sz="0" w:space="0" w:color="auto"/>
        <w:left w:val="none" w:sz="0" w:space="0" w:color="auto"/>
        <w:bottom w:val="none" w:sz="0" w:space="0" w:color="auto"/>
        <w:right w:val="none" w:sz="0" w:space="0" w:color="auto"/>
      </w:divBdr>
    </w:div>
    <w:div w:id="1149512976">
      <w:marLeft w:val="0"/>
      <w:marRight w:val="0"/>
      <w:marTop w:val="0"/>
      <w:marBottom w:val="0"/>
      <w:divBdr>
        <w:top w:val="none" w:sz="0" w:space="0" w:color="auto"/>
        <w:left w:val="none" w:sz="0" w:space="0" w:color="auto"/>
        <w:bottom w:val="none" w:sz="0" w:space="0" w:color="auto"/>
        <w:right w:val="none" w:sz="0" w:space="0" w:color="auto"/>
      </w:divBdr>
      <w:divsChild>
        <w:div w:id="614216269">
          <w:marLeft w:val="0"/>
          <w:marRight w:val="0"/>
          <w:marTop w:val="120"/>
          <w:marBottom w:val="0"/>
          <w:divBdr>
            <w:top w:val="none" w:sz="0" w:space="0" w:color="auto"/>
            <w:left w:val="none" w:sz="0" w:space="0" w:color="auto"/>
            <w:bottom w:val="none" w:sz="0" w:space="0" w:color="auto"/>
            <w:right w:val="none" w:sz="0" w:space="0" w:color="auto"/>
          </w:divBdr>
        </w:div>
      </w:divsChild>
    </w:div>
    <w:div w:id="1150052434">
      <w:marLeft w:val="0"/>
      <w:marRight w:val="0"/>
      <w:marTop w:val="240"/>
      <w:marBottom w:val="0"/>
      <w:divBdr>
        <w:top w:val="none" w:sz="0" w:space="0" w:color="auto"/>
        <w:left w:val="none" w:sz="0" w:space="0" w:color="auto"/>
        <w:bottom w:val="none" w:sz="0" w:space="0" w:color="auto"/>
        <w:right w:val="none" w:sz="0" w:space="0" w:color="auto"/>
      </w:divBdr>
    </w:div>
    <w:div w:id="1150706152">
      <w:marLeft w:val="0"/>
      <w:marRight w:val="0"/>
      <w:marTop w:val="0"/>
      <w:marBottom w:val="0"/>
      <w:divBdr>
        <w:top w:val="none" w:sz="0" w:space="0" w:color="auto"/>
        <w:left w:val="none" w:sz="0" w:space="0" w:color="auto"/>
        <w:bottom w:val="none" w:sz="0" w:space="0" w:color="auto"/>
        <w:right w:val="none" w:sz="0" w:space="0" w:color="auto"/>
      </w:divBdr>
    </w:div>
    <w:div w:id="1153058036">
      <w:marLeft w:val="0"/>
      <w:marRight w:val="0"/>
      <w:marTop w:val="240"/>
      <w:marBottom w:val="0"/>
      <w:divBdr>
        <w:top w:val="none" w:sz="0" w:space="0" w:color="auto"/>
        <w:left w:val="none" w:sz="0" w:space="0" w:color="auto"/>
        <w:bottom w:val="none" w:sz="0" w:space="0" w:color="auto"/>
        <w:right w:val="none" w:sz="0" w:space="0" w:color="auto"/>
      </w:divBdr>
    </w:div>
    <w:div w:id="1153372878">
      <w:marLeft w:val="0"/>
      <w:marRight w:val="0"/>
      <w:marTop w:val="240"/>
      <w:marBottom w:val="0"/>
      <w:divBdr>
        <w:top w:val="none" w:sz="0" w:space="0" w:color="auto"/>
        <w:left w:val="none" w:sz="0" w:space="0" w:color="auto"/>
        <w:bottom w:val="none" w:sz="0" w:space="0" w:color="auto"/>
        <w:right w:val="none" w:sz="0" w:space="0" w:color="auto"/>
      </w:divBdr>
    </w:div>
    <w:div w:id="1153378196">
      <w:marLeft w:val="0"/>
      <w:marRight w:val="0"/>
      <w:marTop w:val="180"/>
      <w:marBottom w:val="0"/>
      <w:divBdr>
        <w:top w:val="none" w:sz="0" w:space="0" w:color="auto"/>
        <w:left w:val="none" w:sz="0" w:space="0" w:color="auto"/>
        <w:bottom w:val="none" w:sz="0" w:space="0" w:color="auto"/>
        <w:right w:val="none" w:sz="0" w:space="0" w:color="auto"/>
      </w:divBdr>
    </w:div>
    <w:div w:id="1153453304">
      <w:marLeft w:val="0"/>
      <w:marRight w:val="0"/>
      <w:marTop w:val="240"/>
      <w:marBottom w:val="0"/>
      <w:divBdr>
        <w:top w:val="none" w:sz="0" w:space="0" w:color="auto"/>
        <w:left w:val="none" w:sz="0" w:space="0" w:color="auto"/>
        <w:bottom w:val="none" w:sz="0" w:space="0" w:color="auto"/>
        <w:right w:val="none" w:sz="0" w:space="0" w:color="auto"/>
      </w:divBdr>
    </w:div>
    <w:div w:id="1154108861">
      <w:marLeft w:val="0"/>
      <w:marRight w:val="0"/>
      <w:marTop w:val="0"/>
      <w:marBottom w:val="0"/>
      <w:divBdr>
        <w:top w:val="none" w:sz="0" w:space="0" w:color="auto"/>
        <w:left w:val="none" w:sz="0" w:space="0" w:color="auto"/>
        <w:bottom w:val="none" w:sz="0" w:space="0" w:color="auto"/>
        <w:right w:val="none" w:sz="0" w:space="0" w:color="auto"/>
      </w:divBdr>
      <w:divsChild>
        <w:div w:id="432943393">
          <w:marLeft w:val="0"/>
          <w:marRight w:val="0"/>
          <w:marTop w:val="0"/>
          <w:marBottom w:val="0"/>
          <w:divBdr>
            <w:top w:val="none" w:sz="0" w:space="0" w:color="auto"/>
            <w:left w:val="none" w:sz="0" w:space="0" w:color="auto"/>
            <w:bottom w:val="none" w:sz="0" w:space="0" w:color="auto"/>
            <w:right w:val="none" w:sz="0" w:space="0" w:color="auto"/>
          </w:divBdr>
          <w:divsChild>
            <w:div w:id="2345178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55954913">
      <w:marLeft w:val="0"/>
      <w:marRight w:val="0"/>
      <w:marTop w:val="120"/>
      <w:marBottom w:val="0"/>
      <w:divBdr>
        <w:top w:val="none" w:sz="0" w:space="0" w:color="auto"/>
        <w:left w:val="none" w:sz="0" w:space="0" w:color="auto"/>
        <w:bottom w:val="none" w:sz="0" w:space="0" w:color="auto"/>
        <w:right w:val="none" w:sz="0" w:space="0" w:color="auto"/>
      </w:divBdr>
    </w:div>
    <w:div w:id="1156653288">
      <w:marLeft w:val="0"/>
      <w:marRight w:val="0"/>
      <w:marTop w:val="240"/>
      <w:marBottom w:val="0"/>
      <w:divBdr>
        <w:top w:val="none" w:sz="0" w:space="0" w:color="auto"/>
        <w:left w:val="none" w:sz="0" w:space="0" w:color="auto"/>
        <w:bottom w:val="none" w:sz="0" w:space="0" w:color="auto"/>
        <w:right w:val="none" w:sz="0" w:space="0" w:color="auto"/>
      </w:divBdr>
    </w:div>
    <w:div w:id="1157956930">
      <w:marLeft w:val="0"/>
      <w:marRight w:val="0"/>
      <w:marTop w:val="240"/>
      <w:marBottom w:val="0"/>
      <w:divBdr>
        <w:top w:val="none" w:sz="0" w:space="0" w:color="auto"/>
        <w:left w:val="none" w:sz="0" w:space="0" w:color="auto"/>
        <w:bottom w:val="none" w:sz="0" w:space="0" w:color="auto"/>
        <w:right w:val="none" w:sz="0" w:space="0" w:color="auto"/>
      </w:divBdr>
    </w:div>
    <w:div w:id="1158494450">
      <w:marLeft w:val="0"/>
      <w:marRight w:val="0"/>
      <w:marTop w:val="240"/>
      <w:marBottom w:val="0"/>
      <w:divBdr>
        <w:top w:val="none" w:sz="0" w:space="0" w:color="auto"/>
        <w:left w:val="none" w:sz="0" w:space="0" w:color="auto"/>
        <w:bottom w:val="none" w:sz="0" w:space="0" w:color="auto"/>
        <w:right w:val="none" w:sz="0" w:space="0" w:color="auto"/>
      </w:divBdr>
    </w:div>
    <w:div w:id="1158769521">
      <w:marLeft w:val="0"/>
      <w:marRight w:val="0"/>
      <w:marTop w:val="0"/>
      <w:marBottom w:val="0"/>
      <w:divBdr>
        <w:top w:val="none" w:sz="0" w:space="0" w:color="auto"/>
        <w:left w:val="none" w:sz="0" w:space="0" w:color="auto"/>
        <w:bottom w:val="none" w:sz="0" w:space="0" w:color="auto"/>
        <w:right w:val="none" w:sz="0" w:space="0" w:color="auto"/>
      </w:divBdr>
      <w:divsChild>
        <w:div w:id="157430783">
          <w:marLeft w:val="0"/>
          <w:marRight w:val="0"/>
          <w:marTop w:val="0"/>
          <w:marBottom w:val="0"/>
          <w:divBdr>
            <w:top w:val="none" w:sz="0" w:space="0" w:color="auto"/>
            <w:left w:val="none" w:sz="0" w:space="0" w:color="auto"/>
            <w:bottom w:val="none" w:sz="0" w:space="0" w:color="auto"/>
            <w:right w:val="none" w:sz="0" w:space="0" w:color="auto"/>
          </w:divBdr>
        </w:div>
      </w:divsChild>
    </w:div>
    <w:div w:id="1160926307">
      <w:marLeft w:val="0"/>
      <w:marRight w:val="0"/>
      <w:marTop w:val="0"/>
      <w:marBottom w:val="0"/>
      <w:divBdr>
        <w:top w:val="none" w:sz="0" w:space="0" w:color="auto"/>
        <w:left w:val="none" w:sz="0" w:space="0" w:color="auto"/>
        <w:bottom w:val="none" w:sz="0" w:space="0" w:color="auto"/>
        <w:right w:val="none" w:sz="0" w:space="0" w:color="auto"/>
      </w:divBdr>
      <w:divsChild>
        <w:div w:id="519658287">
          <w:marLeft w:val="0"/>
          <w:marRight w:val="0"/>
          <w:marTop w:val="0"/>
          <w:marBottom w:val="0"/>
          <w:divBdr>
            <w:top w:val="none" w:sz="0" w:space="0" w:color="auto"/>
            <w:left w:val="none" w:sz="0" w:space="0" w:color="auto"/>
            <w:bottom w:val="none" w:sz="0" w:space="0" w:color="auto"/>
            <w:right w:val="none" w:sz="0" w:space="0" w:color="auto"/>
          </w:divBdr>
          <w:divsChild>
            <w:div w:id="8333731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62163165">
      <w:marLeft w:val="0"/>
      <w:marRight w:val="0"/>
      <w:marTop w:val="240"/>
      <w:marBottom w:val="0"/>
      <w:divBdr>
        <w:top w:val="none" w:sz="0" w:space="0" w:color="auto"/>
        <w:left w:val="none" w:sz="0" w:space="0" w:color="auto"/>
        <w:bottom w:val="none" w:sz="0" w:space="0" w:color="auto"/>
        <w:right w:val="none" w:sz="0" w:space="0" w:color="auto"/>
      </w:divBdr>
    </w:div>
    <w:div w:id="1162742801">
      <w:marLeft w:val="0"/>
      <w:marRight w:val="0"/>
      <w:marTop w:val="240"/>
      <w:marBottom w:val="0"/>
      <w:divBdr>
        <w:top w:val="none" w:sz="0" w:space="0" w:color="auto"/>
        <w:left w:val="none" w:sz="0" w:space="0" w:color="auto"/>
        <w:bottom w:val="none" w:sz="0" w:space="0" w:color="auto"/>
        <w:right w:val="none" w:sz="0" w:space="0" w:color="auto"/>
      </w:divBdr>
    </w:div>
    <w:div w:id="1164278823">
      <w:marLeft w:val="0"/>
      <w:marRight w:val="0"/>
      <w:marTop w:val="0"/>
      <w:marBottom w:val="0"/>
      <w:divBdr>
        <w:top w:val="none" w:sz="0" w:space="0" w:color="auto"/>
        <w:left w:val="none" w:sz="0" w:space="0" w:color="auto"/>
        <w:bottom w:val="none" w:sz="0" w:space="0" w:color="auto"/>
        <w:right w:val="none" w:sz="0" w:space="0" w:color="auto"/>
      </w:divBdr>
      <w:divsChild>
        <w:div w:id="2142570732">
          <w:marLeft w:val="0"/>
          <w:marRight w:val="0"/>
          <w:marTop w:val="0"/>
          <w:marBottom w:val="0"/>
          <w:divBdr>
            <w:top w:val="none" w:sz="0" w:space="0" w:color="auto"/>
            <w:left w:val="none" w:sz="0" w:space="0" w:color="auto"/>
            <w:bottom w:val="none" w:sz="0" w:space="0" w:color="auto"/>
            <w:right w:val="none" w:sz="0" w:space="0" w:color="auto"/>
          </w:divBdr>
        </w:div>
      </w:divsChild>
    </w:div>
    <w:div w:id="1166288768">
      <w:marLeft w:val="0"/>
      <w:marRight w:val="0"/>
      <w:marTop w:val="120"/>
      <w:marBottom w:val="0"/>
      <w:divBdr>
        <w:top w:val="none" w:sz="0" w:space="0" w:color="auto"/>
        <w:left w:val="none" w:sz="0" w:space="0" w:color="auto"/>
        <w:bottom w:val="none" w:sz="0" w:space="0" w:color="auto"/>
        <w:right w:val="none" w:sz="0" w:space="0" w:color="auto"/>
      </w:divBdr>
    </w:div>
    <w:div w:id="1167090732">
      <w:marLeft w:val="0"/>
      <w:marRight w:val="0"/>
      <w:marTop w:val="240"/>
      <w:marBottom w:val="0"/>
      <w:divBdr>
        <w:top w:val="none" w:sz="0" w:space="0" w:color="auto"/>
        <w:left w:val="none" w:sz="0" w:space="0" w:color="auto"/>
        <w:bottom w:val="none" w:sz="0" w:space="0" w:color="auto"/>
        <w:right w:val="none" w:sz="0" w:space="0" w:color="auto"/>
      </w:divBdr>
    </w:div>
    <w:div w:id="1167093793">
      <w:marLeft w:val="0"/>
      <w:marRight w:val="0"/>
      <w:marTop w:val="180"/>
      <w:marBottom w:val="240"/>
      <w:divBdr>
        <w:top w:val="none" w:sz="0" w:space="0" w:color="auto"/>
        <w:left w:val="none" w:sz="0" w:space="0" w:color="auto"/>
        <w:bottom w:val="none" w:sz="0" w:space="0" w:color="auto"/>
        <w:right w:val="none" w:sz="0" w:space="0" w:color="auto"/>
      </w:divBdr>
    </w:div>
    <w:div w:id="1167401881">
      <w:marLeft w:val="0"/>
      <w:marRight w:val="0"/>
      <w:marTop w:val="240"/>
      <w:marBottom w:val="0"/>
      <w:divBdr>
        <w:top w:val="none" w:sz="0" w:space="0" w:color="auto"/>
        <w:left w:val="none" w:sz="0" w:space="0" w:color="auto"/>
        <w:bottom w:val="none" w:sz="0" w:space="0" w:color="auto"/>
        <w:right w:val="none" w:sz="0" w:space="0" w:color="auto"/>
      </w:divBdr>
    </w:div>
    <w:div w:id="1168592776">
      <w:marLeft w:val="0"/>
      <w:marRight w:val="0"/>
      <w:marTop w:val="120"/>
      <w:marBottom w:val="0"/>
      <w:divBdr>
        <w:top w:val="none" w:sz="0" w:space="0" w:color="auto"/>
        <w:left w:val="none" w:sz="0" w:space="0" w:color="auto"/>
        <w:bottom w:val="none" w:sz="0" w:space="0" w:color="auto"/>
        <w:right w:val="none" w:sz="0" w:space="0" w:color="auto"/>
      </w:divBdr>
    </w:div>
    <w:div w:id="1169906160">
      <w:marLeft w:val="0"/>
      <w:marRight w:val="0"/>
      <w:marTop w:val="160"/>
      <w:marBottom w:val="0"/>
      <w:divBdr>
        <w:top w:val="none" w:sz="0" w:space="0" w:color="auto"/>
        <w:left w:val="none" w:sz="0" w:space="0" w:color="auto"/>
        <w:bottom w:val="none" w:sz="0" w:space="0" w:color="auto"/>
        <w:right w:val="none" w:sz="0" w:space="0" w:color="auto"/>
      </w:divBdr>
      <w:divsChild>
        <w:div w:id="755396112">
          <w:marLeft w:val="0"/>
          <w:marRight w:val="0"/>
          <w:marTop w:val="0"/>
          <w:marBottom w:val="0"/>
          <w:divBdr>
            <w:top w:val="none" w:sz="0" w:space="0" w:color="auto"/>
            <w:left w:val="none" w:sz="0" w:space="0" w:color="auto"/>
            <w:bottom w:val="none" w:sz="0" w:space="0" w:color="auto"/>
            <w:right w:val="none" w:sz="0" w:space="0" w:color="auto"/>
          </w:divBdr>
        </w:div>
      </w:divsChild>
    </w:div>
    <w:div w:id="1170020900">
      <w:marLeft w:val="0"/>
      <w:marRight w:val="0"/>
      <w:marTop w:val="240"/>
      <w:marBottom w:val="0"/>
      <w:divBdr>
        <w:top w:val="none" w:sz="0" w:space="0" w:color="auto"/>
        <w:left w:val="none" w:sz="0" w:space="0" w:color="auto"/>
        <w:bottom w:val="none" w:sz="0" w:space="0" w:color="auto"/>
        <w:right w:val="none" w:sz="0" w:space="0" w:color="auto"/>
      </w:divBdr>
    </w:div>
    <w:div w:id="1170221411">
      <w:marLeft w:val="0"/>
      <w:marRight w:val="0"/>
      <w:marTop w:val="240"/>
      <w:marBottom w:val="0"/>
      <w:divBdr>
        <w:top w:val="none" w:sz="0" w:space="0" w:color="auto"/>
        <w:left w:val="none" w:sz="0" w:space="0" w:color="auto"/>
        <w:bottom w:val="none" w:sz="0" w:space="0" w:color="auto"/>
        <w:right w:val="none" w:sz="0" w:space="0" w:color="auto"/>
      </w:divBdr>
    </w:div>
    <w:div w:id="1171259724">
      <w:marLeft w:val="0"/>
      <w:marRight w:val="0"/>
      <w:marTop w:val="240"/>
      <w:marBottom w:val="0"/>
      <w:divBdr>
        <w:top w:val="none" w:sz="0" w:space="0" w:color="auto"/>
        <w:left w:val="none" w:sz="0" w:space="0" w:color="auto"/>
        <w:bottom w:val="none" w:sz="0" w:space="0" w:color="auto"/>
        <w:right w:val="none" w:sz="0" w:space="0" w:color="auto"/>
      </w:divBdr>
    </w:div>
    <w:div w:id="1172913579">
      <w:marLeft w:val="0"/>
      <w:marRight w:val="0"/>
      <w:marTop w:val="180"/>
      <w:marBottom w:val="0"/>
      <w:divBdr>
        <w:top w:val="none" w:sz="0" w:space="0" w:color="auto"/>
        <w:left w:val="none" w:sz="0" w:space="0" w:color="auto"/>
        <w:bottom w:val="none" w:sz="0" w:space="0" w:color="auto"/>
        <w:right w:val="none" w:sz="0" w:space="0" w:color="auto"/>
      </w:divBdr>
    </w:div>
    <w:div w:id="1173759035">
      <w:marLeft w:val="0"/>
      <w:marRight w:val="0"/>
      <w:marTop w:val="220"/>
      <w:marBottom w:val="0"/>
      <w:divBdr>
        <w:top w:val="none" w:sz="0" w:space="0" w:color="auto"/>
        <w:left w:val="none" w:sz="0" w:space="0" w:color="auto"/>
        <w:bottom w:val="none" w:sz="0" w:space="0" w:color="auto"/>
        <w:right w:val="none" w:sz="0" w:space="0" w:color="auto"/>
      </w:divBdr>
    </w:div>
    <w:div w:id="1173840015">
      <w:marLeft w:val="0"/>
      <w:marRight w:val="0"/>
      <w:marTop w:val="240"/>
      <w:marBottom w:val="120"/>
      <w:divBdr>
        <w:top w:val="none" w:sz="0" w:space="0" w:color="auto"/>
        <w:left w:val="none" w:sz="0" w:space="0" w:color="auto"/>
        <w:bottom w:val="none" w:sz="0" w:space="0" w:color="auto"/>
        <w:right w:val="none" w:sz="0" w:space="0" w:color="auto"/>
      </w:divBdr>
    </w:div>
    <w:div w:id="1174148102">
      <w:marLeft w:val="0"/>
      <w:marRight w:val="0"/>
      <w:marTop w:val="180"/>
      <w:marBottom w:val="0"/>
      <w:divBdr>
        <w:top w:val="none" w:sz="0" w:space="0" w:color="auto"/>
        <w:left w:val="none" w:sz="0" w:space="0" w:color="auto"/>
        <w:bottom w:val="none" w:sz="0" w:space="0" w:color="auto"/>
        <w:right w:val="none" w:sz="0" w:space="0" w:color="auto"/>
      </w:divBdr>
    </w:div>
    <w:div w:id="1174228112">
      <w:marLeft w:val="0"/>
      <w:marRight w:val="0"/>
      <w:marTop w:val="240"/>
      <w:marBottom w:val="0"/>
      <w:divBdr>
        <w:top w:val="none" w:sz="0" w:space="0" w:color="auto"/>
        <w:left w:val="none" w:sz="0" w:space="0" w:color="auto"/>
        <w:bottom w:val="none" w:sz="0" w:space="0" w:color="auto"/>
        <w:right w:val="none" w:sz="0" w:space="0" w:color="auto"/>
      </w:divBdr>
    </w:div>
    <w:div w:id="1175073356">
      <w:marLeft w:val="0"/>
      <w:marRight w:val="0"/>
      <w:marTop w:val="240"/>
      <w:marBottom w:val="0"/>
      <w:divBdr>
        <w:top w:val="none" w:sz="0" w:space="0" w:color="auto"/>
        <w:left w:val="none" w:sz="0" w:space="0" w:color="auto"/>
        <w:bottom w:val="none" w:sz="0" w:space="0" w:color="auto"/>
        <w:right w:val="none" w:sz="0" w:space="0" w:color="auto"/>
      </w:divBdr>
    </w:div>
    <w:div w:id="1176922990">
      <w:marLeft w:val="0"/>
      <w:marRight w:val="0"/>
      <w:marTop w:val="240"/>
      <w:marBottom w:val="0"/>
      <w:divBdr>
        <w:top w:val="none" w:sz="0" w:space="0" w:color="auto"/>
        <w:left w:val="none" w:sz="0" w:space="0" w:color="auto"/>
        <w:bottom w:val="none" w:sz="0" w:space="0" w:color="auto"/>
        <w:right w:val="none" w:sz="0" w:space="0" w:color="auto"/>
      </w:divBdr>
    </w:div>
    <w:div w:id="1177697156">
      <w:marLeft w:val="0"/>
      <w:marRight w:val="0"/>
      <w:marTop w:val="240"/>
      <w:marBottom w:val="0"/>
      <w:divBdr>
        <w:top w:val="none" w:sz="0" w:space="0" w:color="auto"/>
        <w:left w:val="none" w:sz="0" w:space="0" w:color="auto"/>
        <w:bottom w:val="none" w:sz="0" w:space="0" w:color="auto"/>
        <w:right w:val="none" w:sz="0" w:space="0" w:color="auto"/>
      </w:divBdr>
    </w:div>
    <w:div w:id="1180240612">
      <w:marLeft w:val="0"/>
      <w:marRight w:val="0"/>
      <w:marTop w:val="220"/>
      <w:marBottom w:val="0"/>
      <w:divBdr>
        <w:top w:val="none" w:sz="0" w:space="0" w:color="auto"/>
        <w:left w:val="none" w:sz="0" w:space="0" w:color="auto"/>
        <w:bottom w:val="none" w:sz="0" w:space="0" w:color="auto"/>
        <w:right w:val="none" w:sz="0" w:space="0" w:color="auto"/>
      </w:divBdr>
    </w:div>
    <w:div w:id="1181774043">
      <w:marLeft w:val="0"/>
      <w:marRight w:val="0"/>
      <w:marTop w:val="240"/>
      <w:marBottom w:val="0"/>
      <w:divBdr>
        <w:top w:val="none" w:sz="0" w:space="0" w:color="auto"/>
        <w:left w:val="none" w:sz="0" w:space="0" w:color="auto"/>
        <w:bottom w:val="none" w:sz="0" w:space="0" w:color="auto"/>
        <w:right w:val="none" w:sz="0" w:space="0" w:color="auto"/>
      </w:divBdr>
    </w:div>
    <w:div w:id="1182084582">
      <w:marLeft w:val="0"/>
      <w:marRight w:val="0"/>
      <w:marTop w:val="240"/>
      <w:marBottom w:val="0"/>
      <w:divBdr>
        <w:top w:val="none" w:sz="0" w:space="0" w:color="auto"/>
        <w:left w:val="none" w:sz="0" w:space="0" w:color="auto"/>
        <w:bottom w:val="none" w:sz="0" w:space="0" w:color="auto"/>
        <w:right w:val="none" w:sz="0" w:space="0" w:color="auto"/>
      </w:divBdr>
    </w:div>
    <w:div w:id="1183008717">
      <w:marLeft w:val="0"/>
      <w:marRight w:val="0"/>
      <w:marTop w:val="200"/>
      <w:marBottom w:val="0"/>
      <w:divBdr>
        <w:top w:val="none" w:sz="0" w:space="0" w:color="auto"/>
        <w:left w:val="none" w:sz="0" w:space="0" w:color="auto"/>
        <w:bottom w:val="none" w:sz="0" w:space="0" w:color="auto"/>
        <w:right w:val="none" w:sz="0" w:space="0" w:color="auto"/>
      </w:divBdr>
    </w:div>
    <w:div w:id="1183668917">
      <w:marLeft w:val="0"/>
      <w:marRight w:val="0"/>
      <w:marTop w:val="240"/>
      <w:marBottom w:val="0"/>
      <w:divBdr>
        <w:top w:val="none" w:sz="0" w:space="0" w:color="auto"/>
        <w:left w:val="none" w:sz="0" w:space="0" w:color="auto"/>
        <w:bottom w:val="none" w:sz="0" w:space="0" w:color="auto"/>
        <w:right w:val="none" w:sz="0" w:space="0" w:color="auto"/>
      </w:divBdr>
    </w:div>
    <w:div w:id="1183974549">
      <w:marLeft w:val="0"/>
      <w:marRight w:val="0"/>
      <w:marTop w:val="240"/>
      <w:marBottom w:val="0"/>
      <w:divBdr>
        <w:top w:val="none" w:sz="0" w:space="0" w:color="auto"/>
        <w:left w:val="none" w:sz="0" w:space="0" w:color="auto"/>
        <w:bottom w:val="none" w:sz="0" w:space="0" w:color="auto"/>
        <w:right w:val="none" w:sz="0" w:space="0" w:color="auto"/>
      </w:divBdr>
    </w:div>
    <w:div w:id="1183976970">
      <w:marLeft w:val="0"/>
      <w:marRight w:val="0"/>
      <w:marTop w:val="120"/>
      <w:marBottom w:val="0"/>
      <w:divBdr>
        <w:top w:val="none" w:sz="0" w:space="0" w:color="auto"/>
        <w:left w:val="none" w:sz="0" w:space="0" w:color="auto"/>
        <w:bottom w:val="none" w:sz="0" w:space="0" w:color="auto"/>
        <w:right w:val="none" w:sz="0" w:space="0" w:color="auto"/>
      </w:divBdr>
    </w:div>
    <w:div w:id="1189416761">
      <w:marLeft w:val="0"/>
      <w:marRight w:val="0"/>
      <w:marTop w:val="0"/>
      <w:marBottom w:val="0"/>
      <w:divBdr>
        <w:top w:val="none" w:sz="0" w:space="0" w:color="auto"/>
        <w:left w:val="none" w:sz="0" w:space="0" w:color="auto"/>
        <w:bottom w:val="none" w:sz="0" w:space="0" w:color="auto"/>
        <w:right w:val="none" w:sz="0" w:space="0" w:color="auto"/>
      </w:divBdr>
      <w:divsChild>
        <w:div w:id="66462254">
          <w:marLeft w:val="0"/>
          <w:marRight w:val="0"/>
          <w:marTop w:val="0"/>
          <w:marBottom w:val="0"/>
          <w:divBdr>
            <w:top w:val="none" w:sz="0" w:space="0" w:color="auto"/>
            <w:left w:val="none" w:sz="0" w:space="0" w:color="auto"/>
            <w:bottom w:val="none" w:sz="0" w:space="0" w:color="auto"/>
            <w:right w:val="none" w:sz="0" w:space="0" w:color="auto"/>
          </w:divBdr>
        </w:div>
      </w:divsChild>
    </w:div>
    <w:div w:id="1189487192">
      <w:marLeft w:val="0"/>
      <w:marRight w:val="0"/>
      <w:marTop w:val="0"/>
      <w:marBottom w:val="0"/>
      <w:divBdr>
        <w:top w:val="none" w:sz="0" w:space="0" w:color="auto"/>
        <w:left w:val="none" w:sz="0" w:space="0" w:color="auto"/>
        <w:bottom w:val="none" w:sz="0" w:space="0" w:color="auto"/>
        <w:right w:val="none" w:sz="0" w:space="0" w:color="auto"/>
      </w:divBdr>
      <w:divsChild>
        <w:div w:id="42487789">
          <w:marLeft w:val="0"/>
          <w:marRight w:val="0"/>
          <w:marTop w:val="0"/>
          <w:marBottom w:val="0"/>
          <w:divBdr>
            <w:top w:val="none" w:sz="0" w:space="0" w:color="auto"/>
            <w:left w:val="none" w:sz="0" w:space="0" w:color="auto"/>
            <w:bottom w:val="none" w:sz="0" w:space="0" w:color="auto"/>
            <w:right w:val="none" w:sz="0" w:space="0" w:color="auto"/>
          </w:divBdr>
          <w:divsChild>
            <w:div w:id="9156744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90068342">
      <w:marLeft w:val="0"/>
      <w:marRight w:val="0"/>
      <w:marTop w:val="240"/>
      <w:marBottom w:val="0"/>
      <w:divBdr>
        <w:top w:val="none" w:sz="0" w:space="0" w:color="auto"/>
        <w:left w:val="none" w:sz="0" w:space="0" w:color="auto"/>
        <w:bottom w:val="none" w:sz="0" w:space="0" w:color="auto"/>
        <w:right w:val="none" w:sz="0" w:space="0" w:color="auto"/>
      </w:divBdr>
    </w:div>
    <w:div w:id="1191070741">
      <w:marLeft w:val="0"/>
      <w:marRight w:val="0"/>
      <w:marTop w:val="240"/>
      <w:marBottom w:val="0"/>
      <w:divBdr>
        <w:top w:val="none" w:sz="0" w:space="0" w:color="auto"/>
        <w:left w:val="none" w:sz="0" w:space="0" w:color="auto"/>
        <w:bottom w:val="none" w:sz="0" w:space="0" w:color="auto"/>
        <w:right w:val="none" w:sz="0" w:space="0" w:color="auto"/>
      </w:divBdr>
    </w:div>
    <w:div w:id="1191455218">
      <w:marLeft w:val="0"/>
      <w:marRight w:val="0"/>
      <w:marTop w:val="0"/>
      <w:marBottom w:val="0"/>
      <w:divBdr>
        <w:top w:val="none" w:sz="0" w:space="0" w:color="auto"/>
        <w:left w:val="none" w:sz="0" w:space="0" w:color="auto"/>
        <w:bottom w:val="none" w:sz="0" w:space="0" w:color="auto"/>
        <w:right w:val="none" w:sz="0" w:space="0" w:color="auto"/>
      </w:divBdr>
      <w:divsChild>
        <w:div w:id="2023046016">
          <w:marLeft w:val="0"/>
          <w:marRight w:val="0"/>
          <w:marTop w:val="0"/>
          <w:marBottom w:val="0"/>
          <w:divBdr>
            <w:top w:val="none" w:sz="0" w:space="0" w:color="auto"/>
            <w:left w:val="none" w:sz="0" w:space="0" w:color="auto"/>
            <w:bottom w:val="none" w:sz="0" w:space="0" w:color="auto"/>
            <w:right w:val="none" w:sz="0" w:space="0" w:color="auto"/>
          </w:divBdr>
        </w:div>
      </w:divsChild>
    </w:div>
    <w:div w:id="1191600595">
      <w:marLeft w:val="0"/>
      <w:marRight w:val="0"/>
      <w:marTop w:val="300"/>
      <w:marBottom w:val="240"/>
      <w:divBdr>
        <w:top w:val="none" w:sz="0" w:space="0" w:color="auto"/>
        <w:left w:val="none" w:sz="0" w:space="0" w:color="auto"/>
        <w:bottom w:val="none" w:sz="0" w:space="0" w:color="auto"/>
        <w:right w:val="none" w:sz="0" w:space="0" w:color="auto"/>
      </w:divBdr>
    </w:div>
    <w:div w:id="1192182153">
      <w:marLeft w:val="0"/>
      <w:marRight w:val="0"/>
      <w:marTop w:val="240"/>
      <w:marBottom w:val="0"/>
      <w:divBdr>
        <w:top w:val="none" w:sz="0" w:space="0" w:color="auto"/>
        <w:left w:val="none" w:sz="0" w:space="0" w:color="auto"/>
        <w:bottom w:val="none" w:sz="0" w:space="0" w:color="auto"/>
        <w:right w:val="none" w:sz="0" w:space="0" w:color="auto"/>
      </w:divBdr>
    </w:div>
    <w:div w:id="1192453456">
      <w:marLeft w:val="0"/>
      <w:marRight w:val="0"/>
      <w:marTop w:val="240"/>
      <w:marBottom w:val="0"/>
      <w:divBdr>
        <w:top w:val="none" w:sz="0" w:space="0" w:color="auto"/>
        <w:left w:val="none" w:sz="0" w:space="0" w:color="auto"/>
        <w:bottom w:val="none" w:sz="0" w:space="0" w:color="auto"/>
        <w:right w:val="none" w:sz="0" w:space="0" w:color="auto"/>
      </w:divBdr>
    </w:div>
    <w:div w:id="1193224646">
      <w:marLeft w:val="0"/>
      <w:marRight w:val="0"/>
      <w:marTop w:val="240"/>
      <w:marBottom w:val="0"/>
      <w:divBdr>
        <w:top w:val="none" w:sz="0" w:space="0" w:color="auto"/>
        <w:left w:val="none" w:sz="0" w:space="0" w:color="auto"/>
        <w:bottom w:val="none" w:sz="0" w:space="0" w:color="auto"/>
        <w:right w:val="none" w:sz="0" w:space="0" w:color="auto"/>
      </w:divBdr>
    </w:div>
    <w:div w:id="1193769139">
      <w:marLeft w:val="0"/>
      <w:marRight w:val="0"/>
      <w:marTop w:val="240"/>
      <w:marBottom w:val="0"/>
      <w:divBdr>
        <w:top w:val="none" w:sz="0" w:space="0" w:color="auto"/>
        <w:left w:val="none" w:sz="0" w:space="0" w:color="auto"/>
        <w:bottom w:val="none" w:sz="0" w:space="0" w:color="auto"/>
        <w:right w:val="none" w:sz="0" w:space="0" w:color="auto"/>
      </w:divBdr>
    </w:div>
    <w:div w:id="1194031310">
      <w:marLeft w:val="0"/>
      <w:marRight w:val="0"/>
      <w:marTop w:val="240"/>
      <w:marBottom w:val="0"/>
      <w:divBdr>
        <w:top w:val="none" w:sz="0" w:space="0" w:color="auto"/>
        <w:left w:val="none" w:sz="0" w:space="0" w:color="auto"/>
        <w:bottom w:val="none" w:sz="0" w:space="0" w:color="auto"/>
        <w:right w:val="none" w:sz="0" w:space="0" w:color="auto"/>
      </w:divBdr>
    </w:div>
    <w:div w:id="1196236811">
      <w:marLeft w:val="0"/>
      <w:marRight w:val="0"/>
      <w:marTop w:val="240"/>
      <w:marBottom w:val="0"/>
      <w:divBdr>
        <w:top w:val="none" w:sz="0" w:space="0" w:color="auto"/>
        <w:left w:val="none" w:sz="0" w:space="0" w:color="auto"/>
        <w:bottom w:val="none" w:sz="0" w:space="0" w:color="auto"/>
        <w:right w:val="none" w:sz="0" w:space="0" w:color="auto"/>
      </w:divBdr>
    </w:div>
    <w:div w:id="1197041319">
      <w:marLeft w:val="0"/>
      <w:marRight w:val="0"/>
      <w:marTop w:val="240"/>
      <w:marBottom w:val="0"/>
      <w:divBdr>
        <w:top w:val="none" w:sz="0" w:space="0" w:color="auto"/>
        <w:left w:val="none" w:sz="0" w:space="0" w:color="auto"/>
        <w:bottom w:val="none" w:sz="0" w:space="0" w:color="auto"/>
        <w:right w:val="none" w:sz="0" w:space="0" w:color="auto"/>
      </w:divBdr>
    </w:div>
    <w:div w:id="1197505542">
      <w:marLeft w:val="0"/>
      <w:marRight w:val="0"/>
      <w:marTop w:val="120"/>
      <w:marBottom w:val="0"/>
      <w:divBdr>
        <w:top w:val="none" w:sz="0" w:space="0" w:color="auto"/>
        <w:left w:val="none" w:sz="0" w:space="0" w:color="auto"/>
        <w:bottom w:val="none" w:sz="0" w:space="0" w:color="auto"/>
        <w:right w:val="none" w:sz="0" w:space="0" w:color="auto"/>
      </w:divBdr>
    </w:div>
    <w:div w:id="1201475009">
      <w:marLeft w:val="0"/>
      <w:marRight w:val="0"/>
      <w:marTop w:val="60"/>
      <w:marBottom w:val="0"/>
      <w:divBdr>
        <w:top w:val="none" w:sz="0" w:space="0" w:color="auto"/>
        <w:left w:val="none" w:sz="0" w:space="0" w:color="auto"/>
        <w:bottom w:val="none" w:sz="0" w:space="0" w:color="auto"/>
        <w:right w:val="none" w:sz="0" w:space="0" w:color="auto"/>
      </w:divBdr>
    </w:div>
    <w:div w:id="1201741782">
      <w:marLeft w:val="0"/>
      <w:marRight w:val="0"/>
      <w:marTop w:val="100"/>
      <w:marBottom w:val="0"/>
      <w:divBdr>
        <w:top w:val="none" w:sz="0" w:space="0" w:color="auto"/>
        <w:left w:val="none" w:sz="0" w:space="0" w:color="auto"/>
        <w:bottom w:val="none" w:sz="0" w:space="0" w:color="auto"/>
        <w:right w:val="none" w:sz="0" w:space="0" w:color="auto"/>
      </w:divBdr>
      <w:divsChild>
        <w:div w:id="1711950541">
          <w:marLeft w:val="0"/>
          <w:marRight w:val="0"/>
          <w:marTop w:val="0"/>
          <w:marBottom w:val="0"/>
          <w:divBdr>
            <w:top w:val="none" w:sz="0" w:space="0" w:color="auto"/>
            <w:left w:val="none" w:sz="0" w:space="0" w:color="auto"/>
            <w:bottom w:val="none" w:sz="0" w:space="0" w:color="auto"/>
            <w:right w:val="none" w:sz="0" w:space="0" w:color="auto"/>
          </w:divBdr>
        </w:div>
        <w:div w:id="778914721">
          <w:marLeft w:val="0"/>
          <w:marRight w:val="0"/>
          <w:marTop w:val="0"/>
          <w:marBottom w:val="0"/>
          <w:divBdr>
            <w:top w:val="none" w:sz="0" w:space="0" w:color="auto"/>
            <w:left w:val="none" w:sz="0" w:space="0" w:color="auto"/>
            <w:bottom w:val="none" w:sz="0" w:space="0" w:color="auto"/>
            <w:right w:val="none" w:sz="0" w:space="0" w:color="auto"/>
          </w:divBdr>
        </w:div>
      </w:divsChild>
    </w:div>
    <w:div w:id="1202789603">
      <w:marLeft w:val="0"/>
      <w:marRight w:val="0"/>
      <w:marTop w:val="240"/>
      <w:marBottom w:val="0"/>
      <w:divBdr>
        <w:top w:val="none" w:sz="0" w:space="0" w:color="auto"/>
        <w:left w:val="none" w:sz="0" w:space="0" w:color="auto"/>
        <w:bottom w:val="none" w:sz="0" w:space="0" w:color="auto"/>
        <w:right w:val="none" w:sz="0" w:space="0" w:color="auto"/>
      </w:divBdr>
    </w:div>
    <w:div w:id="1203713406">
      <w:marLeft w:val="0"/>
      <w:marRight w:val="0"/>
      <w:marTop w:val="200"/>
      <w:marBottom w:val="0"/>
      <w:divBdr>
        <w:top w:val="none" w:sz="0" w:space="0" w:color="auto"/>
        <w:left w:val="none" w:sz="0" w:space="0" w:color="auto"/>
        <w:bottom w:val="none" w:sz="0" w:space="0" w:color="auto"/>
        <w:right w:val="none" w:sz="0" w:space="0" w:color="auto"/>
      </w:divBdr>
    </w:div>
    <w:div w:id="1205674489">
      <w:marLeft w:val="0"/>
      <w:marRight w:val="0"/>
      <w:marTop w:val="240"/>
      <w:marBottom w:val="0"/>
      <w:divBdr>
        <w:top w:val="none" w:sz="0" w:space="0" w:color="auto"/>
        <w:left w:val="none" w:sz="0" w:space="0" w:color="auto"/>
        <w:bottom w:val="none" w:sz="0" w:space="0" w:color="auto"/>
        <w:right w:val="none" w:sz="0" w:space="0" w:color="auto"/>
      </w:divBdr>
    </w:div>
    <w:div w:id="1207134307">
      <w:marLeft w:val="0"/>
      <w:marRight w:val="0"/>
      <w:marTop w:val="160"/>
      <w:marBottom w:val="0"/>
      <w:divBdr>
        <w:top w:val="none" w:sz="0" w:space="0" w:color="auto"/>
        <w:left w:val="none" w:sz="0" w:space="0" w:color="auto"/>
        <w:bottom w:val="none" w:sz="0" w:space="0" w:color="auto"/>
        <w:right w:val="none" w:sz="0" w:space="0" w:color="auto"/>
      </w:divBdr>
    </w:div>
    <w:div w:id="1207185914">
      <w:marLeft w:val="0"/>
      <w:marRight w:val="0"/>
      <w:marTop w:val="0"/>
      <w:marBottom w:val="0"/>
      <w:divBdr>
        <w:top w:val="none" w:sz="0" w:space="0" w:color="auto"/>
        <w:left w:val="none" w:sz="0" w:space="0" w:color="auto"/>
        <w:bottom w:val="none" w:sz="0" w:space="0" w:color="auto"/>
        <w:right w:val="none" w:sz="0" w:space="0" w:color="auto"/>
      </w:divBdr>
      <w:divsChild>
        <w:div w:id="138346658">
          <w:marLeft w:val="0"/>
          <w:marRight w:val="0"/>
          <w:marTop w:val="0"/>
          <w:marBottom w:val="0"/>
          <w:divBdr>
            <w:top w:val="none" w:sz="0" w:space="0" w:color="auto"/>
            <w:left w:val="none" w:sz="0" w:space="0" w:color="auto"/>
            <w:bottom w:val="none" w:sz="0" w:space="0" w:color="auto"/>
            <w:right w:val="none" w:sz="0" w:space="0" w:color="auto"/>
          </w:divBdr>
          <w:divsChild>
            <w:div w:id="4351738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08029104">
      <w:marLeft w:val="0"/>
      <w:marRight w:val="0"/>
      <w:marTop w:val="240"/>
      <w:marBottom w:val="0"/>
      <w:divBdr>
        <w:top w:val="none" w:sz="0" w:space="0" w:color="auto"/>
        <w:left w:val="none" w:sz="0" w:space="0" w:color="auto"/>
        <w:bottom w:val="none" w:sz="0" w:space="0" w:color="auto"/>
        <w:right w:val="none" w:sz="0" w:space="0" w:color="auto"/>
      </w:divBdr>
    </w:div>
    <w:div w:id="1209414358">
      <w:marLeft w:val="0"/>
      <w:marRight w:val="0"/>
      <w:marTop w:val="180"/>
      <w:marBottom w:val="120"/>
      <w:divBdr>
        <w:top w:val="none" w:sz="0" w:space="0" w:color="auto"/>
        <w:left w:val="none" w:sz="0" w:space="0" w:color="auto"/>
        <w:bottom w:val="none" w:sz="0" w:space="0" w:color="auto"/>
        <w:right w:val="none" w:sz="0" w:space="0" w:color="auto"/>
      </w:divBdr>
    </w:div>
    <w:div w:id="1210336870">
      <w:marLeft w:val="0"/>
      <w:marRight w:val="0"/>
      <w:marTop w:val="120"/>
      <w:marBottom w:val="0"/>
      <w:divBdr>
        <w:top w:val="none" w:sz="0" w:space="0" w:color="auto"/>
        <w:left w:val="none" w:sz="0" w:space="0" w:color="auto"/>
        <w:bottom w:val="none" w:sz="0" w:space="0" w:color="auto"/>
        <w:right w:val="none" w:sz="0" w:space="0" w:color="auto"/>
      </w:divBdr>
    </w:div>
    <w:div w:id="1211190022">
      <w:marLeft w:val="0"/>
      <w:marRight w:val="0"/>
      <w:marTop w:val="240"/>
      <w:marBottom w:val="0"/>
      <w:divBdr>
        <w:top w:val="none" w:sz="0" w:space="0" w:color="auto"/>
        <w:left w:val="none" w:sz="0" w:space="0" w:color="auto"/>
        <w:bottom w:val="none" w:sz="0" w:space="0" w:color="auto"/>
        <w:right w:val="none" w:sz="0" w:space="0" w:color="auto"/>
      </w:divBdr>
    </w:div>
    <w:div w:id="1213809638">
      <w:marLeft w:val="0"/>
      <w:marRight w:val="0"/>
      <w:marTop w:val="240"/>
      <w:marBottom w:val="0"/>
      <w:divBdr>
        <w:top w:val="none" w:sz="0" w:space="0" w:color="auto"/>
        <w:left w:val="none" w:sz="0" w:space="0" w:color="auto"/>
        <w:bottom w:val="none" w:sz="0" w:space="0" w:color="auto"/>
        <w:right w:val="none" w:sz="0" w:space="0" w:color="auto"/>
      </w:divBdr>
    </w:div>
    <w:div w:id="1213881767">
      <w:marLeft w:val="0"/>
      <w:marRight w:val="0"/>
      <w:marTop w:val="0"/>
      <w:marBottom w:val="0"/>
      <w:divBdr>
        <w:top w:val="none" w:sz="0" w:space="0" w:color="auto"/>
        <w:left w:val="none" w:sz="0" w:space="0" w:color="auto"/>
        <w:bottom w:val="none" w:sz="0" w:space="0" w:color="auto"/>
        <w:right w:val="none" w:sz="0" w:space="0" w:color="auto"/>
      </w:divBdr>
      <w:divsChild>
        <w:div w:id="485558698">
          <w:marLeft w:val="0"/>
          <w:marRight w:val="0"/>
          <w:marTop w:val="0"/>
          <w:marBottom w:val="0"/>
          <w:divBdr>
            <w:top w:val="none" w:sz="0" w:space="0" w:color="auto"/>
            <w:left w:val="none" w:sz="0" w:space="0" w:color="auto"/>
            <w:bottom w:val="none" w:sz="0" w:space="0" w:color="auto"/>
            <w:right w:val="none" w:sz="0" w:space="0" w:color="auto"/>
          </w:divBdr>
        </w:div>
      </w:divsChild>
    </w:div>
    <w:div w:id="1215387242">
      <w:marLeft w:val="0"/>
      <w:marRight w:val="0"/>
      <w:marTop w:val="60"/>
      <w:marBottom w:val="0"/>
      <w:divBdr>
        <w:top w:val="none" w:sz="0" w:space="0" w:color="auto"/>
        <w:left w:val="none" w:sz="0" w:space="0" w:color="auto"/>
        <w:bottom w:val="none" w:sz="0" w:space="0" w:color="auto"/>
        <w:right w:val="none" w:sz="0" w:space="0" w:color="auto"/>
      </w:divBdr>
    </w:div>
    <w:div w:id="1215433885">
      <w:marLeft w:val="0"/>
      <w:marRight w:val="0"/>
      <w:marTop w:val="240"/>
      <w:marBottom w:val="0"/>
      <w:divBdr>
        <w:top w:val="none" w:sz="0" w:space="0" w:color="auto"/>
        <w:left w:val="none" w:sz="0" w:space="0" w:color="auto"/>
        <w:bottom w:val="none" w:sz="0" w:space="0" w:color="auto"/>
        <w:right w:val="none" w:sz="0" w:space="0" w:color="auto"/>
      </w:divBdr>
    </w:div>
    <w:div w:id="1216547604">
      <w:marLeft w:val="0"/>
      <w:marRight w:val="0"/>
      <w:marTop w:val="0"/>
      <w:marBottom w:val="60"/>
      <w:divBdr>
        <w:top w:val="none" w:sz="0" w:space="0" w:color="auto"/>
        <w:left w:val="none" w:sz="0" w:space="0" w:color="auto"/>
        <w:bottom w:val="none" w:sz="0" w:space="0" w:color="auto"/>
        <w:right w:val="none" w:sz="0" w:space="0" w:color="auto"/>
      </w:divBdr>
    </w:div>
    <w:div w:id="1216628047">
      <w:marLeft w:val="0"/>
      <w:marRight w:val="0"/>
      <w:marTop w:val="0"/>
      <w:marBottom w:val="0"/>
      <w:divBdr>
        <w:top w:val="none" w:sz="0" w:space="0" w:color="auto"/>
        <w:left w:val="none" w:sz="0" w:space="0" w:color="auto"/>
        <w:bottom w:val="none" w:sz="0" w:space="0" w:color="auto"/>
        <w:right w:val="none" w:sz="0" w:space="0" w:color="auto"/>
      </w:divBdr>
    </w:div>
    <w:div w:id="1218123775">
      <w:marLeft w:val="0"/>
      <w:marRight w:val="0"/>
      <w:marTop w:val="240"/>
      <w:marBottom w:val="0"/>
      <w:divBdr>
        <w:top w:val="none" w:sz="0" w:space="0" w:color="auto"/>
        <w:left w:val="none" w:sz="0" w:space="0" w:color="auto"/>
        <w:bottom w:val="none" w:sz="0" w:space="0" w:color="auto"/>
        <w:right w:val="none" w:sz="0" w:space="0" w:color="auto"/>
      </w:divBdr>
    </w:div>
    <w:div w:id="1219829343">
      <w:marLeft w:val="0"/>
      <w:marRight w:val="0"/>
      <w:marTop w:val="240"/>
      <w:marBottom w:val="0"/>
      <w:divBdr>
        <w:top w:val="none" w:sz="0" w:space="0" w:color="auto"/>
        <w:left w:val="none" w:sz="0" w:space="0" w:color="auto"/>
        <w:bottom w:val="none" w:sz="0" w:space="0" w:color="auto"/>
        <w:right w:val="none" w:sz="0" w:space="0" w:color="auto"/>
      </w:divBdr>
    </w:div>
    <w:div w:id="1220239316">
      <w:marLeft w:val="0"/>
      <w:marRight w:val="0"/>
      <w:marTop w:val="300"/>
      <w:marBottom w:val="0"/>
      <w:divBdr>
        <w:top w:val="none" w:sz="0" w:space="0" w:color="auto"/>
        <w:left w:val="none" w:sz="0" w:space="0" w:color="auto"/>
        <w:bottom w:val="none" w:sz="0" w:space="0" w:color="auto"/>
        <w:right w:val="none" w:sz="0" w:space="0" w:color="auto"/>
      </w:divBdr>
    </w:div>
    <w:div w:id="1220437073">
      <w:marLeft w:val="0"/>
      <w:marRight w:val="0"/>
      <w:marTop w:val="0"/>
      <w:marBottom w:val="0"/>
      <w:divBdr>
        <w:top w:val="none" w:sz="0" w:space="0" w:color="auto"/>
        <w:left w:val="none" w:sz="0" w:space="0" w:color="auto"/>
        <w:bottom w:val="none" w:sz="0" w:space="0" w:color="auto"/>
        <w:right w:val="none" w:sz="0" w:space="0" w:color="auto"/>
      </w:divBdr>
      <w:divsChild>
        <w:div w:id="693532185">
          <w:marLeft w:val="0"/>
          <w:marRight w:val="0"/>
          <w:marTop w:val="0"/>
          <w:marBottom w:val="0"/>
          <w:divBdr>
            <w:top w:val="none" w:sz="0" w:space="0" w:color="auto"/>
            <w:left w:val="none" w:sz="0" w:space="0" w:color="auto"/>
            <w:bottom w:val="none" w:sz="0" w:space="0" w:color="auto"/>
            <w:right w:val="none" w:sz="0" w:space="0" w:color="auto"/>
          </w:divBdr>
        </w:div>
      </w:divsChild>
    </w:div>
    <w:div w:id="1220822669">
      <w:marLeft w:val="0"/>
      <w:marRight w:val="0"/>
      <w:marTop w:val="120"/>
      <w:marBottom w:val="60"/>
      <w:divBdr>
        <w:top w:val="none" w:sz="0" w:space="0" w:color="auto"/>
        <w:left w:val="none" w:sz="0" w:space="0" w:color="auto"/>
        <w:bottom w:val="none" w:sz="0" w:space="0" w:color="auto"/>
        <w:right w:val="none" w:sz="0" w:space="0" w:color="auto"/>
      </w:divBdr>
    </w:div>
    <w:div w:id="1222055885">
      <w:marLeft w:val="0"/>
      <w:marRight w:val="0"/>
      <w:marTop w:val="240"/>
      <w:marBottom w:val="0"/>
      <w:divBdr>
        <w:top w:val="none" w:sz="0" w:space="0" w:color="auto"/>
        <w:left w:val="none" w:sz="0" w:space="0" w:color="auto"/>
        <w:bottom w:val="none" w:sz="0" w:space="0" w:color="auto"/>
        <w:right w:val="none" w:sz="0" w:space="0" w:color="auto"/>
      </w:divBdr>
    </w:div>
    <w:div w:id="1223100732">
      <w:marLeft w:val="0"/>
      <w:marRight w:val="0"/>
      <w:marTop w:val="240"/>
      <w:marBottom w:val="0"/>
      <w:divBdr>
        <w:top w:val="none" w:sz="0" w:space="0" w:color="auto"/>
        <w:left w:val="none" w:sz="0" w:space="0" w:color="auto"/>
        <w:bottom w:val="none" w:sz="0" w:space="0" w:color="auto"/>
        <w:right w:val="none" w:sz="0" w:space="0" w:color="auto"/>
      </w:divBdr>
    </w:div>
    <w:div w:id="1223176744">
      <w:marLeft w:val="0"/>
      <w:marRight w:val="0"/>
      <w:marTop w:val="0"/>
      <w:marBottom w:val="120"/>
      <w:divBdr>
        <w:top w:val="none" w:sz="0" w:space="0" w:color="auto"/>
        <w:left w:val="none" w:sz="0" w:space="0" w:color="auto"/>
        <w:bottom w:val="none" w:sz="0" w:space="0" w:color="auto"/>
        <w:right w:val="none" w:sz="0" w:space="0" w:color="auto"/>
      </w:divBdr>
    </w:div>
    <w:div w:id="1223255824">
      <w:marLeft w:val="0"/>
      <w:marRight w:val="0"/>
      <w:marTop w:val="0"/>
      <w:marBottom w:val="0"/>
      <w:divBdr>
        <w:top w:val="none" w:sz="0" w:space="0" w:color="auto"/>
        <w:left w:val="none" w:sz="0" w:space="0" w:color="auto"/>
        <w:bottom w:val="none" w:sz="0" w:space="0" w:color="auto"/>
        <w:right w:val="none" w:sz="0" w:space="0" w:color="auto"/>
      </w:divBdr>
      <w:divsChild>
        <w:div w:id="121848698">
          <w:marLeft w:val="0"/>
          <w:marRight w:val="0"/>
          <w:marTop w:val="0"/>
          <w:marBottom w:val="0"/>
          <w:divBdr>
            <w:top w:val="none" w:sz="0" w:space="0" w:color="auto"/>
            <w:left w:val="none" w:sz="0" w:space="0" w:color="auto"/>
            <w:bottom w:val="none" w:sz="0" w:space="0" w:color="auto"/>
            <w:right w:val="none" w:sz="0" w:space="0" w:color="auto"/>
          </w:divBdr>
        </w:div>
      </w:divsChild>
    </w:div>
    <w:div w:id="1225071444">
      <w:marLeft w:val="0"/>
      <w:marRight w:val="0"/>
      <w:marTop w:val="240"/>
      <w:marBottom w:val="0"/>
      <w:divBdr>
        <w:top w:val="none" w:sz="0" w:space="0" w:color="auto"/>
        <w:left w:val="none" w:sz="0" w:space="0" w:color="auto"/>
        <w:bottom w:val="none" w:sz="0" w:space="0" w:color="auto"/>
        <w:right w:val="none" w:sz="0" w:space="0" w:color="auto"/>
      </w:divBdr>
    </w:div>
    <w:div w:id="1225869758">
      <w:marLeft w:val="0"/>
      <w:marRight w:val="0"/>
      <w:marTop w:val="240"/>
      <w:marBottom w:val="0"/>
      <w:divBdr>
        <w:top w:val="none" w:sz="0" w:space="0" w:color="auto"/>
        <w:left w:val="none" w:sz="0" w:space="0" w:color="auto"/>
        <w:bottom w:val="none" w:sz="0" w:space="0" w:color="auto"/>
        <w:right w:val="none" w:sz="0" w:space="0" w:color="auto"/>
      </w:divBdr>
    </w:div>
    <w:div w:id="1225994909">
      <w:marLeft w:val="0"/>
      <w:marRight w:val="0"/>
      <w:marTop w:val="0"/>
      <w:marBottom w:val="0"/>
      <w:divBdr>
        <w:top w:val="none" w:sz="0" w:space="0" w:color="auto"/>
        <w:left w:val="none" w:sz="0" w:space="0" w:color="auto"/>
        <w:bottom w:val="none" w:sz="0" w:space="0" w:color="auto"/>
        <w:right w:val="none" w:sz="0" w:space="0" w:color="auto"/>
      </w:divBdr>
      <w:divsChild>
        <w:div w:id="1882205262">
          <w:marLeft w:val="0"/>
          <w:marRight w:val="0"/>
          <w:marTop w:val="120"/>
          <w:marBottom w:val="0"/>
          <w:divBdr>
            <w:top w:val="none" w:sz="0" w:space="0" w:color="auto"/>
            <w:left w:val="none" w:sz="0" w:space="0" w:color="auto"/>
            <w:bottom w:val="none" w:sz="0" w:space="0" w:color="auto"/>
            <w:right w:val="none" w:sz="0" w:space="0" w:color="auto"/>
          </w:divBdr>
        </w:div>
      </w:divsChild>
    </w:div>
    <w:div w:id="1226791774">
      <w:marLeft w:val="0"/>
      <w:marRight w:val="0"/>
      <w:marTop w:val="240"/>
      <w:marBottom w:val="0"/>
      <w:divBdr>
        <w:top w:val="none" w:sz="0" w:space="0" w:color="auto"/>
        <w:left w:val="none" w:sz="0" w:space="0" w:color="auto"/>
        <w:bottom w:val="none" w:sz="0" w:space="0" w:color="auto"/>
        <w:right w:val="none" w:sz="0" w:space="0" w:color="auto"/>
      </w:divBdr>
    </w:div>
    <w:div w:id="1226991329">
      <w:marLeft w:val="0"/>
      <w:marRight w:val="0"/>
      <w:marTop w:val="240"/>
      <w:marBottom w:val="0"/>
      <w:divBdr>
        <w:top w:val="none" w:sz="0" w:space="0" w:color="auto"/>
        <w:left w:val="none" w:sz="0" w:space="0" w:color="auto"/>
        <w:bottom w:val="none" w:sz="0" w:space="0" w:color="auto"/>
        <w:right w:val="none" w:sz="0" w:space="0" w:color="auto"/>
      </w:divBdr>
    </w:div>
    <w:div w:id="1228223829">
      <w:marLeft w:val="0"/>
      <w:marRight w:val="0"/>
      <w:marTop w:val="120"/>
      <w:marBottom w:val="0"/>
      <w:divBdr>
        <w:top w:val="none" w:sz="0" w:space="0" w:color="auto"/>
        <w:left w:val="none" w:sz="0" w:space="0" w:color="auto"/>
        <w:bottom w:val="none" w:sz="0" w:space="0" w:color="auto"/>
        <w:right w:val="none" w:sz="0" w:space="0" w:color="auto"/>
      </w:divBdr>
    </w:div>
    <w:div w:id="1228371057">
      <w:marLeft w:val="0"/>
      <w:marRight w:val="0"/>
      <w:marTop w:val="160"/>
      <w:marBottom w:val="240"/>
      <w:divBdr>
        <w:top w:val="none" w:sz="0" w:space="0" w:color="auto"/>
        <w:left w:val="none" w:sz="0" w:space="0" w:color="auto"/>
        <w:bottom w:val="none" w:sz="0" w:space="0" w:color="auto"/>
        <w:right w:val="none" w:sz="0" w:space="0" w:color="auto"/>
      </w:divBdr>
    </w:div>
    <w:div w:id="1230919962">
      <w:marLeft w:val="0"/>
      <w:marRight w:val="0"/>
      <w:marTop w:val="240"/>
      <w:marBottom w:val="0"/>
      <w:divBdr>
        <w:top w:val="none" w:sz="0" w:space="0" w:color="auto"/>
        <w:left w:val="none" w:sz="0" w:space="0" w:color="auto"/>
        <w:bottom w:val="none" w:sz="0" w:space="0" w:color="auto"/>
        <w:right w:val="none" w:sz="0" w:space="0" w:color="auto"/>
      </w:divBdr>
    </w:div>
    <w:div w:id="1231190786">
      <w:marLeft w:val="0"/>
      <w:marRight w:val="0"/>
      <w:marTop w:val="100"/>
      <w:marBottom w:val="0"/>
      <w:divBdr>
        <w:top w:val="none" w:sz="0" w:space="0" w:color="auto"/>
        <w:left w:val="none" w:sz="0" w:space="0" w:color="auto"/>
        <w:bottom w:val="none" w:sz="0" w:space="0" w:color="auto"/>
        <w:right w:val="none" w:sz="0" w:space="0" w:color="auto"/>
      </w:divBdr>
    </w:div>
    <w:div w:id="1231694705">
      <w:marLeft w:val="0"/>
      <w:marRight w:val="0"/>
      <w:marTop w:val="240"/>
      <w:marBottom w:val="0"/>
      <w:divBdr>
        <w:top w:val="none" w:sz="0" w:space="0" w:color="auto"/>
        <w:left w:val="none" w:sz="0" w:space="0" w:color="auto"/>
        <w:bottom w:val="none" w:sz="0" w:space="0" w:color="auto"/>
        <w:right w:val="none" w:sz="0" w:space="0" w:color="auto"/>
      </w:divBdr>
    </w:div>
    <w:div w:id="1234394735">
      <w:marLeft w:val="0"/>
      <w:marRight w:val="0"/>
      <w:marTop w:val="0"/>
      <w:marBottom w:val="0"/>
      <w:divBdr>
        <w:top w:val="none" w:sz="0" w:space="0" w:color="auto"/>
        <w:left w:val="none" w:sz="0" w:space="0" w:color="auto"/>
        <w:bottom w:val="none" w:sz="0" w:space="0" w:color="auto"/>
        <w:right w:val="none" w:sz="0" w:space="0" w:color="auto"/>
      </w:divBdr>
      <w:divsChild>
        <w:div w:id="738209597">
          <w:marLeft w:val="0"/>
          <w:marRight w:val="0"/>
          <w:marTop w:val="0"/>
          <w:marBottom w:val="0"/>
          <w:divBdr>
            <w:top w:val="none" w:sz="0" w:space="0" w:color="auto"/>
            <w:left w:val="none" w:sz="0" w:space="0" w:color="auto"/>
            <w:bottom w:val="none" w:sz="0" w:space="0" w:color="auto"/>
            <w:right w:val="none" w:sz="0" w:space="0" w:color="auto"/>
          </w:divBdr>
        </w:div>
      </w:divsChild>
    </w:div>
    <w:div w:id="1241983986">
      <w:marLeft w:val="0"/>
      <w:marRight w:val="0"/>
      <w:marTop w:val="0"/>
      <w:marBottom w:val="0"/>
      <w:divBdr>
        <w:top w:val="none" w:sz="0" w:space="0" w:color="auto"/>
        <w:left w:val="none" w:sz="0" w:space="0" w:color="auto"/>
        <w:bottom w:val="none" w:sz="0" w:space="0" w:color="auto"/>
        <w:right w:val="none" w:sz="0" w:space="0" w:color="auto"/>
      </w:divBdr>
      <w:divsChild>
        <w:div w:id="1164592024">
          <w:marLeft w:val="0"/>
          <w:marRight w:val="0"/>
          <w:marTop w:val="0"/>
          <w:marBottom w:val="0"/>
          <w:divBdr>
            <w:top w:val="none" w:sz="0" w:space="0" w:color="auto"/>
            <w:left w:val="none" w:sz="0" w:space="0" w:color="auto"/>
            <w:bottom w:val="none" w:sz="0" w:space="0" w:color="auto"/>
            <w:right w:val="none" w:sz="0" w:space="0" w:color="auto"/>
          </w:divBdr>
          <w:divsChild>
            <w:div w:id="954457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43300141">
      <w:marLeft w:val="0"/>
      <w:marRight w:val="0"/>
      <w:marTop w:val="240"/>
      <w:marBottom w:val="0"/>
      <w:divBdr>
        <w:top w:val="none" w:sz="0" w:space="0" w:color="auto"/>
        <w:left w:val="none" w:sz="0" w:space="0" w:color="auto"/>
        <w:bottom w:val="none" w:sz="0" w:space="0" w:color="auto"/>
        <w:right w:val="none" w:sz="0" w:space="0" w:color="auto"/>
      </w:divBdr>
    </w:div>
    <w:div w:id="1243754362">
      <w:marLeft w:val="0"/>
      <w:marRight w:val="0"/>
      <w:marTop w:val="160"/>
      <w:marBottom w:val="0"/>
      <w:divBdr>
        <w:top w:val="none" w:sz="0" w:space="0" w:color="auto"/>
        <w:left w:val="none" w:sz="0" w:space="0" w:color="auto"/>
        <w:bottom w:val="none" w:sz="0" w:space="0" w:color="auto"/>
        <w:right w:val="none" w:sz="0" w:space="0" w:color="auto"/>
      </w:divBdr>
      <w:divsChild>
        <w:div w:id="475535348">
          <w:marLeft w:val="0"/>
          <w:marRight w:val="0"/>
          <w:marTop w:val="0"/>
          <w:marBottom w:val="0"/>
          <w:divBdr>
            <w:top w:val="none" w:sz="0" w:space="0" w:color="auto"/>
            <w:left w:val="none" w:sz="0" w:space="0" w:color="auto"/>
            <w:bottom w:val="none" w:sz="0" w:space="0" w:color="auto"/>
            <w:right w:val="none" w:sz="0" w:space="0" w:color="auto"/>
          </w:divBdr>
        </w:div>
        <w:div w:id="37317664">
          <w:marLeft w:val="0"/>
          <w:marRight w:val="0"/>
          <w:marTop w:val="0"/>
          <w:marBottom w:val="0"/>
          <w:divBdr>
            <w:top w:val="none" w:sz="0" w:space="0" w:color="auto"/>
            <w:left w:val="none" w:sz="0" w:space="0" w:color="auto"/>
            <w:bottom w:val="none" w:sz="0" w:space="0" w:color="auto"/>
            <w:right w:val="none" w:sz="0" w:space="0" w:color="auto"/>
          </w:divBdr>
        </w:div>
        <w:div w:id="642931709">
          <w:marLeft w:val="0"/>
          <w:marRight w:val="0"/>
          <w:marTop w:val="0"/>
          <w:marBottom w:val="0"/>
          <w:divBdr>
            <w:top w:val="none" w:sz="0" w:space="0" w:color="auto"/>
            <w:left w:val="none" w:sz="0" w:space="0" w:color="auto"/>
            <w:bottom w:val="none" w:sz="0" w:space="0" w:color="auto"/>
            <w:right w:val="none" w:sz="0" w:space="0" w:color="auto"/>
          </w:divBdr>
        </w:div>
      </w:divsChild>
    </w:div>
    <w:div w:id="1244215758">
      <w:marLeft w:val="0"/>
      <w:marRight w:val="0"/>
      <w:marTop w:val="0"/>
      <w:marBottom w:val="0"/>
      <w:divBdr>
        <w:top w:val="none" w:sz="0" w:space="0" w:color="auto"/>
        <w:left w:val="none" w:sz="0" w:space="0" w:color="auto"/>
        <w:bottom w:val="none" w:sz="0" w:space="0" w:color="auto"/>
        <w:right w:val="none" w:sz="0" w:space="0" w:color="auto"/>
      </w:divBdr>
      <w:divsChild>
        <w:div w:id="1833259392">
          <w:marLeft w:val="0"/>
          <w:marRight w:val="0"/>
          <w:marTop w:val="120"/>
          <w:marBottom w:val="0"/>
          <w:divBdr>
            <w:top w:val="none" w:sz="0" w:space="0" w:color="auto"/>
            <w:left w:val="none" w:sz="0" w:space="0" w:color="auto"/>
            <w:bottom w:val="none" w:sz="0" w:space="0" w:color="auto"/>
            <w:right w:val="none" w:sz="0" w:space="0" w:color="auto"/>
          </w:divBdr>
        </w:div>
      </w:divsChild>
    </w:div>
    <w:div w:id="1244292264">
      <w:marLeft w:val="0"/>
      <w:marRight w:val="0"/>
      <w:marTop w:val="240"/>
      <w:marBottom w:val="0"/>
      <w:divBdr>
        <w:top w:val="none" w:sz="0" w:space="0" w:color="auto"/>
        <w:left w:val="none" w:sz="0" w:space="0" w:color="auto"/>
        <w:bottom w:val="none" w:sz="0" w:space="0" w:color="auto"/>
        <w:right w:val="none" w:sz="0" w:space="0" w:color="auto"/>
      </w:divBdr>
    </w:div>
    <w:div w:id="1244605072">
      <w:marLeft w:val="0"/>
      <w:marRight w:val="0"/>
      <w:marTop w:val="0"/>
      <w:marBottom w:val="0"/>
      <w:divBdr>
        <w:top w:val="none" w:sz="0" w:space="0" w:color="auto"/>
        <w:left w:val="none" w:sz="0" w:space="0" w:color="auto"/>
        <w:bottom w:val="none" w:sz="0" w:space="0" w:color="auto"/>
        <w:right w:val="none" w:sz="0" w:space="0" w:color="auto"/>
      </w:divBdr>
      <w:divsChild>
        <w:div w:id="1338657732">
          <w:marLeft w:val="0"/>
          <w:marRight w:val="0"/>
          <w:marTop w:val="0"/>
          <w:marBottom w:val="0"/>
          <w:divBdr>
            <w:top w:val="none" w:sz="0" w:space="0" w:color="auto"/>
            <w:left w:val="none" w:sz="0" w:space="0" w:color="auto"/>
            <w:bottom w:val="none" w:sz="0" w:space="0" w:color="auto"/>
            <w:right w:val="none" w:sz="0" w:space="0" w:color="auto"/>
          </w:divBdr>
          <w:divsChild>
            <w:div w:id="200300102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45189935">
      <w:marLeft w:val="0"/>
      <w:marRight w:val="0"/>
      <w:marTop w:val="180"/>
      <w:marBottom w:val="0"/>
      <w:divBdr>
        <w:top w:val="none" w:sz="0" w:space="0" w:color="auto"/>
        <w:left w:val="none" w:sz="0" w:space="0" w:color="auto"/>
        <w:bottom w:val="none" w:sz="0" w:space="0" w:color="auto"/>
        <w:right w:val="none" w:sz="0" w:space="0" w:color="auto"/>
      </w:divBdr>
    </w:div>
    <w:div w:id="1246575008">
      <w:marLeft w:val="0"/>
      <w:marRight w:val="0"/>
      <w:marTop w:val="240"/>
      <w:marBottom w:val="0"/>
      <w:divBdr>
        <w:top w:val="none" w:sz="0" w:space="0" w:color="auto"/>
        <w:left w:val="none" w:sz="0" w:space="0" w:color="auto"/>
        <w:bottom w:val="none" w:sz="0" w:space="0" w:color="auto"/>
        <w:right w:val="none" w:sz="0" w:space="0" w:color="auto"/>
      </w:divBdr>
    </w:div>
    <w:div w:id="1246647756">
      <w:marLeft w:val="0"/>
      <w:marRight w:val="0"/>
      <w:marTop w:val="0"/>
      <w:marBottom w:val="0"/>
      <w:divBdr>
        <w:top w:val="none" w:sz="0" w:space="0" w:color="auto"/>
        <w:left w:val="none" w:sz="0" w:space="0" w:color="auto"/>
        <w:bottom w:val="none" w:sz="0" w:space="0" w:color="auto"/>
        <w:right w:val="none" w:sz="0" w:space="0" w:color="auto"/>
      </w:divBdr>
      <w:divsChild>
        <w:div w:id="824248386">
          <w:marLeft w:val="0"/>
          <w:marRight w:val="0"/>
          <w:marTop w:val="0"/>
          <w:marBottom w:val="0"/>
          <w:divBdr>
            <w:top w:val="none" w:sz="0" w:space="0" w:color="auto"/>
            <w:left w:val="none" w:sz="0" w:space="0" w:color="auto"/>
            <w:bottom w:val="none" w:sz="0" w:space="0" w:color="auto"/>
            <w:right w:val="none" w:sz="0" w:space="0" w:color="auto"/>
          </w:divBdr>
          <w:divsChild>
            <w:div w:id="11121689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52010537">
      <w:marLeft w:val="0"/>
      <w:marRight w:val="0"/>
      <w:marTop w:val="240"/>
      <w:marBottom w:val="0"/>
      <w:divBdr>
        <w:top w:val="none" w:sz="0" w:space="0" w:color="auto"/>
        <w:left w:val="none" w:sz="0" w:space="0" w:color="auto"/>
        <w:bottom w:val="none" w:sz="0" w:space="0" w:color="auto"/>
        <w:right w:val="none" w:sz="0" w:space="0" w:color="auto"/>
      </w:divBdr>
    </w:div>
    <w:div w:id="1252156155">
      <w:marLeft w:val="0"/>
      <w:marRight w:val="0"/>
      <w:marTop w:val="240"/>
      <w:marBottom w:val="0"/>
      <w:divBdr>
        <w:top w:val="none" w:sz="0" w:space="0" w:color="auto"/>
        <w:left w:val="none" w:sz="0" w:space="0" w:color="auto"/>
        <w:bottom w:val="none" w:sz="0" w:space="0" w:color="auto"/>
        <w:right w:val="none" w:sz="0" w:space="0" w:color="auto"/>
      </w:divBdr>
    </w:div>
    <w:div w:id="1252202121">
      <w:marLeft w:val="0"/>
      <w:marRight w:val="0"/>
      <w:marTop w:val="240"/>
      <w:marBottom w:val="240"/>
      <w:divBdr>
        <w:top w:val="none" w:sz="0" w:space="0" w:color="auto"/>
        <w:left w:val="none" w:sz="0" w:space="0" w:color="auto"/>
        <w:bottom w:val="none" w:sz="0" w:space="0" w:color="auto"/>
        <w:right w:val="none" w:sz="0" w:space="0" w:color="auto"/>
      </w:divBdr>
    </w:div>
    <w:div w:id="1252590481">
      <w:marLeft w:val="0"/>
      <w:marRight w:val="0"/>
      <w:marTop w:val="240"/>
      <w:marBottom w:val="0"/>
      <w:divBdr>
        <w:top w:val="none" w:sz="0" w:space="0" w:color="auto"/>
        <w:left w:val="none" w:sz="0" w:space="0" w:color="auto"/>
        <w:bottom w:val="none" w:sz="0" w:space="0" w:color="auto"/>
        <w:right w:val="none" w:sz="0" w:space="0" w:color="auto"/>
      </w:divBdr>
    </w:div>
    <w:div w:id="1253120664">
      <w:marLeft w:val="0"/>
      <w:marRight w:val="0"/>
      <w:marTop w:val="240"/>
      <w:marBottom w:val="0"/>
      <w:divBdr>
        <w:top w:val="none" w:sz="0" w:space="0" w:color="auto"/>
        <w:left w:val="none" w:sz="0" w:space="0" w:color="auto"/>
        <w:bottom w:val="none" w:sz="0" w:space="0" w:color="auto"/>
        <w:right w:val="none" w:sz="0" w:space="0" w:color="auto"/>
      </w:divBdr>
    </w:div>
    <w:div w:id="1256522966">
      <w:marLeft w:val="0"/>
      <w:marRight w:val="0"/>
      <w:marTop w:val="240"/>
      <w:marBottom w:val="0"/>
      <w:divBdr>
        <w:top w:val="none" w:sz="0" w:space="0" w:color="auto"/>
        <w:left w:val="none" w:sz="0" w:space="0" w:color="auto"/>
        <w:bottom w:val="none" w:sz="0" w:space="0" w:color="auto"/>
        <w:right w:val="none" w:sz="0" w:space="0" w:color="auto"/>
      </w:divBdr>
    </w:div>
    <w:div w:id="1257058002">
      <w:marLeft w:val="0"/>
      <w:marRight w:val="0"/>
      <w:marTop w:val="300"/>
      <w:marBottom w:val="240"/>
      <w:divBdr>
        <w:top w:val="none" w:sz="0" w:space="0" w:color="auto"/>
        <w:left w:val="none" w:sz="0" w:space="0" w:color="auto"/>
        <w:bottom w:val="none" w:sz="0" w:space="0" w:color="auto"/>
        <w:right w:val="none" w:sz="0" w:space="0" w:color="auto"/>
      </w:divBdr>
    </w:div>
    <w:div w:id="1258709950">
      <w:marLeft w:val="0"/>
      <w:marRight w:val="0"/>
      <w:marTop w:val="240"/>
      <w:marBottom w:val="0"/>
      <w:divBdr>
        <w:top w:val="none" w:sz="0" w:space="0" w:color="auto"/>
        <w:left w:val="none" w:sz="0" w:space="0" w:color="auto"/>
        <w:bottom w:val="none" w:sz="0" w:space="0" w:color="auto"/>
        <w:right w:val="none" w:sz="0" w:space="0" w:color="auto"/>
      </w:divBdr>
    </w:div>
    <w:div w:id="1260675292">
      <w:marLeft w:val="0"/>
      <w:marRight w:val="0"/>
      <w:marTop w:val="240"/>
      <w:marBottom w:val="0"/>
      <w:divBdr>
        <w:top w:val="none" w:sz="0" w:space="0" w:color="auto"/>
        <w:left w:val="none" w:sz="0" w:space="0" w:color="auto"/>
        <w:bottom w:val="none" w:sz="0" w:space="0" w:color="auto"/>
        <w:right w:val="none" w:sz="0" w:space="0" w:color="auto"/>
      </w:divBdr>
    </w:div>
    <w:div w:id="1262179869">
      <w:marLeft w:val="0"/>
      <w:marRight w:val="0"/>
      <w:marTop w:val="0"/>
      <w:marBottom w:val="0"/>
      <w:divBdr>
        <w:top w:val="none" w:sz="0" w:space="0" w:color="auto"/>
        <w:left w:val="none" w:sz="0" w:space="0" w:color="auto"/>
        <w:bottom w:val="none" w:sz="0" w:space="0" w:color="auto"/>
        <w:right w:val="none" w:sz="0" w:space="0" w:color="auto"/>
      </w:divBdr>
      <w:divsChild>
        <w:div w:id="2015720231">
          <w:marLeft w:val="0"/>
          <w:marRight w:val="0"/>
          <w:marTop w:val="0"/>
          <w:marBottom w:val="0"/>
          <w:divBdr>
            <w:top w:val="none" w:sz="0" w:space="0" w:color="auto"/>
            <w:left w:val="none" w:sz="0" w:space="0" w:color="auto"/>
            <w:bottom w:val="none" w:sz="0" w:space="0" w:color="auto"/>
            <w:right w:val="none" w:sz="0" w:space="0" w:color="auto"/>
          </w:divBdr>
          <w:divsChild>
            <w:div w:id="17380929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62303012">
      <w:marLeft w:val="0"/>
      <w:marRight w:val="0"/>
      <w:marTop w:val="240"/>
      <w:marBottom w:val="0"/>
      <w:divBdr>
        <w:top w:val="none" w:sz="0" w:space="0" w:color="auto"/>
        <w:left w:val="none" w:sz="0" w:space="0" w:color="auto"/>
        <w:bottom w:val="none" w:sz="0" w:space="0" w:color="auto"/>
        <w:right w:val="none" w:sz="0" w:space="0" w:color="auto"/>
      </w:divBdr>
    </w:div>
    <w:div w:id="1262566544">
      <w:marLeft w:val="0"/>
      <w:marRight w:val="0"/>
      <w:marTop w:val="180"/>
      <w:marBottom w:val="120"/>
      <w:divBdr>
        <w:top w:val="none" w:sz="0" w:space="0" w:color="auto"/>
        <w:left w:val="none" w:sz="0" w:space="0" w:color="auto"/>
        <w:bottom w:val="none" w:sz="0" w:space="0" w:color="auto"/>
        <w:right w:val="none" w:sz="0" w:space="0" w:color="auto"/>
      </w:divBdr>
    </w:div>
    <w:div w:id="1262567636">
      <w:marLeft w:val="0"/>
      <w:marRight w:val="0"/>
      <w:marTop w:val="240"/>
      <w:marBottom w:val="0"/>
      <w:divBdr>
        <w:top w:val="none" w:sz="0" w:space="0" w:color="auto"/>
        <w:left w:val="none" w:sz="0" w:space="0" w:color="auto"/>
        <w:bottom w:val="none" w:sz="0" w:space="0" w:color="auto"/>
        <w:right w:val="none" w:sz="0" w:space="0" w:color="auto"/>
      </w:divBdr>
    </w:div>
    <w:div w:id="1264535502">
      <w:marLeft w:val="0"/>
      <w:marRight w:val="0"/>
      <w:marTop w:val="0"/>
      <w:marBottom w:val="0"/>
      <w:divBdr>
        <w:top w:val="none" w:sz="0" w:space="0" w:color="auto"/>
        <w:left w:val="none" w:sz="0" w:space="0" w:color="auto"/>
        <w:bottom w:val="none" w:sz="0" w:space="0" w:color="auto"/>
        <w:right w:val="none" w:sz="0" w:space="0" w:color="auto"/>
      </w:divBdr>
      <w:divsChild>
        <w:div w:id="1022245197">
          <w:marLeft w:val="0"/>
          <w:marRight w:val="0"/>
          <w:marTop w:val="120"/>
          <w:marBottom w:val="0"/>
          <w:divBdr>
            <w:top w:val="none" w:sz="0" w:space="0" w:color="auto"/>
            <w:left w:val="none" w:sz="0" w:space="0" w:color="auto"/>
            <w:bottom w:val="none" w:sz="0" w:space="0" w:color="auto"/>
            <w:right w:val="none" w:sz="0" w:space="0" w:color="auto"/>
          </w:divBdr>
        </w:div>
      </w:divsChild>
    </w:div>
    <w:div w:id="1264875241">
      <w:marLeft w:val="0"/>
      <w:marRight w:val="0"/>
      <w:marTop w:val="0"/>
      <w:marBottom w:val="0"/>
      <w:divBdr>
        <w:top w:val="none" w:sz="0" w:space="0" w:color="auto"/>
        <w:left w:val="none" w:sz="0" w:space="0" w:color="auto"/>
        <w:bottom w:val="none" w:sz="0" w:space="0" w:color="auto"/>
        <w:right w:val="none" w:sz="0" w:space="0" w:color="auto"/>
      </w:divBdr>
      <w:divsChild>
        <w:div w:id="640113719">
          <w:marLeft w:val="0"/>
          <w:marRight w:val="0"/>
          <w:marTop w:val="0"/>
          <w:marBottom w:val="0"/>
          <w:divBdr>
            <w:top w:val="none" w:sz="0" w:space="0" w:color="auto"/>
            <w:left w:val="none" w:sz="0" w:space="0" w:color="auto"/>
            <w:bottom w:val="none" w:sz="0" w:space="0" w:color="auto"/>
            <w:right w:val="none" w:sz="0" w:space="0" w:color="auto"/>
          </w:divBdr>
          <w:divsChild>
            <w:div w:id="3382374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66496846">
      <w:marLeft w:val="0"/>
      <w:marRight w:val="0"/>
      <w:marTop w:val="240"/>
      <w:marBottom w:val="0"/>
      <w:divBdr>
        <w:top w:val="none" w:sz="0" w:space="0" w:color="auto"/>
        <w:left w:val="none" w:sz="0" w:space="0" w:color="auto"/>
        <w:bottom w:val="none" w:sz="0" w:space="0" w:color="auto"/>
        <w:right w:val="none" w:sz="0" w:space="0" w:color="auto"/>
      </w:divBdr>
    </w:div>
    <w:div w:id="1266768841">
      <w:marLeft w:val="0"/>
      <w:marRight w:val="0"/>
      <w:marTop w:val="100"/>
      <w:marBottom w:val="0"/>
      <w:divBdr>
        <w:top w:val="none" w:sz="0" w:space="0" w:color="auto"/>
        <w:left w:val="none" w:sz="0" w:space="0" w:color="auto"/>
        <w:bottom w:val="none" w:sz="0" w:space="0" w:color="auto"/>
        <w:right w:val="none" w:sz="0" w:space="0" w:color="auto"/>
      </w:divBdr>
    </w:div>
    <w:div w:id="1267926362">
      <w:marLeft w:val="0"/>
      <w:marRight w:val="0"/>
      <w:marTop w:val="120"/>
      <w:marBottom w:val="0"/>
      <w:divBdr>
        <w:top w:val="none" w:sz="0" w:space="0" w:color="auto"/>
        <w:left w:val="none" w:sz="0" w:space="0" w:color="auto"/>
        <w:bottom w:val="none" w:sz="0" w:space="0" w:color="auto"/>
        <w:right w:val="none" w:sz="0" w:space="0" w:color="auto"/>
      </w:divBdr>
    </w:div>
    <w:div w:id="1268923985">
      <w:marLeft w:val="0"/>
      <w:marRight w:val="0"/>
      <w:marTop w:val="140"/>
      <w:marBottom w:val="0"/>
      <w:divBdr>
        <w:top w:val="none" w:sz="0" w:space="0" w:color="auto"/>
        <w:left w:val="none" w:sz="0" w:space="0" w:color="auto"/>
        <w:bottom w:val="none" w:sz="0" w:space="0" w:color="auto"/>
        <w:right w:val="none" w:sz="0" w:space="0" w:color="auto"/>
      </w:divBdr>
    </w:div>
    <w:div w:id="1269117317">
      <w:marLeft w:val="0"/>
      <w:marRight w:val="0"/>
      <w:marTop w:val="240"/>
      <w:marBottom w:val="0"/>
      <w:divBdr>
        <w:top w:val="none" w:sz="0" w:space="0" w:color="auto"/>
        <w:left w:val="none" w:sz="0" w:space="0" w:color="auto"/>
        <w:bottom w:val="none" w:sz="0" w:space="0" w:color="auto"/>
        <w:right w:val="none" w:sz="0" w:space="0" w:color="auto"/>
      </w:divBdr>
    </w:div>
    <w:div w:id="1271355968">
      <w:marLeft w:val="0"/>
      <w:marRight w:val="0"/>
      <w:marTop w:val="100"/>
      <w:marBottom w:val="0"/>
      <w:divBdr>
        <w:top w:val="none" w:sz="0" w:space="0" w:color="auto"/>
        <w:left w:val="none" w:sz="0" w:space="0" w:color="auto"/>
        <w:bottom w:val="none" w:sz="0" w:space="0" w:color="auto"/>
        <w:right w:val="none" w:sz="0" w:space="0" w:color="auto"/>
      </w:divBdr>
    </w:div>
    <w:div w:id="1271475343">
      <w:marLeft w:val="0"/>
      <w:marRight w:val="0"/>
      <w:marTop w:val="240"/>
      <w:marBottom w:val="0"/>
      <w:divBdr>
        <w:top w:val="none" w:sz="0" w:space="0" w:color="auto"/>
        <w:left w:val="none" w:sz="0" w:space="0" w:color="auto"/>
        <w:bottom w:val="none" w:sz="0" w:space="0" w:color="auto"/>
        <w:right w:val="none" w:sz="0" w:space="0" w:color="auto"/>
      </w:divBdr>
    </w:div>
    <w:div w:id="1271549685">
      <w:marLeft w:val="0"/>
      <w:marRight w:val="0"/>
      <w:marTop w:val="220"/>
      <w:marBottom w:val="0"/>
      <w:divBdr>
        <w:top w:val="none" w:sz="0" w:space="0" w:color="auto"/>
        <w:left w:val="none" w:sz="0" w:space="0" w:color="auto"/>
        <w:bottom w:val="none" w:sz="0" w:space="0" w:color="auto"/>
        <w:right w:val="none" w:sz="0" w:space="0" w:color="auto"/>
      </w:divBdr>
      <w:divsChild>
        <w:div w:id="564295187">
          <w:marLeft w:val="0"/>
          <w:marRight w:val="0"/>
          <w:marTop w:val="0"/>
          <w:marBottom w:val="0"/>
          <w:divBdr>
            <w:top w:val="none" w:sz="0" w:space="0" w:color="auto"/>
            <w:left w:val="none" w:sz="0" w:space="0" w:color="auto"/>
            <w:bottom w:val="none" w:sz="0" w:space="0" w:color="auto"/>
            <w:right w:val="none" w:sz="0" w:space="0" w:color="auto"/>
          </w:divBdr>
        </w:div>
      </w:divsChild>
    </w:div>
    <w:div w:id="1272978466">
      <w:marLeft w:val="0"/>
      <w:marRight w:val="0"/>
      <w:marTop w:val="240"/>
      <w:marBottom w:val="0"/>
      <w:divBdr>
        <w:top w:val="none" w:sz="0" w:space="0" w:color="auto"/>
        <w:left w:val="none" w:sz="0" w:space="0" w:color="auto"/>
        <w:bottom w:val="none" w:sz="0" w:space="0" w:color="auto"/>
        <w:right w:val="none" w:sz="0" w:space="0" w:color="auto"/>
      </w:divBdr>
    </w:div>
    <w:div w:id="1273169267">
      <w:marLeft w:val="0"/>
      <w:marRight w:val="0"/>
      <w:marTop w:val="240"/>
      <w:marBottom w:val="0"/>
      <w:divBdr>
        <w:top w:val="none" w:sz="0" w:space="0" w:color="auto"/>
        <w:left w:val="none" w:sz="0" w:space="0" w:color="auto"/>
        <w:bottom w:val="none" w:sz="0" w:space="0" w:color="auto"/>
        <w:right w:val="none" w:sz="0" w:space="0" w:color="auto"/>
      </w:divBdr>
    </w:div>
    <w:div w:id="1274484267">
      <w:marLeft w:val="0"/>
      <w:marRight w:val="0"/>
      <w:marTop w:val="300"/>
      <w:marBottom w:val="0"/>
      <w:divBdr>
        <w:top w:val="none" w:sz="0" w:space="0" w:color="auto"/>
        <w:left w:val="none" w:sz="0" w:space="0" w:color="auto"/>
        <w:bottom w:val="none" w:sz="0" w:space="0" w:color="auto"/>
        <w:right w:val="none" w:sz="0" w:space="0" w:color="auto"/>
      </w:divBdr>
    </w:div>
    <w:div w:id="1276254514">
      <w:marLeft w:val="0"/>
      <w:marRight w:val="0"/>
      <w:marTop w:val="0"/>
      <w:marBottom w:val="0"/>
      <w:divBdr>
        <w:top w:val="none" w:sz="0" w:space="0" w:color="auto"/>
        <w:left w:val="none" w:sz="0" w:space="0" w:color="auto"/>
        <w:bottom w:val="none" w:sz="0" w:space="0" w:color="auto"/>
        <w:right w:val="none" w:sz="0" w:space="0" w:color="auto"/>
      </w:divBdr>
      <w:divsChild>
        <w:div w:id="1324159930">
          <w:marLeft w:val="0"/>
          <w:marRight w:val="0"/>
          <w:marTop w:val="120"/>
          <w:marBottom w:val="0"/>
          <w:divBdr>
            <w:top w:val="none" w:sz="0" w:space="0" w:color="auto"/>
            <w:left w:val="none" w:sz="0" w:space="0" w:color="auto"/>
            <w:bottom w:val="none" w:sz="0" w:space="0" w:color="auto"/>
            <w:right w:val="none" w:sz="0" w:space="0" w:color="auto"/>
          </w:divBdr>
        </w:div>
      </w:divsChild>
    </w:div>
    <w:div w:id="1276332407">
      <w:marLeft w:val="0"/>
      <w:marRight w:val="0"/>
      <w:marTop w:val="180"/>
      <w:marBottom w:val="0"/>
      <w:divBdr>
        <w:top w:val="none" w:sz="0" w:space="0" w:color="auto"/>
        <w:left w:val="none" w:sz="0" w:space="0" w:color="auto"/>
        <w:bottom w:val="none" w:sz="0" w:space="0" w:color="auto"/>
        <w:right w:val="none" w:sz="0" w:space="0" w:color="auto"/>
      </w:divBdr>
    </w:div>
    <w:div w:id="1276403701">
      <w:marLeft w:val="0"/>
      <w:marRight w:val="0"/>
      <w:marTop w:val="0"/>
      <w:marBottom w:val="0"/>
      <w:divBdr>
        <w:top w:val="none" w:sz="0" w:space="0" w:color="auto"/>
        <w:left w:val="none" w:sz="0" w:space="0" w:color="auto"/>
        <w:bottom w:val="none" w:sz="0" w:space="0" w:color="auto"/>
        <w:right w:val="none" w:sz="0" w:space="0" w:color="auto"/>
      </w:divBdr>
      <w:divsChild>
        <w:div w:id="2056198645">
          <w:marLeft w:val="0"/>
          <w:marRight w:val="0"/>
          <w:marTop w:val="120"/>
          <w:marBottom w:val="0"/>
          <w:divBdr>
            <w:top w:val="none" w:sz="0" w:space="0" w:color="auto"/>
            <w:left w:val="none" w:sz="0" w:space="0" w:color="auto"/>
            <w:bottom w:val="none" w:sz="0" w:space="0" w:color="auto"/>
            <w:right w:val="none" w:sz="0" w:space="0" w:color="auto"/>
          </w:divBdr>
        </w:div>
      </w:divsChild>
    </w:div>
    <w:div w:id="1276450716">
      <w:marLeft w:val="0"/>
      <w:marRight w:val="0"/>
      <w:marTop w:val="0"/>
      <w:marBottom w:val="0"/>
      <w:divBdr>
        <w:top w:val="none" w:sz="0" w:space="0" w:color="auto"/>
        <w:left w:val="none" w:sz="0" w:space="0" w:color="auto"/>
        <w:bottom w:val="none" w:sz="0" w:space="0" w:color="auto"/>
        <w:right w:val="none" w:sz="0" w:space="0" w:color="auto"/>
      </w:divBdr>
      <w:divsChild>
        <w:div w:id="737167047">
          <w:marLeft w:val="0"/>
          <w:marRight w:val="0"/>
          <w:marTop w:val="0"/>
          <w:marBottom w:val="0"/>
          <w:divBdr>
            <w:top w:val="none" w:sz="0" w:space="0" w:color="auto"/>
            <w:left w:val="none" w:sz="0" w:space="0" w:color="auto"/>
            <w:bottom w:val="none" w:sz="0" w:space="0" w:color="auto"/>
            <w:right w:val="none" w:sz="0" w:space="0" w:color="auto"/>
          </w:divBdr>
          <w:divsChild>
            <w:div w:id="16740709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80334725">
      <w:marLeft w:val="0"/>
      <w:marRight w:val="0"/>
      <w:marTop w:val="240"/>
      <w:marBottom w:val="0"/>
      <w:divBdr>
        <w:top w:val="none" w:sz="0" w:space="0" w:color="auto"/>
        <w:left w:val="none" w:sz="0" w:space="0" w:color="auto"/>
        <w:bottom w:val="none" w:sz="0" w:space="0" w:color="auto"/>
        <w:right w:val="none" w:sz="0" w:space="0" w:color="auto"/>
      </w:divBdr>
    </w:div>
    <w:div w:id="1280795971">
      <w:marLeft w:val="0"/>
      <w:marRight w:val="0"/>
      <w:marTop w:val="240"/>
      <w:marBottom w:val="0"/>
      <w:divBdr>
        <w:top w:val="none" w:sz="0" w:space="0" w:color="auto"/>
        <w:left w:val="none" w:sz="0" w:space="0" w:color="auto"/>
        <w:bottom w:val="none" w:sz="0" w:space="0" w:color="auto"/>
        <w:right w:val="none" w:sz="0" w:space="0" w:color="auto"/>
      </w:divBdr>
    </w:div>
    <w:div w:id="1280842363">
      <w:marLeft w:val="0"/>
      <w:marRight w:val="0"/>
      <w:marTop w:val="60"/>
      <w:marBottom w:val="0"/>
      <w:divBdr>
        <w:top w:val="none" w:sz="0" w:space="0" w:color="auto"/>
        <w:left w:val="none" w:sz="0" w:space="0" w:color="auto"/>
        <w:bottom w:val="none" w:sz="0" w:space="0" w:color="auto"/>
        <w:right w:val="none" w:sz="0" w:space="0" w:color="auto"/>
      </w:divBdr>
    </w:div>
    <w:div w:id="1283729626">
      <w:marLeft w:val="0"/>
      <w:marRight w:val="0"/>
      <w:marTop w:val="240"/>
      <w:marBottom w:val="0"/>
      <w:divBdr>
        <w:top w:val="none" w:sz="0" w:space="0" w:color="auto"/>
        <w:left w:val="none" w:sz="0" w:space="0" w:color="auto"/>
        <w:bottom w:val="none" w:sz="0" w:space="0" w:color="auto"/>
        <w:right w:val="none" w:sz="0" w:space="0" w:color="auto"/>
      </w:divBdr>
    </w:div>
    <w:div w:id="1286154546">
      <w:marLeft w:val="0"/>
      <w:marRight w:val="0"/>
      <w:marTop w:val="240"/>
      <w:marBottom w:val="0"/>
      <w:divBdr>
        <w:top w:val="none" w:sz="0" w:space="0" w:color="auto"/>
        <w:left w:val="none" w:sz="0" w:space="0" w:color="auto"/>
        <w:bottom w:val="none" w:sz="0" w:space="0" w:color="auto"/>
        <w:right w:val="none" w:sz="0" w:space="0" w:color="auto"/>
      </w:divBdr>
    </w:div>
    <w:div w:id="1286735621">
      <w:marLeft w:val="0"/>
      <w:marRight w:val="0"/>
      <w:marTop w:val="240"/>
      <w:marBottom w:val="0"/>
      <w:divBdr>
        <w:top w:val="none" w:sz="0" w:space="0" w:color="auto"/>
        <w:left w:val="none" w:sz="0" w:space="0" w:color="auto"/>
        <w:bottom w:val="none" w:sz="0" w:space="0" w:color="auto"/>
        <w:right w:val="none" w:sz="0" w:space="0" w:color="auto"/>
      </w:divBdr>
    </w:div>
    <w:div w:id="1287659606">
      <w:marLeft w:val="0"/>
      <w:marRight w:val="0"/>
      <w:marTop w:val="100"/>
      <w:marBottom w:val="240"/>
      <w:divBdr>
        <w:top w:val="none" w:sz="0" w:space="0" w:color="auto"/>
        <w:left w:val="none" w:sz="0" w:space="0" w:color="auto"/>
        <w:bottom w:val="none" w:sz="0" w:space="0" w:color="auto"/>
        <w:right w:val="none" w:sz="0" w:space="0" w:color="auto"/>
      </w:divBdr>
    </w:div>
    <w:div w:id="1288198120">
      <w:marLeft w:val="0"/>
      <w:marRight w:val="0"/>
      <w:marTop w:val="140"/>
      <w:marBottom w:val="0"/>
      <w:divBdr>
        <w:top w:val="none" w:sz="0" w:space="0" w:color="auto"/>
        <w:left w:val="none" w:sz="0" w:space="0" w:color="auto"/>
        <w:bottom w:val="none" w:sz="0" w:space="0" w:color="auto"/>
        <w:right w:val="none" w:sz="0" w:space="0" w:color="auto"/>
      </w:divBdr>
    </w:div>
    <w:div w:id="1289315176">
      <w:marLeft w:val="0"/>
      <w:marRight w:val="0"/>
      <w:marTop w:val="240"/>
      <w:marBottom w:val="0"/>
      <w:divBdr>
        <w:top w:val="none" w:sz="0" w:space="0" w:color="auto"/>
        <w:left w:val="none" w:sz="0" w:space="0" w:color="auto"/>
        <w:bottom w:val="none" w:sz="0" w:space="0" w:color="auto"/>
        <w:right w:val="none" w:sz="0" w:space="0" w:color="auto"/>
      </w:divBdr>
    </w:div>
    <w:div w:id="1289556181">
      <w:marLeft w:val="0"/>
      <w:marRight w:val="0"/>
      <w:marTop w:val="240"/>
      <w:marBottom w:val="0"/>
      <w:divBdr>
        <w:top w:val="none" w:sz="0" w:space="0" w:color="auto"/>
        <w:left w:val="none" w:sz="0" w:space="0" w:color="auto"/>
        <w:bottom w:val="none" w:sz="0" w:space="0" w:color="auto"/>
        <w:right w:val="none" w:sz="0" w:space="0" w:color="auto"/>
      </w:divBdr>
    </w:div>
    <w:div w:id="1290011824">
      <w:marLeft w:val="0"/>
      <w:marRight w:val="0"/>
      <w:marTop w:val="240"/>
      <w:marBottom w:val="0"/>
      <w:divBdr>
        <w:top w:val="none" w:sz="0" w:space="0" w:color="auto"/>
        <w:left w:val="none" w:sz="0" w:space="0" w:color="auto"/>
        <w:bottom w:val="none" w:sz="0" w:space="0" w:color="auto"/>
        <w:right w:val="none" w:sz="0" w:space="0" w:color="auto"/>
      </w:divBdr>
    </w:div>
    <w:div w:id="1290476127">
      <w:marLeft w:val="0"/>
      <w:marRight w:val="0"/>
      <w:marTop w:val="180"/>
      <w:marBottom w:val="0"/>
      <w:divBdr>
        <w:top w:val="none" w:sz="0" w:space="0" w:color="auto"/>
        <w:left w:val="none" w:sz="0" w:space="0" w:color="auto"/>
        <w:bottom w:val="none" w:sz="0" w:space="0" w:color="auto"/>
        <w:right w:val="none" w:sz="0" w:space="0" w:color="auto"/>
      </w:divBdr>
    </w:div>
    <w:div w:id="1292177059">
      <w:marLeft w:val="0"/>
      <w:marRight w:val="0"/>
      <w:marTop w:val="120"/>
      <w:marBottom w:val="0"/>
      <w:divBdr>
        <w:top w:val="none" w:sz="0" w:space="0" w:color="auto"/>
        <w:left w:val="none" w:sz="0" w:space="0" w:color="auto"/>
        <w:bottom w:val="none" w:sz="0" w:space="0" w:color="auto"/>
        <w:right w:val="none" w:sz="0" w:space="0" w:color="auto"/>
      </w:divBdr>
    </w:div>
    <w:div w:id="1292789894">
      <w:marLeft w:val="0"/>
      <w:marRight w:val="0"/>
      <w:marTop w:val="100"/>
      <w:marBottom w:val="180"/>
      <w:divBdr>
        <w:top w:val="none" w:sz="0" w:space="0" w:color="auto"/>
        <w:left w:val="none" w:sz="0" w:space="0" w:color="auto"/>
        <w:bottom w:val="none" w:sz="0" w:space="0" w:color="auto"/>
        <w:right w:val="none" w:sz="0" w:space="0" w:color="auto"/>
      </w:divBdr>
    </w:div>
    <w:div w:id="1294485974">
      <w:marLeft w:val="0"/>
      <w:marRight w:val="0"/>
      <w:marTop w:val="60"/>
      <w:marBottom w:val="0"/>
      <w:divBdr>
        <w:top w:val="none" w:sz="0" w:space="0" w:color="auto"/>
        <w:left w:val="none" w:sz="0" w:space="0" w:color="auto"/>
        <w:bottom w:val="none" w:sz="0" w:space="0" w:color="auto"/>
        <w:right w:val="none" w:sz="0" w:space="0" w:color="auto"/>
      </w:divBdr>
    </w:div>
    <w:div w:id="1294797632">
      <w:marLeft w:val="0"/>
      <w:marRight w:val="0"/>
      <w:marTop w:val="240"/>
      <w:marBottom w:val="0"/>
      <w:divBdr>
        <w:top w:val="none" w:sz="0" w:space="0" w:color="auto"/>
        <w:left w:val="none" w:sz="0" w:space="0" w:color="auto"/>
        <w:bottom w:val="none" w:sz="0" w:space="0" w:color="auto"/>
        <w:right w:val="none" w:sz="0" w:space="0" w:color="auto"/>
      </w:divBdr>
    </w:div>
    <w:div w:id="1300262191">
      <w:marLeft w:val="0"/>
      <w:marRight w:val="0"/>
      <w:marTop w:val="240"/>
      <w:marBottom w:val="0"/>
      <w:divBdr>
        <w:top w:val="none" w:sz="0" w:space="0" w:color="auto"/>
        <w:left w:val="none" w:sz="0" w:space="0" w:color="auto"/>
        <w:bottom w:val="none" w:sz="0" w:space="0" w:color="auto"/>
        <w:right w:val="none" w:sz="0" w:space="0" w:color="auto"/>
      </w:divBdr>
    </w:div>
    <w:div w:id="1303997262">
      <w:marLeft w:val="0"/>
      <w:marRight w:val="0"/>
      <w:marTop w:val="240"/>
      <w:marBottom w:val="0"/>
      <w:divBdr>
        <w:top w:val="none" w:sz="0" w:space="0" w:color="auto"/>
        <w:left w:val="none" w:sz="0" w:space="0" w:color="auto"/>
        <w:bottom w:val="none" w:sz="0" w:space="0" w:color="auto"/>
        <w:right w:val="none" w:sz="0" w:space="0" w:color="auto"/>
      </w:divBdr>
    </w:div>
    <w:div w:id="1304240068">
      <w:marLeft w:val="0"/>
      <w:marRight w:val="0"/>
      <w:marTop w:val="240"/>
      <w:marBottom w:val="0"/>
      <w:divBdr>
        <w:top w:val="none" w:sz="0" w:space="0" w:color="auto"/>
        <w:left w:val="none" w:sz="0" w:space="0" w:color="auto"/>
        <w:bottom w:val="none" w:sz="0" w:space="0" w:color="auto"/>
        <w:right w:val="none" w:sz="0" w:space="0" w:color="auto"/>
      </w:divBdr>
    </w:div>
    <w:div w:id="1307511137">
      <w:marLeft w:val="0"/>
      <w:marRight w:val="0"/>
      <w:marTop w:val="0"/>
      <w:marBottom w:val="0"/>
      <w:divBdr>
        <w:top w:val="none" w:sz="0" w:space="0" w:color="auto"/>
        <w:left w:val="none" w:sz="0" w:space="0" w:color="auto"/>
        <w:bottom w:val="none" w:sz="0" w:space="0" w:color="auto"/>
        <w:right w:val="none" w:sz="0" w:space="0" w:color="auto"/>
      </w:divBdr>
    </w:div>
    <w:div w:id="1307663182">
      <w:marLeft w:val="0"/>
      <w:marRight w:val="0"/>
      <w:marTop w:val="0"/>
      <w:marBottom w:val="0"/>
      <w:divBdr>
        <w:top w:val="none" w:sz="0" w:space="0" w:color="auto"/>
        <w:left w:val="none" w:sz="0" w:space="0" w:color="auto"/>
        <w:bottom w:val="none" w:sz="0" w:space="0" w:color="auto"/>
        <w:right w:val="none" w:sz="0" w:space="0" w:color="auto"/>
      </w:divBdr>
      <w:divsChild>
        <w:div w:id="1025055661">
          <w:marLeft w:val="0"/>
          <w:marRight w:val="0"/>
          <w:marTop w:val="0"/>
          <w:marBottom w:val="0"/>
          <w:divBdr>
            <w:top w:val="none" w:sz="0" w:space="0" w:color="auto"/>
            <w:left w:val="none" w:sz="0" w:space="0" w:color="auto"/>
            <w:bottom w:val="none" w:sz="0" w:space="0" w:color="auto"/>
            <w:right w:val="none" w:sz="0" w:space="0" w:color="auto"/>
          </w:divBdr>
        </w:div>
      </w:divsChild>
    </w:div>
    <w:div w:id="1309626818">
      <w:marLeft w:val="0"/>
      <w:marRight w:val="0"/>
      <w:marTop w:val="240"/>
      <w:marBottom w:val="240"/>
      <w:divBdr>
        <w:top w:val="none" w:sz="0" w:space="0" w:color="auto"/>
        <w:left w:val="none" w:sz="0" w:space="0" w:color="auto"/>
        <w:bottom w:val="none" w:sz="0" w:space="0" w:color="auto"/>
        <w:right w:val="none" w:sz="0" w:space="0" w:color="auto"/>
      </w:divBdr>
    </w:div>
    <w:div w:id="1312250314">
      <w:marLeft w:val="0"/>
      <w:marRight w:val="0"/>
      <w:marTop w:val="100"/>
      <w:marBottom w:val="0"/>
      <w:divBdr>
        <w:top w:val="none" w:sz="0" w:space="0" w:color="auto"/>
        <w:left w:val="none" w:sz="0" w:space="0" w:color="auto"/>
        <w:bottom w:val="none" w:sz="0" w:space="0" w:color="auto"/>
        <w:right w:val="none" w:sz="0" w:space="0" w:color="auto"/>
      </w:divBdr>
    </w:div>
    <w:div w:id="1312566352">
      <w:marLeft w:val="0"/>
      <w:marRight w:val="0"/>
      <w:marTop w:val="240"/>
      <w:marBottom w:val="0"/>
      <w:divBdr>
        <w:top w:val="none" w:sz="0" w:space="0" w:color="auto"/>
        <w:left w:val="none" w:sz="0" w:space="0" w:color="auto"/>
        <w:bottom w:val="none" w:sz="0" w:space="0" w:color="auto"/>
        <w:right w:val="none" w:sz="0" w:space="0" w:color="auto"/>
      </w:divBdr>
    </w:div>
    <w:div w:id="1313101731">
      <w:marLeft w:val="0"/>
      <w:marRight w:val="0"/>
      <w:marTop w:val="0"/>
      <w:marBottom w:val="0"/>
      <w:divBdr>
        <w:top w:val="none" w:sz="0" w:space="0" w:color="auto"/>
        <w:left w:val="none" w:sz="0" w:space="0" w:color="auto"/>
        <w:bottom w:val="none" w:sz="0" w:space="0" w:color="auto"/>
        <w:right w:val="none" w:sz="0" w:space="0" w:color="auto"/>
      </w:divBdr>
      <w:divsChild>
        <w:div w:id="1856309904">
          <w:marLeft w:val="0"/>
          <w:marRight w:val="0"/>
          <w:marTop w:val="0"/>
          <w:marBottom w:val="0"/>
          <w:divBdr>
            <w:top w:val="none" w:sz="0" w:space="0" w:color="auto"/>
            <w:left w:val="none" w:sz="0" w:space="0" w:color="auto"/>
            <w:bottom w:val="none" w:sz="0" w:space="0" w:color="auto"/>
            <w:right w:val="none" w:sz="0" w:space="0" w:color="auto"/>
          </w:divBdr>
        </w:div>
      </w:divsChild>
    </w:div>
    <w:div w:id="1314065401">
      <w:marLeft w:val="0"/>
      <w:marRight w:val="0"/>
      <w:marTop w:val="0"/>
      <w:marBottom w:val="0"/>
      <w:divBdr>
        <w:top w:val="none" w:sz="0" w:space="0" w:color="auto"/>
        <w:left w:val="none" w:sz="0" w:space="0" w:color="auto"/>
        <w:bottom w:val="none" w:sz="0" w:space="0" w:color="auto"/>
        <w:right w:val="none" w:sz="0" w:space="0" w:color="auto"/>
      </w:divBdr>
      <w:divsChild>
        <w:div w:id="690910285">
          <w:marLeft w:val="0"/>
          <w:marRight w:val="0"/>
          <w:marTop w:val="0"/>
          <w:marBottom w:val="0"/>
          <w:divBdr>
            <w:top w:val="none" w:sz="0" w:space="0" w:color="auto"/>
            <w:left w:val="none" w:sz="0" w:space="0" w:color="auto"/>
            <w:bottom w:val="none" w:sz="0" w:space="0" w:color="auto"/>
            <w:right w:val="none" w:sz="0" w:space="0" w:color="auto"/>
          </w:divBdr>
        </w:div>
      </w:divsChild>
    </w:div>
    <w:div w:id="1314259003">
      <w:marLeft w:val="0"/>
      <w:marRight w:val="0"/>
      <w:marTop w:val="240"/>
      <w:marBottom w:val="0"/>
      <w:divBdr>
        <w:top w:val="none" w:sz="0" w:space="0" w:color="auto"/>
        <w:left w:val="none" w:sz="0" w:space="0" w:color="auto"/>
        <w:bottom w:val="none" w:sz="0" w:space="0" w:color="auto"/>
        <w:right w:val="none" w:sz="0" w:space="0" w:color="auto"/>
      </w:divBdr>
    </w:div>
    <w:div w:id="1315141815">
      <w:marLeft w:val="0"/>
      <w:marRight w:val="0"/>
      <w:marTop w:val="0"/>
      <w:marBottom w:val="0"/>
      <w:divBdr>
        <w:top w:val="none" w:sz="0" w:space="0" w:color="auto"/>
        <w:left w:val="none" w:sz="0" w:space="0" w:color="auto"/>
        <w:bottom w:val="none" w:sz="0" w:space="0" w:color="auto"/>
        <w:right w:val="none" w:sz="0" w:space="0" w:color="auto"/>
      </w:divBdr>
      <w:divsChild>
        <w:div w:id="502747847">
          <w:marLeft w:val="0"/>
          <w:marRight w:val="0"/>
          <w:marTop w:val="0"/>
          <w:marBottom w:val="0"/>
          <w:divBdr>
            <w:top w:val="none" w:sz="0" w:space="0" w:color="auto"/>
            <w:left w:val="none" w:sz="0" w:space="0" w:color="auto"/>
            <w:bottom w:val="none" w:sz="0" w:space="0" w:color="auto"/>
            <w:right w:val="none" w:sz="0" w:space="0" w:color="auto"/>
          </w:divBdr>
          <w:divsChild>
            <w:div w:id="7602502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15716092">
      <w:marLeft w:val="0"/>
      <w:marRight w:val="0"/>
      <w:marTop w:val="0"/>
      <w:marBottom w:val="0"/>
      <w:divBdr>
        <w:top w:val="none" w:sz="0" w:space="0" w:color="auto"/>
        <w:left w:val="none" w:sz="0" w:space="0" w:color="auto"/>
        <w:bottom w:val="none" w:sz="0" w:space="0" w:color="auto"/>
        <w:right w:val="none" w:sz="0" w:space="0" w:color="auto"/>
      </w:divBdr>
      <w:divsChild>
        <w:div w:id="706487310">
          <w:marLeft w:val="0"/>
          <w:marRight w:val="0"/>
          <w:marTop w:val="0"/>
          <w:marBottom w:val="0"/>
          <w:divBdr>
            <w:top w:val="none" w:sz="0" w:space="0" w:color="auto"/>
            <w:left w:val="none" w:sz="0" w:space="0" w:color="auto"/>
            <w:bottom w:val="none" w:sz="0" w:space="0" w:color="auto"/>
            <w:right w:val="none" w:sz="0" w:space="0" w:color="auto"/>
          </w:divBdr>
        </w:div>
      </w:divsChild>
    </w:div>
    <w:div w:id="1315985625">
      <w:marLeft w:val="0"/>
      <w:marRight w:val="0"/>
      <w:marTop w:val="240"/>
      <w:marBottom w:val="0"/>
      <w:divBdr>
        <w:top w:val="none" w:sz="0" w:space="0" w:color="auto"/>
        <w:left w:val="none" w:sz="0" w:space="0" w:color="auto"/>
        <w:bottom w:val="none" w:sz="0" w:space="0" w:color="auto"/>
        <w:right w:val="none" w:sz="0" w:space="0" w:color="auto"/>
      </w:divBdr>
    </w:div>
    <w:div w:id="1316566122">
      <w:marLeft w:val="0"/>
      <w:marRight w:val="0"/>
      <w:marTop w:val="60"/>
      <w:marBottom w:val="0"/>
      <w:divBdr>
        <w:top w:val="none" w:sz="0" w:space="0" w:color="auto"/>
        <w:left w:val="none" w:sz="0" w:space="0" w:color="auto"/>
        <w:bottom w:val="none" w:sz="0" w:space="0" w:color="auto"/>
        <w:right w:val="none" w:sz="0" w:space="0" w:color="auto"/>
      </w:divBdr>
    </w:div>
    <w:div w:id="1316838615">
      <w:marLeft w:val="0"/>
      <w:marRight w:val="0"/>
      <w:marTop w:val="240"/>
      <w:marBottom w:val="0"/>
      <w:divBdr>
        <w:top w:val="none" w:sz="0" w:space="0" w:color="auto"/>
        <w:left w:val="none" w:sz="0" w:space="0" w:color="auto"/>
        <w:bottom w:val="none" w:sz="0" w:space="0" w:color="auto"/>
        <w:right w:val="none" w:sz="0" w:space="0" w:color="auto"/>
      </w:divBdr>
    </w:div>
    <w:div w:id="1317107876">
      <w:marLeft w:val="0"/>
      <w:marRight w:val="0"/>
      <w:marTop w:val="240"/>
      <w:marBottom w:val="0"/>
      <w:divBdr>
        <w:top w:val="none" w:sz="0" w:space="0" w:color="auto"/>
        <w:left w:val="none" w:sz="0" w:space="0" w:color="auto"/>
        <w:bottom w:val="none" w:sz="0" w:space="0" w:color="auto"/>
        <w:right w:val="none" w:sz="0" w:space="0" w:color="auto"/>
      </w:divBdr>
    </w:div>
    <w:div w:id="1319647116">
      <w:marLeft w:val="0"/>
      <w:marRight w:val="0"/>
      <w:marTop w:val="240"/>
      <w:marBottom w:val="0"/>
      <w:divBdr>
        <w:top w:val="none" w:sz="0" w:space="0" w:color="auto"/>
        <w:left w:val="none" w:sz="0" w:space="0" w:color="auto"/>
        <w:bottom w:val="none" w:sz="0" w:space="0" w:color="auto"/>
        <w:right w:val="none" w:sz="0" w:space="0" w:color="auto"/>
      </w:divBdr>
    </w:div>
    <w:div w:id="1319764654">
      <w:marLeft w:val="0"/>
      <w:marRight w:val="0"/>
      <w:marTop w:val="240"/>
      <w:marBottom w:val="0"/>
      <w:divBdr>
        <w:top w:val="none" w:sz="0" w:space="0" w:color="auto"/>
        <w:left w:val="none" w:sz="0" w:space="0" w:color="auto"/>
        <w:bottom w:val="none" w:sz="0" w:space="0" w:color="auto"/>
        <w:right w:val="none" w:sz="0" w:space="0" w:color="auto"/>
      </w:divBdr>
    </w:div>
    <w:div w:id="1320420891">
      <w:marLeft w:val="0"/>
      <w:marRight w:val="0"/>
      <w:marTop w:val="240"/>
      <w:marBottom w:val="0"/>
      <w:divBdr>
        <w:top w:val="none" w:sz="0" w:space="0" w:color="auto"/>
        <w:left w:val="none" w:sz="0" w:space="0" w:color="auto"/>
        <w:bottom w:val="none" w:sz="0" w:space="0" w:color="auto"/>
        <w:right w:val="none" w:sz="0" w:space="0" w:color="auto"/>
      </w:divBdr>
    </w:div>
    <w:div w:id="1320844033">
      <w:marLeft w:val="0"/>
      <w:marRight w:val="0"/>
      <w:marTop w:val="0"/>
      <w:marBottom w:val="0"/>
      <w:divBdr>
        <w:top w:val="none" w:sz="0" w:space="0" w:color="auto"/>
        <w:left w:val="none" w:sz="0" w:space="0" w:color="auto"/>
        <w:bottom w:val="none" w:sz="0" w:space="0" w:color="auto"/>
        <w:right w:val="none" w:sz="0" w:space="0" w:color="auto"/>
      </w:divBdr>
      <w:divsChild>
        <w:div w:id="518204795">
          <w:marLeft w:val="0"/>
          <w:marRight w:val="0"/>
          <w:marTop w:val="0"/>
          <w:marBottom w:val="0"/>
          <w:divBdr>
            <w:top w:val="none" w:sz="0" w:space="0" w:color="auto"/>
            <w:left w:val="none" w:sz="0" w:space="0" w:color="auto"/>
            <w:bottom w:val="none" w:sz="0" w:space="0" w:color="auto"/>
            <w:right w:val="none" w:sz="0" w:space="0" w:color="auto"/>
          </w:divBdr>
          <w:divsChild>
            <w:div w:id="165992295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21229836">
      <w:marLeft w:val="0"/>
      <w:marRight w:val="0"/>
      <w:marTop w:val="240"/>
      <w:marBottom w:val="0"/>
      <w:divBdr>
        <w:top w:val="none" w:sz="0" w:space="0" w:color="auto"/>
        <w:left w:val="none" w:sz="0" w:space="0" w:color="auto"/>
        <w:bottom w:val="none" w:sz="0" w:space="0" w:color="auto"/>
        <w:right w:val="none" w:sz="0" w:space="0" w:color="auto"/>
      </w:divBdr>
    </w:div>
    <w:div w:id="1321957442">
      <w:marLeft w:val="0"/>
      <w:marRight w:val="0"/>
      <w:marTop w:val="240"/>
      <w:marBottom w:val="0"/>
      <w:divBdr>
        <w:top w:val="none" w:sz="0" w:space="0" w:color="auto"/>
        <w:left w:val="none" w:sz="0" w:space="0" w:color="auto"/>
        <w:bottom w:val="none" w:sz="0" w:space="0" w:color="auto"/>
        <w:right w:val="none" w:sz="0" w:space="0" w:color="auto"/>
      </w:divBdr>
    </w:div>
    <w:div w:id="1322077704">
      <w:marLeft w:val="0"/>
      <w:marRight w:val="0"/>
      <w:marTop w:val="0"/>
      <w:marBottom w:val="0"/>
      <w:divBdr>
        <w:top w:val="none" w:sz="0" w:space="0" w:color="auto"/>
        <w:left w:val="none" w:sz="0" w:space="0" w:color="auto"/>
        <w:bottom w:val="none" w:sz="0" w:space="0" w:color="auto"/>
        <w:right w:val="none" w:sz="0" w:space="0" w:color="auto"/>
      </w:divBdr>
      <w:divsChild>
        <w:div w:id="232816267">
          <w:marLeft w:val="0"/>
          <w:marRight w:val="0"/>
          <w:marTop w:val="0"/>
          <w:marBottom w:val="0"/>
          <w:divBdr>
            <w:top w:val="none" w:sz="0" w:space="0" w:color="auto"/>
            <w:left w:val="none" w:sz="0" w:space="0" w:color="auto"/>
            <w:bottom w:val="none" w:sz="0" w:space="0" w:color="auto"/>
            <w:right w:val="none" w:sz="0" w:space="0" w:color="auto"/>
          </w:divBdr>
        </w:div>
      </w:divsChild>
    </w:div>
    <w:div w:id="1322155191">
      <w:marLeft w:val="0"/>
      <w:marRight w:val="0"/>
      <w:marTop w:val="240"/>
      <w:marBottom w:val="0"/>
      <w:divBdr>
        <w:top w:val="none" w:sz="0" w:space="0" w:color="auto"/>
        <w:left w:val="none" w:sz="0" w:space="0" w:color="auto"/>
        <w:bottom w:val="none" w:sz="0" w:space="0" w:color="auto"/>
        <w:right w:val="none" w:sz="0" w:space="0" w:color="auto"/>
      </w:divBdr>
    </w:div>
    <w:div w:id="1322269069">
      <w:marLeft w:val="0"/>
      <w:marRight w:val="0"/>
      <w:marTop w:val="240"/>
      <w:marBottom w:val="0"/>
      <w:divBdr>
        <w:top w:val="none" w:sz="0" w:space="0" w:color="auto"/>
        <w:left w:val="none" w:sz="0" w:space="0" w:color="auto"/>
        <w:bottom w:val="none" w:sz="0" w:space="0" w:color="auto"/>
        <w:right w:val="none" w:sz="0" w:space="0" w:color="auto"/>
      </w:divBdr>
    </w:div>
    <w:div w:id="1324431659">
      <w:marLeft w:val="0"/>
      <w:marRight w:val="0"/>
      <w:marTop w:val="0"/>
      <w:marBottom w:val="120"/>
      <w:divBdr>
        <w:top w:val="none" w:sz="0" w:space="0" w:color="auto"/>
        <w:left w:val="none" w:sz="0" w:space="0" w:color="auto"/>
        <w:bottom w:val="none" w:sz="0" w:space="0" w:color="auto"/>
        <w:right w:val="none" w:sz="0" w:space="0" w:color="auto"/>
      </w:divBdr>
    </w:div>
    <w:div w:id="1325428786">
      <w:marLeft w:val="0"/>
      <w:marRight w:val="0"/>
      <w:marTop w:val="0"/>
      <w:marBottom w:val="0"/>
      <w:divBdr>
        <w:top w:val="none" w:sz="0" w:space="0" w:color="auto"/>
        <w:left w:val="none" w:sz="0" w:space="0" w:color="auto"/>
        <w:bottom w:val="none" w:sz="0" w:space="0" w:color="auto"/>
        <w:right w:val="none" w:sz="0" w:space="0" w:color="auto"/>
      </w:divBdr>
      <w:divsChild>
        <w:div w:id="62725444">
          <w:marLeft w:val="0"/>
          <w:marRight w:val="0"/>
          <w:marTop w:val="0"/>
          <w:marBottom w:val="0"/>
          <w:divBdr>
            <w:top w:val="none" w:sz="0" w:space="0" w:color="auto"/>
            <w:left w:val="none" w:sz="0" w:space="0" w:color="auto"/>
            <w:bottom w:val="none" w:sz="0" w:space="0" w:color="auto"/>
            <w:right w:val="none" w:sz="0" w:space="0" w:color="auto"/>
          </w:divBdr>
        </w:div>
      </w:divsChild>
    </w:div>
    <w:div w:id="1325818700">
      <w:marLeft w:val="0"/>
      <w:marRight w:val="0"/>
      <w:marTop w:val="0"/>
      <w:marBottom w:val="0"/>
      <w:divBdr>
        <w:top w:val="none" w:sz="0" w:space="0" w:color="auto"/>
        <w:left w:val="none" w:sz="0" w:space="0" w:color="auto"/>
        <w:bottom w:val="none" w:sz="0" w:space="0" w:color="auto"/>
        <w:right w:val="none" w:sz="0" w:space="0" w:color="auto"/>
      </w:divBdr>
      <w:divsChild>
        <w:div w:id="2038384797">
          <w:marLeft w:val="0"/>
          <w:marRight w:val="0"/>
          <w:marTop w:val="0"/>
          <w:marBottom w:val="0"/>
          <w:divBdr>
            <w:top w:val="none" w:sz="0" w:space="0" w:color="auto"/>
            <w:left w:val="none" w:sz="0" w:space="0" w:color="auto"/>
            <w:bottom w:val="none" w:sz="0" w:space="0" w:color="auto"/>
            <w:right w:val="none" w:sz="0" w:space="0" w:color="auto"/>
          </w:divBdr>
          <w:divsChild>
            <w:div w:id="48860031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25820092">
      <w:marLeft w:val="0"/>
      <w:marRight w:val="0"/>
      <w:marTop w:val="0"/>
      <w:marBottom w:val="60"/>
      <w:divBdr>
        <w:top w:val="none" w:sz="0" w:space="0" w:color="auto"/>
        <w:left w:val="none" w:sz="0" w:space="0" w:color="auto"/>
        <w:bottom w:val="none" w:sz="0" w:space="0" w:color="auto"/>
        <w:right w:val="none" w:sz="0" w:space="0" w:color="auto"/>
      </w:divBdr>
    </w:div>
    <w:div w:id="1328971267">
      <w:marLeft w:val="0"/>
      <w:marRight w:val="0"/>
      <w:marTop w:val="240"/>
      <w:marBottom w:val="0"/>
      <w:divBdr>
        <w:top w:val="none" w:sz="0" w:space="0" w:color="auto"/>
        <w:left w:val="none" w:sz="0" w:space="0" w:color="auto"/>
        <w:bottom w:val="none" w:sz="0" w:space="0" w:color="auto"/>
        <w:right w:val="none" w:sz="0" w:space="0" w:color="auto"/>
      </w:divBdr>
    </w:div>
    <w:div w:id="1329289117">
      <w:marLeft w:val="0"/>
      <w:marRight w:val="0"/>
      <w:marTop w:val="120"/>
      <w:marBottom w:val="60"/>
      <w:divBdr>
        <w:top w:val="none" w:sz="0" w:space="0" w:color="auto"/>
        <w:left w:val="none" w:sz="0" w:space="0" w:color="auto"/>
        <w:bottom w:val="none" w:sz="0" w:space="0" w:color="auto"/>
        <w:right w:val="none" w:sz="0" w:space="0" w:color="auto"/>
      </w:divBdr>
    </w:div>
    <w:div w:id="1330408454">
      <w:marLeft w:val="0"/>
      <w:marRight w:val="0"/>
      <w:marTop w:val="240"/>
      <w:marBottom w:val="0"/>
      <w:divBdr>
        <w:top w:val="none" w:sz="0" w:space="0" w:color="auto"/>
        <w:left w:val="none" w:sz="0" w:space="0" w:color="auto"/>
        <w:bottom w:val="none" w:sz="0" w:space="0" w:color="auto"/>
        <w:right w:val="none" w:sz="0" w:space="0" w:color="auto"/>
      </w:divBdr>
    </w:div>
    <w:div w:id="1334139394">
      <w:marLeft w:val="0"/>
      <w:marRight w:val="0"/>
      <w:marTop w:val="240"/>
      <w:marBottom w:val="0"/>
      <w:divBdr>
        <w:top w:val="none" w:sz="0" w:space="0" w:color="auto"/>
        <w:left w:val="none" w:sz="0" w:space="0" w:color="auto"/>
        <w:bottom w:val="none" w:sz="0" w:space="0" w:color="auto"/>
        <w:right w:val="none" w:sz="0" w:space="0" w:color="auto"/>
      </w:divBdr>
    </w:div>
    <w:div w:id="1334141544">
      <w:marLeft w:val="0"/>
      <w:marRight w:val="0"/>
      <w:marTop w:val="240"/>
      <w:marBottom w:val="0"/>
      <w:divBdr>
        <w:top w:val="none" w:sz="0" w:space="0" w:color="auto"/>
        <w:left w:val="none" w:sz="0" w:space="0" w:color="auto"/>
        <w:bottom w:val="none" w:sz="0" w:space="0" w:color="auto"/>
        <w:right w:val="none" w:sz="0" w:space="0" w:color="auto"/>
      </w:divBdr>
    </w:div>
    <w:div w:id="1334182310">
      <w:marLeft w:val="0"/>
      <w:marRight w:val="0"/>
      <w:marTop w:val="0"/>
      <w:marBottom w:val="0"/>
      <w:divBdr>
        <w:top w:val="none" w:sz="0" w:space="0" w:color="auto"/>
        <w:left w:val="none" w:sz="0" w:space="0" w:color="auto"/>
        <w:bottom w:val="none" w:sz="0" w:space="0" w:color="auto"/>
        <w:right w:val="none" w:sz="0" w:space="0" w:color="auto"/>
      </w:divBdr>
      <w:divsChild>
        <w:div w:id="693504263">
          <w:marLeft w:val="0"/>
          <w:marRight w:val="0"/>
          <w:marTop w:val="0"/>
          <w:marBottom w:val="0"/>
          <w:divBdr>
            <w:top w:val="none" w:sz="0" w:space="0" w:color="auto"/>
            <w:left w:val="none" w:sz="0" w:space="0" w:color="auto"/>
            <w:bottom w:val="none" w:sz="0" w:space="0" w:color="auto"/>
            <w:right w:val="none" w:sz="0" w:space="0" w:color="auto"/>
          </w:divBdr>
          <w:divsChild>
            <w:div w:id="20224712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36104024">
      <w:marLeft w:val="0"/>
      <w:marRight w:val="0"/>
      <w:marTop w:val="240"/>
      <w:marBottom w:val="0"/>
      <w:divBdr>
        <w:top w:val="none" w:sz="0" w:space="0" w:color="auto"/>
        <w:left w:val="none" w:sz="0" w:space="0" w:color="auto"/>
        <w:bottom w:val="none" w:sz="0" w:space="0" w:color="auto"/>
        <w:right w:val="none" w:sz="0" w:space="0" w:color="auto"/>
      </w:divBdr>
    </w:div>
    <w:div w:id="1337921957">
      <w:marLeft w:val="0"/>
      <w:marRight w:val="0"/>
      <w:marTop w:val="200"/>
      <w:marBottom w:val="0"/>
      <w:divBdr>
        <w:top w:val="none" w:sz="0" w:space="0" w:color="auto"/>
        <w:left w:val="none" w:sz="0" w:space="0" w:color="auto"/>
        <w:bottom w:val="none" w:sz="0" w:space="0" w:color="auto"/>
        <w:right w:val="none" w:sz="0" w:space="0" w:color="auto"/>
      </w:divBdr>
    </w:div>
    <w:div w:id="1338850771">
      <w:marLeft w:val="0"/>
      <w:marRight w:val="0"/>
      <w:marTop w:val="180"/>
      <w:marBottom w:val="0"/>
      <w:divBdr>
        <w:top w:val="none" w:sz="0" w:space="0" w:color="auto"/>
        <w:left w:val="none" w:sz="0" w:space="0" w:color="auto"/>
        <w:bottom w:val="none" w:sz="0" w:space="0" w:color="auto"/>
        <w:right w:val="none" w:sz="0" w:space="0" w:color="auto"/>
      </w:divBdr>
    </w:div>
    <w:div w:id="1338920545">
      <w:marLeft w:val="0"/>
      <w:marRight w:val="0"/>
      <w:marTop w:val="240"/>
      <w:marBottom w:val="0"/>
      <w:divBdr>
        <w:top w:val="none" w:sz="0" w:space="0" w:color="auto"/>
        <w:left w:val="none" w:sz="0" w:space="0" w:color="auto"/>
        <w:bottom w:val="none" w:sz="0" w:space="0" w:color="auto"/>
        <w:right w:val="none" w:sz="0" w:space="0" w:color="auto"/>
      </w:divBdr>
    </w:div>
    <w:div w:id="1339040442">
      <w:marLeft w:val="0"/>
      <w:marRight w:val="0"/>
      <w:marTop w:val="240"/>
      <w:marBottom w:val="0"/>
      <w:divBdr>
        <w:top w:val="none" w:sz="0" w:space="0" w:color="auto"/>
        <w:left w:val="none" w:sz="0" w:space="0" w:color="auto"/>
        <w:bottom w:val="none" w:sz="0" w:space="0" w:color="auto"/>
        <w:right w:val="none" w:sz="0" w:space="0" w:color="auto"/>
      </w:divBdr>
    </w:div>
    <w:div w:id="1341077472">
      <w:marLeft w:val="0"/>
      <w:marRight w:val="0"/>
      <w:marTop w:val="300"/>
      <w:marBottom w:val="0"/>
      <w:divBdr>
        <w:top w:val="none" w:sz="0" w:space="0" w:color="auto"/>
        <w:left w:val="none" w:sz="0" w:space="0" w:color="auto"/>
        <w:bottom w:val="none" w:sz="0" w:space="0" w:color="auto"/>
        <w:right w:val="none" w:sz="0" w:space="0" w:color="auto"/>
      </w:divBdr>
    </w:div>
    <w:div w:id="1343313418">
      <w:marLeft w:val="0"/>
      <w:marRight w:val="0"/>
      <w:marTop w:val="240"/>
      <w:marBottom w:val="0"/>
      <w:divBdr>
        <w:top w:val="none" w:sz="0" w:space="0" w:color="auto"/>
        <w:left w:val="none" w:sz="0" w:space="0" w:color="auto"/>
        <w:bottom w:val="none" w:sz="0" w:space="0" w:color="auto"/>
        <w:right w:val="none" w:sz="0" w:space="0" w:color="auto"/>
      </w:divBdr>
    </w:div>
    <w:div w:id="1343507706">
      <w:marLeft w:val="0"/>
      <w:marRight w:val="0"/>
      <w:marTop w:val="0"/>
      <w:marBottom w:val="0"/>
      <w:divBdr>
        <w:top w:val="none" w:sz="0" w:space="0" w:color="auto"/>
        <w:left w:val="none" w:sz="0" w:space="0" w:color="auto"/>
        <w:bottom w:val="none" w:sz="0" w:space="0" w:color="auto"/>
        <w:right w:val="none" w:sz="0" w:space="0" w:color="auto"/>
      </w:divBdr>
      <w:divsChild>
        <w:div w:id="743336069">
          <w:marLeft w:val="0"/>
          <w:marRight w:val="0"/>
          <w:marTop w:val="0"/>
          <w:marBottom w:val="0"/>
          <w:divBdr>
            <w:top w:val="none" w:sz="0" w:space="0" w:color="auto"/>
            <w:left w:val="none" w:sz="0" w:space="0" w:color="auto"/>
            <w:bottom w:val="none" w:sz="0" w:space="0" w:color="auto"/>
            <w:right w:val="none" w:sz="0" w:space="0" w:color="auto"/>
          </w:divBdr>
        </w:div>
      </w:divsChild>
    </w:div>
    <w:div w:id="1345980005">
      <w:marLeft w:val="0"/>
      <w:marRight w:val="0"/>
      <w:marTop w:val="0"/>
      <w:marBottom w:val="0"/>
      <w:divBdr>
        <w:top w:val="none" w:sz="0" w:space="0" w:color="auto"/>
        <w:left w:val="none" w:sz="0" w:space="0" w:color="auto"/>
        <w:bottom w:val="none" w:sz="0" w:space="0" w:color="auto"/>
        <w:right w:val="none" w:sz="0" w:space="0" w:color="auto"/>
      </w:divBdr>
      <w:divsChild>
        <w:div w:id="1668483695">
          <w:marLeft w:val="0"/>
          <w:marRight w:val="0"/>
          <w:marTop w:val="0"/>
          <w:marBottom w:val="0"/>
          <w:divBdr>
            <w:top w:val="none" w:sz="0" w:space="0" w:color="auto"/>
            <w:left w:val="none" w:sz="0" w:space="0" w:color="auto"/>
            <w:bottom w:val="none" w:sz="0" w:space="0" w:color="auto"/>
            <w:right w:val="none" w:sz="0" w:space="0" w:color="auto"/>
          </w:divBdr>
          <w:divsChild>
            <w:div w:id="19589507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47050857">
      <w:marLeft w:val="0"/>
      <w:marRight w:val="0"/>
      <w:marTop w:val="0"/>
      <w:marBottom w:val="0"/>
      <w:divBdr>
        <w:top w:val="none" w:sz="0" w:space="0" w:color="auto"/>
        <w:left w:val="none" w:sz="0" w:space="0" w:color="auto"/>
        <w:bottom w:val="none" w:sz="0" w:space="0" w:color="auto"/>
        <w:right w:val="none" w:sz="0" w:space="0" w:color="auto"/>
      </w:divBdr>
    </w:div>
    <w:div w:id="1349528143">
      <w:marLeft w:val="0"/>
      <w:marRight w:val="0"/>
      <w:marTop w:val="180"/>
      <w:marBottom w:val="0"/>
      <w:divBdr>
        <w:top w:val="none" w:sz="0" w:space="0" w:color="auto"/>
        <w:left w:val="none" w:sz="0" w:space="0" w:color="auto"/>
        <w:bottom w:val="none" w:sz="0" w:space="0" w:color="auto"/>
        <w:right w:val="none" w:sz="0" w:space="0" w:color="auto"/>
      </w:divBdr>
    </w:div>
    <w:div w:id="1350567771">
      <w:marLeft w:val="0"/>
      <w:marRight w:val="0"/>
      <w:marTop w:val="0"/>
      <w:marBottom w:val="0"/>
      <w:divBdr>
        <w:top w:val="none" w:sz="0" w:space="0" w:color="auto"/>
        <w:left w:val="none" w:sz="0" w:space="0" w:color="auto"/>
        <w:bottom w:val="none" w:sz="0" w:space="0" w:color="auto"/>
        <w:right w:val="none" w:sz="0" w:space="0" w:color="auto"/>
      </w:divBdr>
      <w:divsChild>
        <w:div w:id="2078506198">
          <w:marLeft w:val="0"/>
          <w:marRight w:val="0"/>
          <w:marTop w:val="0"/>
          <w:marBottom w:val="0"/>
          <w:divBdr>
            <w:top w:val="none" w:sz="0" w:space="0" w:color="auto"/>
            <w:left w:val="none" w:sz="0" w:space="0" w:color="auto"/>
            <w:bottom w:val="none" w:sz="0" w:space="0" w:color="auto"/>
            <w:right w:val="none" w:sz="0" w:space="0" w:color="auto"/>
          </w:divBdr>
        </w:div>
      </w:divsChild>
    </w:div>
    <w:div w:id="1350788630">
      <w:marLeft w:val="0"/>
      <w:marRight w:val="0"/>
      <w:marTop w:val="240"/>
      <w:marBottom w:val="0"/>
      <w:divBdr>
        <w:top w:val="none" w:sz="0" w:space="0" w:color="auto"/>
        <w:left w:val="none" w:sz="0" w:space="0" w:color="auto"/>
        <w:bottom w:val="none" w:sz="0" w:space="0" w:color="auto"/>
        <w:right w:val="none" w:sz="0" w:space="0" w:color="auto"/>
      </w:divBdr>
    </w:div>
    <w:div w:id="1352535612">
      <w:marLeft w:val="0"/>
      <w:marRight w:val="0"/>
      <w:marTop w:val="240"/>
      <w:marBottom w:val="0"/>
      <w:divBdr>
        <w:top w:val="none" w:sz="0" w:space="0" w:color="auto"/>
        <w:left w:val="none" w:sz="0" w:space="0" w:color="auto"/>
        <w:bottom w:val="none" w:sz="0" w:space="0" w:color="auto"/>
        <w:right w:val="none" w:sz="0" w:space="0" w:color="auto"/>
      </w:divBdr>
    </w:div>
    <w:div w:id="1353066809">
      <w:marLeft w:val="0"/>
      <w:marRight w:val="0"/>
      <w:marTop w:val="240"/>
      <w:marBottom w:val="0"/>
      <w:divBdr>
        <w:top w:val="none" w:sz="0" w:space="0" w:color="auto"/>
        <w:left w:val="none" w:sz="0" w:space="0" w:color="auto"/>
        <w:bottom w:val="none" w:sz="0" w:space="0" w:color="auto"/>
        <w:right w:val="none" w:sz="0" w:space="0" w:color="auto"/>
      </w:divBdr>
    </w:div>
    <w:div w:id="1353452292">
      <w:marLeft w:val="0"/>
      <w:marRight w:val="0"/>
      <w:marTop w:val="240"/>
      <w:marBottom w:val="0"/>
      <w:divBdr>
        <w:top w:val="none" w:sz="0" w:space="0" w:color="auto"/>
        <w:left w:val="none" w:sz="0" w:space="0" w:color="auto"/>
        <w:bottom w:val="none" w:sz="0" w:space="0" w:color="auto"/>
        <w:right w:val="none" w:sz="0" w:space="0" w:color="auto"/>
      </w:divBdr>
    </w:div>
    <w:div w:id="1354185179">
      <w:marLeft w:val="0"/>
      <w:marRight w:val="0"/>
      <w:marTop w:val="180"/>
      <w:marBottom w:val="0"/>
      <w:divBdr>
        <w:top w:val="none" w:sz="0" w:space="0" w:color="auto"/>
        <w:left w:val="none" w:sz="0" w:space="0" w:color="auto"/>
        <w:bottom w:val="none" w:sz="0" w:space="0" w:color="auto"/>
        <w:right w:val="none" w:sz="0" w:space="0" w:color="auto"/>
      </w:divBdr>
    </w:div>
    <w:div w:id="1354771351">
      <w:marLeft w:val="0"/>
      <w:marRight w:val="0"/>
      <w:marTop w:val="240"/>
      <w:marBottom w:val="0"/>
      <w:divBdr>
        <w:top w:val="none" w:sz="0" w:space="0" w:color="auto"/>
        <w:left w:val="none" w:sz="0" w:space="0" w:color="auto"/>
        <w:bottom w:val="none" w:sz="0" w:space="0" w:color="auto"/>
        <w:right w:val="none" w:sz="0" w:space="0" w:color="auto"/>
      </w:divBdr>
    </w:div>
    <w:div w:id="1355574564">
      <w:marLeft w:val="0"/>
      <w:marRight w:val="0"/>
      <w:marTop w:val="240"/>
      <w:marBottom w:val="0"/>
      <w:divBdr>
        <w:top w:val="none" w:sz="0" w:space="0" w:color="auto"/>
        <w:left w:val="none" w:sz="0" w:space="0" w:color="auto"/>
        <w:bottom w:val="none" w:sz="0" w:space="0" w:color="auto"/>
        <w:right w:val="none" w:sz="0" w:space="0" w:color="auto"/>
      </w:divBdr>
    </w:div>
    <w:div w:id="1358652428">
      <w:marLeft w:val="0"/>
      <w:marRight w:val="0"/>
      <w:marTop w:val="60"/>
      <w:marBottom w:val="0"/>
      <w:divBdr>
        <w:top w:val="none" w:sz="0" w:space="0" w:color="auto"/>
        <w:left w:val="none" w:sz="0" w:space="0" w:color="auto"/>
        <w:bottom w:val="none" w:sz="0" w:space="0" w:color="auto"/>
        <w:right w:val="none" w:sz="0" w:space="0" w:color="auto"/>
      </w:divBdr>
    </w:div>
    <w:div w:id="1358778463">
      <w:marLeft w:val="0"/>
      <w:marRight w:val="0"/>
      <w:marTop w:val="240"/>
      <w:marBottom w:val="0"/>
      <w:divBdr>
        <w:top w:val="none" w:sz="0" w:space="0" w:color="auto"/>
        <w:left w:val="none" w:sz="0" w:space="0" w:color="auto"/>
        <w:bottom w:val="none" w:sz="0" w:space="0" w:color="auto"/>
        <w:right w:val="none" w:sz="0" w:space="0" w:color="auto"/>
      </w:divBdr>
    </w:div>
    <w:div w:id="1360011233">
      <w:marLeft w:val="0"/>
      <w:marRight w:val="0"/>
      <w:marTop w:val="240"/>
      <w:marBottom w:val="0"/>
      <w:divBdr>
        <w:top w:val="none" w:sz="0" w:space="0" w:color="auto"/>
        <w:left w:val="none" w:sz="0" w:space="0" w:color="auto"/>
        <w:bottom w:val="none" w:sz="0" w:space="0" w:color="auto"/>
        <w:right w:val="none" w:sz="0" w:space="0" w:color="auto"/>
      </w:divBdr>
    </w:div>
    <w:div w:id="1360739334">
      <w:marLeft w:val="0"/>
      <w:marRight w:val="0"/>
      <w:marTop w:val="120"/>
      <w:marBottom w:val="0"/>
      <w:divBdr>
        <w:top w:val="none" w:sz="0" w:space="0" w:color="auto"/>
        <w:left w:val="none" w:sz="0" w:space="0" w:color="auto"/>
        <w:bottom w:val="none" w:sz="0" w:space="0" w:color="auto"/>
        <w:right w:val="none" w:sz="0" w:space="0" w:color="auto"/>
      </w:divBdr>
    </w:div>
    <w:div w:id="1361589429">
      <w:marLeft w:val="0"/>
      <w:marRight w:val="0"/>
      <w:marTop w:val="220"/>
      <w:marBottom w:val="0"/>
      <w:divBdr>
        <w:top w:val="none" w:sz="0" w:space="0" w:color="auto"/>
        <w:left w:val="none" w:sz="0" w:space="0" w:color="auto"/>
        <w:bottom w:val="none" w:sz="0" w:space="0" w:color="auto"/>
        <w:right w:val="none" w:sz="0" w:space="0" w:color="auto"/>
      </w:divBdr>
    </w:div>
    <w:div w:id="1361780355">
      <w:marLeft w:val="0"/>
      <w:marRight w:val="0"/>
      <w:marTop w:val="120"/>
      <w:marBottom w:val="0"/>
      <w:divBdr>
        <w:top w:val="none" w:sz="0" w:space="0" w:color="auto"/>
        <w:left w:val="none" w:sz="0" w:space="0" w:color="auto"/>
        <w:bottom w:val="none" w:sz="0" w:space="0" w:color="auto"/>
        <w:right w:val="none" w:sz="0" w:space="0" w:color="auto"/>
      </w:divBdr>
    </w:div>
    <w:div w:id="1362898981">
      <w:marLeft w:val="0"/>
      <w:marRight w:val="0"/>
      <w:marTop w:val="100"/>
      <w:marBottom w:val="0"/>
      <w:divBdr>
        <w:top w:val="none" w:sz="0" w:space="0" w:color="auto"/>
        <w:left w:val="none" w:sz="0" w:space="0" w:color="auto"/>
        <w:bottom w:val="none" w:sz="0" w:space="0" w:color="auto"/>
        <w:right w:val="none" w:sz="0" w:space="0" w:color="auto"/>
      </w:divBdr>
    </w:div>
    <w:div w:id="1363432662">
      <w:marLeft w:val="0"/>
      <w:marRight w:val="0"/>
      <w:marTop w:val="240"/>
      <w:marBottom w:val="0"/>
      <w:divBdr>
        <w:top w:val="none" w:sz="0" w:space="0" w:color="auto"/>
        <w:left w:val="none" w:sz="0" w:space="0" w:color="auto"/>
        <w:bottom w:val="none" w:sz="0" w:space="0" w:color="auto"/>
        <w:right w:val="none" w:sz="0" w:space="0" w:color="auto"/>
      </w:divBdr>
    </w:div>
    <w:div w:id="1365061421">
      <w:marLeft w:val="0"/>
      <w:marRight w:val="0"/>
      <w:marTop w:val="220"/>
      <w:marBottom w:val="0"/>
      <w:divBdr>
        <w:top w:val="none" w:sz="0" w:space="0" w:color="auto"/>
        <w:left w:val="none" w:sz="0" w:space="0" w:color="auto"/>
        <w:bottom w:val="none" w:sz="0" w:space="0" w:color="auto"/>
        <w:right w:val="none" w:sz="0" w:space="0" w:color="auto"/>
      </w:divBdr>
    </w:div>
    <w:div w:id="1365671132">
      <w:marLeft w:val="0"/>
      <w:marRight w:val="0"/>
      <w:marTop w:val="0"/>
      <w:marBottom w:val="0"/>
      <w:divBdr>
        <w:top w:val="none" w:sz="0" w:space="0" w:color="auto"/>
        <w:left w:val="none" w:sz="0" w:space="0" w:color="auto"/>
        <w:bottom w:val="none" w:sz="0" w:space="0" w:color="auto"/>
        <w:right w:val="none" w:sz="0" w:space="0" w:color="auto"/>
      </w:divBdr>
      <w:divsChild>
        <w:div w:id="2046708286">
          <w:marLeft w:val="0"/>
          <w:marRight w:val="0"/>
          <w:marTop w:val="0"/>
          <w:marBottom w:val="0"/>
          <w:divBdr>
            <w:top w:val="none" w:sz="0" w:space="0" w:color="auto"/>
            <w:left w:val="none" w:sz="0" w:space="0" w:color="auto"/>
            <w:bottom w:val="none" w:sz="0" w:space="0" w:color="auto"/>
            <w:right w:val="none" w:sz="0" w:space="0" w:color="auto"/>
          </w:divBdr>
          <w:divsChild>
            <w:div w:id="194368497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65904037">
      <w:marLeft w:val="0"/>
      <w:marRight w:val="0"/>
      <w:marTop w:val="240"/>
      <w:marBottom w:val="0"/>
      <w:divBdr>
        <w:top w:val="none" w:sz="0" w:space="0" w:color="auto"/>
        <w:left w:val="none" w:sz="0" w:space="0" w:color="auto"/>
        <w:bottom w:val="none" w:sz="0" w:space="0" w:color="auto"/>
        <w:right w:val="none" w:sz="0" w:space="0" w:color="auto"/>
      </w:divBdr>
    </w:div>
    <w:div w:id="1368719904">
      <w:marLeft w:val="0"/>
      <w:marRight w:val="0"/>
      <w:marTop w:val="120"/>
      <w:marBottom w:val="0"/>
      <w:divBdr>
        <w:top w:val="none" w:sz="0" w:space="0" w:color="auto"/>
        <w:left w:val="none" w:sz="0" w:space="0" w:color="auto"/>
        <w:bottom w:val="none" w:sz="0" w:space="0" w:color="auto"/>
        <w:right w:val="none" w:sz="0" w:space="0" w:color="auto"/>
      </w:divBdr>
    </w:div>
    <w:div w:id="1370183377">
      <w:marLeft w:val="0"/>
      <w:marRight w:val="0"/>
      <w:marTop w:val="240"/>
      <w:marBottom w:val="0"/>
      <w:divBdr>
        <w:top w:val="none" w:sz="0" w:space="0" w:color="auto"/>
        <w:left w:val="none" w:sz="0" w:space="0" w:color="auto"/>
        <w:bottom w:val="none" w:sz="0" w:space="0" w:color="auto"/>
        <w:right w:val="none" w:sz="0" w:space="0" w:color="auto"/>
      </w:divBdr>
    </w:div>
    <w:div w:id="1371373052">
      <w:marLeft w:val="0"/>
      <w:marRight w:val="0"/>
      <w:marTop w:val="240"/>
      <w:marBottom w:val="0"/>
      <w:divBdr>
        <w:top w:val="none" w:sz="0" w:space="0" w:color="auto"/>
        <w:left w:val="none" w:sz="0" w:space="0" w:color="auto"/>
        <w:bottom w:val="none" w:sz="0" w:space="0" w:color="auto"/>
        <w:right w:val="none" w:sz="0" w:space="0" w:color="auto"/>
      </w:divBdr>
    </w:div>
    <w:div w:id="1371803929">
      <w:marLeft w:val="0"/>
      <w:marRight w:val="0"/>
      <w:marTop w:val="160"/>
      <w:marBottom w:val="0"/>
      <w:divBdr>
        <w:top w:val="none" w:sz="0" w:space="0" w:color="auto"/>
        <w:left w:val="none" w:sz="0" w:space="0" w:color="auto"/>
        <w:bottom w:val="none" w:sz="0" w:space="0" w:color="auto"/>
        <w:right w:val="none" w:sz="0" w:space="0" w:color="auto"/>
      </w:divBdr>
    </w:div>
    <w:div w:id="1373385417">
      <w:marLeft w:val="0"/>
      <w:marRight w:val="0"/>
      <w:marTop w:val="240"/>
      <w:marBottom w:val="0"/>
      <w:divBdr>
        <w:top w:val="none" w:sz="0" w:space="0" w:color="auto"/>
        <w:left w:val="none" w:sz="0" w:space="0" w:color="auto"/>
        <w:bottom w:val="none" w:sz="0" w:space="0" w:color="auto"/>
        <w:right w:val="none" w:sz="0" w:space="0" w:color="auto"/>
      </w:divBdr>
    </w:div>
    <w:div w:id="1373577868">
      <w:marLeft w:val="0"/>
      <w:marRight w:val="0"/>
      <w:marTop w:val="180"/>
      <w:marBottom w:val="0"/>
      <w:divBdr>
        <w:top w:val="none" w:sz="0" w:space="0" w:color="auto"/>
        <w:left w:val="none" w:sz="0" w:space="0" w:color="auto"/>
        <w:bottom w:val="none" w:sz="0" w:space="0" w:color="auto"/>
        <w:right w:val="none" w:sz="0" w:space="0" w:color="auto"/>
      </w:divBdr>
    </w:div>
    <w:div w:id="1373964313">
      <w:marLeft w:val="0"/>
      <w:marRight w:val="0"/>
      <w:marTop w:val="240"/>
      <w:marBottom w:val="0"/>
      <w:divBdr>
        <w:top w:val="none" w:sz="0" w:space="0" w:color="auto"/>
        <w:left w:val="none" w:sz="0" w:space="0" w:color="auto"/>
        <w:bottom w:val="none" w:sz="0" w:space="0" w:color="auto"/>
        <w:right w:val="none" w:sz="0" w:space="0" w:color="auto"/>
      </w:divBdr>
    </w:div>
    <w:div w:id="1375613242">
      <w:marLeft w:val="0"/>
      <w:marRight w:val="0"/>
      <w:marTop w:val="240"/>
      <w:marBottom w:val="240"/>
      <w:divBdr>
        <w:top w:val="none" w:sz="0" w:space="0" w:color="auto"/>
        <w:left w:val="none" w:sz="0" w:space="0" w:color="auto"/>
        <w:bottom w:val="none" w:sz="0" w:space="0" w:color="auto"/>
        <w:right w:val="none" w:sz="0" w:space="0" w:color="auto"/>
      </w:divBdr>
    </w:div>
    <w:div w:id="1377848672">
      <w:marLeft w:val="0"/>
      <w:marRight w:val="0"/>
      <w:marTop w:val="240"/>
      <w:marBottom w:val="0"/>
      <w:divBdr>
        <w:top w:val="none" w:sz="0" w:space="0" w:color="auto"/>
        <w:left w:val="none" w:sz="0" w:space="0" w:color="auto"/>
        <w:bottom w:val="none" w:sz="0" w:space="0" w:color="auto"/>
        <w:right w:val="none" w:sz="0" w:space="0" w:color="auto"/>
      </w:divBdr>
    </w:div>
    <w:div w:id="1378118182">
      <w:marLeft w:val="0"/>
      <w:marRight w:val="0"/>
      <w:marTop w:val="180"/>
      <w:marBottom w:val="0"/>
      <w:divBdr>
        <w:top w:val="none" w:sz="0" w:space="0" w:color="auto"/>
        <w:left w:val="none" w:sz="0" w:space="0" w:color="auto"/>
        <w:bottom w:val="none" w:sz="0" w:space="0" w:color="auto"/>
        <w:right w:val="none" w:sz="0" w:space="0" w:color="auto"/>
      </w:divBdr>
    </w:div>
    <w:div w:id="1378167061">
      <w:marLeft w:val="0"/>
      <w:marRight w:val="0"/>
      <w:marTop w:val="240"/>
      <w:marBottom w:val="0"/>
      <w:divBdr>
        <w:top w:val="none" w:sz="0" w:space="0" w:color="auto"/>
        <w:left w:val="none" w:sz="0" w:space="0" w:color="auto"/>
        <w:bottom w:val="none" w:sz="0" w:space="0" w:color="auto"/>
        <w:right w:val="none" w:sz="0" w:space="0" w:color="auto"/>
      </w:divBdr>
    </w:div>
    <w:div w:id="1379087977">
      <w:marLeft w:val="0"/>
      <w:marRight w:val="0"/>
      <w:marTop w:val="180"/>
      <w:marBottom w:val="0"/>
      <w:divBdr>
        <w:top w:val="none" w:sz="0" w:space="0" w:color="auto"/>
        <w:left w:val="none" w:sz="0" w:space="0" w:color="auto"/>
        <w:bottom w:val="none" w:sz="0" w:space="0" w:color="auto"/>
        <w:right w:val="none" w:sz="0" w:space="0" w:color="auto"/>
      </w:divBdr>
    </w:div>
    <w:div w:id="1380088274">
      <w:marLeft w:val="0"/>
      <w:marRight w:val="0"/>
      <w:marTop w:val="240"/>
      <w:marBottom w:val="0"/>
      <w:divBdr>
        <w:top w:val="none" w:sz="0" w:space="0" w:color="auto"/>
        <w:left w:val="none" w:sz="0" w:space="0" w:color="auto"/>
        <w:bottom w:val="none" w:sz="0" w:space="0" w:color="auto"/>
        <w:right w:val="none" w:sz="0" w:space="0" w:color="auto"/>
      </w:divBdr>
    </w:div>
    <w:div w:id="1380863441">
      <w:marLeft w:val="0"/>
      <w:marRight w:val="0"/>
      <w:marTop w:val="240"/>
      <w:marBottom w:val="0"/>
      <w:divBdr>
        <w:top w:val="none" w:sz="0" w:space="0" w:color="auto"/>
        <w:left w:val="none" w:sz="0" w:space="0" w:color="auto"/>
        <w:bottom w:val="none" w:sz="0" w:space="0" w:color="auto"/>
        <w:right w:val="none" w:sz="0" w:space="0" w:color="auto"/>
      </w:divBdr>
    </w:div>
    <w:div w:id="1381712140">
      <w:marLeft w:val="0"/>
      <w:marRight w:val="0"/>
      <w:marTop w:val="240"/>
      <w:marBottom w:val="0"/>
      <w:divBdr>
        <w:top w:val="none" w:sz="0" w:space="0" w:color="auto"/>
        <w:left w:val="none" w:sz="0" w:space="0" w:color="auto"/>
        <w:bottom w:val="none" w:sz="0" w:space="0" w:color="auto"/>
        <w:right w:val="none" w:sz="0" w:space="0" w:color="auto"/>
      </w:divBdr>
    </w:div>
    <w:div w:id="1381782633">
      <w:marLeft w:val="0"/>
      <w:marRight w:val="0"/>
      <w:marTop w:val="240"/>
      <w:marBottom w:val="0"/>
      <w:divBdr>
        <w:top w:val="none" w:sz="0" w:space="0" w:color="auto"/>
        <w:left w:val="none" w:sz="0" w:space="0" w:color="auto"/>
        <w:bottom w:val="none" w:sz="0" w:space="0" w:color="auto"/>
        <w:right w:val="none" w:sz="0" w:space="0" w:color="auto"/>
      </w:divBdr>
    </w:div>
    <w:div w:id="1382367480">
      <w:marLeft w:val="0"/>
      <w:marRight w:val="0"/>
      <w:marTop w:val="140"/>
      <w:marBottom w:val="0"/>
      <w:divBdr>
        <w:top w:val="none" w:sz="0" w:space="0" w:color="auto"/>
        <w:left w:val="none" w:sz="0" w:space="0" w:color="auto"/>
        <w:bottom w:val="none" w:sz="0" w:space="0" w:color="auto"/>
        <w:right w:val="none" w:sz="0" w:space="0" w:color="auto"/>
      </w:divBdr>
    </w:div>
    <w:div w:id="1382631521">
      <w:marLeft w:val="0"/>
      <w:marRight w:val="0"/>
      <w:marTop w:val="240"/>
      <w:marBottom w:val="0"/>
      <w:divBdr>
        <w:top w:val="none" w:sz="0" w:space="0" w:color="auto"/>
        <w:left w:val="none" w:sz="0" w:space="0" w:color="auto"/>
        <w:bottom w:val="none" w:sz="0" w:space="0" w:color="auto"/>
        <w:right w:val="none" w:sz="0" w:space="0" w:color="auto"/>
      </w:divBdr>
    </w:div>
    <w:div w:id="1384065498">
      <w:marLeft w:val="0"/>
      <w:marRight w:val="0"/>
      <w:marTop w:val="0"/>
      <w:marBottom w:val="0"/>
      <w:divBdr>
        <w:top w:val="none" w:sz="0" w:space="0" w:color="auto"/>
        <w:left w:val="none" w:sz="0" w:space="0" w:color="auto"/>
        <w:bottom w:val="none" w:sz="0" w:space="0" w:color="auto"/>
        <w:right w:val="none" w:sz="0" w:space="0" w:color="auto"/>
      </w:divBdr>
      <w:divsChild>
        <w:div w:id="1327200053">
          <w:marLeft w:val="0"/>
          <w:marRight w:val="0"/>
          <w:marTop w:val="120"/>
          <w:marBottom w:val="0"/>
          <w:divBdr>
            <w:top w:val="none" w:sz="0" w:space="0" w:color="auto"/>
            <w:left w:val="none" w:sz="0" w:space="0" w:color="auto"/>
            <w:bottom w:val="none" w:sz="0" w:space="0" w:color="auto"/>
            <w:right w:val="none" w:sz="0" w:space="0" w:color="auto"/>
          </w:divBdr>
        </w:div>
      </w:divsChild>
    </w:div>
    <w:div w:id="1386179361">
      <w:marLeft w:val="0"/>
      <w:marRight w:val="0"/>
      <w:marTop w:val="240"/>
      <w:marBottom w:val="0"/>
      <w:divBdr>
        <w:top w:val="none" w:sz="0" w:space="0" w:color="auto"/>
        <w:left w:val="none" w:sz="0" w:space="0" w:color="auto"/>
        <w:bottom w:val="none" w:sz="0" w:space="0" w:color="auto"/>
        <w:right w:val="none" w:sz="0" w:space="0" w:color="auto"/>
      </w:divBdr>
    </w:div>
    <w:div w:id="1388190020">
      <w:marLeft w:val="0"/>
      <w:marRight w:val="0"/>
      <w:marTop w:val="240"/>
      <w:marBottom w:val="0"/>
      <w:divBdr>
        <w:top w:val="none" w:sz="0" w:space="0" w:color="auto"/>
        <w:left w:val="none" w:sz="0" w:space="0" w:color="auto"/>
        <w:bottom w:val="none" w:sz="0" w:space="0" w:color="auto"/>
        <w:right w:val="none" w:sz="0" w:space="0" w:color="auto"/>
      </w:divBdr>
    </w:div>
    <w:div w:id="1388652110">
      <w:marLeft w:val="0"/>
      <w:marRight w:val="0"/>
      <w:marTop w:val="240"/>
      <w:marBottom w:val="0"/>
      <w:divBdr>
        <w:top w:val="none" w:sz="0" w:space="0" w:color="auto"/>
        <w:left w:val="none" w:sz="0" w:space="0" w:color="auto"/>
        <w:bottom w:val="none" w:sz="0" w:space="0" w:color="auto"/>
        <w:right w:val="none" w:sz="0" w:space="0" w:color="auto"/>
      </w:divBdr>
    </w:div>
    <w:div w:id="1389914264">
      <w:marLeft w:val="0"/>
      <w:marRight w:val="0"/>
      <w:marTop w:val="240"/>
      <w:marBottom w:val="120"/>
      <w:divBdr>
        <w:top w:val="none" w:sz="0" w:space="0" w:color="auto"/>
        <w:left w:val="none" w:sz="0" w:space="0" w:color="auto"/>
        <w:bottom w:val="none" w:sz="0" w:space="0" w:color="auto"/>
        <w:right w:val="none" w:sz="0" w:space="0" w:color="auto"/>
      </w:divBdr>
    </w:div>
    <w:div w:id="1391268797">
      <w:marLeft w:val="0"/>
      <w:marRight w:val="0"/>
      <w:marTop w:val="0"/>
      <w:marBottom w:val="0"/>
      <w:divBdr>
        <w:top w:val="none" w:sz="0" w:space="0" w:color="auto"/>
        <w:left w:val="none" w:sz="0" w:space="0" w:color="auto"/>
        <w:bottom w:val="none" w:sz="0" w:space="0" w:color="auto"/>
        <w:right w:val="none" w:sz="0" w:space="0" w:color="auto"/>
      </w:divBdr>
      <w:divsChild>
        <w:div w:id="555245443">
          <w:marLeft w:val="0"/>
          <w:marRight w:val="0"/>
          <w:marTop w:val="0"/>
          <w:marBottom w:val="0"/>
          <w:divBdr>
            <w:top w:val="none" w:sz="0" w:space="0" w:color="auto"/>
            <w:left w:val="none" w:sz="0" w:space="0" w:color="auto"/>
            <w:bottom w:val="none" w:sz="0" w:space="0" w:color="auto"/>
            <w:right w:val="none" w:sz="0" w:space="0" w:color="auto"/>
          </w:divBdr>
        </w:div>
      </w:divsChild>
    </w:div>
    <w:div w:id="1393238106">
      <w:marLeft w:val="0"/>
      <w:marRight w:val="0"/>
      <w:marTop w:val="0"/>
      <w:marBottom w:val="0"/>
      <w:divBdr>
        <w:top w:val="none" w:sz="0" w:space="0" w:color="auto"/>
        <w:left w:val="none" w:sz="0" w:space="0" w:color="auto"/>
        <w:bottom w:val="none" w:sz="0" w:space="0" w:color="auto"/>
        <w:right w:val="none" w:sz="0" w:space="0" w:color="auto"/>
      </w:divBdr>
      <w:divsChild>
        <w:div w:id="1272592233">
          <w:marLeft w:val="0"/>
          <w:marRight w:val="0"/>
          <w:marTop w:val="120"/>
          <w:marBottom w:val="0"/>
          <w:divBdr>
            <w:top w:val="none" w:sz="0" w:space="0" w:color="auto"/>
            <w:left w:val="none" w:sz="0" w:space="0" w:color="auto"/>
            <w:bottom w:val="none" w:sz="0" w:space="0" w:color="auto"/>
            <w:right w:val="none" w:sz="0" w:space="0" w:color="auto"/>
          </w:divBdr>
        </w:div>
      </w:divsChild>
    </w:div>
    <w:div w:id="1393308047">
      <w:marLeft w:val="0"/>
      <w:marRight w:val="0"/>
      <w:marTop w:val="240"/>
      <w:marBottom w:val="0"/>
      <w:divBdr>
        <w:top w:val="none" w:sz="0" w:space="0" w:color="auto"/>
        <w:left w:val="none" w:sz="0" w:space="0" w:color="auto"/>
        <w:bottom w:val="none" w:sz="0" w:space="0" w:color="auto"/>
        <w:right w:val="none" w:sz="0" w:space="0" w:color="auto"/>
      </w:divBdr>
    </w:div>
    <w:div w:id="1393456314">
      <w:marLeft w:val="0"/>
      <w:marRight w:val="0"/>
      <w:marTop w:val="240"/>
      <w:marBottom w:val="0"/>
      <w:divBdr>
        <w:top w:val="none" w:sz="0" w:space="0" w:color="auto"/>
        <w:left w:val="none" w:sz="0" w:space="0" w:color="auto"/>
        <w:bottom w:val="none" w:sz="0" w:space="0" w:color="auto"/>
        <w:right w:val="none" w:sz="0" w:space="0" w:color="auto"/>
      </w:divBdr>
    </w:div>
    <w:div w:id="1393849010">
      <w:marLeft w:val="0"/>
      <w:marRight w:val="0"/>
      <w:marTop w:val="240"/>
      <w:marBottom w:val="0"/>
      <w:divBdr>
        <w:top w:val="none" w:sz="0" w:space="0" w:color="auto"/>
        <w:left w:val="none" w:sz="0" w:space="0" w:color="auto"/>
        <w:bottom w:val="none" w:sz="0" w:space="0" w:color="auto"/>
        <w:right w:val="none" w:sz="0" w:space="0" w:color="auto"/>
      </w:divBdr>
    </w:div>
    <w:div w:id="1397390378">
      <w:marLeft w:val="0"/>
      <w:marRight w:val="0"/>
      <w:marTop w:val="180"/>
      <w:marBottom w:val="0"/>
      <w:divBdr>
        <w:top w:val="none" w:sz="0" w:space="0" w:color="auto"/>
        <w:left w:val="none" w:sz="0" w:space="0" w:color="auto"/>
        <w:bottom w:val="none" w:sz="0" w:space="0" w:color="auto"/>
        <w:right w:val="none" w:sz="0" w:space="0" w:color="auto"/>
      </w:divBdr>
    </w:div>
    <w:div w:id="1401831148">
      <w:marLeft w:val="0"/>
      <w:marRight w:val="0"/>
      <w:marTop w:val="240"/>
      <w:marBottom w:val="0"/>
      <w:divBdr>
        <w:top w:val="none" w:sz="0" w:space="0" w:color="auto"/>
        <w:left w:val="none" w:sz="0" w:space="0" w:color="auto"/>
        <w:bottom w:val="none" w:sz="0" w:space="0" w:color="auto"/>
        <w:right w:val="none" w:sz="0" w:space="0" w:color="auto"/>
      </w:divBdr>
    </w:div>
    <w:div w:id="1403061755">
      <w:marLeft w:val="0"/>
      <w:marRight w:val="0"/>
      <w:marTop w:val="0"/>
      <w:marBottom w:val="0"/>
      <w:divBdr>
        <w:top w:val="none" w:sz="0" w:space="0" w:color="auto"/>
        <w:left w:val="none" w:sz="0" w:space="0" w:color="auto"/>
        <w:bottom w:val="none" w:sz="0" w:space="0" w:color="auto"/>
        <w:right w:val="none" w:sz="0" w:space="0" w:color="auto"/>
      </w:divBdr>
      <w:divsChild>
        <w:div w:id="2140607715">
          <w:marLeft w:val="0"/>
          <w:marRight w:val="0"/>
          <w:marTop w:val="0"/>
          <w:marBottom w:val="0"/>
          <w:divBdr>
            <w:top w:val="none" w:sz="0" w:space="0" w:color="auto"/>
            <w:left w:val="none" w:sz="0" w:space="0" w:color="auto"/>
            <w:bottom w:val="none" w:sz="0" w:space="0" w:color="auto"/>
            <w:right w:val="none" w:sz="0" w:space="0" w:color="auto"/>
          </w:divBdr>
        </w:div>
      </w:divsChild>
    </w:div>
    <w:div w:id="1403213912">
      <w:marLeft w:val="0"/>
      <w:marRight w:val="0"/>
      <w:marTop w:val="240"/>
      <w:marBottom w:val="0"/>
      <w:divBdr>
        <w:top w:val="none" w:sz="0" w:space="0" w:color="auto"/>
        <w:left w:val="none" w:sz="0" w:space="0" w:color="auto"/>
        <w:bottom w:val="none" w:sz="0" w:space="0" w:color="auto"/>
        <w:right w:val="none" w:sz="0" w:space="0" w:color="auto"/>
      </w:divBdr>
    </w:div>
    <w:div w:id="1404645723">
      <w:marLeft w:val="0"/>
      <w:marRight w:val="0"/>
      <w:marTop w:val="240"/>
      <w:marBottom w:val="0"/>
      <w:divBdr>
        <w:top w:val="none" w:sz="0" w:space="0" w:color="auto"/>
        <w:left w:val="none" w:sz="0" w:space="0" w:color="auto"/>
        <w:bottom w:val="none" w:sz="0" w:space="0" w:color="auto"/>
        <w:right w:val="none" w:sz="0" w:space="0" w:color="auto"/>
      </w:divBdr>
    </w:div>
    <w:div w:id="1405452048">
      <w:marLeft w:val="0"/>
      <w:marRight w:val="0"/>
      <w:marTop w:val="60"/>
      <w:marBottom w:val="180"/>
      <w:divBdr>
        <w:top w:val="none" w:sz="0" w:space="0" w:color="auto"/>
        <w:left w:val="none" w:sz="0" w:space="0" w:color="auto"/>
        <w:bottom w:val="none" w:sz="0" w:space="0" w:color="auto"/>
        <w:right w:val="none" w:sz="0" w:space="0" w:color="auto"/>
      </w:divBdr>
    </w:div>
    <w:div w:id="1408722183">
      <w:marLeft w:val="0"/>
      <w:marRight w:val="0"/>
      <w:marTop w:val="240"/>
      <w:marBottom w:val="0"/>
      <w:divBdr>
        <w:top w:val="none" w:sz="0" w:space="0" w:color="auto"/>
        <w:left w:val="none" w:sz="0" w:space="0" w:color="auto"/>
        <w:bottom w:val="none" w:sz="0" w:space="0" w:color="auto"/>
        <w:right w:val="none" w:sz="0" w:space="0" w:color="auto"/>
      </w:divBdr>
    </w:div>
    <w:div w:id="1410077248">
      <w:marLeft w:val="0"/>
      <w:marRight w:val="0"/>
      <w:marTop w:val="100"/>
      <w:marBottom w:val="0"/>
      <w:divBdr>
        <w:top w:val="none" w:sz="0" w:space="0" w:color="auto"/>
        <w:left w:val="none" w:sz="0" w:space="0" w:color="auto"/>
        <w:bottom w:val="none" w:sz="0" w:space="0" w:color="auto"/>
        <w:right w:val="none" w:sz="0" w:space="0" w:color="auto"/>
      </w:divBdr>
    </w:div>
    <w:div w:id="1410538407">
      <w:marLeft w:val="0"/>
      <w:marRight w:val="0"/>
      <w:marTop w:val="240"/>
      <w:marBottom w:val="0"/>
      <w:divBdr>
        <w:top w:val="none" w:sz="0" w:space="0" w:color="auto"/>
        <w:left w:val="none" w:sz="0" w:space="0" w:color="auto"/>
        <w:bottom w:val="none" w:sz="0" w:space="0" w:color="auto"/>
        <w:right w:val="none" w:sz="0" w:space="0" w:color="auto"/>
      </w:divBdr>
    </w:div>
    <w:div w:id="1411582078">
      <w:marLeft w:val="0"/>
      <w:marRight w:val="0"/>
      <w:marTop w:val="240"/>
      <w:marBottom w:val="0"/>
      <w:divBdr>
        <w:top w:val="none" w:sz="0" w:space="0" w:color="auto"/>
        <w:left w:val="none" w:sz="0" w:space="0" w:color="auto"/>
        <w:bottom w:val="none" w:sz="0" w:space="0" w:color="auto"/>
        <w:right w:val="none" w:sz="0" w:space="0" w:color="auto"/>
      </w:divBdr>
    </w:div>
    <w:div w:id="1412661071">
      <w:marLeft w:val="0"/>
      <w:marRight w:val="0"/>
      <w:marTop w:val="240"/>
      <w:marBottom w:val="0"/>
      <w:divBdr>
        <w:top w:val="none" w:sz="0" w:space="0" w:color="auto"/>
        <w:left w:val="none" w:sz="0" w:space="0" w:color="auto"/>
        <w:bottom w:val="none" w:sz="0" w:space="0" w:color="auto"/>
        <w:right w:val="none" w:sz="0" w:space="0" w:color="auto"/>
      </w:divBdr>
    </w:div>
    <w:div w:id="1413699607">
      <w:marLeft w:val="0"/>
      <w:marRight w:val="0"/>
      <w:marTop w:val="240"/>
      <w:marBottom w:val="0"/>
      <w:divBdr>
        <w:top w:val="none" w:sz="0" w:space="0" w:color="auto"/>
        <w:left w:val="none" w:sz="0" w:space="0" w:color="auto"/>
        <w:bottom w:val="none" w:sz="0" w:space="0" w:color="auto"/>
        <w:right w:val="none" w:sz="0" w:space="0" w:color="auto"/>
      </w:divBdr>
    </w:div>
    <w:div w:id="1414205795">
      <w:marLeft w:val="0"/>
      <w:marRight w:val="0"/>
      <w:marTop w:val="0"/>
      <w:marBottom w:val="0"/>
      <w:divBdr>
        <w:top w:val="none" w:sz="0" w:space="0" w:color="auto"/>
        <w:left w:val="none" w:sz="0" w:space="0" w:color="auto"/>
        <w:bottom w:val="none" w:sz="0" w:space="0" w:color="auto"/>
        <w:right w:val="none" w:sz="0" w:space="0" w:color="auto"/>
      </w:divBdr>
      <w:divsChild>
        <w:div w:id="15353336">
          <w:marLeft w:val="0"/>
          <w:marRight w:val="0"/>
          <w:marTop w:val="0"/>
          <w:marBottom w:val="0"/>
          <w:divBdr>
            <w:top w:val="none" w:sz="0" w:space="0" w:color="auto"/>
            <w:left w:val="none" w:sz="0" w:space="0" w:color="auto"/>
            <w:bottom w:val="none" w:sz="0" w:space="0" w:color="auto"/>
            <w:right w:val="none" w:sz="0" w:space="0" w:color="auto"/>
          </w:divBdr>
        </w:div>
      </w:divsChild>
    </w:div>
    <w:div w:id="1416244323">
      <w:marLeft w:val="0"/>
      <w:marRight w:val="0"/>
      <w:marTop w:val="120"/>
      <w:marBottom w:val="0"/>
      <w:divBdr>
        <w:top w:val="none" w:sz="0" w:space="0" w:color="auto"/>
        <w:left w:val="none" w:sz="0" w:space="0" w:color="auto"/>
        <w:bottom w:val="none" w:sz="0" w:space="0" w:color="auto"/>
        <w:right w:val="none" w:sz="0" w:space="0" w:color="auto"/>
      </w:divBdr>
    </w:div>
    <w:div w:id="1417902060">
      <w:marLeft w:val="0"/>
      <w:marRight w:val="0"/>
      <w:marTop w:val="180"/>
      <w:marBottom w:val="0"/>
      <w:divBdr>
        <w:top w:val="none" w:sz="0" w:space="0" w:color="auto"/>
        <w:left w:val="none" w:sz="0" w:space="0" w:color="auto"/>
        <w:bottom w:val="none" w:sz="0" w:space="0" w:color="auto"/>
        <w:right w:val="none" w:sz="0" w:space="0" w:color="auto"/>
      </w:divBdr>
    </w:div>
    <w:div w:id="1419255461">
      <w:marLeft w:val="0"/>
      <w:marRight w:val="0"/>
      <w:marTop w:val="300"/>
      <w:marBottom w:val="0"/>
      <w:divBdr>
        <w:top w:val="none" w:sz="0" w:space="0" w:color="auto"/>
        <w:left w:val="none" w:sz="0" w:space="0" w:color="auto"/>
        <w:bottom w:val="none" w:sz="0" w:space="0" w:color="auto"/>
        <w:right w:val="none" w:sz="0" w:space="0" w:color="auto"/>
      </w:divBdr>
    </w:div>
    <w:div w:id="1419863599">
      <w:marLeft w:val="0"/>
      <w:marRight w:val="0"/>
      <w:marTop w:val="240"/>
      <w:marBottom w:val="0"/>
      <w:divBdr>
        <w:top w:val="none" w:sz="0" w:space="0" w:color="auto"/>
        <w:left w:val="none" w:sz="0" w:space="0" w:color="auto"/>
        <w:bottom w:val="none" w:sz="0" w:space="0" w:color="auto"/>
        <w:right w:val="none" w:sz="0" w:space="0" w:color="auto"/>
      </w:divBdr>
    </w:div>
    <w:div w:id="1420100001">
      <w:marLeft w:val="0"/>
      <w:marRight w:val="0"/>
      <w:marTop w:val="240"/>
      <w:marBottom w:val="0"/>
      <w:divBdr>
        <w:top w:val="none" w:sz="0" w:space="0" w:color="auto"/>
        <w:left w:val="none" w:sz="0" w:space="0" w:color="auto"/>
        <w:bottom w:val="none" w:sz="0" w:space="0" w:color="auto"/>
        <w:right w:val="none" w:sz="0" w:space="0" w:color="auto"/>
      </w:divBdr>
    </w:div>
    <w:div w:id="1423798076">
      <w:marLeft w:val="0"/>
      <w:marRight w:val="0"/>
      <w:marTop w:val="180"/>
      <w:marBottom w:val="0"/>
      <w:divBdr>
        <w:top w:val="none" w:sz="0" w:space="0" w:color="auto"/>
        <w:left w:val="none" w:sz="0" w:space="0" w:color="auto"/>
        <w:bottom w:val="none" w:sz="0" w:space="0" w:color="auto"/>
        <w:right w:val="none" w:sz="0" w:space="0" w:color="auto"/>
      </w:divBdr>
    </w:div>
    <w:div w:id="1424835182">
      <w:marLeft w:val="0"/>
      <w:marRight w:val="0"/>
      <w:marTop w:val="300"/>
      <w:marBottom w:val="0"/>
      <w:divBdr>
        <w:top w:val="none" w:sz="0" w:space="0" w:color="auto"/>
        <w:left w:val="none" w:sz="0" w:space="0" w:color="auto"/>
        <w:bottom w:val="none" w:sz="0" w:space="0" w:color="auto"/>
        <w:right w:val="none" w:sz="0" w:space="0" w:color="auto"/>
      </w:divBdr>
    </w:div>
    <w:div w:id="1425688372">
      <w:marLeft w:val="0"/>
      <w:marRight w:val="0"/>
      <w:marTop w:val="240"/>
      <w:marBottom w:val="0"/>
      <w:divBdr>
        <w:top w:val="none" w:sz="0" w:space="0" w:color="auto"/>
        <w:left w:val="none" w:sz="0" w:space="0" w:color="auto"/>
        <w:bottom w:val="none" w:sz="0" w:space="0" w:color="auto"/>
        <w:right w:val="none" w:sz="0" w:space="0" w:color="auto"/>
      </w:divBdr>
    </w:div>
    <w:div w:id="1426532320">
      <w:marLeft w:val="0"/>
      <w:marRight w:val="0"/>
      <w:marTop w:val="240"/>
      <w:marBottom w:val="0"/>
      <w:divBdr>
        <w:top w:val="none" w:sz="0" w:space="0" w:color="auto"/>
        <w:left w:val="none" w:sz="0" w:space="0" w:color="auto"/>
        <w:bottom w:val="none" w:sz="0" w:space="0" w:color="auto"/>
        <w:right w:val="none" w:sz="0" w:space="0" w:color="auto"/>
      </w:divBdr>
    </w:div>
    <w:div w:id="1428379186">
      <w:marLeft w:val="0"/>
      <w:marRight w:val="0"/>
      <w:marTop w:val="300"/>
      <w:marBottom w:val="0"/>
      <w:divBdr>
        <w:top w:val="none" w:sz="0" w:space="0" w:color="auto"/>
        <w:left w:val="none" w:sz="0" w:space="0" w:color="auto"/>
        <w:bottom w:val="none" w:sz="0" w:space="0" w:color="auto"/>
        <w:right w:val="none" w:sz="0" w:space="0" w:color="auto"/>
      </w:divBdr>
    </w:div>
    <w:div w:id="1428844442">
      <w:marLeft w:val="0"/>
      <w:marRight w:val="0"/>
      <w:marTop w:val="0"/>
      <w:marBottom w:val="0"/>
      <w:divBdr>
        <w:top w:val="none" w:sz="0" w:space="0" w:color="auto"/>
        <w:left w:val="none" w:sz="0" w:space="0" w:color="auto"/>
        <w:bottom w:val="none" w:sz="0" w:space="0" w:color="auto"/>
        <w:right w:val="none" w:sz="0" w:space="0" w:color="auto"/>
      </w:divBdr>
    </w:div>
    <w:div w:id="1433473091">
      <w:marLeft w:val="0"/>
      <w:marRight w:val="0"/>
      <w:marTop w:val="140"/>
      <w:marBottom w:val="0"/>
      <w:divBdr>
        <w:top w:val="none" w:sz="0" w:space="0" w:color="auto"/>
        <w:left w:val="none" w:sz="0" w:space="0" w:color="auto"/>
        <w:bottom w:val="none" w:sz="0" w:space="0" w:color="auto"/>
        <w:right w:val="none" w:sz="0" w:space="0" w:color="auto"/>
      </w:divBdr>
    </w:div>
    <w:div w:id="1435201819">
      <w:marLeft w:val="0"/>
      <w:marRight w:val="0"/>
      <w:marTop w:val="240"/>
      <w:marBottom w:val="0"/>
      <w:divBdr>
        <w:top w:val="none" w:sz="0" w:space="0" w:color="auto"/>
        <w:left w:val="none" w:sz="0" w:space="0" w:color="auto"/>
        <w:bottom w:val="none" w:sz="0" w:space="0" w:color="auto"/>
        <w:right w:val="none" w:sz="0" w:space="0" w:color="auto"/>
      </w:divBdr>
    </w:div>
    <w:div w:id="1436830294">
      <w:marLeft w:val="0"/>
      <w:marRight w:val="0"/>
      <w:marTop w:val="240"/>
      <w:marBottom w:val="0"/>
      <w:divBdr>
        <w:top w:val="none" w:sz="0" w:space="0" w:color="auto"/>
        <w:left w:val="none" w:sz="0" w:space="0" w:color="auto"/>
        <w:bottom w:val="none" w:sz="0" w:space="0" w:color="auto"/>
        <w:right w:val="none" w:sz="0" w:space="0" w:color="auto"/>
      </w:divBdr>
    </w:div>
    <w:div w:id="1438136983">
      <w:marLeft w:val="0"/>
      <w:marRight w:val="0"/>
      <w:marTop w:val="220"/>
      <w:marBottom w:val="0"/>
      <w:divBdr>
        <w:top w:val="none" w:sz="0" w:space="0" w:color="auto"/>
        <w:left w:val="none" w:sz="0" w:space="0" w:color="auto"/>
        <w:bottom w:val="none" w:sz="0" w:space="0" w:color="auto"/>
        <w:right w:val="none" w:sz="0" w:space="0" w:color="auto"/>
      </w:divBdr>
      <w:divsChild>
        <w:div w:id="502166938">
          <w:marLeft w:val="0"/>
          <w:marRight w:val="0"/>
          <w:marTop w:val="0"/>
          <w:marBottom w:val="0"/>
          <w:divBdr>
            <w:top w:val="none" w:sz="0" w:space="0" w:color="auto"/>
            <w:left w:val="none" w:sz="0" w:space="0" w:color="auto"/>
            <w:bottom w:val="none" w:sz="0" w:space="0" w:color="auto"/>
            <w:right w:val="none" w:sz="0" w:space="0" w:color="auto"/>
          </w:divBdr>
        </w:div>
      </w:divsChild>
    </w:div>
    <w:div w:id="1440101801">
      <w:marLeft w:val="0"/>
      <w:marRight w:val="0"/>
      <w:marTop w:val="120"/>
      <w:marBottom w:val="0"/>
      <w:divBdr>
        <w:top w:val="none" w:sz="0" w:space="0" w:color="auto"/>
        <w:left w:val="none" w:sz="0" w:space="0" w:color="auto"/>
        <w:bottom w:val="none" w:sz="0" w:space="0" w:color="auto"/>
        <w:right w:val="none" w:sz="0" w:space="0" w:color="auto"/>
      </w:divBdr>
    </w:div>
    <w:div w:id="1440566543">
      <w:marLeft w:val="0"/>
      <w:marRight w:val="0"/>
      <w:marTop w:val="0"/>
      <w:marBottom w:val="0"/>
      <w:divBdr>
        <w:top w:val="none" w:sz="0" w:space="0" w:color="auto"/>
        <w:left w:val="none" w:sz="0" w:space="0" w:color="auto"/>
        <w:bottom w:val="none" w:sz="0" w:space="0" w:color="auto"/>
        <w:right w:val="none" w:sz="0" w:space="0" w:color="auto"/>
      </w:divBdr>
      <w:divsChild>
        <w:div w:id="1339698171">
          <w:marLeft w:val="0"/>
          <w:marRight w:val="0"/>
          <w:marTop w:val="0"/>
          <w:marBottom w:val="0"/>
          <w:divBdr>
            <w:top w:val="none" w:sz="0" w:space="0" w:color="auto"/>
            <w:left w:val="none" w:sz="0" w:space="0" w:color="auto"/>
            <w:bottom w:val="none" w:sz="0" w:space="0" w:color="auto"/>
            <w:right w:val="none" w:sz="0" w:space="0" w:color="auto"/>
          </w:divBdr>
        </w:div>
      </w:divsChild>
    </w:div>
    <w:div w:id="1443649688">
      <w:marLeft w:val="0"/>
      <w:marRight w:val="0"/>
      <w:marTop w:val="0"/>
      <w:marBottom w:val="0"/>
      <w:divBdr>
        <w:top w:val="none" w:sz="0" w:space="0" w:color="auto"/>
        <w:left w:val="none" w:sz="0" w:space="0" w:color="auto"/>
        <w:bottom w:val="none" w:sz="0" w:space="0" w:color="auto"/>
        <w:right w:val="none" w:sz="0" w:space="0" w:color="auto"/>
      </w:divBdr>
      <w:divsChild>
        <w:div w:id="953290802">
          <w:marLeft w:val="0"/>
          <w:marRight w:val="0"/>
          <w:marTop w:val="120"/>
          <w:marBottom w:val="0"/>
          <w:divBdr>
            <w:top w:val="none" w:sz="0" w:space="0" w:color="auto"/>
            <w:left w:val="none" w:sz="0" w:space="0" w:color="auto"/>
            <w:bottom w:val="none" w:sz="0" w:space="0" w:color="auto"/>
            <w:right w:val="none" w:sz="0" w:space="0" w:color="auto"/>
          </w:divBdr>
        </w:div>
      </w:divsChild>
    </w:div>
    <w:div w:id="1444037990">
      <w:marLeft w:val="0"/>
      <w:marRight w:val="0"/>
      <w:marTop w:val="240"/>
      <w:marBottom w:val="0"/>
      <w:divBdr>
        <w:top w:val="none" w:sz="0" w:space="0" w:color="auto"/>
        <w:left w:val="none" w:sz="0" w:space="0" w:color="auto"/>
        <w:bottom w:val="none" w:sz="0" w:space="0" w:color="auto"/>
        <w:right w:val="none" w:sz="0" w:space="0" w:color="auto"/>
      </w:divBdr>
    </w:div>
    <w:div w:id="1446072052">
      <w:marLeft w:val="0"/>
      <w:marRight w:val="0"/>
      <w:marTop w:val="100"/>
      <w:marBottom w:val="180"/>
      <w:divBdr>
        <w:top w:val="none" w:sz="0" w:space="0" w:color="auto"/>
        <w:left w:val="none" w:sz="0" w:space="0" w:color="auto"/>
        <w:bottom w:val="none" w:sz="0" w:space="0" w:color="auto"/>
        <w:right w:val="none" w:sz="0" w:space="0" w:color="auto"/>
      </w:divBdr>
    </w:div>
    <w:div w:id="1446726506">
      <w:marLeft w:val="0"/>
      <w:marRight w:val="0"/>
      <w:marTop w:val="300"/>
      <w:marBottom w:val="0"/>
      <w:divBdr>
        <w:top w:val="none" w:sz="0" w:space="0" w:color="auto"/>
        <w:left w:val="none" w:sz="0" w:space="0" w:color="auto"/>
        <w:bottom w:val="none" w:sz="0" w:space="0" w:color="auto"/>
        <w:right w:val="none" w:sz="0" w:space="0" w:color="auto"/>
      </w:divBdr>
    </w:div>
    <w:div w:id="1447112946">
      <w:marLeft w:val="0"/>
      <w:marRight w:val="0"/>
      <w:marTop w:val="240"/>
      <w:marBottom w:val="0"/>
      <w:divBdr>
        <w:top w:val="none" w:sz="0" w:space="0" w:color="auto"/>
        <w:left w:val="none" w:sz="0" w:space="0" w:color="auto"/>
        <w:bottom w:val="none" w:sz="0" w:space="0" w:color="auto"/>
        <w:right w:val="none" w:sz="0" w:space="0" w:color="auto"/>
      </w:divBdr>
    </w:div>
    <w:div w:id="1449197814">
      <w:marLeft w:val="0"/>
      <w:marRight w:val="0"/>
      <w:marTop w:val="0"/>
      <w:marBottom w:val="0"/>
      <w:divBdr>
        <w:top w:val="none" w:sz="0" w:space="0" w:color="auto"/>
        <w:left w:val="none" w:sz="0" w:space="0" w:color="auto"/>
        <w:bottom w:val="none" w:sz="0" w:space="0" w:color="auto"/>
        <w:right w:val="none" w:sz="0" w:space="0" w:color="auto"/>
      </w:divBdr>
      <w:divsChild>
        <w:div w:id="1262683649">
          <w:marLeft w:val="0"/>
          <w:marRight w:val="0"/>
          <w:marTop w:val="0"/>
          <w:marBottom w:val="0"/>
          <w:divBdr>
            <w:top w:val="none" w:sz="0" w:space="0" w:color="auto"/>
            <w:left w:val="none" w:sz="0" w:space="0" w:color="auto"/>
            <w:bottom w:val="none" w:sz="0" w:space="0" w:color="auto"/>
            <w:right w:val="none" w:sz="0" w:space="0" w:color="auto"/>
          </w:divBdr>
          <w:divsChild>
            <w:div w:id="107932420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51969239">
      <w:marLeft w:val="0"/>
      <w:marRight w:val="0"/>
      <w:marTop w:val="0"/>
      <w:marBottom w:val="0"/>
      <w:divBdr>
        <w:top w:val="none" w:sz="0" w:space="0" w:color="auto"/>
        <w:left w:val="none" w:sz="0" w:space="0" w:color="auto"/>
        <w:bottom w:val="none" w:sz="0" w:space="0" w:color="auto"/>
        <w:right w:val="none" w:sz="0" w:space="0" w:color="auto"/>
      </w:divBdr>
    </w:div>
    <w:div w:id="1453673008">
      <w:marLeft w:val="0"/>
      <w:marRight w:val="0"/>
      <w:marTop w:val="240"/>
      <w:marBottom w:val="0"/>
      <w:divBdr>
        <w:top w:val="none" w:sz="0" w:space="0" w:color="auto"/>
        <w:left w:val="none" w:sz="0" w:space="0" w:color="auto"/>
        <w:bottom w:val="none" w:sz="0" w:space="0" w:color="auto"/>
        <w:right w:val="none" w:sz="0" w:space="0" w:color="auto"/>
      </w:divBdr>
    </w:div>
    <w:div w:id="1454446454">
      <w:marLeft w:val="0"/>
      <w:marRight w:val="0"/>
      <w:marTop w:val="120"/>
      <w:marBottom w:val="60"/>
      <w:divBdr>
        <w:top w:val="none" w:sz="0" w:space="0" w:color="auto"/>
        <w:left w:val="none" w:sz="0" w:space="0" w:color="auto"/>
        <w:bottom w:val="none" w:sz="0" w:space="0" w:color="auto"/>
        <w:right w:val="none" w:sz="0" w:space="0" w:color="auto"/>
      </w:divBdr>
    </w:div>
    <w:div w:id="1456220571">
      <w:marLeft w:val="0"/>
      <w:marRight w:val="0"/>
      <w:marTop w:val="240"/>
      <w:marBottom w:val="0"/>
      <w:divBdr>
        <w:top w:val="none" w:sz="0" w:space="0" w:color="auto"/>
        <w:left w:val="none" w:sz="0" w:space="0" w:color="auto"/>
        <w:bottom w:val="none" w:sz="0" w:space="0" w:color="auto"/>
        <w:right w:val="none" w:sz="0" w:space="0" w:color="auto"/>
      </w:divBdr>
    </w:div>
    <w:div w:id="1457526953">
      <w:marLeft w:val="0"/>
      <w:marRight w:val="0"/>
      <w:marTop w:val="60"/>
      <w:marBottom w:val="0"/>
      <w:divBdr>
        <w:top w:val="none" w:sz="0" w:space="0" w:color="auto"/>
        <w:left w:val="none" w:sz="0" w:space="0" w:color="auto"/>
        <w:bottom w:val="none" w:sz="0" w:space="0" w:color="auto"/>
        <w:right w:val="none" w:sz="0" w:space="0" w:color="auto"/>
      </w:divBdr>
    </w:div>
    <w:div w:id="1458254066">
      <w:marLeft w:val="0"/>
      <w:marRight w:val="0"/>
      <w:marTop w:val="0"/>
      <w:marBottom w:val="0"/>
      <w:divBdr>
        <w:top w:val="none" w:sz="0" w:space="0" w:color="auto"/>
        <w:left w:val="none" w:sz="0" w:space="0" w:color="auto"/>
        <w:bottom w:val="none" w:sz="0" w:space="0" w:color="auto"/>
        <w:right w:val="none" w:sz="0" w:space="0" w:color="auto"/>
      </w:divBdr>
      <w:divsChild>
        <w:div w:id="320887223">
          <w:marLeft w:val="0"/>
          <w:marRight w:val="0"/>
          <w:marTop w:val="0"/>
          <w:marBottom w:val="0"/>
          <w:divBdr>
            <w:top w:val="none" w:sz="0" w:space="0" w:color="auto"/>
            <w:left w:val="none" w:sz="0" w:space="0" w:color="auto"/>
            <w:bottom w:val="none" w:sz="0" w:space="0" w:color="auto"/>
            <w:right w:val="none" w:sz="0" w:space="0" w:color="auto"/>
          </w:divBdr>
          <w:divsChild>
            <w:div w:id="51134222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58254618">
      <w:marLeft w:val="0"/>
      <w:marRight w:val="0"/>
      <w:marTop w:val="240"/>
      <w:marBottom w:val="0"/>
      <w:divBdr>
        <w:top w:val="none" w:sz="0" w:space="0" w:color="auto"/>
        <w:left w:val="none" w:sz="0" w:space="0" w:color="auto"/>
        <w:bottom w:val="none" w:sz="0" w:space="0" w:color="auto"/>
        <w:right w:val="none" w:sz="0" w:space="0" w:color="auto"/>
      </w:divBdr>
    </w:div>
    <w:div w:id="1459184701">
      <w:marLeft w:val="0"/>
      <w:marRight w:val="0"/>
      <w:marTop w:val="240"/>
      <w:marBottom w:val="0"/>
      <w:divBdr>
        <w:top w:val="none" w:sz="0" w:space="0" w:color="auto"/>
        <w:left w:val="none" w:sz="0" w:space="0" w:color="auto"/>
        <w:bottom w:val="none" w:sz="0" w:space="0" w:color="auto"/>
        <w:right w:val="none" w:sz="0" w:space="0" w:color="auto"/>
      </w:divBdr>
    </w:div>
    <w:div w:id="1459491857">
      <w:marLeft w:val="0"/>
      <w:marRight w:val="0"/>
      <w:marTop w:val="240"/>
      <w:marBottom w:val="60"/>
      <w:divBdr>
        <w:top w:val="none" w:sz="0" w:space="0" w:color="auto"/>
        <w:left w:val="none" w:sz="0" w:space="0" w:color="auto"/>
        <w:bottom w:val="none" w:sz="0" w:space="0" w:color="auto"/>
        <w:right w:val="none" w:sz="0" w:space="0" w:color="auto"/>
      </w:divBdr>
    </w:div>
    <w:div w:id="1459954735">
      <w:marLeft w:val="0"/>
      <w:marRight w:val="0"/>
      <w:marTop w:val="180"/>
      <w:marBottom w:val="120"/>
      <w:divBdr>
        <w:top w:val="none" w:sz="0" w:space="0" w:color="auto"/>
        <w:left w:val="none" w:sz="0" w:space="0" w:color="auto"/>
        <w:bottom w:val="none" w:sz="0" w:space="0" w:color="auto"/>
        <w:right w:val="none" w:sz="0" w:space="0" w:color="auto"/>
      </w:divBdr>
    </w:div>
    <w:div w:id="1461218888">
      <w:marLeft w:val="0"/>
      <w:marRight w:val="0"/>
      <w:marTop w:val="240"/>
      <w:marBottom w:val="240"/>
      <w:divBdr>
        <w:top w:val="none" w:sz="0" w:space="0" w:color="auto"/>
        <w:left w:val="none" w:sz="0" w:space="0" w:color="auto"/>
        <w:bottom w:val="none" w:sz="0" w:space="0" w:color="auto"/>
        <w:right w:val="none" w:sz="0" w:space="0" w:color="auto"/>
      </w:divBdr>
    </w:div>
    <w:div w:id="1461729134">
      <w:marLeft w:val="0"/>
      <w:marRight w:val="0"/>
      <w:marTop w:val="180"/>
      <w:marBottom w:val="0"/>
      <w:divBdr>
        <w:top w:val="none" w:sz="0" w:space="0" w:color="auto"/>
        <w:left w:val="none" w:sz="0" w:space="0" w:color="auto"/>
        <w:bottom w:val="none" w:sz="0" w:space="0" w:color="auto"/>
        <w:right w:val="none" w:sz="0" w:space="0" w:color="auto"/>
      </w:divBdr>
    </w:div>
    <w:div w:id="1462729622">
      <w:marLeft w:val="0"/>
      <w:marRight w:val="0"/>
      <w:marTop w:val="240"/>
      <w:marBottom w:val="0"/>
      <w:divBdr>
        <w:top w:val="none" w:sz="0" w:space="0" w:color="auto"/>
        <w:left w:val="none" w:sz="0" w:space="0" w:color="auto"/>
        <w:bottom w:val="none" w:sz="0" w:space="0" w:color="auto"/>
        <w:right w:val="none" w:sz="0" w:space="0" w:color="auto"/>
      </w:divBdr>
    </w:div>
    <w:div w:id="1462847260">
      <w:marLeft w:val="0"/>
      <w:marRight w:val="0"/>
      <w:marTop w:val="0"/>
      <w:marBottom w:val="0"/>
      <w:divBdr>
        <w:top w:val="none" w:sz="0" w:space="0" w:color="auto"/>
        <w:left w:val="none" w:sz="0" w:space="0" w:color="auto"/>
        <w:bottom w:val="none" w:sz="0" w:space="0" w:color="auto"/>
        <w:right w:val="none" w:sz="0" w:space="0" w:color="auto"/>
      </w:divBdr>
      <w:divsChild>
        <w:div w:id="1178272770">
          <w:marLeft w:val="0"/>
          <w:marRight w:val="0"/>
          <w:marTop w:val="0"/>
          <w:marBottom w:val="0"/>
          <w:divBdr>
            <w:top w:val="none" w:sz="0" w:space="0" w:color="auto"/>
            <w:left w:val="none" w:sz="0" w:space="0" w:color="auto"/>
            <w:bottom w:val="none" w:sz="0" w:space="0" w:color="auto"/>
            <w:right w:val="none" w:sz="0" w:space="0" w:color="auto"/>
          </w:divBdr>
          <w:divsChild>
            <w:div w:id="8720401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63040554">
      <w:marLeft w:val="0"/>
      <w:marRight w:val="0"/>
      <w:marTop w:val="0"/>
      <w:marBottom w:val="60"/>
      <w:divBdr>
        <w:top w:val="none" w:sz="0" w:space="0" w:color="auto"/>
        <w:left w:val="none" w:sz="0" w:space="0" w:color="auto"/>
        <w:bottom w:val="none" w:sz="0" w:space="0" w:color="auto"/>
        <w:right w:val="none" w:sz="0" w:space="0" w:color="auto"/>
      </w:divBdr>
    </w:div>
    <w:div w:id="1464275823">
      <w:marLeft w:val="0"/>
      <w:marRight w:val="0"/>
      <w:marTop w:val="120"/>
      <w:marBottom w:val="0"/>
      <w:divBdr>
        <w:top w:val="none" w:sz="0" w:space="0" w:color="auto"/>
        <w:left w:val="none" w:sz="0" w:space="0" w:color="auto"/>
        <w:bottom w:val="none" w:sz="0" w:space="0" w:color="auto"/>
        <w:right w:val="none" w:sz="0" w:space="0" w:color="auto"/>
      </w:divBdr>
    </w:div>
    <w:div w:id="1464423705">
      <w:marLeft w:val="0"/>
      <w:marRight w:val="0"/>
      <w:marTop w:val="240"/>
      <w:marBottom w:val="0"/>
      <w:divBdr>
        <w:top w:val="none" w:sz="0" w:space="0" w:color="auto"/>
        <w:left w:val="none" w:sz="0" w:space="0" w:color="auto"/>
        <w:bottom w:val="none" w:sz="0" w:space="0" w:color="auto"/>
        <w:right w:val="none" w:sz="0" w:space="0" w:color="auto"/>
      </w:divBdr>
    </w:div>
    <w:div w:id="1464888637">
      <w:marLeft w:val="0"/>
      <w:marRight w:val="0"/>
      <w:marTop w:val="240"/>
      <w:marBottom w:val="0"/>
      <w:divBdr>
        <w:top w:val="none" w:sz="0" w:space="0" w:color="auto"/>
        <w:left w:val="none" w:sz="0" w:space="0" w:color="auto"/>
        <w:bottom w:val="none" w:sz="0" w:space="0" w:color="auto"/>
        <w:right w:val="none" w:sz="0" w:space="0" w:color="auto"/>
      </w:divBdr>
    </w:div>
    <w:div w:id="1468205844">
      <w:marLeft w:val="0"/>
      <w:marRight w:val="0"/>
      <w:marTop w:val="100"/>
      <w:marBottom w:val="0"/>
      <w:divBdr>
        <w:top w:val="none" w:sz="0" w:space="0" w:color="auto"/>
        <w:left w:val="none" w:sz="0" w:space="0" w:color="auto"/>
        <w:bottom w:val="none" w:sz="0" w:space="0" w:color="auto"/>
        <w:right w:val="none" w:sz="0" w:space="0" w:color="auto"/>
      </w:divBdr>
      <w:divsChild>
        <w:div w:id="1040086228">
          <w:marLeft w:val="0"/>
          <w:marRight w:val="0"/>
          <w:marTop w:val="0"/>
          <w:marBottom w:val="0"/>
          <w:divBdr>
            <w:top w:val="none" w:sz="0" w:space="0" w:color="auto"/>
            <w:left w:val="none" w:sz="0" w:space="0" w:color="auto"/>
            <w:bottom w:val="none" w:sz="0" w:space="0" w:color="auto"/>
            <w:right w:val="none" w:sz="0" w:space="0" w:color="auto"/>
          </w:divBdr>
        </w:div>
      </w:divsChild>
    </w:div>
    <w:div w:id="1470131153">
      <w:marLeft w:val="0"/>
      <w:marRight w:val="0"/>
      <w:marTop w:val="120"/>
      <w:marBottom w:val="0"/>
      <w:divBdr>
        <w:top w:val="none" w:sz="0" w:space="0" w:color="auto"/>
        <w:left w:val="none" w:sz="0" w:space="0" w:color="auto"/>
        <w:bottom w:val="none" w:sz="0" w:space="0" w:color="auto"/>
        <w:right w:val="none" w:sz="0" w:space="0" w:color="auto"/>
      </w:divBdr>
    </w:div>
    <w:div w:id="1470440148">
      <w:marLeft w:val="0"/>
      <w:marRight w:val="0"/>
      <w:marTop w:val="240"/>
      <w:marBottom w:val="0"/>
      <w:divBdr>
        <w:top w:val="none" w:sz="0" w:space="0" w:color="auto"/>
        <w:left w:val="none" w:sz="0" w:space="0" w:color="auto"/>
        <w:bottom w:val="none" w:sz="0" w:space="0" w:color="auto"/>
        <w:right w:val="none" w:sz="0" w:space="0" w:color="auto"/>
      </w:divBdr>
    </w:div>
    <w:div w:id="1471167999">
      <w:marLeft w:val="0"/>
      <w:marRight w:val="0"/>
      <w:marTop w:val="60"/>
      <w:marBottom w:val="100"/>
      <w:divBdr>
        <w:top w:val="none" w:sz="0" w:space="0" w:color="auto"/>
        <w:left w:val="none" w:sz="0" w:space="0" w:color="auto"/>
        <w:bottom w:val="none" w:sz="0" w:space="0" w:color="auto"/>
        <w:right w:val="none" w:sz="0" w:space="0" w:color="auto"/>
      </w:divBdr>
    </w:div>
    <w:div w:id="1471171449">
      <w:marLeft w:val="0"/>
      <w:marRight w:val="0"/>
      <w:marTop w:val="240"/>
      <w:marBottom w:val="240"/>
      <w:divBdr>
        <w:top w:val="none" w:sz="0" w:space="0" w:color="auto"/>
        <w:left w:val="none" w:sz="0" w:space="0" w:color="auto"/>
        <w:bottom w:val="none" w:sz="0" w:space="0" w:color="auto"/>
        <w:right w:val="none" w:sz="0" w:space="0" w:color="auto"/>
      </w:divBdr>
    </w:div>
    <w:div w:id="1471943032">
      <w:marLeft w:val="0"/>
      <w:marRight w:val="0"/>
      <w:marTop w:val="240"/>
      <w:marBottom w:val="0"/>
      <w:divBdr>
        <w:top w:val="none" w:sz="0" w:space="0" w:color="auto"/>
        <w:left w:val="none" w:sz="0" w:space="0" w:color="auto"/>
        <w:bottom w:val="none" w:sz="0" w:space="0" w:color="auto"/>
        <w:right w:val="none" w:sz="0" w:space="0" w:color="auto"/>
      </w:divBdr>
    </w:div>
    <w:div w:id="1471971285">
      <w:marLeft w:val="0"/>
      <w:marRight w:val="0"/>
      <w:marTop w:val="240"/>
      <w:marBottom w:val="0"/>
      <w:divBdr>
        <w:top w:val="none" w:sz="0" w:space="0" w:color="auto"/>
        <w:left w:val="none" w:sz="0" w:space="0" w:color="auto"/>
        <w:bottom w:val="none" w:sz="0" w:space="0" w:color="auto"/>
        <w:right w:val="none" w:sz="0" w:space="0" w:color="auto"/>
      </w:divBdr>
    </w:div>
    <w:div w:id="1472482124">
      <w:marLeft w:val="0"/>
      <w:marRight w:val="0"/>
      <w:marTop w:val="160"/>
      <w:marBottom w:val="0"/>
      <w:divBdr>
        <w:top w:val="none" w:sz="0" w:space="0" w:color="auto"/>
        <w:left w:val="none" w:sz="0" w:space="0" w:color="auto"/>
        <w:bottom w:val="none" w:sz="0" w:space="0" w:color="auto"/>
        <w:right w:val="none" w:sz="0" w:space="0" w:color="auto"/>
      </w:divBdr>
      <w:divsChild>
        <w:div w:id="1526871596">
          <w:marLeft w:val="0"/>
          <w:marRight w:val="0"/>
          <w:marTop w:val="0"/>
          <w:marBottom w:val="0"/>
          <w:divBdr>
            <w:top w:val="none" w:sz="0" w:space="0" w:color="auto"/>
            <w:left w:val="none" w:sz="0" w:space="0" w:color="auto"/>
            <w:bottom w:val="none" w:sz="0" w:space="0" w:color="auto"/>
            <w:right w:val="none" w:sz="0" w:space="0" w:color="auto"/>
          </w:divBdr>
        </w:div>
        <w:div w:id="1177234558">
          <w:marLeft w:val="0"/>
          <w:marRight w:val="0"/>
          <w:marTop w:val="0"/>
          <w:marBottom w:val="0"/>
          <w:divBdr>
            <w:top w:val="none" w:sz="0" w:space="0" w:color="auto"/>
            <w:left w:val="none" w:sz="0" w:space="0" w:color="auto"/>
            <w:bottom w:val="none" w:sz="0" w:space="0" w:color="auto"/>
            <w:right w:val="none" w:sz="0" w:space="0" w:color="auto"/>
          </w:divBdr>
        </w:div>
        <w:div w:id="1763449969">
          <w:marLeft w:val="0"/>
          <w:marRight w:val="0"/>
          <w:marTop w:val="0"/>
          <w:marBottom w:val="0"/>
          <w:divBdr>
            <w:top w:val="none" w:sz="0" w:space="0" w:color="auto"/>
            <w:left w:val="none" w:sz="0" w:space="0" w:color="auto"/>
            <w:bottom w:val="none" w:sz="0" w:space="0" w:color="auto"/>
            <w:right w:val="none" w:sz="0" w:space="0" w:color="auto"/>
          </w:divBdr>
        </w:div>
      </w:divsChild>
    </w:div>
    <w:div w:id="1472600496">
      <w:marLeft w:val="0"/>
      <w:marRight w:val="0"/>
      <w:marTop w:val="240"/>
      <w:marBottom w:val="0"/>
      <w:divBdr>
        <w:top w:val="none" w:sz="0" w:space="0" w:color="auto"/>
        <w:left w:val="none" w:sz="0" w:space="0" w:color="auto"/>
        <w:bottom w:val="none" w:sz="0" w:space="0" w:color="auto"/>
        <w:right w:val="none" w:sz="0" w:space="0" w:color="auto"/>
      </w:divBdr>
    </w:div>
    <w:div w:id="1474251654">
      <w:marLeft w:val="0"/>
      <w:marRight w:val="0"/>
      <w:marTop w:val="180"/>
      <w:marBottom w:val="0"/>
      <w:divBdr>
        <w:top w:val="none" w:sz="0" w:space="0" w:color="auto"/>
        <w:left w:val="none" w:sz="0" w:space="0" w:color="auto"/>
        <w:bottom w:val="none" w:sz="0" w:space="0" w:color="auto"/>
        <w:right w:val="none" w:sz="0" w:space="0" w:color="auto"/>
      </w:divBdr>
    </w:div>
    <w:div w:id="1475294053">
      <w:marLeft w:val="0"/>
      <w:marRight w:val="0"/>
      <w:marTop w:val="240"/>
      <w:marBottom w:val="0"/>
      <w:divBdr>
        <w:top w:val="none" w:sz="0" w:space="0" w:color="auto"/>
        <w:left w:val="none" w:sz="0" w:space="0" w:color="auto"/>
        <w:bottom w:val="none" w:sz="0" w:space="0" w:color="auto"/>
        <w:right w:val="none" w:sz="0" w:space="0" w:color="auto"/>
      </w:divBdr>
    </w:div>
    <w:div w:id="1477599709">
      <w:marLeft w:val="0"/>
      <w:marRight w:val="0"/>
      <w:marTop w:val="240"/>
      <w:marBottom w:val="0"/>
      <w:divBdr>
        <w:top w:val="none" w:sz="0" w:space="0" w:color="auto"/>
        <w:left w:val="none" w:sz="0" w:space="0" w:color="auto"/>
        <w:bottom w:val="none" w:sz="0" w:space="0" w:color="auto"/>
        <w:right w:val="none" w:sz="0" w:space="0" w:color="auto"/>
      </w:divBdr>
    </w:div>
    <w:div w:id="1478497487">
      <w:marLeft w:val="0"/>
      <w:marRight w:val="0"/>
      <w:marTop w:val="240"/>
      <w:marBottom w:val="240"/>
      <w:divBdr>
        <w:top w:val="none" w:sz="0" w:space="0" w:color="auto"/>
        <w:left w:val="none" w:sz="0" w:space="0" w:color="auto"/>
        <w:bottom w:val="none" w:sz="0" w:space="0" w:color="auto"/>
        <w:right w:val="none" w:sz="0" w:space="0" w:color="auto"/>
      </w:divBdr>
    </w:div>
    <w:div w:id="1480726284">
      <w:marLeft w:val="0"/>
      <w:marRight w:val="0"/>
      <w:marTop w:val="120"/>
      <w:marBottom w:val="0"/>
      <w:divBdr>
        <w:top w:val="none" w:sz="0" w:space="0" w:color="auto"/>
        <w:left w:val="none" w:sz="0" w:space="0" w:color="auto"/>
        <w:bottom w:val="none" w:sz="0" w:space="0" w:color="auto"/>
        <w:right w:val="none" w:sz="0" w:space="0" w:color="auto"/>
      </w:divBdr>
    </w:div>
    <w:div w:id="1482774330">
      <w:marLeft w:val="0"/>
      <w:marRight w:val="0"/>
      <w:marTop w:val="0"/>
      <w:marBottom w:val="0"/>
      <w:divBdr>
        <w:top w:val="none" w:sz="0" w:space="0" w:color="auto"/>
        <w:left w:val="none" w:sz="0" w:space="0" w:color="auto"/>
        <w:bottom w:val="none" w:sz="0" w:space="0" w:color="auto"/>
        <w:right w:val="none" w:sz="0" w:space="0" w:color="auto"/>
      </w:divBdr>
      <w:divsChild>
        <w:div w:id="791091240">
          <w:marLeft w:val="0"/>
          <w:marRight w:val="0"/>
          <w:marTop w:val="0"/>
          <w:marBottom w:val="0"/>
          <w:divBdr>
            <w:top w:val="none" w:sz="0" w:space="0" w:color="auto"/>
            <w:left w:val="none" w:sz="0" w:space="0" w:color="auto"/>
            <w:bottom w:val="none" w:sz="0" w:space="0" w:color="auto"/>
            <w:right w:val="none" w:sz="0" w:space="0" w:color="auto"/>
          </w:divBdr>
        </w:div>
      </w:divsChild>
    </w:div>
    <w:div w:id="1485973560">
      <w:marLeft w:val="0"/>
      <w:marRight w:val="0"/>
      <w:marTop w:val="60"/>
      <w:marBottom w:val="0"/>
      <w:divBdr>
        <w:top w:val="none" w:sz="0" w:space="0" w:color="auto"/>
        <w:left w:val="none" w:sz="0" w:space="0" w:color="auto"/>
        <w:bottom w:val="none" w:sz="0" w:space="0" w:color="auto"/>
        <w:right w:val="none" w:sz="0" w:space="0" w:color="auto"/>
      </w:divBdr>
    </w:div>
    <w:div w:id="1486165439">
      <w:marLeft w:val="0"/>
      <w:marRight w:val="0"/>
      <w:marTop w:val="240"/>
      <w:marBottom w:val="0"/>
      <w:divBdr>
        <w:top w:val="none" w:sz="0" w:space="0" w:color="auto"/>
        <w:left w:val="none" w:sz="0" w:space="0" w:color="auto"/>
        <w:bottom w:val="none" w:sz="0" w:space="0" w:color="auto"/>
        <w:right w:val="none" w:sz="0" w:space="0" w:color="auto"/>
      </w:divBdr>
    </w:div>
    <w:div w:id="1486429848">
      <w:marLeft w:val="0"/>
      <w:marRight w:val="0"/>
      <w:marTop w:val="220"/>
      <w:marBottom w:val="0"/>
      <w:divBdr>
        <w:top w:val="none" w:sz="0" w:space="0" w:color="auto"/>
        <w:left w:val="none" w:sz="0" w:space="0" w:color="auto"/>
        <w:bottom w:val="none" w:sz="0" w:space="0" w:color="auto"/>
        <w:right w:val="none" w:sz="0" w:space="0" w:color="auto"/>
      </w:divBdr>
      <w:divsChild>
        <w:div w:id="1733649849">
          <w:marLeft w:val="0"/>
          <w:marRight w:val="0"/>
          <w:marTop w:val="0"/>
          <w:marBottom w:val="0"/>
          <w:divBdr>
            <w:top w:val="none" w:sz="0" w:space="0" w:color="auto"/>
            <w:left w:val="none" w:sz="0" w:space="0" w:color="auto"/>
            <w:bottom w:val="none" w:sz="0" w:space="0" w:color="auto"/>
            <w:right w:val="none" w:sz="0" w:space="0" w:color="auto"/>
          </w:divBdr>
        </w:div>
      </w:divsChild>
    </w:div>
    <w:div w:id="1489517831">
      <w:marLeft w:val="0"/>
      <w:marRight w:val="0"/>
      <w:marTop w:val="240"/>
      <w:marBottom w:val="0"/>
      <w:divBdr>
        <w:top w:val="none" w:sz="0" w:space="0" w:color="auto"/>
        <w:left w:val="none" w:sz="0" w:space="0" w:color="auto"/>
        <w:bottom w:val="none" w:sz="0" w:space="0" w:color="auto"/>
        <w:right w:val="none" w:sz="0" w:space="0" w:color="auto"/>
      </w:divBdr>
    </w:div>
    <w:div w:id="1489908314">
      <w:marLeft w:val="0"/>
      <w:marRight w:val="0"/>
      <w:marTop w:val="240"/>
      <w:marBottom w:val="0"/>
      <w:divBdr>
        <w:top w:val="none" w:sz="0" w:space="0" w:color="auto"/>
        <w:left w:val="none" w:sz="0" w:space="0" w:color="auto"/>
        <w:bottom w:val="none" w:sz="0" w:space="0" w:color="auto"/>
        <w:right w:val="none" w:sz="0" w:space="0" w:color="auto"/>
      </w:divBdr>
    </w:div>
    <w:div w:id="1490174595">
      <w:marLeft w:val="0"/>
      <w:marRight w:val="0"/>
      <w:marTop w:val="240"/>
      <w:marBottom w:val="0"/>
      <w:divBdr>
        <w:top w:val="none" w:sz="0" w:space="0" w:color="auto"/>
        <w:left w:val="none" w:sz="0" w:space="0" w:color="auto"/>
        <w:bottom w:val="none" w:sz="0" w:space="0" w:color="auto"/>
        <w:right w:val="none" w:sz="0" w:space="0" w:color="auto"/>
      </w:divBdr>
    </w:div>
    <w:div w:id="1490361509">
      <w:marLeft w:val="0"/>
      <w:marRight w:val="0"/>
      <w:marTop w:val="240"/>
      <w:marBottom w:val="0"/>
      <w:divBdr>
        <w:top w:val="none" w:sz="0" w:space="0" w:color="auto"/>
        <w:left w:val="none" w:sz="0" w:space="0" w:color="auto"/>
        <w:bottom w:val="none" w:sz="0" w:space="0" w:color="auto"/>
        <w:right w:val="none" w:sz="0" w:space="0" w:color="auto"/>
      </w:divBdr>
    </w:div>
    <w:div w:id="1491865000">
      <w:marLeft w:val="0"/>
      <w:marRight w:val="0"/>
      <w:marTop w:val="60"/>
      <w:marBottom w:val="0"/>
      <w:divBdr>
        <w:top w:val="none" w:sz="0" w:space="0" w:color="auto"/>
        <w:left w:val="none" w:sz="0" w:space="0" w:color="auto"/>
        <w:bottom w:val="none" w:sz="0" w:space="0" w:color="auto"/>
        <w:right w:val="none" w:sz="0" w:space="0" w:color="auto"/>
      </w:divBdr>
    </w:div>
    <w:div w:id="1493374107">
      <w:marLeft w:val="0"/>
      <w:marRight w:val="0"/>
      <w:marTop w:val="240"/>
      <w:marBottom w:val="0"/>
      <w:divBdr>
        <w:top w:val="none" w:sz="0" w:space="0" w:color="auto"/>
        <w:left w:val="none" w:sz="0" w:space="0" w:color="auto"/>
        <w:bottom w:val="none" w:sz="0" w:space="0" w:color="auto"/>
        <w:right w:val="none" w:sz="0" w:space="0" w:color="auto"/>
      </w:divBdr>
    </w:div>
    <w:div w:id="1493715586">
      <w:marLeft w:val="0"/>
      <w:marRight w:val="0"/>
      <w:marTop w:val="240"/>
      <w:marBottom w:val="0"/>
      <w:divBdr>
        <w:top w:val="none" w:sz="0" w:space="0" w:color="auto"/>
        <w:left w:val="none" w:sz="0" w:space="0" w:color="auto"/>
        <w:bottom w:val="none" w:sz="0" w:space="0" w:color="auto"/>
        <w:right w:val="none" w:sz="0" w:space="0" w:color="auto"/>
      </w:divBdr>
    </w:div>
    <w:div w:id="1494834768">
      <w:marLeft w:val="0"/>
      <w:marRight w:val="0"/>
      <w:marTop w:val="240"/>
      <w:marBottom w:val="0"/>
      <w:divBdr>
        <w:top w:val="none" w:sz="0" w:space="0" w:color="auto"/>
        <w:left w:val="none" w:sz="0" w:space="0" w:color="auto"/>
        <w:bottom w:val="none" w:sz="0" w:space="0" w:color="auto"/>
        <w:right w:val="none" w:sz="0" w:space="0" w:color="auto"/>
      </w:divBdr>
    </w:div>
    <w:div w:id="1495681093">
      <w:marLeft w:val="0"/>
      <w:marRight w:val="0"/>
      <w:marTop w:val="240"/>
      <w:marBottom w:val="0"/>
      <w:divBdr>
        <w:top w:val="none" w:sz="0" w:space="0" w:color="auto"/>
        <w:left w:val="none" w:sz="0" w:space="0" w:color="auto"/>
        <w:bottom w:val="none" w:sz="0" w:space="0" w:color="auto"/>
        <w:right w:val="none" w:sz="0" w:space="0" w:color="auto"/>
      </w:divBdr>
    </w:div>
    <w:div w:id="1495878526">
      <w:marLeft w:val="0"/>
      <w:marRight w:val="0"/>
      <w:marTop w:val="240"/>
      <w:marBottom w:val="0"/>
      <w:divBdr>
        <w:top w:val="none" w:sz="0" w:space="0" w:color="auto"/>
        <w:left w:val="none" w:sz="0" w:space="0" w:color="auto"/>
        <w:bottom w:val="none" w:sz="0" w:space="0" w:color="auto"/>
        <w:right w:val="none" w:sz="0" w:space="0" w:color="auto"/>
      </w:divBdr>
    </w:div>
    <w:div w:id="1496149736">
      <w:marLeft w:val="0"/>
      <w:marRight w:val="0"/>
      <w:marTop w:val="300"/>
      <w:marBottom w:val="0"/>
      <w:divBdr>
        <w:top w:val="none" w:sz="0" w:space="0" w:color="auto"/>
        <w:left w:val="none" w:sz="0" w:space="0" w:color="auto"/>
        <w:bottom w:val="none" w:sz="0" w:space="0" w:color="auto"/>
        <w:right w:val="none" w:sz="0" w:space="0" w:color="auto"/>
      </w:divBdr>
    </w:div>
    <w:div w:id="1499609941">
      <w:marLeft w:val="0"/>
      <w:marRight w:val="0"/>
      <w:marTop w:val="240"/>
      <w:marBottom w:val="0"/>
      <w:divBdr>
        <w:top w:val="none" w:sz="0" w:space="0" w:color="auto"/>
        <w:left w:val="none" w:sz="0" w:space="0" w:color="auto"/>
        <w:bottom w:val="none" w:sz="0" w:space="0" w:color="auto"/>
        <w:right w:val="none" w:sz="0" w:space="0" w:color="auto"/>
      </w:divBdr>
    </w:div>
    <w:div w:id="1499615329">
      <w:marLeft w:val="0"/>
      <w:marRight w:val="0"/>
      <w:marTop w:val="240"/>
      <w:marBottom w:val="0"/>
      <w:divBdr>
        <w:top w:val="none" w:sz="0" w:space="0" w:color="auto"/>
        <w:left w:val="none" w:sz="0" w:space="0" w:color="auto"/>
        <w:bottom w:val="none" w:sz="0" w:space="0" w:color="auto"/>
        <w:right w:val="none" w:sz="0" w:space="0" w:color="auto"/>
      </w:divBdr>
    </w:div>
    <w:div w:id="1499615512">
      <w:marLeft w:val="0"/>
      <w:marRight w:val="0"/>
      <w:marTop w:val="200"/>
      <w:marBottom w:val="0"/>
      <w:divBdr>
        <w:top w:val="none" w:sz="0" w:space="0" w:color="auto"/>
        <w:left w:val="none" w:sz="0" w:space="0" w:color="auto"/>
        <w:bottom w:val="none" w:sz="0" w:space="0" w:color="auto"/>
        <w:right w:val="none" w:sz="0" w:space="0" w:color="auto"/>
      </w:divBdr>
    </w:div>
    <w:div w:id="1500148990">
      <w:marLeft w:val="0"/>
      <w:marRight w:val="0"/>
      <w:marTop w:val="240"/>
      <w:marBottom w:val="0"/>
      <w:divBdr>
        <w:top w:val="none" w:sz="0" w:space="0" w:color="auto"/>
        <w:left w:val="none" w:sz="0" w:space="0" w:color="auto"/>
        <w:bottom w:val="none" w:sz="0" w:space="0" w:color="auto"/>
        <w:right w:val="none" w:sz="0" w:space="0" w:color="auto"/>
      </w:divBdr>
    </w:div>
    <w:div w:id="1500729128">
      <w:marLeft w:val="0"/>
      <w:marRight w:val="0"/>
      <w:marTop w:val="240"/>
      <w:marBottom w:val="0"/>
      <w:divBdr>
        <w:top w:val="none" w:sz="0" w:space="0" w:color="auto"/>
        <w:left w:val="none" w:sz="0" w:space="0" w:color="auto"/>
        <w:bottom w:val="none" w:sz="0" w:space="0" w:color="auto"/>
        <w:right w:val="none" w:sz="0" w:space="0" w:color="auto"/>
      </w:divBdr>
    </w:div>
    <w:div w:id="1501505090">
      <w:marLeft w:val="0"/>
      <w:marRight w:val="0"/>
      <w:marTop w:val="240"/>
      <w:marBottom w:val="0"/>
      <w:divBdr>
        <w:top w:val="none" w:sz="0" w:space="0" w:color="auto"/>
        <w:left w:val="none" w:sz="0" w:space="0" w:color="auto"/>
        <w:bottom w:val="none" w:sz="0" w:space="0" w:color="auto"/>
        <w:right w:val="none" w:sz="0" w:space="0" w:color="auto"/>
      </w:divBdr>
    </w:div>
    <w:div w:id="1501888853">
      <w:marLeft w:val="0"/>
      <w:marRight w:val="0"/>
      <w:marTop w:val="0"/>
      <w:marBottom w:val="0"/>
      <w:divBdr>
        <w:top w:val="none" w:sz="0" w:space="0" w:color="auto"/>
        <w:left w:val="none" w:sz="0" w:space="0" w:color="auto"/>
        <w:bottom w:val="none" w:sz="0" w:space="0" w:color="auto"/>
        <w:right w:val="none" w:sz="0" w:space="0" w:color="auto"/>
      </w:divBdr>
      <w:divsChild>
        <w:div w:id="398290137">
          <w:marLeft w:val="0"/>
          <w:marRight w:val="0"/>
          <w:marTop w:val="0"/>
          <w:marBottom w:val="0"/>
          <w:divBdr>
            <w:top w:val="none" w:sz="0" w:space="0" w:color="auto"/>
            <w:left w:val="none" w:sz="0" w:space="0" w:color="auto"/>
            <w:bottom w:val="none" w:sz="0" w:space="0" w:color="auto"/>
            <w:right w:val="none" w:sz="0" w:space="0" w:color="auto"/>
          </w:divBdr>
          <w:divsChild>
            <w:div w:id="140143810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04783818">
      <w:marLeft w:val="0"/>
      <w:marRight w:val="0"/>
      <w:marTop w:val="100"/>
      <w:marBottom w:val="0"/>
      <w:divBdr>
        <w:top w:val="none" w:sz="0" w:space="0" w:color="auto"/>
        <w:left w:val="none" w:sz="0" w:space="0" w:color="auto"/>
        <w:bottom w:val="none" w:sz="0" w:space="0" w:color="auto"/>
        <w:right w:val="none" w:sz="0" w:space="0" w:color="auto"/>
      </w:divBdr>
    </w:div>
    <w:div w:id="1506020402">
      <w:marLeft w:val="0"/>
      <w:marRight w:val="0"/>
      <w:marTop w:val="240"/>
      <w:marBottom w:val="0"/>
      <w:divBdr>
        <w:top w:val="none" w:sz="0" w:space="0" w:color="auto"/>
        <w:left w:val="none" w:sz="0" w:space="0" w:color="auto"/>
        <w:bottom w:val="none" w:sz="0" w:space="0" w:color="auto"/>
        <w:right w:val="none" w:sz="0" w:space="0" w:color="auto"/>
      </w:divBdr>
    </w:div>
    <w:div w:id="1508866347">
      <w:marLeft w:val="0"/>
      <w:marRight w:val="0"/>
      <w:marTop w:val="0"/>
      <w:marBottom w:val="0"/>
      <w:divBdr>
        <w:top w:val="none" w:sz="0" w:space="0" w:color="auto"/>
        <w:left w:val="none" w:sz="0" w:space="0" w:color="auto"/>
        <w:bottom w:val="none" w:sz="0" w:space="0" w:color="auto"/>
        <w:right w:val="none" w:sz="0" w:space="0" w:color="auto"/>
      </w:divBdr>
      <w:divsChild>
        <w:div w:id="1187477975">
          <w:marLeft w:val="0"/>
          <w:marRight w:val="0"/>
          <w:marTop w:val="0"/>
          <w:marBottom w:val="0"/>
          <w:divBdr>
            <w:top w:val="none" w:sz="0" w:space="0" w:color="auto"/>
            <w:left w:val="none" w:sz="0" w:space="0" w:color="auto"/>
            <w:bottom w:val="none" w:sz="0" w:space="0" w:color="auto"/>
            <w:right w:val="none" w:sz="0" w:space="0" w:color="auto"/>
          </w:divBdr>
          <w:divsChild>
            <w:div w:id="25502138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09060621">
      <w:marLeft w:val="0"/>
      <w:marRight w:val="0"/>
      <w:marTop w:val="100"/>
      <w:marBottom w:val="180"/>
      <w:divBdr>
        <w:top w:val="none" w:sz="0" w:space="0" w:color="auto"/>
        <w:left w:val="none" w:sz="0" w:space="0" w:color="auto"/>
        <w:bottom w:val="none" w:sz="0" w:space="0" w:color="auto"/>
        <w:right w:val="none" w:sz="0" w:space="0" w:color="auto"/>
      </w:divBdr>
    </w:div>
    <w:div w:id="1510290547">
      <w:marLeft w:val="0"/>
      <w:marRight w:val="0"/>
      <w:marTop w:val="240"/>
      <w:marBottom w:val="0"/>
      <w:divBdr>
        <w:top w:val="none" w:sz="0" w:space="0" w:color="auto"/>
        <w:left w:val="none" w:sz="0" w:space="0" w:color="auto"/>
        <w:bottom w:val="none" w:sz="0" w:space="0" w:color="auto"/>
        <w:right w:val="none" w:sz="0" w:space="0" w:color="auto"/>
      </w:divBdr>
    </w:div>
    <w:div w:id="1510679171">
      <w:marLeft w:val="0"/>
      <w:marRight w:val="0"/>
      <w:marTop w:val="120"/>
      <w:marBottom w:val="0"/>
      <w:divBdr>
        <w:top w:val="none" w:sz="0" w:space="0" w:color="auto"/>
        <w:left w:val="none" w:sz="0" w:space="0" w:color="auto"/>
        <w:bottom w:val="none" w:sz="0" w:space="0" w:color="auto"/>
        <w:right w:val="none" w:sz="0" w:space="0" w:color="auto"/>
      </w:divBdr>
    </w:div>
    <w:div w:id="1511872610">
      <w:marLeft w:val="0"/>
      <w:marRight w:val="0"/>
      <w:marTop w:val="240"/>
      <w:marBottom w:val="0"/>
      <w:divBdr>
        <w:top w:val="none" w:sz="0" w:space="0" w:color="auto"/>
        <w:left w:val="none" w:sz="0" w:space="0" w:color="auto"/>
        <w:bottom w:val="none" w:sz="0" w:space="0" w:color="auto"/>
        <w:right w:val="none" w:sz="0" w:space="0" w:color="auto"/>
      </w:divBdr>
    </w:div>
    <w:div w:id="1512641821">
      <w:marLeft w:val="0"/>
      <w:marRight w:val="0"/>
      <w:marTop w:val="240"/>
      <w:marBottom w:val="0"/>
      <w:divBdr>
        <w:top w:val="none" w:sz="0" w:space="0" w:color="auto"/>
        <w:left w:val="none" w:sz="0" w:space="0" w:color="auto"/>
        <w:bottom w:val="none" w:sz="0" w:space="0" w:color="auto"/>
        <w:right w:val="none" w:sz="0" w:space="0" w:color="auto"/>
      </w:divBdr>
    </w:div>
    <w:div w:id="1514611526">
      <w:marLeft w:val="0"/>
      <w:marRight w:val="0"/>
      <w:marTop w:val="240"/>
      <w:marBottom w:val="0"/>
      <w:divBdr>
        <w:top w:val="none" w:sz="0" w:space="0" w:color="auto"/>
        <w:left w:val="none" w:sz="0" w:space="0" w:color="auto"/>
        <w:bottom w:val="none" w:sz="0" w:space="0" w:color="auto"/>
        <w:right w:val="none" w:sz="0" w:space="0" w:color="auto"/>
      </w:divBdr>
    </w:div>
    <w:div w:id="1515605909">
      <w:marLeft w:val="0"/>
      <w:marRight w:val="0"/>
      <w:marTop w:val="240"/>
      <w:marBottom w:val="0"/>
      <w:divBdr>
        <w:top w:val="none" w:sz="0" w:space="0" w:color="auto"/>
        <w:left w:val="none" w:sz="0" w:space="0" w:color="auto"/>
        <w:bottom w:val="none" w:sz="0" w:space="0" w:color="auto"/>
        <w:right w:val="none" w:sz="0" w:space="0" w:color="auto"/>
      </w:divBdr>
    </w:div>
    <w:div w:id="1518078124">
      <w:marLeft w:val="0"/>
      <w:marRight w:val="0"/>
      <w:marTop w:val="240"/>
      <w:marBottom w:val="0"/>
      <w:divBdr>
        <w:top w:val="none" w:sz="0" w:space="0" w:color="auto"/>
        <w:left w:val="none" w:sz="0" w:space="0" w:color="auto"/>
        <w:bottom w:val="none" w:sz="0" w:space="0" w:color="auto"/>
        <w:right w:val="none" w:sz="0" w:space="0" w:color="auto"/>
      </w:divBdr>
    </w:div>
    <w:div w:id="1520503355">
      <w:marLeft w:val="0"/>
      <w:marRight w:val="0"/>
      <w:marTop w:val="240"/>
      <w:marBottom w:val="0"/>
      <w:divBdr>
        <w:top w:val="none" w:sz="0" w:space="0" w:color="auto"/>
        <w:left w:val="none" w:sz="0" w:space="0" w:color="auto"/>
        <w:bottom w:val="none" w:sz="0" w:space="0" w:color="auto"/>
        <w:right w:val="none" w:sz="0" w:space="0" w:color="auto"/>
      </w:divBdr>
    </w:div>
    <w:div w:id="1521116351">
      <w:marLeft w:val="0"/>
      <w:marRight w:val="0"/>
      <w:marTop w:val="240"/>
      <w:marBottom w:val="0"/>
      <w:divBdr>
        <w:top w:val="none" w:sz="0" w:space="0" w:color="auto"/>
        <w:left w:val="none" w:sz="0" w:space="0" w:color="auto"/>
        <w:bottom w:val="none" w:sz="0" w:space="0" w:color="auto"/>
        <w:right w:val="none" w:sz="0" w:space="0" w:color="auto"/>
      </w:divBdr>
    </w:div>
    <w:div w:id="1521119245">
      <w:marLeft w:val="0"/>
      <w:marRight w:val="0"/>
      <w:marTop w:val="240"/>
      <w:marBottom w:val="0"/>
      <w:divBdr>
        <w:top w:val="none" w:sz="0" w:space="0" w:color="auto"/>
        <w:left w:val="none" w:sz="0" w:space="0" w:color="auto"/>
        <w:bottom w:val="none" w:sz="0" w:space="0" w:color="auto"/>
        <w:right w:val="none" w:sz="0" w:space="0" w:color="auto"/>
      </w:divBdr>
    </w:div>
    <w:div w:id="1522694951">
      <w:marLeft w:val="0"/>
      <w:marRight w:val="0"/>
      <w:marTop w:val="120"/>
      <w:marBottom w:val="0"/>
      <w:divBdr>
        <w:top w:val="none" w:sz="0" w:space="0" w:color="auto"/>
        <w:left w:val="none" w:sz="0" w:space="0" w:color="auto"/>
        <w:bottom w:val="none" w:sz="0" w:space="0" w:color="auto"/>
        <w:right w:val="none" w:sz="0" w:space="0" w:color="auto"/>
      </w:divBdr>
    </w:div>
    <w:div w:id="1524203008">
      <w:marLeft w:val="0"/>
      <w:marRight w:val="0"/>
      <w:marTop w:val="240"/>
      <w:marBottom w:val="0"/>
      <w:divBdr>
        <w:top w:val="none" w:sz="0" w:space="0" w:color="auto"/>
        <w:left w:val="none" w:sz="0" w:space="0" w:color="auto"/>
        <w:bottom w:val="none" w:sz="0" w:space="0" w:color="auto"/>
        <w:right w:val="none" w:sz="0" w:space="0" w:color="auto"/>
      </w:divBdr>
    </w:div>
    <w:div w:id="1526094646">
      <w:marLeft w:val="0"/>
      <w:marRight w:val="0"/>
      <w:marTop w:val="120"/>
      <w:marBottom w:val="0"/>
      <w:divBdr>
        <w:top w:val="none" w:sz="0" w:space="0" w:color="auto"/>
        <w:left w:val="none" w:sz="0" w:space="0" w:color="auto"/>
        <w:bottom w:val="none" w:sz="0" w:space="0" w:color="auto"/>
        <w:right w:val="none" w:sz="0" w:space="0" w:color="auto"/>
      </w:divBdr>
    </w:div>
    <w:div w:id="1526283146">
      <w:marLeft w:val="0"/>
      <w:marRight w:val="0"/>
      <w:marTop w:val="240"/>
      <w:marBottom w:val="0"/>
      <w:divBdr>
        <w:top w:val="none" w:sz="0" w:space="0" w:color="auto"/>
        <w:left w:val="none" w:sz="0" w:space="0" w:color="auto"/>
        <w:bottom w:val="none" w:sz="0" w:space="0" w:color="auto"/>
        <w:right w:val="none" w:sz="0" w:space="0" w:color="auto"/>
      </w:divBdr>
    </w:div>
    <w:div w:id="1526598003">
      <w:marLeft w:val="0"/>
      <w:marRight w:val="0"/>
      <w:marTop w:val="240"/>
      <w:marBottom w:val="0"/>
      <w:divBdr>
        <w:top w:val="none" w:sz="0" w:space="0" w:color="auto"/>
        <w:left w:val="none" w:sz="0" w:space="0" w:color="auto"/>
        <w:bottom w:val="none" w:sz="0" w:space="0" w:color="auto"/>
        <w:right w:val="none" w:sz="0" w:space="0" w:color="auto"/>
      </w:divBdr>
    </w:div>
    <w:div w:id="1527521681">
      <w:marLeft w:val="0"/>
      <w:marRight w:val="0"/>
      <w:marTop w:val="120"/>
      <w:marBottom w:val="0"/>
      <w:divBdr>
        <w:top w:val="none" w:sz="0" w:space="0" w:color="auto"/>
        <w:left w:val="none" w:sz="0" w:space="0" w:color="auto"/>
        <w:bottom w:val="none" w:sz="0" w:space="0" w:color="auto"/>
        <w:right w:val="none" w:sz="0" w:space="0" w:color="auto"/>
      </w:divBdr>
    </w:div>
    <w:div w:id="1531990052">
      <w:marLeft w:val="0"/>
      <w:marRight w:val="0"/>
      <w:marTop w:val="240"/>
      <w:marBottom w:val="0"/>
      <w:divBdr>
        <w:top w:val="none" w:sz="0" w:space="0" w:color="auto"/>
        <w:left w:val="none" w:sz="0" w:space="0" w:color="auto"/>
        <w:bottom w:val="none" w:sz="0" w:space="0" w:color="auto"/>
        <w:right w:val="none" w:sz="0" w:space="0" w:color="auto"/>
      </w:divBdr>
    </w:div>
    <w:div w:id="1532062179">
      <w:marLeft w:val="0"/>
      <w:marRight w:val="0"/>
      <w:marTop w:val="240"/>
      <w:marBottom w:val="0"/>
      <w:divBdr>
        <w:top w:val="none" w:sz="0" w:space="0" w:color="auto"/>
        <w:left w:val="none" w:sz="0" w:space="0" w:color="auto"/>
        <w:bottom w:val="none" w:sz="0" w:space="0" w:color="auto"/>
        <w:right w:val="none" w:sz="0" w:space="0" w:color="auto"/>
      </w:divBdr>
    </w:div>
    <w:div w:id="1532380220">
      <w:marLeft w:val="0"/>
      <w:marRight w:val="0"/>
      <w:marTop w:val="240"/>
      <w:marBottom w:val="0"/>
      <w:divBdr>
        <w:top w:val="none" w:sz="0" w:space="0" w:color="auto"/>
        <w:left w:val="none" w:sz="0" w:space="0" w:color="auto"/>
        <w:bottom w:val="none" w:sz="0" w:space="0" w:color="auto"/>
        <w:right w:val="none" w:sz="0" w:space="0" w:color="auto"/>
      </w:divBdr>
    </w:div>
    <w:div w:id="1532575590">
      <w:marLeft w:val="0"/>
      <w:marRight w:val="0"/>
      <w:marTop w:val="120"/>
      <w:marBottom w:val="0"/>
      <w:divBdr>
        <w:top w:val="none" w:sz="0" w:space="0" w:color="auto"/>
        <w:left w:val="none" w:sz="0" w:space="0" w:color="auto"/>
        <w:bottom w:val="none" w:sz="0" w:space="0" w:color="auto"/>
        <w:right w:val="none" w:sz="0" w:space="0" w:color="auto"/>
      </w:divBdr>
    </w:div>
    <w:div w:id="1532648597">
      <w:marLeft w:val="0"/>
      <w:marRight w:val="0"/>
      <w:marTop w:val="0"/>
      <w:marBottom w:val="0"/>
      <w:divBdr>
        <w:top w:val="none" w:sz="0" w:space="0" w:color="auto"/>
        <w:left w:val="none" w:sz="0" w:space="0" w:color="auto"/>
        <w:bottom w:val="none" w:sz="0" w:space="0" w:color="auto"/>
        <w:right w:val="none" w:sz="0" w:space="0" w:color="auto"/>
      </w:divBdr>
      <w:divsChild>
        <w:div w:id="1058018942">
          <w:marLeft w:val="0"/>
          <w:marRight w:val="0"/>
          <w:marTop w:val="120"/>
          <w:marBottom w:val="0"/>
          <w:divBdr>
            <w:top w:val="none" w:sz="0" w:space="0" w:color="auto"/>
            <w:left w:val="none" w:sz="0" w:space="0" w:color="auto"/>
            <w:bottom w:val="none" w:sz="0" w:space="0" w:color="auto"/>
            <w:right w:val="none" w:sz="0" w:space="0" w:color="auto"/>
          </w:divBdr>
        </w:div>
      </w:divsChild>
    </w:div>
    <w:div w:id="1532960281">
      <w:marLeft w:val="0"/>
      <w:marRight w:val="0"/>
      <w:marTop w:val="180"/>
      <w:marBottom w:val="0"/>
      <w:divBdr>
        <w:top w:val="none" w:sz="0" w:space="0" w:color="auto"/>
        <w:left w:val="none" w:sz="0" w:space="0" w:color="auto"/>
        <w:bottom w:val="none" w:sz="0" w:space="0" w:color="auto"/>
        <w:right w:val="none" w:sz="0" w:space="0" w:color="auto"/>
      </w:divBdr>
    </w:div>
    <w:div w:id="1534347949">
      <w:marLeft w:val="0"/>
      <w:marRight w:val="0"/>
      <w:marTop w:val="100"/>
      <w:marBottom w:val="60"/>
      <w:divBdr>
        <w:top w:val="none" w:sz="0" w:space="0" w:color="auto"/>
        <w:left w:val="none" w:sz="0" w:space="0" w:color="auto"/>
        <w:bottom w:val="none" w:sz="0" w:space="0" w:color="auto"/>
        <w:right w:val="none" w:sz="0" w:space="0" w:color="auto"/>
      </w:divBdr>
    </w:div>
    <w:div w:id="1537044554">
      <w:marLeft w:val="0"/>
      <w:marRight w:val="0"/>
      <w:marTop w:val="180"/>
      <w:marBottom w:val="0"/>
      <w:divBdr>
        <w:top w:val="none" w:sz="0" w:space="0" w:color="auto"/>
        <w:left w:val="none" w:sz="0" w:space="0" w:color="auto"/>
        <w:bottom w:val="none" w:sz="0" w:space="0" w:color="auto"/>
        <w:right w:val="none" w:sz="0" w:space="0" w:color="auto"/>
      </w:divBdr>
    </w:div>
    <w:div w:id="1537693019">
      <w:marLeft w:val="0"/>
      <w:marRight w:val="0"/>
      <w:marTop w:val="240"/>
      <w:marBottom w:val="0"/>
      <w:divBdr>
        <w:top w:val="none" w:sz="0" w:space="0" w:color="auto"/>
        <w:left w:val="none" w:sz="0" w:space="0" w:color="auto"/>
        <w:bottom w:val="none" w:sz="0" w:space="0" w:color="auto"/>
        <w:right w:val="none" w:sz="0" w:space="0" w:color="auto"/>
      </w:divBdr>
    </w:div>
    <w:div w:id="1537962398">
      <w:marLeft w:val="0"/>
      <w:marRight w:val="0"/>
      <w:marTop w:val="0"/>
      <w:marBottom w:val="0"/>
      <w:divBdr>
        <w:top w:val="none" w:sz="0" w:space="0" w:color="auto"/>
        <w:left w:val="none" w:sz="0" w:space="0" w:color="auto"/>
        <w:bottom w:val="none" w:sz="0" w:space="0" w:color="auto"/>
        <w:right w:val="none" w:sz="0" w:space="0" w:color="auto"/>
      </w:divBdr>
      <w:divsChild>
        <w:div w:id="573665547">
          <w:marLeft w:val="0"/>
          <w:marRight w:val="0"/>
          <w:marTop w:val="0"/>
          <w:marBottom w:val="0"/>
          <w:divBdr>
            <w:top w:val="none" w:sz="0" w:space="0" w:color="auto"/>
            <w:left w:val="none" w:sz="0" w:space="0" w:color="auto"/>
            <w:bottom w:val="none" w:sz="0" w:space="0" w:color="auto"/>
            <w:right w:val="none" w:sz="0" w:space="0" w:color="auto"/>
          </w:divBdr>
        </w:div>
      </w:divsChild>
    </w:div>
    <w:div w:id="1538352363">
      <w:marLeft w:val="0"/>
      <w:marRight w:val="0"/>
      <w:marTop w:val="0"/>
      <w:marBottom w:val="0"/>
      <w:divBdr>
        <w:top w:val="none" w:sz="0" w:space="0" w:color="auto"/>
        <w:left w:val="none" w:sz="0" w:space="0" w:color="auto"/>
        <w:bottom w:val="none" w:sz="0" w:space="0" w:color="auto"/>
        <w:right w:val="none" w:sz="0" w:space="0" w:color="auto"/>
      </w:divBdr>
      <w:divsChild>
        <w:div w:id="382103262">
          <w:marLeft w:val="0"/>
          <w:marRight w:val="0"/>
          <w:marTop w:val="120"/>
          <w:marBottom w:val="0"/>
          <w:divBdr>
            <w:top w:val="none" w:sz="0" w:space="0" w:color="auto"/>
            <w:left w:val="none" w:sz="0" w:space="0" w:color="auto"/>
            <w:bottom w:val="none" w:sz="0" w:space="0" w:color="auto"/>
            <w:right w:val="none" w:sz="0" w:space="0" w:color="auto"/>
          </w:divBdr>
        </w:div>
      </w:divsChild>
    </w:div>
    <w:div w:id="1538933586">
      <w:marLeft w:val="0"/>
      <w:marRight w:val="0"/>
      <w:marTop w:val="240"/>
      <w:marBottom w:val="0"/>
      <w:divBdr>
        <w:top w:val="none" w:sz="0" w:space="0" w:color="auto"/>
        <w:left w:val="none" w:sz="0" w:space="0" w:color="auto"/>
        <w:bottom w:val="none" w:sz="0" w:space="0" w:color="auto"/>
        <w:right w:val="none" w:sz="0" w:space="0" w:color="auto"/>
      </w:divBdr>
    </w:div>
    <w:div w:id="1543706171">
      <w:marLeft w:val="0"/>
      <w:marRight w:val="0"/>
      <w:marTop w:val="240"/>
      <w:marBottom w:val="0"/>
      <w:divBdr>
        <w:top w:val="none" w:sz="0" w:space="0" w:color="auto"/>
        <w:left w:val="none" w:sz="0" w:space="0" w:color="auto"/>
        <w:bottom w:val="none" w:sz="0" w:space="0" w:color="auto"/>
        <w:right w:val="none" w:sz="0" w:space="0" w:color="auto"/>
      </w:divBdr>
    </w:div>
    <w:div w:id="1544948109">
      <w:marLeft w:val="0"/>
      <w:marRight w:val="0"/>
      <w:marTop w:val="240"/>
      <w:marBottom w:val="0"/>
      <w:divBdr>
        <w:top w:val="none" w:sz="0" w:space="0" w:color="auto"/>
        <w:left w:val="none" w:sz="0" w:space="0" w:color="auto"/>
        <w:bottom w:val="none" w:sz="0" w:space="0" w:color="auto"/>
        <w:right w:val="none" w:sz="0" w:space="0" w:color="auto"/>
      </w:divBdr>
    </w:div>
    <w:div w:id="1545947569">
      <w:marLeft w:val="0"/>
      <w:marRight w:val="0"/>
      <w:marTop w:val="0"/>
      <w:marBottom w:val="0"/>
      <w:divBdr>
        <w:top w:val="none" w:sz="0" w:space="0" w:color="auto"/>
        <w:left w:val="none" w:sz="0" w:space="0" w:color="auto"/>
        <w:bottom w:val="none" w:sz="0" w:space="0" w:color="auto"/>
        <w:right w:val="none" w:sz="0" w:space="0" w:color="auto"/>
      </w:divBdr>
      <w:divsChild>
        <w:div w:id="553083333">
          <w:marLeft w:val="0"/>
          <w:marRight w:val="0"/>
          <w:marTop w:val="0"/>
          <w:marBottom w:val="0"/>
          <w:divBdr>
            <w:top w:val="none" w:sz="0" w:space="0" w:color="auto"/>
            <w:left w:val="none" w:sz="0" w:space="0" w:color="auto"/>
            <w:bottom w:val="none" w:sz="0" w:space="0" w:color="auto"/>
            <w:right w:val="none" w:sz="0" w:space="0" w:color="auto"/>
          </w:divBdr>
          <w:divsChild>
            <w:div w:id="139600933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48570514">
      <w:marLeft w:val="0"/>
      <w:marRight w:val="0"/>
      <w:marTop w:val="180"/>
      <w:marBottom w:val="0"/>
      <w:divBdr>
        <w:top w:val="none" w:sz="0" w:space="0" w:color="auto"/>
        <w:left w:val="none" w:sz="0" w:space="0" w:color="auto"/>
        <w:bottom w:val="none" w:sz="0" w:space="0" w:color="auto"/>
        <w:right w:val="none" w:sz="0" w:space="0" w:color="auto"/>
      </w:divBdr>
    </w:div>
    <w:div w:id="1551457153">
      <w:marLeft w:val="0"/>
      <w:marRight w:val="0"/>
      <w:marTop w:val="240"/>
      <w:marBottom w:val="0"/>
      <w:divBdr>
        <w:top w:val="none" w:sz="0" w:space="0" w:color="auto"/>
        <w:left w:val="none" w:sz="0" w:space="0" w:color="auto"/>
        <w:bottom w:val="none" w:sz="0" w:space="0" w:color="auto"/>
        <w:right w:val="none" w:sz="0" w:space="0" w:color="auto"/>
      </w:divBdr>
    </w:div>
    <w:div w:id="1553954751">
      <w:marLeft w:val="0"/>
      <w:marRight w:val="0"/>
      <w:marTop w:val="240"/>
      <w:marBottom w:val="0"/>
      <w:divBdr>
        <w:top w:val="none" w:sz="0" w:space="0" w:color="auto"/>
        <w:left w:val="none" w:sz="0" w:space="0" w:color="auto"/>
        <w:bottom w:val="none" w:sz="0" w:space="0" w:color="auto"/>
        <w:right w:val="none" w:sz="0" w:space="0" w:color="auto"/>
      </w:divBdr>
    </w:div>
    <w:div w:id="1554265718">
      <w:marLeft w:val="0"/>
      <w:marRight w:val="0"/>
      <w:marTop w:val="240"/>
      <w:marBottom w:val="0"/>
      <w:divBdr>
        <w:top w:val="none" w:sz="0" w:space="0" w:color="auto"/>
        <w:left w:val="none" w:sz="0" w:space="0" w:color="auto"/>
        <w:bottom w:val="none" w:sz="0" w:space="0" w:color="auto"/>
        <w:right w:val="none" w:sz="0" w:space="0" w:color="auto"/>
      </w:divBdr>
    </w:div>
    <w:div w:id="1554997785">
      <w:marLeft w:val="0"/>
      <w:marRight w:val="0"/>
      <w:marTop w:val="240"/>
      <w:marBottom w:val="0"/>
      <w:divBdr>
        <w:top w:val="none" w:sz="0" w:space="0" w:color="auto"/>
        <w:left w:val="none" w:sz="0" w:space="0" w:color="auto"/>
        <w:bottom w:val="none" w:sz="0" w:space="0" w:color="auto"/>
        <w:right w:val="none" w:sz="0" w:space="0" w:color="auto"/>
      </w:divBdr>
    </w:div>
    <w:div w:id="1555579167">
      <w:marLeft w:val="0"/>
      <w:marRight w:val="0"/>
      <w:marTop w:val="120"/>
      <w:marBottom w:val="0"/>
      <w:divBdr>
        <w:top w:val="none" w:sz="0" w:space="0" w:color="auto"/>
        <w:left w:val="none" w:sz="0" w:space="0" w:color="auto"/>
        <w:bottom w:val="none" w:sz="0" w:space="0" w:color="auto"/>
        <w:right w:val="none" w:sz="0" w:space="0" w:color="auto"/>
      </w:divBdr>
    </w:div>
    <w:div w:id="1556237981">
      <w:marLeft w:val="0"/>
      <w:marRight w:val="0"/>
      <w:marTop w:val="100"/>
      <w:marBottom w:val="120"/>
      <w:divBdr>
        <w:top w:val="none" w:sz="0" w:space="0" w:color="auto"/>
        <w:left w:val="none" w:sz="0" w:space="0" w:color="auto"/>
        <w:bottom w:val="none" w:sz="0" w:space="0" w:color="auto"/>
        <w:right w:val="none" w:sz="0" w:space="0" w:color="auto"/>
      </w:divBdr>
    </w:div>
    <w:div w:id="1556315095">
      <w:marLeft w:val="0"/>
      <w:marRight w:val="0"/>
      <w:marTop w:val="180"/>
      <w:marBottom w:val="0"/>
      <w:divBdr>
        <w:top w:val="none" w:sz="0" w:space="0" w:color="auto"/>
        <w:left w:val="none" w:sz="0" w:space="0" w:color="auto"/>
        <w:bottom w:val="none" w:sz="0" w:space="0" w:color="auto"/>
        <w:right w:val="none" w:sz="0" w:space="0" w:color="auto"/>
      </w:divBdr>
    </w:div>
    <w:div w:id="1556770726">
      <w:marLeft w:val="0"/>
      <w:marRight w:val="0"/>
      <w:marTop w:val="300"/>
      <w:marBottom w:val="0"/>
      <w:divBdr>
        <w:top w:val="none" w:sz="0" w:space="0" w:color="auto"/>
        <w:left w:val="none" w:sz="0" w:space="0" w:color="auto"/>
        <w:bottom w:val="none" w:sz="0" w:space="0" w:color="auto"/>
        <w:right w:val="none" w:sz="0" w:space="0" w:color="auto"/>
      </w:divBdr>
    </w:div>
    <w:div w:id="1558080870">
      <w:marLeft w:val="0"/>
      <w:marRight w:val="0"/>
      <w:marTop w:val="240"/>
      <w:marBottom w:val="240"/>
      <w:divBdr>
        <w:top w:val="none" w:sz="0" w:space="0" w:color="auto"/>
        <w:left w:val="none" w:sz="0" w:space="0" w:color="auto"/>
        <w:bottom w:val="none" w:sz="0" w:space="0" w:color="auto"/>
        <w:right w:val="none" w:sz="0" w:space="0" w:color="auto"/>
      </w:divBdr>
    </w:div>
    <w:div w:id="1558203323">
      <w:marLeft w:val="0"/>
      <w:marRight w:val="0"/>
      <w:marTop w:val="240"/>
      <w:marBottom w:val="0"/>
      <w:divBdr>
        <w:top w:val="none" w:sz="0" w:space="0" w:color="auto"/>
        <w:left w:val="none" w:sz="0" w:space="0" w:color="auto"/>
        <w:bottom w:val="none" w:sz="0" w:space="0" w:color="auto"/>
        <w:right w:val="none" w:sz="0" w:space="0" w:color="auto"/>
      </w:divBdr>
    </w:div>
    <w:div w:id="1559242122">
      <w:marLeft w:val="0"/>
      <w:marRight w:val="0"/>
      <w:marTop w:val="0"/>
      <w:marBottom w:val="0"/>
      <w:divBdr>
        <w:top w:val="none" w:sz="0" w:space="0" w:color="auto"/>
        <w:left w:val="none" w:sz="0" w:space="0" w:color="auto"/>
        <w:bottom w:val="none" w:sz="0" w:space="0" w:color="auto"/>
        <w:right w:val="none" w:sz="0" w:space="0" w:color="auto"/>
      </w:divBdr>
      <w:divsChild>
        <w:div w:id="1819809262">
          <w:marLeft w:val="0"/>
          <w:marRight w:val="0"/>
          <w:marTop w:val="0"/>
          <w:marBottom w:val="0"/>
          <w:divBdr>
            <w:top w:val="none" w:sz="0" w:space="0" w:color="auto"/>
            <w:left w:val="none" w:sz="0" w:space="0" w:color="auto"/>
            <w:bottom w:val="none" w:sz="0" w:space="0" w:color="auto"/>
            <w:right w:val="none" w:sz="0" w:space="0" w:color="auto"/>
          </w:divBdr>
        </w:div>
      </w:divsChild>
    </w:div>
    <w:div w:id="1559852044">
      <w:marLeft w:val="0"/>
      <w:marRight w:val="0"/>
      <w:marTop w:val="240"/>
      <w:marBottom w:val="0"/>
      <w:divBdr>
        <w:top w:val="none" w:sz="0" w:space="0" w:color="auto"/>
        <w:left w:val="none" w:sz="0" w:space="0" w:color="auto"/>
        <w:bottom w:val="none" w:sz="0" w:space="0" w:color="auto"/>
        <w:right w:val="none" w:sz="0" w:space="0" w:color="auto"/>
      </w:divBdr>
    </w:div>
    <w:div w:id="1560823778">
      <w:marLeft w:val="0"/>
      <w:marRight w:val="0"/>
      <w:marTop w:val="240"/>
      <w:marBottom w:val="0"/>
      <w:divBdr>
        <w:top w:val="none" w:sz="0" w:space="0" w:color="auto"/>
        <w:left w:val="none" w:sz="0" w:space="0" w:color="auto"/>
        <w:bottom w:val="none" w:sz="0" w:space="0" w:color="auto"/>
        <w:right w:val="none" w:sz="0" w:space="0" w:color="auto"/>
      </w:divBdr>
    </w:div>
    <w:div w:id="1561280946">
      <w:marLeft w:val="0"/>
      <w:marRight w:val="0"/>
      <w:marTop w:val="0"/>
      <w:marBottom w:val="0"/>
      <w:divBdr>
        <w:top w:val="none" w:sz="0" w:space="0" w:color="auto"/>
        <w:left w:val="none" w:sz="0" w:space="0" w:color="auto"/>
        <w:bottom w:val="none" w:sz="0" w:space="0" w:color="auto"/>
        <w:right w:val="none" w:sz="0" w:space="0" w:color="auto"/>
      </w:divBdr>
      <w:divsChild>
        <w:div w:id="1595867202">
          <w:marLeft w:val="0"/>
          <w:marRight w:val="0"/>
          <w:marTop w:val="0"/>
          <w:marBottom w:val="0"/>
          <w:divBdr>
            <w:top w:val="none" w:sz="0" w:space="0" w:color="auto"/>
            <w:left w:val="none" w:sz="0" w:space="0" w:color="auto"/>
            <w:bottom w:val="none" w:sz="0" w:space="0" w:color="auto"/>
            <w:right w:val="none" w:sz="0" w:space="0" w:color="auto"/>
          </w:divBdr>
        </w:div>
      </w:divsChild>
    </w:div>
    <w:div w:id="1561330033">
      <w:marLeft w:val="0"/>
      <w:marRight w:val="0"/>
      <w:marTop w:val="240"/>
      <w:marBottom w:val="0"/>
      <w:divBdr>
        <w:top w:val="none" w:sz="0" w:space="0" w:color="auto"/>
        <w:left w:val="none" w:sz="0" w:space="0" w:color="auto"/>
        <w:bottom w:val="none" w:sz="0" w:space="0" w:color="auto"/>
        <w:right w:val="none" w:sz="0" w:space="0" w:color="auto"/>
      </w:divBdr>
    </w:div>
    <w:div w:id="1561817937">
      <w:marLeft w:val="0"/>
      <w:marRight w:val="0"/>
      <w:marTop w:val="100"/>
      <w:marBottom w:val="0"/>
      <w:divBdr>
        <w:top w:val="none" w:sz="0" w:space="0" w:color="auto"/>
        <w:left w:val="none" w:sz="0" w:space="0" w:color="auto"/>
        <w:bottom w:val="none" w:sz="0" w:space="0" w:color="auto"/>
        <w:right w:val="none" w:sz="0" w:space="0" w:color="auto"/>
      </w:divBdr>
      <w:divsChild>
        <w:div w:id="1842968577">
          <w:marLeft w:val="0"/>
          <w:marRight w:val="0"/>
          <w:marTop w:val="0"/>
          <w:marBottom w:val="0"/>
          <w:divBdr>
            <w:top w:val="none" w:sz="0" w:space="0" w:color="auto"/>
            <w:left w:val="none" w:sz="0" w:space="0" w:color="auto"/>
            <w:bottom w:val="none" w:sz="0" w:space="0" w:color="auto"/>
            <w:right w:val="none" w:sz="0" w:space="0" w:color="auto"/>
          </w:divBdr>
        </w:div>
      </w:divsChild>
    </w:div>
    <w:div w:id="1561861807">
      <w:marLeft w:val="0"/>
      <w:marRight w:val="0"/>
      <w:marTop w:val="180"/>
      <w:marBottom w:val="0"/>
      <w:divBdr>
        <w:top w:val="none" w:sz="0" w:space="0" w:color="auto"/>
        <w:left w:val="none" w:sz="0" w:space="0" w:color="auto"/>
        <w:bottom w:val="none" w:sz="0" w:space="0" w:color="auto"/>
        <w:right w:val="none" w:sz="0" w:space="0" w:color="auto"/>
      </w:divBdr>
    </w:div>
    <w:div w:id="1562592322">
      <w:marLeft w:val="0"/>
      <w:marRight w:val="0"/>
      <w:marTop w:val="0"/>
      <w:marBottom w:val="0"/>
      <w:divBdr>
        <w:top w:val="none" w:sz="0" w:space="0" w:color="auto"/>
        <w:left w:val="none" w:sz="0" w:space="0" w:color="auto"/>
        <w:bottom w:val="none" w:sz="0" w:space="0" w:color="auto"/>
        <w:right w:val="none" w:sz="0" w:space="0" w:color="auto"/>
      </w:divBdr>
      <w:divsChild>
        <w:div w:id="261961928">
          <w:marLeft w:val="0"/>
          <w:marRight w:val="0"/>
          <w:marTop w:val="0"/>
          <w:marBottom w:val="0"/>
          <w:divBdr>
            <w:top w:val="none" w:sz="0" w:space="0" w:color="auto"/>
            <w:left w:val="none" w:sz="0" w:space="0" w:color="auto"/>
            <w:bottom w:val="none" w:sz="0" w:space="0" w:color="auto"/>
            <w:right w:val="none" w:sz="0" w:space="0" w:color="auto"/>
          </w:divBdr>
          <w:divsChild>
            <w:div w:id="102547427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63977740">
      <w:marLeft w:val="0"/>
      <w:marRight w:val="0"/>
      <w:marTop w:val="240"/>
      <w:marBottom w:val="0"/>
      <w:divBdr>
        <w:top w:val="none" w:sz="0" w:space="0" w:color="auto"/>
        <w:left w:val="none" w:sz="0" w:space="0" w:color="auto"/>
        <w:bottom w:val="none" w:sz="0" w:space="0" w:color="auto"/>
        <w:right w:val="none" w:sz="0" w:space="0" w:color="auto"/>
      </w:divBdr>
    </w:div>
    <w:div w:id="1564023109">
      <w:marLeft w:val="0"/>
      <w:marRight w:val="0"/>
      <w:marTop w:val="0"/>
      <w:marBottom w:val="0"/>
      <w:divBdr>
        <w:top w:val="none" w:sz="0" w:space="0" w:color="auto"/>
        <w:left w:val="none" w:sz="0" w:space="0" w:color="auto"/>
        <w:bottom w:val="none" w:sz="0" w:space="0" w:color="auto"/>
        <w:right w:val="none" w:sz="0" w:space="0" w:color="auto"/>
      </w:divBdr>
      <w:divsChild>
        <w:div w:id="836504282">
          <w:marLeft w:val="0"/>
          <w:marRight w:val="0"/>
          <w:marTop w:val="0"/>
          <w:marBottom w:val="0"/>
          <w:divBdr>
            <w:top w:val="none" w:sz="0" w:space="0" w:color="auto"/>
            <w:left w:val="none" w:sz="0" w:space="0" w:color="auto"/>
            <w:bottom w:val="none" w:sz="0" w:space="0" w:color="auto"/>
            <w:right w:val="none" w:sz="0" w:space="0" w:color="auto"/>
          </w:divBdr>
          <w:divsChild>
            <w:div w:id="150890913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68228085">
      <w:marLeft w:val="0"/>
      <w:marRight w:val="0"/>
      <w:marTop w:val="0"/>
      <w:marBottom w:val="0"/>
      <w:divBdr>
        <w:top w:val="none" w:sz="0" w:space="0" w:color="auto"/>
        <w:left w:val="none" w:sz="0" w:space="0" w:color="auto"/>
        <w:bottom w:val="none" w:sz="0" w:space="0" w:color="auto"/>
        <w:right w:val="none" w:sz="0" w:space="0" w:color="auto"/>
      </w:divBdr>
      <w:divsChild>
        <w:div w:id="1378234260">
          <w:marLeft w:val="0"/>
          <w:marRight w:val="0"/>
          <w:marTop w:val="0"/>
          <w:marBottom w:val="0"/>
          <w:divBdr>
            <w:top w:val="none" w:sz="0" w:space="0" w:color="auto"/>
            <w:left w:val="none" w:sz="0" w:space="0" w:color="auto"/>
            <w:bottom w:val="none" w:sz="0" w:space="0" w:color="auto"/>
            <w:right w:val="none" w:sz="0" w:space="0" w:color="auto"/>
          </w:divBdr>
          <w:divsChild>
            <w:div w:id="103064031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69028528">
      <w:marLeft w:val="0"/>
      <w:marRight w:val="0"/>
      <w:marTop w:val="220"/>
      <w:marBottom w:val="0"/>
      <w:divBdr>
        <w:top w:val="none" w:sz="0" w:space="0" w:color="auto"/>
        <w:left w:val="none" w:sz="0" w:space="0" w:color="auto"/>
        <w:bottom w:val="none" w:sz="0" w:space="0" w:color="auto"/>
        <w:right w:val="none" w:sz="0" w:space="0" w:color="auto"/>
      </w:divBdr>
      <w:divsChild>
        <w:div w:id="1206604177">
          <w:marLeft w:val="0"/>
          <w:marRight w:val="0"/>
          <w:marTop w:val="0"/>
          <w:marBottom w:val="0"/>
          <w:divBdr>
            <w:top w:val="none" w:sz="0" w:space="0" w:color="auto"/>
            <w:left w:val="none" w:sz="0" w:space="0" w:color="auto"/>
            <w:bottom w:val="none" w:sz="0" w:space="0" w:color="auto"/>
            <w:right w:val="none" w:sz="0" w:space="0" w:color="auto"/>
          </w:divBdr>
        </w:div>
        <w:div w:id="1405300985">
          <w:marLeft w:val="0"/>
          <w:marRight w:val="0"/>
          <w:marTop w:val="0"/>
          <w:marBottom w:val="0"/>
          <w:divBdr>
            <w:top w:val="none" w:sz="0" w:space="0" w:color="auto"/>
            <w:left w:val="none" w:sz="0" w:space="0" w:color="auto"/>
            <w:bottom w:val="none" w:sz="0" w:space="0" w:color="auto"/>
            <w:right w:val="none" w:sz="0" w:space="0" w:color="auto"/>
          </w:divBdr>
        </w:div>
      </w:divsChild>
    </w:div>
    <w:div w:id="1569149008">
      <w:marLeft w:val="0"/>
      <w:marRight w:val="0"/>
      <w:marTop w:val="240"/>
      <w:marBottom w:val="0"/>
      <w:divBdr>
        <w:top w:val="none" w:sz="0" w:space="0" w:color="auto"/>
        <w:left w:val="none" w:sz="0" w:space="0" w:color="auto"/>
        <w:bottom w:val="none" w:sz="0" w:space="0" w:color="auto"/>
        <w:right w:val="none" w:sz="0" w:space="0" w:color="auto"/>
      </w:divBdr>
    </w:div>
    <w:div w:id="1570000902">
      <w:marLeft w:val="0"/>
      <w:marRight w:val="0"/>
      <w:marTop w:val="240"/>
      <w:marBottom w:val="0"/>
      <w:divBdr>
        <w:top w:val="none" w:sz="0" w:space="0" w:color="auto"/>
        <w:left w:val="none" w:sz="0" w:space="0" w:color="auto"/>
        <w:bottom w:val="none" w:sz="0" w:space="0" w:color="auto"/>
        <w:right w:val="none" w:sz="0" w:space="0" w:color="auto"/>
      </w:divBdr>
    </w:div>
    <w:div w:id="1578125334">
      <w:marLeft w:val="0"/>
      <w:marRight w:val="0"/>
      <w:marTop w:val="0"/>
      <w:marBottom w:val="0"/>
      <w:divBdr>
        <w:top w:val="none" w:sz="0" w:space="0" w:color="auto"/>
        <w:left w:val="none" w:sz="0" w:space="0" w:color="auto"/>
        <w:bottom w:val="none" w:sz="0" w:space="0" w:color="auto"/>
        <w:right w:val="none" w:sz="0" w:space="0" w:color="auto"/>
      </w:divBdr>
      <w:divsChild>
        <w:div w:id="1484002301">
          <w:marLeft w:val="0"/>
          <w:marRight w:val="0"/>
          <w:marTop w:val="0"/>
          <w:marBottom w:val="0"/>
          <w:divBdr>
            <w:top w:val="none" w:sz="0" w:space="0" w:color="auto"/>
            <w:left w:val="none" w:sz="0" w:space="0" w:color="auto"/>
            <w:bottom w:val="none" w:sz="0" w:space="0" w:color="auto"/>
            <w:right w:val="none" w:sz="0" w:space="0" w:color="auto"/>
          </w:divBdr>
          <w:divsChild>
            <w:div w:id="14429159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81403589">
      <w:marLeft w:val="0"/>
      <w:marRight w:val="0"/>
      <w:marTop w:val="240"/>
      <w:marBottom w:val="0"/>
      <w:divBdr>
        <w:top w:val="none" w:sz="0" w:space="0" w:color="auto"/>
        <w:left w:val="none" w:sz="0" w:space="0" w:color="auto"/>
        <w:bottom w:val="none" w:sz="0" w:space="0" w:color="auto"/>
        <w:right w:val="none" w:sz="0" w:space="0" w:color="auto"/>
      </w:divBdr>
    </w:div>
    <w:div w:id="1586264846">
      <w:marLeft w:val="0"/>
      <w:marRight w:val="0"/>
      <w:marTop w:val="180"/>
      <w:marBottom w:val="0"/>
      <w:divBdr>
        <w:top w:val="none" w:sz="0" w:space="0" w:color="auto"/>
        <w:left w:val="none" w:sz="0" w:space="0" w:color="auto"/>
        <w:bottom w:val="none" w:sz="0" w:space="0" w:color="auto"/>
        <w:right w:val="none" w:sz="0" w:space="0" w:color="auto"/>
      </w:divBdr>
    </w:div>
    <w:div w:id="1587155716">
      <w:marLeft w:val="0"/>
      <w:marRight w:val="0"/>
      <w:marTop w:val="0"/>
      <w:marBottom w:val="60"/>
      <w:divBdr>
        <w:top w:val="none" w:sz="0" w:space="0" w:color="auto"/>
        <w:left w:val="none" w:sz="0" w:space="0" w:color="auto"/>
        <w:bottom w:val="none" w:sz="0" w:space="0" w:color="auto"/>
        <w:right w:val="none" w:sz="0" w:space="0" w:color="auto"/>
      </w:divBdr>
    </w:div>
    <w:div w:id="1588032533">
      <w:marLeft w:val="0"/>
      <w:marRight w:val="0"/>
      <w:marTop w:val="240"/>
      <w:marBottom w:val="0"/>
      <w:divBdr>
        <w:top w:val="none" w:sz="0" w:space="0" w:color="auto"/>
        <w:left w:val="none" w:sz="0" w:space="0" w:color="auto"/>
        <w:bottom w:val="none" w:sz="0" w:space="0" w:color="auto"/>
        <w:right w:val="none" w:sz="0" w:space="0" w:color="auto"/>
      </w:divBdr>
    </w:div>
    <w:div w:id="1589459056">
      <w:marLeft w:val="0"/>
      <w:marRight w:val="0"/>
      <w:marTop w:val="240"/>
      <w:marBottom w:val="0"/>
      <w:divBdr>
        <w:top w:val="none" w:sz="0" w:space="0" w:color="auto"/>
        <w:left w:val="none" w:sz="0" w:space="0" w:color="auto"/>
        <w:bottom w:val="none" w:sz="0" w:space="0" w:color="auto"/>
        <w:right w:val="none" w:sz="0" w:space="0" w:color="auto"/>
      </w:divBdr>
    </w:div>
    <w:div w:id="1590040834">
      <w:marLeft w:val="0"/>
      <w:marRight w:val="0"/>
      <w:marTop w:val="240"/>
      <w:marBottom w:val="0"/>
      <w:divBdr>
        <w:top w:val="none" w:sz="0" w:space="0" w:color="auto"/>
        <w:left w:val="none" w:sz="0" w:space="0" w:color="auto"/>
        <w:bottom w:val="none" w:sz="0" w:space="0" w:color="auto"/>
        <w:right w:val="none" w:sz="0" w:space="0" w:color="auto"/>
      </w:divBdr>
    </w:div>
    <w:div w:id="1591236096">
      <w:marLeft w:val="0"/>
      <w:marRight w:val="0"/>
      <w:marTop w:val="240"/>
      <w:marBottom w:val="0"/>
      <w:divBdr>
        <w:top w:val="none" w:sz="0" w:space="0" w:color="auto"/>
        <w:left w:val="none" w:sz="0" w:space="0" w:color="auto"/>
        <w:bottom w:val="none" w:sz="0" w:space="0" w:color="auto"/>
        <w:right w:val="none" w:sz="0" w:space="0" w:color="auto"/>
      </w:divBdr>
    </w:div>
    <w:div w:id="1592011731">
      <w:marLeft w:val="0"/>
      <w:marRight w:val="0"/>
      <w:marTop w:val="200"/>
      <w:marBottom w:val="0"/>
      <w:divBdr>
        <w:top w:val="none" w:sz="0" w:space="0" w:color="auto"/>
        <w:left w:val="none" w:sz="0" w:space="0" w:color="auto"/>
        <w:bottom w:val="none" w:sz="0" w:space="0" w:color="auto"/>
        <w:right w:val="none" w:sz="0" w:space="0" w:color="auto"/>
      </w:divBdr>
    </w:div>
    <w:div w:id="1593469113">
      <w:marLeft w:val="0"/>
      <w:marRight w:val="0"/>
      <w:marTop w:val="0"/>
      <w:marBottom w:val="0"/>
      <w:divBdr>
        <w:top w:val="none" w:sz="0" w:space="0" w:color="auto"/>
        <w:left w:val="none" w:sz="0" w:space="0" w:color="auto"/>
        <w:bottom w:val="none" w:sz="0" w:space="0" w:color="auto"/>
        <w:right w:val="none" w:sz="0" w:space="0" w:color="auto"/>
      </w:divBdr>
      <w:divsChild>
        <w:div w:id="1098059352">
          <w:marLeft w:val="0"/>
          <w:marRight w:val="0"/>
          <w:marTop w:val="120"/>
          <w:marBottom w:val="0"/>
          <w:divBdr>
            <w:top w:val="none" w:sz="0" w:space="0" w:color="auto"/>
            <w:left w:val="none" w:sz="0" w:space="0" w:color="auto"/>
            <w:bottom w:val="none" w:sz="0" w:space="0" w:color="auto"/>
            <w:right w:val="none" w:sz="0" w:space="0" w:color="auto"/>
          </w:divBdr>
        </w:div>
      </w:divsChild>
    </w:div>
    <w:div w:id="1594625630">
      <w:marLeft w:val="0"/>
      <w:marRight w:val="0"/>
      <w:marTop w:val="100"/>
      <w:marBottom w:val="0"/>
      <w:divBdr>
        <w:top w:val="none" w:sz="0" w:space="0" w:color="auto"/>
        <w:left w:val="none" w:sz="0" w:space="0" w:color="auto"/>
        <w:bottom w:val="none" w:sz="0" w:space="0" w:color="auto"/>
        <w:right w:val="none" w:sz="0" w:space="0" w:color="auto"/>
      </w:divBdr>
    </w:div>
    <w:div w:id="1595354492">
      <w:marLeft w:val="0"/>
      <w:marRight w:val="0"/>
      <w:marTop w:val="0"/>
      <w:marBottom w:val="0"/>
      <w:divBdr>
        <w:top w:val="none" w:sz="0" w:space="0" w:color="auto"/>
        <w:left w:val="none" w:sz="0" w:space="0" w:color="auto"/>
        <w:bottom w:val="none" w:sz="0" w:space="0" w:color="auto"/>
        <w:right w:val="none" w:sz="0" w:space="0" w:color="auto"/>
      </w:divBdr>
      <w:divsChild>
        <w:div w:id="1770924424">
          <w:marLeft w:val="0"/>
          <w:marRight w:val="0"/>
          <w:marTop w:val="0"/>
          <w:marBottom w:val="0"/>
          <w:divBdr>
            <w:top w:val="none" w:sz="0" w:space="0" w:color="auto"/>
            <w:left w:val="none" w:sz="0" w:space="0" w:color="auto"/>
            <w:bottom w:val="none" w:sz="0" w:space="0" w:color="auto"/>
            <w:right w:val="none" w:sz="0" w:space="0" w:color="auto"/>
          </w:divBdr>
        </w:div>
      </w:divsChild>
    </w:div>
    <w:div w:id="1596011689">
      <w:marLeft w:val="0"/>
      <w:marRight w:val="0"/>
      <w:marTop w:val="240"/>
      <w:marBottom w:val="0"/>
      <w:divBdr>
        <w:top w:val="none" w:sz="0" w:space="0" w:color="auto"/>
        <w:left w:val="none" w:sz="0" w:space="0" w:color="auto"/>
        <w:bottom w:val="none" w:sz="0" w:space="0" w:color="auto"/>
        <w:right w:val="none" w:sz="0" w:space="0" w:color="auto"/>
      </w:divBdr>
    </w:div>
    <w:div w:id="1596591608">
      <w:marLeft w:val="0"/>
      <w:marRight w:val="0"/>
      <w:marTop w:val="240"/>
      <w:marBottom w:val="0"/>
      <w:divBdr>
        <w:top w:val="none" w:sz="0" w:space="0" w:color="auto"/>
        <w:left w:val="none" w:sz="0" w:space="0" w:color="auto"/>
        <w:bottom w:val="none" w:sz="0" w:space="0" w:color="auto"/>
        <w:right w:val="none" w:sz="0" w:space="0" w:color="auto"/>
      </w:divBdr>
    </w:div>
    <w:div w:id="1598363234">
      <w:marLeft w:val="0"/>
      <w:marRight w:val="0"/>
      <w:marTop w:val="240"/>
      <w:marBottom w:val="0"/>
      <w:divBdr>
        <w:top w:val="none" w:sz="0" w:space="0" w:color="auto"/>
        <w:left w:val="none" w:sz="0" w:space="0" w:color="auto"/>
        <w:bottom w:val="none" w:sz="0" w:space="0" w:color="auto"/>
        <w:right w:val="none" w:sz="0" w:space="0" w:color="auto"/>
      </w:divBdr>
    </w:div>
    <w:div w:id="1598559909">
      <w:marLeft w:val="0"/>
      <w:marRight w:val="0"/>
      <w:marTop w:val="240"/>
      <w:marBottom w:val="120"/>
      <w:divBdr>
        <w:top w:val="none" w:sz="0" w:space="0" w:color="auto"/>
        <w:left w:val="none" w:sz="0" w:space="0" w:color="auto"/>
        <w:bottom w:val="none" w:sz="0" w:space="0" w:color="auto"/>
        <w:right w:val="none" w:sz="0" w:space="0" w:color="auto"/>
      </w:divBdr>
    </w:div>
    <w:div w:id="1600983716">
      <w:marLeft w:val="0"/>
      <w:marRight w:val="0"/>
      <w:marTop w:val="240"/>
      <w:marBottom w:val="0"/>
      <w:divBdr>
        <w:top w:val="none" w:sz="0" w:space="0" w:color="auto"/>
        <w:left w:val="none" w:sz="0" w:space="0" w:color="auto"/>
        <w:bottom w:val="none" w:sz="0" w:space="0" w:color="auto"/>
        <w:right w:val="none" w:sz="0" w:space="0" w:color="auto"/>
      </w:divBdr>
    </w:div>
    <w:div w:id="1601180660">
      <w:marLeft w:val="0"/>
      <w:marRight w:val="0"/>
      <w:marTop w:val="240"/>
      <w:marBottom w:val="0"/>
      <w:divBdr>
        <w:top w:val="none" w:sz="0" w:space="0" w:color="auto"/>
        <w:left w:val="none" w:sz="0" w:space="0" w:color="auto"/>
        <w:bottom w:val="none" w:sz="0" w:space="0" w:color="auto"/>
        <w:right w:val="none" w:sz="0" w:space="0" w:color="auto"/>
      </w:divBdr>
    </w:div>
    <w:div w:id="1601526216">
      <w:marLeft w:val="0"/>
      <w:marRight w:val="0"/>
      <w:marTop w:val="240"/>
      <w:marBottom w:val="0"/>
      <w:divBdr>
        <w:top w:val="none" w:sz="0" w:space="0" w:color="auto"/>
        <w:left w:val="none" w:sz="0" w:space="0" w:color="auto"/>
        <w:bottom w:val="none" w:sz="0" w:space="0" w:color="auto"/>
        <w:right w:val="none" w:sz="0" w:space="0" w:color="auto"/>
      </w:divBdr>
    </w:div>
    <w:div w:id="1601721430">
      <w:marLeft w:val="0"/>
      <w:marRight w:val="0"/>
      <w:marTop w:val="0"/>
      <w:marBottom w:val="0"/>
      <w:divBdr>
        <w:top w:val="none" w:sz="0" w:space="0" w:color="auto"/>
        <w:left w:val="none" w:sz="0" w:space="0" w:color="auto"/>
        <w:bottom w:val="none" w:sz="0" w:space="0" w:color="auto"/>
        <w:right w:val="none" w:sz="0" w:space="0" w:color="auto"/>
      </w:divBdr>
      <w:divsChild>
        <w:div w:id="1146312432">
          <w:marLeft w:val="0"/>
          <w:marRight w:val="0"/>
          <w:marTop w:val="0"/>
          <w:marBottom w:val="0"/>
          <w:divBdr>
            <w:top w:val="none" w:sz="0" w:space="0" w:color="auto"/>
            <w:left w:val="none" w:sz="0" w:space="0" w:color="auto"/>
            <w:bottom w:val="none" w:sz="0" w:space="0" w:color="auto"/>
            <w:right w:val="none" w:sz="0" w:space="0" w:color="auto"/>
          </w:divBdr>
        </w:div>
      </w:divsChild>
    </w:div>
    <w:div w:id="1604071555">
      <w:marLeft w:val="0"/>
      <w:marRight w:val="0"/>
      <w:marTop w:val="240"/>
      <w:marBottom w:val="0"/>
      <w:divBdr>
        <w:top w:val="none" w:sz="0" w:space="0" w:color="auto"/>
        <w:left w:val="none" w:sz="0" w:space="0" w:color="auto"/>
        <w:bottom w:val="none" w:sz="0" w:space="0" w:color="auto"/>
        <w:right w:val="none" w:sz="0" w:space="0" w:color="auto"/>
      </w:divBdr>
    </w:div>
    <w:div w:id="1604876744">
      <w:marLeft w:val="0"/>
      <w:marRight w:val="0"/>
      <w:marTop w:val="160"/>
      <w:marBottom w:val="0"/>
      <w:divBdr>
        <w:top w:val="none" w:sz="0" w:space="0" w:color="auto"/>
        <w:left w:val="none" w:sz="0" w:space="0" w:color="auto"/>
        <w:bottom w:val="none" w:sz="0" w:space="0" w:color="auto"/>
        <w:right w:val="none" w:sz="0" w:space="0" w:color="auto"/>
      </w:divBdr>
    </w:div>
    <w:div w:id="1605528114">
      <w:marLeft w:val="0"/>
      <w:marRight w:val="0"/>
      <w:marTop w:val="240"/>
      <w:marBottom w:val="0"/>
      <w:divBdr>
        <w:top w:val="none" w:sz="0" w:space="0" w:color="auto"/>
        <w:left w:val="none" w:sz="0" w:space="0" w:color="auto"/>
        <w:bottom w:val="none" w:sz="0" w:space="0" w:color="auto"/>
        <w:right w:val="none" w:sz="0" w:space="0" w:color="auto"/>
      </w:divBdr>
    </w:div>
    <w:div w:id="1605722058">
      <w:marLeft w:val="0"/>
      <w:marRight w:val="0"/>
      <w:marTop w:val="100"/>
      <w:marBottom w:val="0"/>
      <w:divBdr>
        <w:top w:val="none" w:sz="0" w:space="0" w:color="auto"/>
        <w:left w:val="none" w:sz="0" w:space="0" w:color="auto"/>
        <w:bottom w:val="none" w:sz="0" w:space="0" w:color="auto"/>
        <w:right w:val="none" w:sz="0" w:space="0" w:color="auto"/>
      </w:divBdr>
      <w:divsChild>
        <w:div w:id="544634753">
          <w:marLeft w:val="0"/>
          <w:marRight w:val="0"/>
          <w:marTop w:val="0"/>
          <w:marBottom w:val="0"/>
          <w:divBdr>
            <w:top w:val="none" w:sz="0" w:space="0" w:color="auto"/>
            <w:left w:val="none" w:sz="0" w:space="0" w:color="auto"/>
            <w:bottom w:val="none" w:sz="0" w:space="0" w:color="auto"/>
            <w:right w:val="none" w:sz="0" w:space="0" w:color="auto"/>
          </w:divBdr>
        </w:div>
        <w:div w:id="845294074">
          <w:marLeft w:val="0"/>
          <w:marRight w:val="0"/>
          <w:marTop w:val="0"/>
          <w:marBottom w:val="0"/>
          <w:divBdr>
            <w:top w:val="none" w:sz="0" w:space="0" w:color="auto"/>
            <w:left w:val="none" w:sz="0" w:space="0" w:color="auto"/>
            <w:bottom w:val="none" w:sz="0" w:space="0" w:color="auto"/>
            <w:right w:val="none" w:sz="0" w:space="0" w:color="auto"/>
          </w:divBdr>
        </w:div>
        <w:div w:id="1583099170">
          <w:marLeft w:val="0"/>
          <w:marRight w:val="0"/>
          <w:marTop w:val="0"/>
          <w:marBottom w:val="0"/>
          <w:divBdr>
            <w:top w:val="none" w:sz="0" w:space="0" w:color="auto"/>
            <w:left w:val="none" w:sz="0" w:space="0" w:color="auto"/>
            <w:bottom w:val="none" w:sz="0" w:space="0" w:color="auto"/>
            <w:right w:val="none" w:sz="0" w:space="0" w:color="auto"/>
          </w:divBdr>
        </w:div>
        <w:div w:id="239676414">
          <w:marLeft w:val="0"/>
          <w:marRight w:val="0"/>
          <w:marTop w:val="0"/>
          <w:marBottom w:val="0"/>
          <w:divBdr>
            <w:top w:val="none" w:sz="0" w:space="0" w:color="auto"/>
            <w:left w:val="none" w:sz="0" w:space="0" w:color="auto"/>
            <w:bottom w:val="none" w:sz="0" w:space="0" w:color="auto"/>
            <w:right w:val="none" w:sz="0" w:space="0" w:color="auto"/>
          </w:divBdr>
        </w:div>
        <w:div w:id="1465197989">
          <w:marLeft w:val="0"/>
          <w:marRight w:val="0"/>
          <w:marTop w:val="0"/>
          <w:marBottom w:val="0"/>
          <w:divBdr>
            <w:top w:val="none" w:sz="0" w:space="0" w:color="auto"/>
            <w:left w:val="none" w:sz="0" w:space="0" w:color="auto"/>
            <w:bottom w:val="none" w:sz="0" w:space="0" w:color="auto"/>
            <w:right w:val="none" w:sz="0" w:space="0" w:color="auto"/>
          </w:divBdr>
        </w:div>
        <w:div w:id="943727262">
          <w:marLeft w:val="0"/>
          <w:marRight w:val="0"/>
          <w:marTop w:val="0"/>
          <w:marBottom w:val="0"/>
          <w:divBdr>
            <w:top w:val="none" w:sz="0" w:space="0" w:color="auto"/>
            <w:left w:val="none" w:sz="0" w:space="0" w:color="auto"/>
            <w:bottom w:val="none" w:sz="0" w:space="0" w:color="auto"/>
            <w:right w:val="none" w:sz="0" w:space="0" w:color="auto"/>
          </w:divBdr>
        </w:div>
        <w:div w:id="703674532">
          <w:marLeft w:val="0"/>
          <w:marRight w:val="0"/>
          <w:marTop w:val="0"/>
          <w:marBottom w:val="0"/>
          <w:divBdr>
            <w:top w:val="none" w:sz="0" w:space="0" w:color="auto"/>
            <w:left w:val="none" w:sz="0" w:space="0" w:color="auto"/>
            <w:bottom w:val="none" w:sz="0" w:space="0" w:color="auto"/>
            <w:right w:val="none" w:sz="0" w:space="0" w:color="auto"/>
          </w:divBdr>
        </w:div>
        <w:div w:id="312217270">
          <w:marLeft w:val="0"/>
          <w:marRight w:val="0"/>
          <w:marTop w:val="0"/>
          <w:marBottom w:val="0"/>
          <w:divBdr>
            <w:top w:val="none" w:sz="0" w:space="0" w:color="auto"/>
            <w:left w:val="none" w:sz="0" w:space="0" w:color="auto"/>
            <w:bottom w:val="none" w:sz="0" w:space="0" w:color="auto"/>
            <w:right w:val="none" w:sz="0" w:space="0" w:color="auto"/>
          </w:divBdr>
        </w:div>
        <w:div w:id="1810004214">
          <w:marLeft w:val="0"/>
          <w:marRight w:val="0"/>
          <w:marTop w:val="0"/>
          <w:marBottom w:val="0"/>
          <w:divBdr>
            <w:top w:val="none" w:sz="0" w:space="0" w:color="auto"/>
            <w:left w:val="none" w:sz="0" w:space="0" w:color="auto"/>
            <w:bottom w:val="none" w:sz="0" w:space="0" w:color="auto"/>
            <w:right w:val="none" w:sz="0" w:space="0" w:color="auto"/>
          </w:divBdr>
        </w:div>
        <w:div w:id="540744891">
          <w:marLeft w:val="0"/>
          <w:marRight w:val="0"/>
          <w:marTop w:val="0"/>
          <w:marBottom w:val="0"/>
          <w:divBdr>
            <w:top w:val="none" w:sz="0" w:space="0" w:color="auto"/>
            <w:left w:val="none" w:sz="0" w:space="0" w:color="auto"/>
            <w:bottom w:val="none" w:sz="0" w:space="0" w:color="auto"/>
            <w:right w:val="none" w:sz="0" w:space="0" w:color="auto"/>
          </w:divBdr>
        </w:div>
      </w:divsChild>
    </w:div>
    <w:div w:id="1607083150">
      <w:marLeft w:val="0"/>
      <w:marRight w:val="0"/>
      <w:marTop w:val="240"/>
      <w:marBottom w:val="0"/>
      <w:divBdr>
        <w:top w:val="none" w:sz="0" w:space="0" w:color="auto"/>
        <w:left w:val="none" w:sz="0" w:space="0" w:color="auto"/>
        <w:bottom w:val="none" w:sz="0" w:space="0" w:color="auto"/>
        <w:right w:val="none" w:sz="0" w:space="0" w:color="auto"/>
      </w:divBdr>
    </w:div>
    <w:div w:id="1607808274">
      <w:marLeft w:val="0"/>
      <w:marRight w:val="0"/>
      <w:marTop w:val="240"/>
      <w:marBottom w:val="0"/>
      <w:divBdr>
        <w:top w:val="none" w:sz="0" w:space="0" w:color="auto"/>
        <w:left w:val="none" w:sz="0" w:space="0" w:color="auto"/>
        <w:bottom w:val="none" w:sz="0" w:space="0" w:color="auto"/>
        <w:right w:val="none" w:sz="0" w:space="0" w:color="auto"/>
      </w:divBdr>
    </w:div>
    <w:div w:id="1608082665">
      <w:marLeft w:val="0"/>
      <w:marRight w:val="0"/>
      <w:marTop w:val="0"/>
      <w:marBottom w:val="120"/>
      <w:divBdr>
        <w:top w:val="none" w:sz="0" w:space="0" w:color="auto"/>
        <w:left w:val="none" w:sz="0" w:space="0" w:color="auto"/>
        <w:bottom w:val="none" w:sz="0" w:space="0" w:color="auto"/>
        <w:right w:val="none" w:sz="0" w:space="0" w:color="auto"/>
      </w:divBdr>
    </w:div>
    <w:div w:id="1608384702">
      <w:marLeft w:val="0"/>
      <w:marRight w:val="0"/>
      <w:marTop w:val="240"/>
      <w:marBottom w:val="0"/>
      <w:divBdr>
        <w:top w:val="none" w:sz="0" w:space="0" w:color="auto"/>
        <w:left w:val="none" w:sz="0" w:space="0" w:color="auto"/>
        <w:bottom w:val="none" w:sz="0" w:space="0" w:color="auto"/>
        <w:right w:val="none" w:sz="0" w:space="0" w:color="auto"/>
      </w:divBdr>
    </w:div>
    <w:div w:id="1608390163">
      <w:marLeft w:val="0"/>
      <w:marRight w:val="0"/>
      <w:marTop w:val="240"/>
      <w:marBottom w:val="0"/>
      <w:divBdr>
        <w:top w:val="none" w:sz="0" w:space="0" w:color="auto"/>
        <w:left w:val="none" w:sz="0" w:space="0" w:color="auto"/>
        <w:bottom w:val="none" w:sz="0" w:space="0" w:color="auto"/>
        <w:right w:val="none" w:sz="0" w:space="0" w:color="auto"/>
      </w:divBdr>
    </w:div>
    <w:div w:id="1608544723">
      <w:marLeft w:val="0"/>
      <w:marRight w:val="0"/>
      <w:marTop w:val="240"/>
      <w:marBottom w:val="0"/>
      <w:divBdr>
        <w:top w:val="none" w:sz="0" w:space="0" w:color="auto"/>
        <w:left w:val="none" w:sz="0" w:space="0" w:color="auto"/>
        <w:bottom w:val="none" w:sz="0" w:space="0" w:color="auto"/>
        <w:right w:val="none" w:sz="0" w:space="0" w:color="auto"/>
      </w:divBdr>
    </w:div>
    <w:div w:id="1612781638">
      <w:marLeft w:val="0"/>
      <w:marRight w:val="0"/>
      <w:marTop w:val="240"/>
      <w:marBottom w:val="0"/>
      <w:divBdr>
        <w:top w:val="none" w:sz="0" w:space="0" w:color="auto"/>
        <w:left w:val="none" w:sz="0" w:space="0" w:color="auto"/>
        <w:bottom w:val="none" w:sz="0" w:space="0" w:color="auto"/>
        <w:right w:val="none" w:sz="0" w:space="0" w:color="auto"/>
      </w:divBdr>
    </w:div>
    <w:div w:id="1616592843">
      <w:marLeft w:val="0"/>
      <w:marRight w:val="0"/>
      <w:marTop w:val="240"/>
      <w:marBottom w:val="0"/>
      <w:divBdr>
        <w:top w:val="none" w:sz="0" w:space="0" w:color="auto"/>
        <w:left w:val="none" w:sz="0" w:space="0" w:color="auto"/>
        <w:bottom w:val="none" w:sz="0" w:space="0" w:color="auto"/>
        <w:right w:val="none" w:sz="0" w:space="0" w:color="auto"/>
      </w:divBdr>
    </w:div>
    <w:div w:id="1616789353">
      <w:marLeft w:val="0"/>
      <w:marRight w:val="0"/>
      <w:marTop w:val="240"/>
      <w:marBottom w:val="240"/>
      <w:divBdr>
        <w:top w:val="none" w:sz="0" w:space="0" w:color="auto"/>
        <w:left w:val="none" w:sz="0" w:space="0" w:color="auto"/>
        <w:bottom w:val="none" w:sz="0" w:space="0" w:color="auto"/>
        <w:right w:val="none" w:sz="0" w:space="0" w:color="auto"/>
      </w:divBdr>
    </w:div>
    <w:div w:id="1617909883">
      <w:marLeft w:val="0"/>
      <w:marRight w:val="0"/>
      <w:marTop w:val="240"/>
      <w:marBottom w:val="0"/>
      <w:divBdr>
        <w:top w:val="none" w:sz="0" w:space="0" w:color="auto"/>
        <w:left w:val="none" w:sz="0" w:space="0" w:color="auto"/>
        <w:bottom w:val="none" w:sz="0" w:space="0" w:color="auto"/>
        <w:right w:val="none" w:sz="0" w:space="0" w:color="auto"/>
      </w:divBdr>
    </w:div>
    <w:div w:id="1617911716">
      <w:marLeft w:val="0"/>
      <w:marRight w:val="0"/>
      <w:marTop w:val="240"/>
      <w:marBottom w:val="0"/>
      <w:divBdr>
        <w:top w:val="none" w:sz="0" w:space="0" w:color="auto"/>
        <w:left w:val="none" w:sz="0" w:space="0" w:color="auto"/>
        <w:bottom w:val="none" w:sz="0" w:space="0" w:color="auto"/>
        <w:right w:val="none" w:sz="0" w:space="0" w:color="auto"/>
      </w:divBdr>
    </w:div>
    <w:div w:id="1618832123">
      <w:marLeft w:val="0"/>
      <w:marRight w:val="0"/>
      <w:marTop w:val="240"/>
      <w:marBottom w:val="0"/>
      <w:divBdr>
        <w:top w:val="none" w:sz="0" w:space="0" w:color="auto"/>
        <w:left w:val="none" w:sz="0" w:space="0" w:color="auto"/>
        <w:bottom w:val="none" w:sz="0" w:space="0" w:color="auto"/>
        <w:right w:val="none" w:sz="0" w:space="0" w:color="auto"/>
      </w:divBdr>
    </w:div>
    <w:div w:id="1618876544">
      <w:marLeft w:val="0"/>
      <w:marRight w:val="0"/>
      <w:marTop w:val="240"/>
      <w:marBottom w:val="0"/>
      <w:divBdr>
        <w:top w:val="none" w:sz="0" w:space="0" w:color="auto"/>
        <w:left w:val="none" w:sz="0" w:space="0" w:color="auto"/>
        <w:bottom w:val="none" w:sz="0" w:space="0" w:color="auto"/>
        <w:right w:val="none" w:sz="0" w:space="0" w:color="auto"/>
      </w:divBdr>
    </w:div>
    <w:div w:id="1619143904">
      <w:marLeft w:val="0"/>
      <w:marRight w:val="0"/>
      <w:marTop w:val="240"/>
      <w:marBottom w:val="0"/>
      <w:divBdr>
        <w:top w:val="none" w:sz="0" w:space="0" w:color="auto"/>
        <w:left w:val="none" w:sz="0" w:space="0" w:color="auto"/>
        <w:bottom w:val="none" w:sz="0" w:space="0" w:color="auto"/>
        <w:right w:val="none" w:sz="0" w:space="0" w:color="auto"/>
      </w:divBdr>
    </w:div>
    <w:div w:id="1623416339">
      <w:marLeft w:val="0"/>
      <w:marRight w:val="0"/>
      <w:marTop w:val="240"/>
      <w:marBottom w:val="0"/>
      <w:divBdr>
        <w:top w:val="none" w:sz="0" w:space="0" w:color="auto"/>
        <w:left w:val="none" w:sz="0" w:space="0" w:color="auto"/>
        <w:bottom w:val="none" w:sz="0" w:space="0" w:color="auto"/>
        <w:right w:val="none" w:sz="0" w:space="0" w:color="auto"/>
      </w:divBdr>
    </w:div>
    <w:div w:id="1626035006">
      <w:marLeft w:val="0"/>
      <w:marRight w:val="0"/>
      <w:marTop w:val="60"/>
      <w:marBottom w:val="0"/>
      <w:divBdr>
        <w:top w:val="none" w:sz="0" w:space="0" w:color="auto"/>
        <w:left w:val="none" w:sz="0" w:space="0" w:color="auto"/>
        <w:bottom w:val="none" w:sz="0" w:space="0" w:color="auto"/>
        <w:right w:val="none" w:sz="0" w:space="0" w:color="auto"/>
      </w:divBdr>
    </w:div>
    <w:div w:id="1626086224">
      <w:marLeft w:val="0"/>
      <w:marRight w:val="0"/>
      <w:marTop w:val="240"/>
      <w:marBottom w:val="0"/>
      <w:divBdr>
        <w:top w:val="none" w:sz="0" w:space="0" w:color="auto"/>
        <w:left w:val="none" w:sz="0" w:space="0" w:color="auto"/>
        <w:bottom w:val="none" w:sz="0" w:space="0" w:color="auto"/>
        <w:right w:val="none" w:sz="0" w:space="0" w:color="auto"/>
      </w:divBdr>
    </w:div>
    <w:div w:id="1626931339">
      <w:marLeft w:val="0"/>
      <w:marRight w:val="0"/>
      <w:marTop w:val="240"/>
      <w:marBottom w:val="0"/>
      <w:divBdr>
        <w:top w:val="none" w:sz="0" w:space="0" w:color="auto"/>
        <w:left w:val="none" w:sz="0" w:space="0" w:color="auto"/>
        <w:bottom w:val="none" w:sz="0" w:space="0" w:color="auto"/>
        <w:right w:val="none" w:sz="0" w:space="0" w:color="auto"/>
      </w:divBdr>
    </w:div>
    <w:div w:id="1628006936">
      <w:marLeft w:val="0"/>
      <w:marRight w:val="0"/>
      <w:marTop w:val="220"/>
      <w:marBottom w:val="240"/>
      <w:divBdr>
        <w:top w:val="none" w:sz="0" w:space="0" w:color="auto"/>
        <w:left w:val="none" w:sz="0" w:space="0" w:color="auto"/>
        <w:bottom w:val="none" w:sz="0" w:space="0" w:color="auto"/>
        <w:right w:val="none" w:sz="0" w:space="0" w:color="auto"/>
      </w:divBdr>
    </w:div>
    <w:div w:id="1628272467">
      <w:marLeft w:val="0"/>
      <w:marRight w:val="0"/>
      <w:marTop w:val="240"/>
      <w:marBottom w:val="0"/>
      <w:divBdr>
        <w:top w:val="none" w:sz="0" w:space="0" w:color="auto"/>
        <w:left w:val="none" w:sz="0" w:space="0" w:color="auto"/>
        <w:bottom w:val="none" w:sz="0" w:space="0" w:color="auto"/>
        <w:right w:val="none" w:sz="0" w:space="0" w:color="auto"/>
      </w:divBdr>
    </w:div>
    <w:div w:id="1628396114">
      <w:marLeft w:val="0"/>
      <w:marRight w:val="0"/>
      <w:marTop w:val="240"/>
      <w:marBottom w:val="0"/>
      <w:divBdr>
        <w:top w:val="none" w:sz="0" w:space="0" w:color="auto"/>
        <w:left w:val="none" w:sz="0" w:space="0" w:color="auto"/>
        <w:bottom w:val="none" w:sz="0" w:space="0" w:color="auto"/>
        <w:right w:val="none" w:sz="0" w:space="0" w:color="auto"/>
      </w:divBdr>
    </w:div>
    <w:div w:id="1631131444">
      <w:marLeft w:val="0"/>
      <w:marRight w:val="0"/>
      <w:marTop w:val="0"/>
      <w:marBottom w:val="0"/>
      <w:divBdr>
        <w:top w:val="none" w:sz="0" w:space="0" w:color="auto"/>
        <w:left w:val="none" w:sz="0" w:space="0" w:color="auto"/>
        <w:bottom w:val="none" w:sz="0" w:space="0" w:color="auto"/>
        <w:right w:val="none" w:sz="0" w:space="0" w:color="auto"/>
      </w:divBdr>
      <w:divsChild>
        <w:div w:id="314532443">
          <w:marLeft w:val="0"/>
          <w:marRight w:val="0"/>
          <w:marTop w:val="0"/>
          <w:marBottom w:val="0"/>
          <w:divBdr>
            <w:top w:val="none" w:sz="0" w:space="0" w:color="auto"/>
            <w:left w:val="none" w:sz="0" w:space="0" w:color="auto"/>
            <w:bottom w:val="none" w:sz="0" w:space="0" w:color="auto"/>
            <w:right w:val="none" w:sz="0" w:space="0" w:color="auto"/>
          </w:divBdr>
        </w:div>
      </w:divsChild>
    </w:div>
    <w:div w:id="1632635792">
      <w:marLeft w:val="0"/>
      <w:marRight w:val="0"/>
      <w:marTop w:val="240"/>
      <w:marBottom w:val="0"/>
      <w:divBdr>
        <w:top w:val="none" w:sz="0" w:space="0" w:color="auto"/>
        <w:left w:val="none" w:sz="0" w:space="0" w:color="auto"/>
        <w:bottom w:val="none" w:sz="0" w:space="0" w:color="auto"/>
        <w:right w:val="none" w:sz="0" w:space="0" w:color="auto"/>
      </w:divBdr>
    </w:div>
    <w:div w:id="1632856527">
      <w:marLeft w:val="0"/>
      <w:marRight w:val="0"/>
      <w:marTop w:val="240"/>
      <w:marBottom w:val="0"/>
      <w:divBdr>
        <w:top w:val="none" w:sz="0" w:space="0" w:color="auto"/>
        <w:left w:val="none" w:sz="0" w:space="0" w:color="auto"/>
        <w:bottom w:val="none" w:sz="0" w:space="0" w:color="auto"/>
        <w:right w:val="none" w:sz="0" w:space="0" w:color="auto"/>
      </w:divBdr>
    </w:div>
    <w:div w:id="1633898497">
      <w:marLeft w:val="0"/>
      <w:marRight w:val="0"/>
      <w:marTop w:val="0"/>
      <w:marBottom w:val="0"/>
      <w:divBdr>
        <w:top w:val="none" w:sz="0" w:space="0" w:color="auto"/>
        <w:left w:val="none" w:sz="0" w:space="0" w:color="auto"/>
        <w:bottom w:val="none" w:sz="0" w:space="0" w:color="auto"/>
        <w:right w:val="none" w:sz="0" w:space="0" w:color="auto"/>
      </w:divBdr>
      <w:divsChild>
        <w:div w:id="90859763">
          <w:marLeft w:val="0"/>
          <w:marRight w:val="0"/>
          <w:marTop w:val="0"/>
          <w:marBottom w:val="0"/>
          <w:divBdr>
            <w:top w:val="none" w:sz="0" w:space="0" w:color="auto"/>
            <w:left w:val="none" w:sz="0" w:space="0" w:color="auto"/>
            <w:bottom w:val="none" w:sz="0" w:space="0" w:color="auto"/>
            <w:right w:val="none" w:sz="0" w:space="0" w:color="auto"/>
          </w:divBdr>
          <w:divsChild>
            <w:div w:id="77759839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35063046">
      <w:marLeft w:val="0"/>
      <w:marRight w:val="0"/>
      <w:marTop w:val="0"/>
      <w:marBottom w:val="0"/>
      <w:divBdr>
        <w:top w:val="none" w:sz="0" w:space="0" w:color="auto"/>
        <w:left w:val="none" w:sz="0" w:space="0" w:color="auto"/>
        <w:bottom w:val="none" w:sz="0" w:space="0" w:color="auto"/>
        <w:right w:val="none" w:sz="0" w:space="0" w:color="auto"/>
      </w:divBdr>
      <w:divsChild>
        <w:div w:id="170268366">
          <w:marLeft w:val="0"/>
          <w:marRight w:val="0"/>
          <w:marTop w:val="0"/>
          <w:marBottom w:val="0"/>
          <w:divBdr>
            <w:top w:val="none" w:sz="0" w:space="0" w:color="auto"/>
            <w:left w:val="none" w:sz="0" w:space="0" w:color="auto"/>
            <w:bottom w:val="none" w:sz="0" w:space="0" w:color="auto"/>
            <w:right w:val="none" w:sz="0" w:space="0" w:color="auto"/>
          </w:divBdr>
        </w:div>
      </w:divsChild>
    </w:div>
    <w:div w:id="1635134006">
      <w:marLeft w:val="0"/>
      <w:marRight w:val="0"/>
      <w:marTop w:val="240"/>
      <w:marBottom w:val="0"/>
      <w:divBdr>
        <w:top w:val="none" w:sz="0" w:space="0" w:color="auto"/>
        <w:left w:val="none" w:sz="0" w:space="0" w:color="auto"/>
        <w:bottom w:val="none" w:sz="0" w:space="0" w:color="auto"/>
        <w:right w:val="none" w:sz="0" w:space="0" w:color="auto"/>
      </w:divBdr>
    </w:div>
    <w:div w:id="1637030380">
      <w:marLeft w:val="0"/>
      <w:marRight w:val="0"/>
      <w:marTop w:val="240"/>
      <w:marBottom w:val="0"/>
      <w:divBdr>
        <w:top w:val="none" w:sz="0" w:space="0" w:color="auto"/>
        <w:left w:val="none" w:sz="0" w:space="0" w:color="auto"/>
        <w:bottom w:val="none" w:sz="0" w:space="0" w:color="auto"/>
        <w:right w:val="none" w:sz="0" w:space="0" w:color="auto"/>
      </w:divBdr>
    </w:div>
    <w:div w:id="1637297236">
      <w:marLeft w:val="0"/>
      <w:marRight w:val="0"/>
      <w:marTop w:val="260"/>
      <w:marBottom w:val="0"/>
      <w:divBdr>
        <w:top w:val="none" w:sz="0" w:space="0" w:color="auto"/>
        <w:left w:val="none" w:sz="0" w:space="0" w:color="auto"/>
        <w:bottom w:val="none" w:sz="0" w:space="0" w:color="auto"/>
        <w:right w:val="none" w:sz="0" w:space="0" w:color="auto"/>
      </w:divBdr>
      <w:divsChild>
        <w:div w:id="1304235946">
          <w:marLeft w:val="0"/>
          <w:marRight w:val="0"/>
          <w:marTop w:val="0"/>
          <w:marBottom w:val="0"/>
          <w:divBdr>
            <w:top w:val="none" w:sz="0" w:space="0" w:color="auto"/>
            <w:left w:val="none" w:sz="0" w:space="0" w:color="auto"/>
            <w:bottom w:val="none" w:sz="0" w:space="0" w:color="auto"/>
            <w:right w:val="none" w:sz="0" w:space="0" w:color="auto"/>
          </w:divBdr>
        </w:div>
      </w:divsChild>
    </w:div>
    <w:div w:id="1639263380">
      <w:marLeft w:val="0"/>
      <w:marRight w:val="0"/>
      <w:marTop w:val="0"/>
      <w:marBottom w:val="0"/>
      <w:divBdr>
        <w:top w:val="none" w:sz="0" w:space="0" w:color="auto"/>
        <w:left w:val="none" w:sz="0" w:space="0" w:color="auto"/>
        <w:bottom w:val="none" w:sz="0" w:space="0" w:color="auto"/>
        <w:right w:val="none" w:sz="0" w:space="0" w:color="auto"/>
      </w:divBdr>
      <w:divsChild>
        <w:div w:id="1917982404">
          <w:marLeft w:val="0"/>
          <w:marRight w:val="0"/>
          <w:marTop w:val="0"/>
          <w:marBottom w:val="0"/>
          <w:divBdr>
            <w:top w:val="none" w:sz="0" w:space="0" w:color="auto"/>
            <w:left w:val="none" w:sz="0" w:space="0" w:color="auto"/>
            <w:bottom w:val="none" w:sz="0" w:space="0" w:color="auto"/>
            <w:right w:val="none" w:sz="0" w:space="0" w:color="auto"/>
          </w:divBdr>
        </w:div>
      </w:divsChild>
    </w:div>
    <w:div w:id="1640262576">
      <w:marLeft w:val="0"/>
      <w:marRight w:val="0"/>
      <w:marTop w:val="240"/>
      <w:marBottom w:val="0"/>
      <w:divBdr>
        <w:top w:val="none" w:sz="0" w:space="0" w:color="auto"/>
        <w:left w:val="none" w:sz="0" w:space="0" w:color="auto"/>
        <w:bottom w:val="none" w:sz="0" w:space="0" w:color="auto"/>
        <w:right w:val="none" w:sz="0" w:space="0" w:color="auto"/>
      </w:divBdr>
    </w:div>
    <w:div w:id="1641031493">
      <w:marLeft w:val="0"/>
      <w:marRight w:val="0"/>
      <w:marTop w:val="220"/>
      <w:marBottom w:val="0"/>
      <w:divBdr>
        <w:top w:val="none" w:sz="0" w:space="0" w:color="auto"/>
        <w:left w:val="none" w:sz="0" w:space="0" w:color="auto"/>
        <w:bottom w:val="none" w:sz="0" w:space="0" w:color="auto"/>
        <w:right w:val="none" w:sz="0" w:space="0" w:color="auto"/>
      </w:divBdr>
    </w:div>
    <w:div w:id="1643346717">
      <w:marLeft w:val="0"/>
      <w:marRight w:val="0"/>
      <w:marTop w:val="180"/>
      <w:marBottom w:val="0"/>
      <w:divBdr>
        <w:top w:val="none" w:sz="0" w:space="0" w:color="auto"/>
        <w:left w:val="none" w:sz="0" w:space="0" w:color="auto"/>
        <w:bottom w:val="none" w:sz="0" w:space="0" w:color="auto"/>
        <w:right w:val="none" w:sz="0" w:space="0" w:color="auto"/>
      </w:divBdr>
    </w:div>
    <w:div w:id="1644583690">
      <w:marLeft w:val="0"/>
      <w:marRight w:val="0"/>
      <w:marTop w:val="180"/>
      <w:marBottom w:val="0"/>
      <w:divBdr>
        <w:top w:val="none" w:sz="0" w:space="0" w:color="auto"/>
        <w:left w:val="none" w:sz="0" w:space="0" w:color="auto"/>
        <w:bottom w:val="none" w:sz="0" w:space="0" w:color="auto"/>
        <w:right w:val="none" w:sz="0" w:space="0" w:color="auto"/>
      </w:divBdr>
    </w:div>
    <w:div w:id="1645313287">
      <w:marLeft w:val="0"/>
      <w:marRight w:val="0"/>
      <w:marTop w:val="160"/>
      <w:marBottom w:val="0"/>
      <w:divBdr>
        <w:top w:val="none" w:sz="0" w:space="0" w:color="auto"/>
        <w:left w:val="none" w:sz="0" w:space="0" w:color="auto"/>
        <w:bottom w:val="none" w:sz="0" w:space="0" w:color="auto"/>
        <w:right w:val="none" w:sz="0" w:space="0" w:color="auto"/>
      </w:divBdr>
    </w:div>
    <w:div w:id="1647738154">
      <w:marLeft w:val="0"/>
      <w:marRight w:val="0"/>
      <w:marTop w:val="200"/>
      <w:marBottom w:val="0"/>
      <w:divBdr>
        <w:top w:val="none" w:sz="0" w:space="0" w:color="auto"/>
        <w:left w:val="none" w:sz="0" w:space="0" w:color="auto"/>
        <w:bottom w:val="none" w:sz="0" w:space="0" w:color="auto"/>
        <w:right w:val="none" w:sz="0" w:space="0" w:color="auto"/>
      </w:divBdr>
    </w:div>
    <w:div w:id="1651247112">
      <w:marLeft w:val="0"/>
      <w:marRight w:val="0"/>
      <w:marTop w:val="100"/>
      <w:marBottom w:val="0"/>
      <w:divBdr>
        <w:top w:val="none" w:sz="0" w:space="0" w:color="auto"/>
        <w:left w:val="none" w:sz="0" w:space="0" w:color="auto"/>
        <w:bottom w:val="none" w:sz="0" w:space="0" w:color="auto"/>
        <w:right w:val="none" w:sz="0" w:space="0" w:color="auto"/>
      </w:divBdr>
      <w:divsChild>
        <w:div w:id="1606965225">
          <w:marLeft w:val="0"/>
          <w:marRight w:val="0"/>
          <w:marTop w:val="0"/>
          <w:marBottom w:val="0"/>
          <w:divBdr>
            <w:top w:val="none" w:sz="0" w:space="0" w:color="auto"/>
            <w:left w:val="none" w:sz="0" w:space="0" w:color="auto"/>
            <w:bottom w:val="none" w:sz="0" w:space="0" w:color="auto"/>
            <w:right w:val="none" w:sz="0" w:space="0" w:color="auto"/>
          </w:divBdr>
        </w:div>
      </w:divsChild>
    </w:div>
    <w:div w:id="1651473700">
      <w:marLeft w:val="0"/>
      <w:marRight w:val="0"/>
      <w:marTop w:val="60"/>
      <w:marBottom w:val="0"/>
      <w:divBdr>
        <w:top w:val="none" w:sz="0" w:space="0" w:color="auto"/>
        <w:left w:val="none" w:sz="0" w:space="0" w:color="auto"/>
        <w:bottom w:val="none" w:sz="0" w:space="0" w:color="auto"/>
        <w:right w:val="none" w:sz="0" w:space="0" w:color="auto"/>
      </w:divBdr>
    </w:div>
    <w:div w:id="1654985615">
      <w:marLeft w:val="0"/>
      <w:marRight w:val="0"/>
      <w:marTop w:val="240"/>
      <w:marBottom w:val="0"/>
      <w:divBdr>
        <w:top w:val="none" w:sz="0" w:space="0" w:color="auto"/>
        <w:left w:val="none" w:sz="0" w:space="0" w:color="auto"/>
        <w:bottom w:val="none" w:sz="0" w:space="0" w:color="auto"/>
        <w:right w:val="none" w:sz="0" w:space="0" w:color="auto"/>
      </w:divBdr>
    </w:div>
    <w:div w:id="1655447103">
      <w:marLeft w:val="0"/>
      <w:marRight w:val="0"/>
      <w:marTop w:val="240"/>
      <w:marBottom w:val="0"/>
      <w:divBdr>
        <w:top w:val="none" w:sz="0" w:space="0" w:color="auto"/>
        <w:left w:val="none" w:sz="0" w:space="0" w:color="auto"/>
        <w:bottom w:val="none" w:sz="0" w:space="0" w:color="auto"/>
        <w:right w:val="none" w:sz="0" w:space="0" w:color="auto"/>
      </w:divBdr>
    </w:div>
    <w:div w:id="1656253366">
      <w:marLeft w:val="0"/>
      <w:marRight w:val="0"/>
      <w:marTop w:val="240"/>
      <w:marBottom w:val="0"/>
      <w:divBdr>
        <w:top w:val="none" w:sz="0" w:space="0" w:color="auto"/>
        <w:left w:val="none" w:sz="0" w:space="0" w:color="auto"/>
        <w:bottom w:val="none" w:sz="0" w:space="0" w:color="auto"/>
        <w:right w:val="none" w:sz="0" w:space="0" w:color="auto"/>
      </w:divBdr>
    </w:div>
    <w:div w:id="1656640771">
      <w:marLeft w:val="0"/>
      <w:marRight w:val="0"/>
      <w:marTop w:val="240"/>
      <w:marBottom w:val="0"/>
      <w:divBdr>
        <w:top w:val="none" w:sz="0" w:space="0" w:color="auto"/>
        <w:left w:val="none" w:sz="0" w:space="0" w:color="auto"/>
        <w:bottom w:val="none" w:sz="0" w:space="0" w:color="auto"/>
        <w:right w:val="none" w:sz="0" w:space="0" w:color="auto"/>
      </w:divBdr>
    </w:div>
    <w:div w:id="1657876378">
      <w:marLeft w:val="0"/>
      <w:marRight w:val="0"/>
      <w:marTop w:val="240"/>
      <w:marBottom w:val="0"/>
      <w:divBdr>
        <w:top w:val="none" w:sz="0" w:space="0" w:color="auto"/>
        <w:left w:val="none" w:sz="0" w:space="0" w:color="auto"/>
        <w:bottom w:val="none" w:sz="0" w:space="0" w:color="auto"/>
        <w:right w:val="none" w:sz="0" w:space="0" w:color="auto"/>
      </w:divBdr>
    </w:div>
    <w:div w:id="1658878329">
      <w:marLeft w:val="0"/>
      <w:marRight w:val="0"/>
      <w:marTop w:val="0"/>
      <w:marBottom w:val="0"/>
      <w:divBdr>
        <w:top w:val="none" w:sz="0" w:space="0" w:color="auto"/>
        <w:left w:val="none" w:sz="0" w:space="0" w:color="auto"/>
        <w:bottom w:val="none" w:sz="0" w:space="0" w:color="auto"/>
        <w:right w:val="none" w:sz="0" w:space="0" w:color="auto"/>
      </w:divBdr>
      <w:divsChild>
        <w:div w:id="957032783">
          <w:marLeft w:val="0"/>
          <w:marRight w:val="0"/>
          <w:marTop w:val="0"/>
          <w:marBottom w:val="0"/>
          <w:divBdr>
            <w:top w:val="none" w:sz="0" w:space="0" w:color="auto"/>
            <w:left w:val="none" w:sz="0" w:space="0" w:color="auto"/>
            <w:bottom w:val="none" w:sz="0" w:space="0" w:color="auto"/>
            <w:right w:val="none" w:sz="0" w:space="0" w:color="auto"/>
          </w:divBdr>
          <w:divsChild>
            <w:div w:id="5228625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62418384">
      <w:marLeft w:val="0"/>
      <w:marRight w:val="0"/>
      <w:marTop w:val="100"/>
      <w:marBottom w:val="0"/>
      <w:divBdr>
        <w:top w:val="none" w:sz="0" w:space="0" w:color="auto"/>
        <w:left w:val="none" w:sz="0" w:space="0" w:color="auto"/>
        <w:bottom w:val="none" w:sz="0" w:space="0" w:color="auto"/>
        <w:right w:val="none" w:sz="0" w:space="0" w:color="auto"/>
      </w:divBdr>
    </w:div>
    <w:div w:id="1665812187">
      <w:marLeft w:val="0"/>
      <w:marRight w:val="0"/>
      <w:marTop w:val="240"/>
      <w:marBottom w:val="0"/>
      <w:divBdr>
        <w:top w:val="none" w:sz="0" w:space="0" w:color="auto"/>
        <w:left w:val="none" w:sz="0" w:space="0" w:color="auto"/>
        <w:bottom w:val="none" w:sz="0" w:space="0" w:color="auto"/>
        <w:right w:val="none" w:sz="0" w:space="0" w:color="auto"/>
      </w:divBdr>
    </w:div>
    <w:div w:id="1665861502">
      <w:marLeft w:val="0"/>
      <w:marRight w:val="0"/>
      <w:marTop w:val="60"/>
      <w:marBottom w:val="0"/>
      <w:divBdr>
        <w:top w:val="none" w:sz="0" w:space="0" w:color="auto"/>
        <w:left w:val="none" w:sz="0" w:space="0" w:color="auto"/>
        <w:bottom w:val="none" w:sz="0" w:space="0" w:color="auto"/>
        <w:right w:val="none" w:sz="0" w:space="0" w:color="auto"/>
      </w:divBdr>
    </w:div>
    <w:div w:id="1667047853">
      <w:marLeft w:val="0"/>
      <w:marRight w:val="0"/>
      <w:marTop w:val="240"/>
      <w:marBottom w:val="0"/>
      <w:divBdr>
        <w:top w:val="none" w:sz="0" w:space="0" w:color="auto"/>
        <w:left w:val="none" w:sz="0" w:space="0" w:color="auto"/>
        <w:bottom w:val="none" w:sz="0" w:space="0" w:color="auto"/>
        <w:right w:val="none" w:sz="0" w:space="0" w:color="auto"/>
      </w:divBdr>
    </w:div>
    <w:div w:id="1667200474">
      <w:marLeft w:val="0"/>
      <w:marRight w:val="0"/>
      <w:marTop w:val="300"/>
      <w:marBottom w:val="0"/>
      <w:divBdr>
        <w:top w:val="none" w:sz="0" w:space="0" w:color="auto"/>
        <w:left w:val="none" w:sz="0" w:space="0" w:color="auto"/>
        <w:bottom w:val="none" w:sz="0" w:space="0" w:color="auto"/>
        <w:right w:val="none" w:sz="0" w:space="0" w:color="auto"/>
      </w:divBdr>
    </w:div>
    <w:div w:id="1667976964">
      <w:marLeft w:val="0"/>
      <w:marRight w:val="0"/>
      <w:marTop w:val="0"/>
      <w:marBottom w:val="0"/>
      <w:divBdr>
        <w:top w:val="none" w:sz="0" w:space="0" w:color="auto"/>
        <w:left w:val="none" w:sz="0" w:space="0" w:color="auto"/>
        <w:bottom w:val="none" w:sz="0" w:space="0" w:color="auto"/>
        <w:right w:val="none" w:sz="0" w:space="0" w:color="auto"/>
      </w:divBdr>
      <w:divsChild>
        <w:div w:id="1187446790">
          <w:marLeft w:val="0"/>
          <w:marRight w:val="0"/>
          <w:marTop w:val="0"/>
          <w:marBottom w:val="0"/>
          <w:divBdr>
            <w:top w:val="none" w:sz="0" w:space="0" w:color="auto"/>
            <w:left w:val="none" w:sz="0" w:space="0" w:color="auto"/>
            <w:bottom w:val="none" w:sz="0" w:space="0" w:color="auto"/>
            <w:right w:val="none" w:sz="0" w:space="0" w:color="auto"/>
          </w:divBdr>
        </w:div>
      </w:divsChild>
    </w:div>
    <w:div w:id="1668483673">
      <w:marLeft w:val="0"/>
      <w:marRight w:val="0"/>
      <w:marTop w:val="240"/>
      <w:marBottom w:val="0"/>
      <w:divBdr>
        <w:top w:val="none" w:sz="0" w:space="0" w:color="auto"/>
        <w:left w:val="none" w:sz="0" w:space="0" w:color="auto"/>
        <w:bottom w:val="none" w:sz="0" w:space="0" w:color="auto"/>
        <w:right w:val="none" w:sz="0" w:space="0" w:color="auto"/>
      </w:divBdr>
    </w:div>
    <w:div w:id="1668744572">
      <w:marLeft w:val="0"/>
      <w:marRight w:val="0"/>
      <w:marTop w:val="240"/>
      <w:marBottom w:val="240"/>
      <w:divBdr>
        <w:top w:val="none" w:sz="0" w:space="0" w:color="auto"/>
        <w:left w:val="none" w:sz="0" w:space="0" w:color="auto"/>
        <w:bottom w:val="none" w:sz="0" w:space="0" w:color="auto"/>
        <w:right w:val="none" w:sz="0" w:space="0" w:color="auto"/>
      </w:divBdr>
    </w:div>
    <w:div w:id="1670013828">
      <w:marLeft w:val="0"/>
      <w:marRight w:val="0"/>
      <w:marTop w:val="240"/>
      <w:marBottom w:val="0"/>
      <w:divBdr>
        <w:top w:val="none" w:sz="0" w:space="0" w:color="auto"/>
        <w:left w:val="none" w:sz="0" w:space="0" w:color="auto"/>
        <w:bottom w:val="none" w:sz="0" w:space="0" w:color="auto"/>
        <w:right w:val="none" w:sz="0" w:space="0" w:color="auto"/>
      </w:divBdr>
    </w:div>
    <w:div w:id="1670670805">
      <w:marLeft w:val="0"/>
      <w:marRight w:val="0"/>
      <w:marTop w:val="240"/>
      <w:marBottom w:val="0"/>
      <w:divBdr>
        <w:top w:val="none" w:sz="0" w:space="0" w:color="auto"/>
        <w:left w:val="none" w:sz="0" w:space="0" w:color="auto"/>
        <w:bottom w:val="none" w:sz="0" w:space="0" w:color="auto"/>
        <w:right w:val="none" w:sz="0" w:space="0" w:color="auto"/>
      </w:divBdr>
    </w:div>
    <w:div w:id="1670791536">
      <w:marLeft w:val="0"/>
      <w:marRight w:val="0"/>
      <w:marTop w:val="240"/>
      <w:marBottom w:val="0"/>
      <w:divBdr>
        <w:top w:val="none" w:sz="0" w:space="0" w:color="auto"/>
        <w:left w:val="none" w:sz="0" w:space="0" w:color="auto"/>
        <w:bottom w:val="none" w:sz="0" w:space="0" w:color="auto"/>
        <w:right w:val="none" w:sz="0" w:space="0" w:color="auto"/>
      </w:divBdr>
    </w:div>
    <w:div w:id="1674720966">
      <w:marLeft w:val="0"/>
      <w:marRight w:val="0"/>
      <w:marTop w:val="180"/>
      <w:marBottom w:val="0"/>
      <w:divBdr>
        <w:top w:val="none" w:sz="0" w:space="0" w:color="auto"/>
        <w:left w:val="none" w:sz="0" w:space="0" w:color="auto"/>
        <w:bottom w:val="none" w:sz="0" w:space="0" w:color="auto"/>
        <w:right w:val="none" w:sz="0" w:space="0" w:color="auto"/>
      </w:divBdr>
    </w:div>
    <w:div w:id="1674799664">
      <w:marLeft w:val="0"/>
      <w:marRight w:val="0"/>
      <w:marTop w:val="240"/>
      <w:marBottom w:val="0"/>
      <w:divBdr>
        <w:top w:val="none" w:sz="0" w:space="0" w:color="auto"/>
        <w:left w:val="none" w:sz="0" w:space="0" w:color="auto"/>
        <w:bottom w:val="none" w:sz="0" w:space="0" w:color="auto"/>
        <w:right w:val="none" w:sz="0" w:space="0" w:color="auto"/>
      </w:divBdr>
    </w:div>
    <w:div w:id="1675303038">
      <w:marLeft w:val="0"/>
      <w:marRight w:val="0"/>
      <w:marTop w:val="120"/>
      <w:marBottom w:val="0"/>
      <w:divBdr>
        <w:top w:val="none" w:sz="0" w:space="0" w:color="auto"/>
        <w:left w:val="none" w:sz="0" w:space="0" w:color="auto"/>
        <w:bottom w:val="none" w:sz="0" w:space="0" w:color="auto"/>
        <w:right w:val="none" w:sz="0" w:space="0" w:color="auto"/>
      </w:divBdr>
    </w:div>
    <w:div w:id="1675644350">
      <w:marLeft w:val="0"/>
      <w:marRight w:val="0"/>
      <w:marTop w:val="160"/>
      <w:marBottom w:val="0"/>
      <w:divBdr>
        <w:top w:val="none" w:sz="0" w:space="0" w:color="auto"/>
        <w:left w:val="none" w:sz="0" w:space="0" w:color="auto"/>
        <w:bottom w:val="none" w:sz="0" w:space="0" w:color="auto"/>
        <w:right w:val="none" w:sz="0" w:space="0" w:color="auto"/>
      </w:divBdr>
      <w:divsChild>
        <w:div w:id="1626737476">
          <w:marLeft w:val="0"/>
          <w:marRight w:val="0"/>
          <w:marTop w:val="0"/>
          <w:marBottom w:val="0"/>
          <w:divBdr>
            <w:top w:val="none" w:sz="0" w:space="0" w:color="auto"/>
            <w:left w:val="none" w:sz="0" w:space="0" w:color="auto"/>
            <w:bottom w:val="none" w:sz="0" w:space="0" w:color="auto"/>
            <w:right w:val="none" w:sz="0" w:space="0" w:color="auto"/>
          </w:divBdr>
        </w:div>
        <w:div w:id="1247882148">
          <w:marLeft w:val="0"/>
          <w:marRight w:val="0"/>
          <w:marTop w:val="0"/>
          <w:marBottom w:val="0"/>
          <w:divBdr>
            <w:top w:val="none" w:sz="0" w:space="0" w:color="auto"/>
            <w:left w:val="none" w:sz="0" w:space="0" w:color="auto"/>
            <w:bottom w:val="none" w:sz="0" w:space="0" w:color="auto"/>
            <w:right w:val="none" w:sz="0" w:space="0" w:color="auto"/>
          </w:divBdr>
        </w:div>
      </w:divsChild>
    </w:div>
    <w:div w:id="1676762145">
      <w:marLeft w:val="0"/>
      <w:marRight w:val="0"/>
      <w:marTop w:val="300"/>
      <w:marBottom w:val="0"/>
      <w:divBdr>
        <w:top w:val="none" w:sz="0" w:space="0" w:color="auto"/>
        <w:left w:val="none" w:sz="0" w:space="0" w:color="auto"/>
        <w:bottom w:val="none" w:sz="0" w:space="0" w:color="auto"/>
        <w:right w:val="none" w:sz="0" w:space="0" w:color="auto"/>
      </w:divBdr>
    </w:div>
    <w:div w:id="1677803696">
      <w:marLeft w:val="0"/>
      <w:marRight w:val="0"/>
      <w:marTop w:val="240"/>
      <w:marBottom w:val="0"/>
      <w:divBdr>
        <w:top w:val="none" w:sz="0" w:space="0" w:color="auto"/>
        <w:left w:val="none" w:sz="0" w:space="0" w:color="auto"/>
        <w:bottom w:val="none" w:sz="0" w:space="0" w:color="auto"/>
        <w:right w:val="none" w:sz="0" w:space="0" w:color="auto"/>
      </w:divBdr>
    </w:div>
    <w:div w:id="1678191542">
      <w:marLeft w:val="0"/>
      <w:marRight w:val="0"/>
      <w:marTop w:val="300"/>
      <w:marBottom w:val="0"/>
      <w:divBdr>
        <w:top w:val="none" w:sz="0" w:space="0" w:color="auto"/>
        <w:left w:val="none" w:sz="0" w:space="0" w:color="auto"/>
        <w:bottom w:val="none" w:sz="0" w:space="0" w:color="auto"/>
        <w:right w:val="none" w:sz="0" w:space="0" w:color="auto"/>
      </w:divBdr>
    </w:div>
    <w:div w:id="1678995968">
      <w:marLeft w:val="0"/>
      <w:marRight w:val="0"/>
      <w:marTop w:val="240"/>
      <w:marBottom w:val="0"/>
      <w:divBdr>
        <w:top w:val="none" w:sz="0" w:space="0" w:color="auto"/>
        <w:left w:val="none" w:sz="0" w:space="0" w:color="auto"/>
        <w:bottom w:val="none" w:sz="0" w:space="0" w:color="auto"/>
        <w:right w:val="none" w:sz="0" w:space="0" w:color="auto"/>
      </w:divBdr>
    </w:div>
    <w:div w:id="1681348634">
      <w:marLeft w:val="0"/>
      <w:marRight w:val="0"/>
      <w:marTop w:val="240"/>
      <w:marBottom w:val="0"/>
      <w:divBdr>
        <w:top w:val="none" w:sz="0" w:space="0" w:color="auto"/>
        <w:left w:val="none" w:sz="0" w:space="0" w:color="auto"/>
        <w:bottom w:val="none" w:sz="0" w:space="0" w:color="auto"/>
        <w:right w:val="none" w:sz="0" w:space="0" w:color="auto"/>
      </w:divBdr>
    </w:div>
    <w:div w:id="1682514742">
      <w:marLeft w:val="0"/>
      <w:marRight w:val="0"/>
      <w:marTop w:val="240"/>
      <w:marBottom w:val="0"/>
      <w:divBdr>
        <w:top w:val="none" w:sz="0" w:space="0" w:color="auto"/>
        <w:left w:val="none" w:sz="0" w:space="0" w:color="auto"/>
        <w:bottom w:val="none" w:sz="0" w:space="0" w:color="auto"/>
        <w:right w:val="none" w:sz="0" w:space="0" w:color="auto"/>
      </w:divBdr>
    </w:div>
    <w:div w:id="1683432442">
      <w:marLeft w:val="0"/>
      <w:marRight w:val="0"/>
      <w:marTop w:val="240"/>
      <w:marBottom w:val="0"/>
      <w:divBdr>
        <w:top w:val="none" w:sz="0" w:space="0" w:color="auto"/>
        <w:left w:val="none" w:sz="0" w:space="0" w:color="auto"/>
        <w:bottom w:val="none" w:sz="0" w:space="0" w:color="auto"/>
        <w:right w:val="none" w:sz="0" w:space="0" w:color="auto"/>
      </w:divBdr>
    </w:div>
    <w:div w:id="1684939613">
      <w:marLeft w:val="0"/>
      <w:marRight w:val="0"/>
      <w:marTop w:val="180"/>
      <w:marBottom w:val="0"/>
      <w:divBdr>
        <w:top w:val="none" w:sz="0" w:space="0" w:color="auto"/>
        <w:left w:val="none" w:sz="0" w:space="0" w:color="auto"/>
        <w:bottom w:val="none" w:sz="0" w:space="0" w:color="auto"/>
        <w:right w:val="none" w:sz="0" w:space="0" w:color="auto"/>
      </w:divBdr>
    </w:div>
    <w:div w:id="1685664206">
      <w:marLeft w:val="0"/>
      <w:marRight w:val="0"/>
      <w:marTop w:val="240"/>
      <w:marBottom w:val="0"/>
      <w:divBdr>
        <w:top w:val="none" w:sz="0" w:space="0" w:color="auto"/>
        <w:left w:val="none" w:sz="0" w:space="0" w:color="auto"/>
        <w:bottom w:val="none" w:sz="0" w:space="0" w:color="auto"/>
        <w:right w:val="none" w:sz="0" w:space="0" w:color="auto"/>
      </w:divBdr>
    </w:div>
    <w:div w:id="1685785899">
      <w:marLeft w:val="0"/>
      <w:marRight w:val="0"/>
      <w:marTop w:val="60"/>
      <w:marBottom w:val="0"/>
      <w:divBdr>
        <w:top w:val="none" w:sz="0" w:space="0" w:color="auto"/>
        <w:left w:val="none" w:sz="0" w:space="0" w:color="auto"/>
        <w:bottom w:val="none" w:sz="0" w:space="0" w:color="auto"/>
        <w:right w:val="none" w:sz="0" w:space="0" w:color="auto"/>
      </w:divBdr>
    </w:div>
    <w:div w:id="1690176919">
      <w:marLeft w:val="0"/>
      <w:marRight w:val="0"/>
      <w:marTop w:val="240"/>
      <w:marBottom w:val="0"/>
      <w:divBdr>
        <w:top w:val="none" w:sz="0" w:space="0" w:color="auto"/>
        <w:left w:val="none" w:sz="0" w:space="0" w:color="auto"/>
        <w:bottom w:val="none" w:sz="0" w:space="0" w:color="auto"/>
        <w:right w:val="none" w:sz="0" w:space="0" w:color="auto"/>
      </w:divBdr>
    </w:div>
    <w:div w:id="1692485216">
      <w:marLeft w:val="0"/>
      <w:marRight w:val="0"/>
      <w:marTop w:val="240"/>
      <w:marBottom w:val="0"/>
      <w:divBdr>
        <w:top w:val="none" w:sz="0" w:space="0" w:color="auto"/>
        <w:left w:val="none" w:sz="0" w:space="0" w:color="auto"/>
        <w:bottom w:val="none" w:sz="0" w:space="0" w:color="auto"/>
        <w:right w:val="none" w:sz="0" w:space="0" w:color="auto"/>
      </w:divBdr>
    </w:div>
    <w:div w:id="1696036485">
      <w:marLeft w:val="0"/>
      <w:marRight w:val="0"/>
      <w:marTop w:val="0"/>
      <w:marBottom w:val="0"/>
      <w:divBdr>
        <w:top w:val="none" w:sz="0" w:space="0" w:color="auto"/>
        <w:left w:val="none" w:sz="0" w:space="0" w:color="auto"/>
        <w:bottom w:val="none" w:sz="0" w:space="0" w:color="auto"/>
        <w:right w:val="none" w:sz="0" w:space="0" w:color="auto"/>
      </w:divBdr>
      <w:divsChild>
        <w:div w:id="1249922800">
          <w:marLeft w:val="0"/>
          <w:marRight w:val="0"/>
          <w:marTop w:val="120"/>
          <w:marBottom w:val="0"/>
          <w:divBdr>
            <w:top w:val="none" w:sz="0" w:space="0" w:color="auto"/>
            <w:left w:val="none" w:sz="0" w:space="0" w:color="auto"/>
            <w:bottom w:val="none" w:sz="0" w:space="0" w:color="auto"/>
            <w:right w:val="none" w:sz="0" w:space="0" w:color="auto"/>
          </w:divBdr>
        </w:div>
      </w:divsChild>
    </w:div>
    <w:div w:id="1696344687">
      <w:marLeft w:val="0"/>
      <w:marRight w:val="0"/>
      <w:marTop w:val="240"/>
      <w:marBottom w:val="0"/>
      <w:divBdr>
        <w:top w:val="none" w:sz="0" w:space="0" w:color="auto"/>
        <w:left w:val="none" w:sz="0" w:space="0" w:color="auto"/>
        <w:bottom w:val="none" w:sz="0" w:space="0" w:color="auto"/>
        <w:right w:val="none" w:sz="0" w:space="0" w:color="auto"/>
      </w:divBdr>
    </w:div>
    <w:div w:id="1696467487">
      <w:marLeft w:val="0"/>
      <w:marRight w:val="0"/>
      <w:marTop w:val="0"/>
      <w:marBottom w:val="0"/>
      <w:divBdr>
        <w:top w:val="none" w:sz="0" w:space="0" w:color="auto"/>
        <w:left w:val="none" w:sz="0" w:space="0" w:color="auto"/>
        <w:bottom w:val="none" w:sz="0" w:space="0" w:color="auto"/>
        <w:right w:val="none" w:sz="0" w:space="0" w:color="auto"/>
      </w:divBdr>
      <w:divsChild>
        <w:div w:id="1678731017">
          <w:marLeft w:val="0"/>
          <w:marRight w:val="0"/>
          <w:marTop w:val="0"/>
          <w:marBottom w:val="0"/>
          <w:divBdr>
            <w:top w:val="none" w:sz="0" w:space="0" w:color="auto"/>
            <w:left w:val="none" w:sz="0" w:space="0" w:color="auto"/>
            <w:bottom w:val="none" w:sz="0" w:space="0" w:color="auto"/>
            <w:right w:val="none" w:sz="0" w:space="0" w:color="auto"/>
          </w:divBdr>
          <w:divsChild>
            <w:div w:id="13095583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96543377">
      <w:marLeft w:val="0"/>
      <w:marRight w:val="0"/>
      <w:marTop w:val="240"/>
      <w:marBottom w:val="0"/>
      <w:divBdr>
        <w:top w:val="none" w:sz="0" w:space="0" w:color="auto"/>
        <w:left w:val="none" w:sz="0" w:space="0" w:color="auto"/>
        <w:bottom w:val="none" w:sz="0" w:space="0" w:color="auto"/>
        <w:right w:val="none" w:sz="0" w:space="0" w:color="auto"/>
      </w:divBdr>
    </w:div>
    <w:div w:id="1697611613">
      <w:marLeft w:val="0"/>
      <w:marRight w:val="0"/>
      <w:marTop w:val="160"/>
      <w:marBottom w:val="0"/>
      <w:divBdr>
        <w:top w:val="none" w:sz="0" w:space="0" w:color="auto"/>
        <w:left w:val="none" w:sz="0" w:space="0" w:color="auto"/>
        <w:bottom w:val="none" w:sz="0" w:space="0" w:color="auto"/>
        <w:right w:val="none" w:sz="0" w:space="0" w:color="auto"/>
      </w:divBdr>
    </w:div>
    <w:div w:id="1698769203">
      <w:marLeft w:val="0"/>
      <w:marRight w:val="0"/>
      <w:marTop w:val="240"/>
      <w:marBottom w:val="0"/>
      <w:divBdr>
        <w:top w:val="none" w:sz="0" w:space="0" w:color="auto"/>
        <w:left w:val="none" w:sz="0" w:space="0" w:color="auto"/>
        <w:bottom w:val="none" w:sz="0" w:space="0" w:color="auto"/>
        <w:right w:val="none" w:sz="0" w:space="0" w:color="auto"/>
      </w:divBdr>
    </w:div>
    <w:div w:id="1700667010">
      <w:marLeft w:val="0"/>
      <w:marRight w:val="0"/>
      <w:marTop w:val="240"/>
      <w:marBottom w:val="0"/>
      <w:divBdr>
        <w:top w:val="none" w:sz="0" w:space="0" w:color="auto"/>
        <w:left w:val="none" w:sz="0" w:space="0" w:color="auto"/>
        <w:bottom w:val="none" w:sz="0" w:space="0" w:color="auto"/>
        <w:right w:val="none" w:sz="0" w:space="0" w:color="auto"/>
      </w:divBdr>
    </w:div>
    <w:div w:id="1702632506">
      <w:marLeft w:val="0"/>
      <w:marRight w:val="0"/>
      <w:marTop w:val="0"/>
      <w:marBottom w:val="0"/>
      <w:divBdr>
        <w:top w:val="none" w:sz="0" w:space="0" w:color="auto"/>
        <w:left w:val="none" w:sz="0" w:space="0" w:color="auto"/>
        <w:bottom w:val="none" w:sz="0" w:space="0" w:color="auto"/>
        <w:right w:val="none" w:sz="0" w:space="0" w:color="auto"/>
      </w:divBdr>
      <w:divsChild>
        <w:div w:id="2004889653">
          <w:marLeft w:val="0"/>
          <w:marRight w:val="0"/>
          <w:marTop w:val="0"/>
          <w:marBottom w:val="0"/>
          <w:divBdr>
            <w:top w:val="none" w:sz="0" w:space="0" w:color="auto"/>
            <w:left w:val="none" w:sz="0" w:space="0" w:color="auto"/>
            <w:bottom w:val="none" w:sz="0" w:space="0" w:color="auto"/>
            <w:right w:val="none" w:sz="0" w:space="0" w:color="auto"/>
          </w:divBdr>
          <w:divsChild>
            <w:div w:id="5866935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04288112">
      <w:marLeft w:val="0"/>
      <w:marRight w:val="0"/>
      <w:marTop w:val="240"/>
      <w:marBottom w:val="0"/>
      <w:divBdr>
        <w:top w:val="none" w:sz="0" w:space="0" w:color="auto"/>
        <w:left w:val="none" w:sz="0" w:space="0" w:color="auto"/>
        <w:bottom w:val="none" w:sz="0" w:space="0" w:color="auto"/>
        <w:right w:val="none" w:sz="0" w:space="0" w:color="auto"/>
      </w:divBdr>
    </w:div>
    <w:div w:id="1705325355">
      <w:marLeft w:val="0"/>
      <w:marRight w:val="0"/>
      <w:marTop w:val="240"/>
      <w:marBottom w:val="0"/>
      <w:divBdr>
        <w:top w:val="none" w:sz="0" w:space="0" w:color="auto"/>
        <w:left w:val="none" w:sz="0" w:space="0" w:color="auto"/>
        <w:bottom w:val="none" w:sz="0" w:space="0" w:color="auto"/>
        <w:right w:val="none" w:sz="0" w:space="0" w:color="auto"/>
      </w:divBdr>
    </w:div>
    <w:div w:id="1706907518">
      <w:marLeft w:val="0"/>
      <w:marRight w:val="0"/>
      <w:marTop w:val="240"/>
      <w:marBottom w:val="0"/>
      <w:divBdr>
        <w:top w:val="none" w:sz="0" w:space="0" w:color="auto"/>
        <w:left w:val="none" w:sz="0" w:space="0" w:color="auto"/>
        <w:bottom w:val="none" w:sz="0" w:space="0" w:color="auto"/>
        <w:right w:val="none" w:sz="0" w:space="0" w:color="auto"/>
      </w:divBdr>
    </w:div>
    <w:div w:id="1712417259">
      <w:marLeft w:val="0"/>
      <w:marRight w:val="0"/>
      <w:marTop w:val="0"/>
      <w:marBottom w:val="0"/>
      <w:divBdr>
        <w:top w:val="none" w:sz="0" w:space="0" w:color="auto"/>
        <w:left w:val="none" w:sz="0" w:space="0" w:color="auto"/>
        <w:bottom w:val="none" w:sz="0" w:space="0" w:color="auto"/>
        <w:right w:val="none" w:sz="0" w:space="0" w:color="auto"/>
      </w:divBdr>
      <w:divsChild>
        <w:div w:id="1522670153">
          <w:marLeft w:val="0"/>
          <w:marRight w:val="0"/>
          <w:marTop w:val="0"/>
          <w:marBottom w:val="0"/>
          <w:divBdr>
            <w:top w:val="none" w:sz="0" w:space="0" w:color="auto"/>
            <w:left w:val="none" w:sz="0" w:space="0" w:color="auto"/>
            <w:bottom w:val="none" w:sz="0" w:space="0" w:color="auto"/>
            <w:right w:val="none" w:sz="0" w:space="0" w:color="auto"/>
          </w:divBdr>
        </w:div>
      </w:divsChild>
    </w:div>
    <w:div w:id="1712460667">
      <w:marLeft w:val="0"/>
      <w:marRight w:val="0"/>
      <w:marTop w:val="240"/>
      <w:marBottom w:val="0"/>
      <w:divBdr>
        <w:top w:val="none" w:sz="0" w:space="0" w:color="auto"/>
        <w:left w:val="none" w:sz="0" w:space="0" w:color="auto"/>
        <w:bottom w:val="none" w:sz="0" w:space="0" w:color="auto"/>
        <w:right w:val="none" w:sz="0" w:space="0" w:color="auto"/>
      </w:divBdr>
    </w:div>
    <w:div w:id="1713142618">
      <w:marLeft w:val="0"/>
      <w:marRight w:val="0"/>
      <w:marTop w:val="240"/>
      <w:marBottom w:val="0"/>
      <w:divBdr>
        <w:top w:val="none" w:sz="0" w:space="0" w:color="auto"/>
        <w:left w:val="none" w:sz="0" w:space="0" w:color="auto"/>
        <w:bottom w:val="none" w:sz="0" w:space="0" w:color="auto"/>
        <w:right w:val="none" w:sz="0" w:space="0" w:color="auto"/>
      </w:divBdr>
    </w:div>
    <w:div w:id="1713189828">
      <w:marLeft w:val="0"/>
      <w:marRight w:val="0"/>
      <w:marTop w:val="180"/>
      <w:marBottom w:val="0"/>
      <w:divBdr>
        <w:top w:val="none" w:sz="0" w:space="0" w:color="auto"/>
        <w:left w:val="none" w:sz="0" w:space="0" w:color="auto"/>
        <w:bottom w:val="none" w:sz="0" w:space="0" w:color="auto"/>
        <w:right w:val="none" w:sz="0" w:space="0" w:color="auto"/>
      </w:divBdr>
    </w:div>
    <w:div w:id="1714769761">
      <w:marLeft w:val="0"/>
      <w:marRight w:val="0"/>
      <w:marTop w:val="240"/>
      <w:marBottom w:val="0"/>
      <w:divBdr>
        <w:top w:val="none" w:sz="0" w:space="0" w:color="auto"/>
        <w:left w:val="none" w:sz="0" w:space="0" w:color="auto"/>
        <w:bottom w:val="none" w:sz="0" w:space="0" w:color="auto"/>
        <w:right w:val="none" w:sz="0" w:space="0" w:color="auto"/>
      </w:divBdr>
    </w:div>
    <w:div w:id="1717117321">
      <w:marLeft w:val="0"/>
      <w:marRight w:val="0"/>
      <w:marTop w:val="140"/>
      <w:marBottom w:val="0"/>
      <w:divBdr>
        <w:top w:val="none" w:sz="0" w:space="0" w:color="auto"/>
        <w:left w:val="none" w:sz="0" w:space="0" w:color="auto"/>
        <w:bottom w:val="none" w:sz="0" w:space="0" w:color="auto"/>
        <w:right w:val="none" w:sz="0" w:space="0" w:color="auto"/>
      </w:divBdr>
    </w:div>
    <w:div w:id="1721172990">
      <w:marLeft w:val="0"/>
      <w:marRight w:val="0"/>
      <w:marTop w:val="180"/>
      <w:marBottom w:val="0"/>
      <w:divBdr>
        <w:top w:val="none" w:sz="0" w:space="0" w:color="auto"/>
        <w:left w:val="none" w:sz="0" w:space="0" w:color="auto"/>
        <w:bottom w:val="none" w:sz="0" w:space="0" w:color="auto"/>
        <w:right w:val="none" w:sz="0" w:space="0" w:color="auto"/>
      </w:divBdr>
    </w:div>
    <w:div w:id="1722745615">
      <w:marLeft w:val="0"/>
      <w:marRight w:val="0"/>
      <w:marTop w:val="240"/>
      <w:marBottom w:val="0"/>
      <w:divBdr>
        <w:top w:val="none" w:sz="0" w:space="0" w:color="auto"/>
        <w:left w:val="none" w:sz="0" w:space="0" w:color="auto"/>
        <w:bottom w:val="none" w:sz="0" w:space="0" w:color="auto"/>
        <w:right w:val="none" w:sz="0" w:space="0" w:color="auto"/>
      </w:divBdr>
    </w:div>
    <w:div w:id="1722896863">
      <w:marLeft w:val="0"/>
      <w:marRight w:val="0"/>
      <w:marTop w:val="0"/>
      <w:marBottom w:val="0"/>
      <w:divBdr>
        <w:top w:val="none" w:sz="0" w:space="0" w:color="auto"/>
        <w:left w:val="none" w:sz="0" w:space="0" w:color="auto"/>
        <w:bottom w:val="none" w:sz="0" w:space="0" w:color="auto"/>
        <w:right w:val="none" w:sz="0" w:space="0" w:color="auto"/>
      </w:divBdr>
      <w:divsChild>
        <w:div w:id="4600188">
          <w:marLeft w:val="0"/>
          <w:marRight w:val="0"/>
          <w:marTop w:val="0"/>
          <w:marBottom w:val="0"/>
          <w:divBdr>
            <w:top w:val="none" w:sz="0" w:space="0" w:color="auto"/>
            <w:left w:val="none" w:sz="0" w:space="0" w:color="auto"/>
            <w:bottom w:val="none" w:sz="0" w:space="0" w:color="auto"/>
            <w:right w:val="none" w:sz="0" w:space="0" w:color="auto"/>
          </w:divBdr>
          <w:divsChild>
            <w:div w:id="19443410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23090925">
      <w:marLeft w:val="0"/>
      <w:marRight w:val="0"/>
      <w:marTop w:val="240"/>
      <w:marBottom w:val="0"/>
      <w:divBdr>
        <w:top w:val="none" w:sz="0" w:space="0" w:color="auto"/>
        <w:left w:val="none" w:sz="0" w:space="0" w:color="auto"/>
        <w:bottom w:val="none" w:sz="0" w:space="0" w:color="auto"/>
        <w:right w:val="none" w:sz="0" w:space="0" w:color="auto"/>
      </w:divBdr>
    </w:div>
    <w:div w:id="1723208864">
      <w:marLeft w:val="0"/>
      <w:marRight w:val="0"/>
      <w:marTop w:val="240"/>
      <w:marBottom w:val="0"/>
      <w:divBdr>
        <w:top w:val="none" w:sz="0" w:space="0" w:color="auto"/>
        <w:left w:val="none" w:sz="0" w:space="0" w:color="auto"/>
        <w:bottom w:val="none" w:sz="0" w:space="0" w:color="auto"/>
        <w:right w:val="none" w:sz="0" w:space="0" w:color="auto"/>
      </w:divBdr>
    </w:div>
    <w:div w:id="1723945571">
      <w:marLeft w:val="0"/>
      <w:marRight w:val="0"/>
      <w:marTop w:val="0"/>
      <w:marBottom w:val="60"/>
      <w:divBdr>
        <w:top w:val="none" w:sz="0" w:space="0" w:color="auto"/>
        <w:left w:val="none" w:sz="0" w:space="0" w:color="auto"/>
        <w:bottom w:val="none" w:sz="0" w:space="0" w:color="auto"/>
        <w:right w:val="none" w:sz="0" w:space="0" w:color="auto"/>
      </w:divBdr>
    </w:div>
    <w:div w:id="1724909462">
      <w:marLeft w:val="0"/>
      <w:marRight w:val="0"/>
      <w:marTop w:val="180"/>
      <w:marBottom w:val="0"/>
      <w:divBdr>
        <w:top w:val="none" w:sz="0" w:space="0" w:color="auto"/>
        <w:left w:val="none" w:sz="0" w:space="0" w:color="auto"/>
        <w:bottom w:val="none" w:sz="0" w:space="0" w:color="auto"/>
        <w:right w:val="none" w:sz="0" w:space="0" w:color="auto"/>
      </w:divBdr>
    </w:div>
    <w:div w:id="1726097949">
      <w:marLeft w:val="0"/>
      <w:marRight w:val="0"/>
      <w:marTop w:val="300"/>
      <w:marBottom w:val="0"/>
      <w:divBdr>
        <w:top w:val="none" w:sz="0" w:space="0" w:color="auto"/>
        <w:left w:val="none" w:sz="0" w:space="0" w:color="auto"/>
        <w:bottom w:val="none" w:sz="0" w:space="0" w:color="auto"/>
        <w:right w:val="none" w:sz="0" w:space="0" w:color="auto"/>
      </w:divBdr>
    </w:div>
    <w:div w:id="1729717457">
      <w:marLeft w:val="0"/>
      <w:marRight w:val="0"/>
      <w:marTop w:val="0"/>
      <w:marBottom w:val="0"/>
      <w:divBdr>
        <w:top w:val="none" w:sz="0" w:space="0" w:color="auto"/>
        <w:left w:val="none" w:sz="0" w:space="0" w:color="auto"/>
        <w:bottom w:val="none" w:sz="0" w:space="0" w:color="auto"/>
        <w:right w:val="none" w:sz="0" w:space="0" w:color="auto"/>
      </w:divBdr>
      <w:divsChild>
        <w:div w:id="1291856862">
          <w:marLeft w:val="0"/>
          <w:marRight w:val="0"/>
          <w:marTop w:val="0"/>
          <w:marBottom w:val="0"/>
          <w:divBdr>
            <w:top w:val="none" w:sz="0" w:space="0" w:color="auto"/>
            <w:left w:val="none" w:sz="0" w:space="0" w:color="auto"/>
            <w:bottom w:val="none" w:sz="0" w:space="0" w:color="auto"/>
            <w:right w:val="none" w:sz="0" w:space="0" w:color="auto"/>
          </w:divBdr>
        </w:div>
      </w:divsChild>
    </w:div>
    <w:div w:id="1731608809">
      <w:marLeft w:val="0"/>
      <w:marRight w:val="0"/>
      <w:marTop w:val="0"/>
      <w:marBottom w:val="0"/>
      <w:divBdr>
        <w:top w:val="none" w:sz="0" w:space="0" w:color="auto"/>
        <w:left w:val="none" w:sz="0" w:space="0" w:color="auto"/>
        <w:bottom w:val="none" w:sz="0" w:space="0" w:color="auto"/>
        <w:right w:val="none" w:sz="0" w:space="0" w:color="auto"/>
      </w:divBdr>
      <w:divsChild>
        <w:div w:id="1724406489">
          <w:marLeft w:val="0"/>
          <w:marRight w:val="0"/>
          <w:marTop w:val="120"/>
          <w:marBottom w:val="0"/>
          <w:divBdr>
            <w:top w:val="none" w:sz="0" w:space="0" w:color="auto"/>
            <w:left w:val="none" w:sz="0" w:space="0" w:color="auto"/>
            <w:bottom w:val="none" w:sz="0" w:space="0" w:color="auto"/>
            <w:right w:val="none" w:sz="0" w:space="0" w:color="auto"/>
          </w:divBdr>
        </w:div>
      </w:divsChild>
    </w:div>
    <w:div w:id="1733311438">
      <w:marLeft w:val="0"/>
      <w:marRight w:val="0"/>
      <w:marTop w:val="240"/>
      <w:marBottom w:val="0"/>
      <w:divBdr>
        <w:top w:val="none" w:sz="0" w:space="0" w:color="auto"/>
        <w:left w:val="none" w:sz="0" w:space="0" w:color="auto"/>
        <w:bottom w:val="none" w:sz="0" w:space="0" w:color="auto"/>
        <w:right w:val="none" w:sz="0" w:space="0" w:color="auto"/>
      </w:divBdr>
    </w:div>
    <w:div w:id="1733500450">
      <w:marLeft w:val="0"/>
      <w:marRight w:val="0"/>
      <w:marTop w:val="0"/>
      <w:marBottom w:val="0"/>
      <w:divBdr>
        <w:top w:val="none" w:sz="0" w:space="0" w:color="auto"/>
        <w:left w:val="none" w:sz="0" w:space="0" w:color="auto"/>
        <w:bottom w:val="none" w:sz="0" w:space="0" w:color="auto"/>
        <w:right w:val="none" w:sz="0" w:space="0" w:color="auto"/>
      </w:divBdr>
      <w:divsChild>
        <w:div w:id="1940915300">
          <w:marLeft w:val="0"/>
          <w:marRight w:val="0"/>
          <w:marTop w:val="0"/>
          <w:marBottom w:val="0"/>
          <w:divBdr>
            <w:top w:val="none" w:sz="0" w:space="0" w:color="auto"/>
            <w:left w:val="none" w:sz="0" w:space="0" w:color="auto"/>
            <w:bottom w:val="none" w:sz="0" w:space="0" w:color="auto"/>
            <w:right w:val="none" w:sz="0" w:space="0" w:color="auto"/>
          </w:divBdr>
          <w:divsChild>
            <w:div w:id="4010246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33504515">
      <w:marLeft w:val="0"/>
      <w:marRight w:val="0"/>
      <w:marTop w:val="160"/>
      <w:marBottom w:val="0"/>
      <w:divBdr>
        <w:top w:val="none" w:sz="0" w:space="0" w:color="auto"/>
        <w:left w:val="none" w:sz="0" w:space="0" w:color="auto"/>
        <w:bottom w:val="none" w:sz="0" w:space="0" w:color="auto"/>
        <w:right w:val="none" w:sz="0" w:space="0" w:color="auto"/>
      </w:divBdr>
    </w:div>
    <w:div w:id="1733771772">
      <w:marLeft w:val="0"/>
      <w:marRight w:val="0"/>
      <w:marTop w:val="180"/>
      <w:marBottom w:val="0"/>
      <w:divBdr>
        <w:top w:val="none" w:sz="0" w:space="0" w:color="auto"/>
        <w:left w:val="none" w:sz="0" w:space="0" w:color="auto"/>
        <w:bottom w:val="none" w:sz="0" w:space="0" w:color="auto"/>
        <w:right w:val="none" w:sz="0" w:space="0" w:color="auto"/>
      </w:divBdr>
    </w:div>
    <w:div w:id="1733963223">
      <w:marLeft w:val="0"/>
      <w:marRight w:val="0"/>
      <w:marTop w:val="0"/>
      <w:marBottom w:val="0"/>
      <w:divBdr>
        <w:top w:val="none" w:sz="0" w:space="0" w:color="auto"/>
        <w:left w:val="none" w:sz="0" w:space="0" w:color="auto"/>
        <w:bottom w:val="none" w:sz="0" w:space="0" w:color="auto"/>
        <w:right w:val="none" w:sz="0" w:space="0" w:color="auto"/>
      </w:divBdr>
      <w:divsChild>
        <w:div w:id="314837939">
          <w:marLeft w:val="0"/>
          <w:marRight w:val="0"/>
          <w:marTop w:val="0"/>
          <w:marBottom w:val="0"/>
          <w:divBdr>
            <w:top w:val="none" w:sz="0" w:space="0" w:color="auto"/>
            <w:left w:val="none" w:sz="0" w:space="0" w:color="auto"/>
            <w:bottom w:val="none" w:sz="0" w:space="0" w:color="auto"/>
            <w:right w:val="none" w:sz="0" w:space="0" w:color="auto"/>
          </w:divBdr>
          <w:divsChild>
            <w:div w:id="10952029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36590740">
      <w:marLeft w:val="0"/>
      <w:marRight w:val="0"/>
      <w:marTop w:val="240"/>
      <w:marBottom w:val="0"/>
      <w:divBdr>
        <w:top w:val="none" w:sz="0" w:space="0" w:color="auto"/>
        <w:left w:val="none" w:sz="0" w:space="0" w:color="auto"/>
        <w:bottom w:val="none" w:sz="0" w:space="0" w:color="auto"/>
        <w:right w:val="none" w:sz="0" w:space="0" w:color="auto"/>
      </w:divBdr>
    </w:div>
    <w:div w:id="1737123985">
      <w:marLeft w:val="0"/>
      <w:marRight w:val="0"/>
      <w:marTop w:val="240"/>
      <w:marBottom w:val="0"/>
      <w:divBdr>
        <w:top w:val="none" w:sz="0" w:space="0" w:color="auto"/>
        <w:left w:val="none" w:sz="0" w:space="0" w:color="auto"/>
        <w:bottom w:val="none" w:sz="0" w:space="0" w:color="auto"/>
        <w:right w:val="none" w:sz="0" w:space="0" w:color="auto"/>
      </w:divBdr>
    </w:div>
    <w:div w:id="1737359940">
      <w:marLeft w:val="0"/>
      <w:marRight w:val="0"/>
      <w:marTop w:val="240"/>
      <w:marBottom w:val="240"/>
      <w:divBdr>
        <w:top w:val="none" w:sz="0" w:space="0" w:color="auto"/>
        <w:left w:val="none" w:sz="0" w:space="0" w:color="auto"/>
        <w:bottom w:val="none" w:sz="0" w:space="0" w:color="auto"/>
        <w:right w:val="none" w:sz="0" w:space="0" w:color="auto"/>
      </w:divBdr>
    </w:div>
    <w:div w:id="1737585776">
      <w:marLeft w:val="0"/>
      <w:marRight w:val="0"/>
      <w:marTop w:val="120"/>
      <w:marBottom w:val="0"/>
      <w:divBdr>
        <w:top w:val="none" w:sz="0" w:space="0" w:color="auto"/>
        <w:left w:val="none" w:sz="0" w:space="0" w:color="auto"/>
        <w:bottom w:val="none" w:sz="0" w:space="0" w:color="auto"/>
        <w:right w:val="none" w:sz="0" w:space="0" w:color="auto"/>
      </w:divBdr>
    </w:div>
    <w:div w:id="1740251035">
      <w:marLeft w:val="0"/>
      <w:marRight w:val="0"/>
      <w:marTop w:val="240"/>
      <w:marBottom w:val="0"/>
      <w:divBdr>
        <w:top w:val="none" w:sz="0" w:space="0" w:color="auto"/>
        <w:left w:val="none" w:sz="0" w:space="0" w:color="auto"/>
        <w:bottom w:val="none" w:sz="0" w:space="0" w:color="auto"/>
        <w:right w:val="none" w:sz="0" w:space="0" w:color="auto"/>
      </w:divBdr>
    </w:div>
    <w:div w:id="1740984111">
      <w:marLeft w:val="0"/>
      <w:marRight w:val="0"/>
      <w:marTop w:val="160"/>
      <w:marBottom w:val="0"/>
      <w:divBdr>
        <w:top w:val="none" w:sz="0" w:space="0" w:color="auto"/>
        <w:left w:val="none" w:sz="0" w:space="0" w:color="auto"/>
        <w:bottom w:val="none" w:sz="0" w:space="0" w:color="auto"/>
        <w:right w:val="none" w:sz="0" w:space="0" w:color="auto"/>
      </w:divBdr>
      <w:divsChild>
        <w:div w:id="930552993">
          <w:marLeft w:val="0"/>
          <w:marRight w:val="0"/>
          <w:marTop w:val="0"/>
          <w:marBottom w:val="0"/>
          <w:divBdr>
            <w:top w:val="none" w:sz="0" w:space="0" w:color="auto"/>
            <w:left w:val="none" w:sz="0" w:space="0" w:color="auto"/>
            <w:bottom w:val="none" w:sz="0" w:space="0" w:color="auto"/>
            <w:right w:val="none" w:sz="0" w:space="0" w:color="auto"/>
          </w:divBdr>
        </w:div>
        <w:div w:id="1734884660">
          <w:marLeft w:val="0"/>
          <w:marRight w:val="0"/>
          <w:marTop w:val="0"/>
          <w:marBottom w:val="0"/>
          <w:divBdr>
            <w:top w:val="none" w:sz="0" w:space="0" w:color="auto"/>
            <w:left w:val="none" w:sz="0" w:space="0" w:color="auto"/>
            <w:bottom w:val="none" w:sz="0" w:space="0" w:color="auto"/>
            <w:right w:val="none" w:sz="0" w:space="0" w:color="auto"/>
          </w:divBdr>
        </w:div>
        <w:div w:id="360281752">
          <w:marLeft w:val="0"/>
          <w:marRight w:val="0"/>
          <w:marTop w:val="0"/>
          <w:marBottom w:val="0"/>
          <w:divBdr>
            <w:top w:val="none" w:sz="0" w:space="0" w:color="auto"/>
            <w:left w:val="none" w:sz="0" w:space="0" w:color="auto"/>
            <w:bottom w:val="none" w:sz="0" w:space="0" w:color="auto"/>
            <w:right w:val="none" w:sz="0" w:space="0" w:color="auto"/>
          </w:divBdr>
        </w:div>
      </w:divsChild>
    </w:div>
    <w:div w:id="1742095921">
      <w:marLeft w:val="0"/>
      <w:marRight w:val="0"/>
      <w:marTop w:val="240"/>
      <w:marBottom w:val="0"/>
      <w:divBdr>
        <w:top w:val="none" w:sz="0" w:space="0" w:color="auto"/>
        <w:left w:val="none" w:sz="0" w:space="0" w:color="auto"/>
        <w:bottom w:val="none" w:sz="0" w:space="0" w:color="auto"/>
        <w:right w:val="none" w:sz="0" w:space="0" w:color="auto"/>
      </w:divBdr>
    </w:div>
    <w:div w:id="1743983530">
      <w:marLeft w:val="0"/>
      <w:marRight w:val="0"/>
      <w:marTop w:val="240"/>
      <w:marBottom w:val="0"/>
      <w:divBdr>
        <w:top w:val="none" w:sz="0" w:space="0" w:color="auto"/>
        <w:left w:val="none" w:sz="0" w:space="0" w:color="auto"/>
        <w:bottom w:val="none" w:sz="0" w:space="0" w:color="auto"/>
        <w:right w:val="none" w:sz="0" w:space="0" w:color="auto"/>
      </w:divBdr>
    </w:div>
    <w:div w:id="1744057904">
      <w:marLeft w:val="0"/>
      <w:marRight w:val="0"/>
      <w:marTop w:val="240"/>
      <w:marBottom w:val="0"/>
      <w:divBdr>
        <w:top w:val="none" w:sz="0" w:space="0" w:color="auto"/>
        <w:left w:val="none" w:sz="0" w:space="0" w:color="auto"/>
        <w:bottom w:val="none" w:sz="0" w:space="0" w:color="auto"/>
        <w:right w:val="none" w:sz="0" w:space="0" w:color="auto"/>
      </w:divBdr>
    </w:div>
    <w:div w:id="1746150769">
      <w:marLeft w:val="0"/>
      <w:marRight w:val="0"/>
      <w:marTop w:val="240"/>
      <w:marBottom w:val="0"/>
      <w:divBdr>
        <w:top w:val="none" w:sz="0" w:space="0" w:color="auto"/>
        <w:left w:val="none" w:sz="0" w:space="0" w:color="auto"/>
        <w:bottom w:val="none" w:sz="0" w:space="0" w:color="auto"/>
        <w:right w:val="none" w:sz="0" w:space="0" w:color="auto"/>
      </w:divBdr>
    </w:div>
    <w:div w:id="1747341039">
      <w:marLeft w:val="0"/>
      <w:marRight w:val="0"/>
      <w:marTop w:val="100"/>
      <w:marBottom w:val="0"/>
      <w:divBdr>
        <w:top w:val="none" w:sz="0" w:space="0" w:color="auto"/>
        <w:left w:val="none" w:sz="0" w:space="0" w:color="auto"/>
        <w:bottom w:val="none" w:sz="0" w:space="0" w:color="auto"/>
        <w:right w:val="none" w:sz="0" w:space="0" w:color="auto"/>
      </w:divBdr>
      <w:divsChild>
        <w:div w:id="1448307731">
          <w:marLeft w:val="0"/>
          <w:marRight w:val="0"/>
          <w:marTop w:val="0"/>
          <w:marBottom w:val="0"/>
          <w:divBdr>
            <w:top w:val="none" w:sz="0" w:space="0" w:color="auto"/>
            <w:left w:val="none" w:sz="0" w:space="0" w:color="auto"/>
            <w:bottom w:val="none" w:sz="0" w:space="0" w:color="auto"/>
            <w:right w:val="none" w:sz="0" w:space="0" w:color="auto"/>
          </w:divBdr>
        </w:div>
      </w:divsChild>
    </w:div>
    <w:div w:id="1747915731">
      <w:marLeft w:val="0"/>
      <w:marRight w:val="0"/>
      <w:marTop w:val="240"/>
      <w:marBottom w:val="0"/>
      <w:divBdr>
        <w:top w:val="none" w:sz="0" w:space="0" w:color="auto"/>
        <w:left w:val="none" w:sz="0" w:space="0" w:color="auto"/>
        <w:bottom w:val="none" w:sz="0" w:space="0" w:color="auto"/>
        <w:right w:val="none" w:sz="0" w:space="0" w:color="auto"/>
      </w:divBdr>
    </w:div>
    <w:div w:id="1749689749">
      <w:marLeft w:val="0"/>
      <w:marRight w:val="0"/>
      <w:marTop w:val="120"/>
      <w:marBottom w:val="0"/>
      <w:divBdr>
        <w:top w:val="none" w:sz="0" w:space="0" w:color="auto"/>
        <w:left w:val="none" w:sz="0" w:space="0" w:color="auto"/>
        <w:bottom w:val="none" w:sz="0" w:space="0" w:color="auto"/>
        <w:right w:val="none" w:sz="0" w:space="0" w:color="auto"/>
      </w:divBdr>
    </w:div>
    <w:div w:id="1750541180">
      <w:marLeft w:val="0"/>
      <w:marRight w:val="0"/>
      <w:marTop w:val="240"/>
      <w:marBottom w:val="0"/>
      <w:divBdr>
        <w:top w:val="none" w:sz="0" w:space="0" w:color="auto"/>
        <w:left w:val="none" w:sz="0" w:space="0" w:color="auto"/>
        <w:bottom w:val="none" w:sz="0" w:space="0" w:color="auto"/>
        <w:right w:val="none" w:sz="0" w:space="0" w:color="auto"/>
      </w:divBdr>
    </w:div>
    <w:div w:id="1750810590">
      <w:marLeft w:val="0"/>
      <w:marRight w:val="0"/>
      <w:marTop w:val="180"/>
      <w:marBottom w:val="0"/>
      <w:divBdr>
        <w:top w:val="none" w:sz="0" w:space="0" w:color="auto"/>
        <w:left w:val="none" w:sz="0" w:space="0" w:color="auto"/>
        <w:bottom w:val="none" w:sz="0" w:space="0" w:color="auto"/>
        <w:right w:val="none" w:sz="0" w:space="0" w:color="auto"/>
      </w:divBdr>
    </w:div>
    <w:div w:id="1751653864">
      <w:marLeft w:val="0"/>
      <w:marRight w:val="0"/>
      <w:marTop w:val="0"/>
      <w:marBottom w:val="0"/>
      <w:divBdr>
        <w:top w:val="none" w:sz="0" w:space="0" w:color="auto"/>
        <w:left w:val="none" w:sz="0" w:space="0" w:color="auto"/>
        <w:bottom w:val="none" w:sz="0" w:space="0" w:color="auto"/>
        <w:right w:val="none" w:sz="0" w:space="0" w:color="auto"/>
      </w:divBdr>
      <w:divsChild>
        <w:div w:id="1444688896">
          <w:marLeft w:val="0"/>
          <w:marRight w:val="0"/>
          <w:marTop w:val="0"/>
          <w:marBottom w:val="0"/>
          <w:divBdr>
            <w:top w:val="none" w:sz="0" w:space="0" w:color="auto"/>
            <w:left w:val="none" w:sz="0" w:space="0" w:color="auto"/>
            <w:bottom w:val="none" w:sz="0" w:space="0" w:color="auto"/>
            <w:right w:val="none" w:sz="0" w:space="0" w:color="auto"/>
          </w:divBdr>
          <w:divsChild>
            <w:div w:id="16492841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51662043">
      <w:marLeft w:val="0"/>
      <w:marRight w:val="0"/>
      <w:marTop w:val="240"/>
      <w:marBottom w:val="0"/>
      <w:divBdr>
        <w:top w:val="none" w:sz="0" w:space="0" w:color="auto"/>
        <w:left w:val="none" w:sz="0" w:space="0" w:color="auto"/>
        <w:bottom w:val="none" w:sz="0" w:space="0" w:color="auto"/>
        <w:right w:val="none" w:sz="0" w:space="0" w:color="auto"/>
      </w:divBdr>
    </w:div>
    <w:div w:id="1753240044">
      <w:marLeft w:val="0"/>
      <w:marRight w:val="0"/>
      <w:marTop w:val="160"/>
      <w:marBottom w:val="0"/>
      <w:divBdr>
        <w:top w:val="none" w:sz="0" w:space="0" w:color="auto"/>
        <w:left w:val="none" w:sz="0" w:space="0" w:color="auto"/>
        <w:bottom w:val="none" w:sz="0" w:space="0" w:color="auto"/>
        <w:right w:val="none" w:sz="0" w:space="0" w:color="auto"/>
      </w:divBdr>
      <w:divsChild>
        <w:div w:id="1419248978">
          <w:marLeft w:val="0"/>
          <w:marRight w:val="0"/>
          <w:marTop w:val="0"/>
          <w:marBottom w:val="0"/>
          <w:divBdr>
            <w:top w:val="none" w:sz="0" w:space="0" w:color="auto"/>
            <w:left w:val="none" w:sz="0" w:space="0" w:color="auto"/>
            <w:bottom w:val="none" w:sz="0" w:space="0" w:color="auto"/>
            <w:right w:val="none" w:sz="0" w:space="0" w:color="auto"/>
          </w:divBdr>
        </w:div>
        <w:div w:id="455373000">
          <w:marLeft w:val="0"/>
          <w:marRight w:val="0"/>
          <w:marTop w:val="0"/>
          <w:marBottom w:val="0"/>
          <w:divBdr>
            <w:top w:val="none" w:sz="0" w:space="0" w:color="auto"/>
            <w:left w:val="none" w:sz="0" w:space="0" w:color="auto"/>
            <w:bottom w:val="none" w:sz="0" w:space="0" w:color="auto"/>
            <w:right w:val="none" w:sz="0" w:space="0" w:color="auto"/>
          </w:divBdr>
        </w:div>
      </w:divsChild>
    </w:div>
    <w:div w:id="1754400247">
      <w:marLeft w:val="0"/>
      <w:marRight w:val="0"/>
      <w:marTop w:val="240"/>
      <w:marBottom w:val="0"/>
      <w:divBdr>
        <w:top w:val="none" w:sz="0" w:space="0" w:color="auto"/>
        <w:left w:val="none" w:sz="0" w:space="0" w:color="auto"/>
        <w:bottom w:val="none" w:sz="0" w:space="0" w:color="auto"/>
        <w:right w:val="none" w:sz="0" w:space="0" w:color="auto"/>
      </w:divBdr>
    </w:div>
    <w:div w:id="1755391886">
      <w:marLeft w:val="0"/>
      <w:marRight w:val="0"/>
      <w:marTop w:val="240"/>
      <w:marBottom w:val="0"/>
      <w:divBdr>
        <w:top w:val="none" w:sz="0" w:space="0" w:color="auto"/>
        <w:left w:val="none" w:sz="0" w:space="0" w:color="auto"/>
        <w:bottom w:val="none" w:sz="0" w:space="0" w:color="auto"/>
        <w:right w:val="none" w:sz="0" w:space="0" w:color="auto"/>
      </w:divBdr>
    </w:div>
    <w:div w:id="1755785484">
      <w:marLeft w:val="0"/>
      <w:marRight w:val="0"/>
      <w:marTop w:val="240"/>
      <w:marBottom w:val="0"/>
      <w:divBdr>
        <w:top w:val="none" w:sz="0" w:space="0" w:color="auto"/>
        <w:left w:val="none" w:sz="0" w:space="0" w:color="auto"/>
        <w:bottom w:val="none" w:sz="0" w:space="0" w:color="auto"/>
        <w:right w:val="none" w:sz="0" w:space="0" w:color="auto"/>
      </w:divBdr>
    </w:div>
    <w:div w:id="1757899853">
      <w:marLeft w:val="0"/>
      <w:marRight w:val="0"/>
      <w:marTop w:val="240"/>
      <w:marBottom w:val="0"/>
      <w:divBdr>
        <w:top w:val="none" w:sz="0" w:space="0" w:color="auto"/>
        <w:left w:val="none" w:sz="0" w:space="0" w:color="auto"/>
        <w:bottom w:val="none" w:sz="0" w:space="0" w:color="auto"/>
        <w:right w:val="none" w:sz="0" w:space="0" w:color="auto"/>
      </w:divBdr>
    </w:div>
    <w:div w:id="1758289621">
      <w:marLeft w:val="0"/>
      <w:marRight w:val="0"/>
      <w:marTop w:val="240"/>
      <w:marBottom w:val="0"/>
      <w:divBdr>
        <w:top w:val="none" w:sz="0" w:space="0" w:color="auto"/>
        <w:left w:val="none" w:sz="0" w:space="0" w:color="auto"/>
        <w:bottom w:val="none" w:sz="0" w:space="0" w:color="auto"/>
        <w:right w:val="none" w:sz="0" w:space="0" w:color="auto"/>
      </w:divBdr>
    </w:div>
    <w:div w:id="1759137900">
      <w:marLeft w:val="0"/>
      <w:marRight w:val="0"/>
      <w:marTop w:val="240"/>
      <w:marBottom w:val="0"/>
      <w:divBdr>
        <w:top w:val="none" w:sz="0" w:space="0" w:color="auto"/>
        <w:left w:val="none" w:sz="0" w:space="0" w:color="auto"/>
        <w:bottom w:val="none" w:sz="0" w:space="0" w:color="auto"/>
        <w:right w:val="none" w:sz="0" w:space="0" w:color="auto"/>
      </w:divBdr>
    </w:div>
    <w:div w:id="1761099011">
      <w:marLeft w:val="0"/>
      <w:marRight w:val="0"/>
      <w:marTop w:val="240"/>
      <w:marBottom w:val="0"/>
      <w:divBdr>
        <w:top w:val="none" w:sz="0" w:space="0" w:color="auto"/>
        <w:left w:val="none" w:sz="0" w:space="0" w:color="auto"/>
        <w:bottom w:val="none" w:sz="0" w:space="0" w:color="auto"/>
        <w:right w:val="none" w:sz="0" w:space="0" w:color="auto"/>
      </w:divBdr>
    </w:div>
    <w:div w:id="1761414216">
      <w:marLeft w:val="0"/>
      <w:marRight w:val="0"/>
      <w:marTop w:val="180"/>
      <w:marBottom w:val="0"/>
      <w:divBdr>
        <w:top w:val="none" w:sz="0" w:space="0" w:color="auto"/>
        <w:left w:val="none" w:sz="0" w:space="0" w:color="auto"/>
        <w:bottom w:val="none" w:sz="0" w:space="0" w:color="auto"/>
        <w:right w:val="none" w:sz="0" w:space="0" w:color="auto"/>
      </w:divBdr>
    </w:div>
    <w:div w:id="1761833603">
      <w:marLeft w:val="0"/>
      <w:marRight w:val="0"/>
      <w:marTop w:val="300"/>
      <w:marBottom w:val="0"/>
      <w:divBdr>
        <w:top w:val="none" w:sz="0" w:space="0" w:color="auto"/>
        <w:left w:val="none" w:sz="0" w:space="0" w:color="auto"/>
        <w:bottom w:val="none" w:sz="0" w:space="0" w:color="auto"/>
        <w:right w:val="none" w:sz="0" w:space="0" w:color="auto"/>
      </w:divBdr>
    </w:div>
    <w:div w:id="1764454208">
      <w:marLeft w:val="0"/>
      <w:marRight w:val="0"/>
      <w:marTop w:val="100"/>
      <w:marBottom w:val="0"/>
      <w:divBdr>
        <w:top w:val="none" w:sz="0" w:space="0" w:color="auto"/>
        <w:left w:val="none" w:sz="0" w:space="0" w:color="auto"/>
        <w:bottom w:val="none" w:sz="0" w:space="0" w:color="auto"/>
        <w:right w:val="none" w:sz="0" w:space="0" w:color="auto"/>
      </w:divBdr>
    </w:div>
    <w:div w:id="1764642590">
      <w:marLeft w:val="0"/>
      <w:marRight w:val="0"/>
      <w:marTop w:val="240"/>
      <w:marBottom w:val="0"/>
      <w:divBdr>
        <w:top w:val="none" w:sz="0" w:space="0" w:color="auto"/>
        <w:left w:val="none" w:sz="0" w:space="0" w:color="auto"/>
        <w:bottom w:val="none" w:sz="0" w:space="0" w:color="auto"/>
        <w:right w:val="none" w:sz="0" w:space="0" w:color="auto"/>
      </w:divBdr>
    </w:div>
    <w:div w:id="1764911913">
      <w:marLeft w:val="0"/>
      <w:marRight w:val="0"/>
      <w:marTop w:val="0"/>
      <w:marBottom w:val="0"/>
      <w:divBdr>
        <w:top w:val="none" w:sz="0" w:space="0" w:color="auto"/>
        <w:left w:val="none" w:sz="0" w:space="0" w:color="auto"/>
        <w:bottom w:val="none" w:sz="0" w:space="0" w:color="auto"/>
        <w:right w:val="none" w:sz="0" w:space="0" w:color="auto"/>
      </w:divBdr>
      <w:divsChild>
        <w:div w:id="1406805721">
          <w:marLeft w:val="0"/>
          <w:marRight w:val="0"/>
          <w:marTop w:val="120"/>
          <w:marBottom w:val="0"/>
          <w:divBdr>
            <w:top w:val="none" w:sz="0" w:space="0" w:color="auto"/>
            <w:left w:val="none" w:sz="0" w:space="0" w:color="auto"/>
            <w:bottom w:val="none" w:sz="0" w:space="0" w:color="auto"/>
            <w:right w:val="none" w:sz="0" w:space="0" w:color="auto"/>
          </w:divBdr>
        </w:div>
      </w:divsChild>
    </w:div>
    <w:div w:id="1766346205">
      <w:marLeft w:val="0"/>
      <w:marRight w:val="0"/>
      <w:marTop w:val="0"/>
      <w:marBottom w:val="0"/>
      <w:divBdr>
        <w:top w:val="none" w:sz="0" w:space="0" w:color="auto"/>
        <w:left w:val="none" w:sz="0" w:space="0" w:color="auto"/>
        <w:bottom w:val="none" w:sz="0" w:space="0" w:color="auto"/>
        <w:right w:val="none" w:sz="0" w:space="0" w:color="auto"/>
      </w:divBdr>
      <w:divsChild>
        <w:div w:id="1324964386">
          <w:marLeft w:val="0"/>
          <w:marRight w:val="0"/>
          <w:marTop w:val="0"/>
          <w:marBottom w:val="0"/>
          <w:divBdr>
            <w:top w:val="none" w:sz="0" w:space="0" w:color="auto"/>
            <w:left w:val="none" w:sz="0" w:space="0" w:color="auto"/>
            <w:bottom w:val="none" w:sz="0" w:space="0" w:color="auto"/>
            <w:right w:val="none" w:sz="0" w:space="0" w:color="auto"/>
          </w:divBdr>
          <w:divsChild>
            <w:div w:id="9093865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66729075">
      <w:marLeft w:val="0"/>
      <w:marRight w:val="0"/>
      <w:marTop w:val="240"/>
      <w:marBottom w:val="0"/>
      <w:divBdr>
        <w:top w:val="none" w:sz="0" w:space="0" w:color="auto"/>
        <w:left w:val="none" w:sz="0" w:space="0" w:color="auto"/>
        <w:bottom w:val="none" w:sz="0" w:space="0" w:color="auto"/>
        <w:right w:val="none" w:sz="0" w:space="0" w:color="auto"/>
      </w:divBdr>
    </w:div>
    <w:div w:id="1767186146">
      <w:marLeft w:val="0"/>
      <w:marRight w:val="0"/>
      <w:marTop w:val="240"/>
      <w:marBottom w:val="0"/>
      <w:divBdr>
        <w:top w:val="none" w:sz="0" w:space="0" w:color="auto"/>
        <w:left w:val="none" w:sz="0" w:space="0" w:color="auto"/>
        <w:bottom w:val="none" w:sz="0" w:space="0" w:color="auto"/>
        <w:right w:val="none" w:sz="0" w:space="0" w:color="auto"/>
      </w:divBdr>
    </w:div>
    <w:div w:id="1769888220">
      <w:marLeft w:val="0"/>
      <w:marRight w:val="0"/>
      <w:marTop w:val="240"/>
      <w:marBottom w:val="0"/>
      <w:divBdr>
        <w:top w:val="none" w:sz="0" w:space="0" w:color="auto"/>
        <w:left w:val="none" w:sz="0" w:space="0" w:color="auto"/>
        <w:bottom w:val="none" w:sz="0" w:space="0" w:color="auto"/>
        <w:right w:val="none" w:sz="0" w:space="0" w:color="auto"/>
      </w:divBdr>
    </w:div>
    <w:div w:id="1770200480">
      <w:marLeft w:val="0"/>
      <w:marRight w:val="0"/>
      <w:marTop w:val="240"/>
      <w:marBottom w:val="0"/>
      <w:divBdr>
        <w:top w:val="none" w:sz="0" w:space="0" w:color="auto"/>
        <w:left w:val="none" w:sz="0" w:space="0" w:color="auto"/>
        <w:bottom w:val="none" w:sz="0" w:space="0" w:color="auto"/>
        <w:right w:val="none" w:sz="0" w:space="0" w:color="auto"/>
      </w:divBdr>
    </w:div>
    <w:div w:id="1770277499">
      <w:marLeft w:val="0"/>
      <w:marRight w:val="0"/>
      <w:marTop w:val="240"/>
      <w:marBottom w:val="0"/>
      <w:divBdr>
        <w:top w:val="none" w:sz="0" w:space="0" w:color="auto"/>
        <w:left w:val="none" w:sz="0" w:space="0" w:color="auto"/>
        <w:bottom w:val="none" w:sz="0" w:space="0" w:color="auto"/>
        <w:right w:val="none" w:sz="0" w:space="0" w:color="auto"/>
      </w:divBdr>
    </w:div>
    <w:div w:id="1771243806">
      <w:marLeft w:val="0"/>
      <w:marRight w:val="0"/>
      <w:marTop w:val="240"/>
      <w:marBottom w:val="0"/>
      <w:divBdr>
        <w:top w:val="none" w:sz="0" w:space="0" w:color="auto"/>
        <w:left w:val="none" w:sz="0" w:space="0" w:color="auto"/>
        <w:bottom w:val="none" w:sz="0" w:space="0" w:color="auto"/>
        <w:right w:val="none" w:sz="0" w:space="0" w:color="auto"/>
      </w:divBdr>
    </w:div>
    <w:div w:id="1774668157">
      <w:marLeft w:val="0"/>
      <w:marRight w:val="0"/>
      <w:marTop w:val="240"/>
      <w:marBottom w:val="0"/>
      <w:divBdr>
        <w:top w:val="none" w:sz="0" w:space="0" w:color="auto"/>
        <w:left w:val="none" w:sz="0" w:space="0" w:color="auto"/>
        <w:bottom w:val="none" w:sz="0" w:space="0" w:color="auto"/>
        <w:right w:val="none" w:sz="0" w:space="0" w:color="auto"/>
      </w:divBdr>
    </w:div>
    <w:div w:id="1774741291">
      <w:marLeft w:val="0"/>
      <w:marRight w:val="0"/>
      <w:marTop w:val="240"/>
      <w:marBottom w:val="0"/>
      <w:divBdr>
        <w:top w:val="none" w:sz="0" w:space="0" w:color="auto"/>
        <w:left w:val="none" w:sz="0" w:space="0" w:color="auto"/>
        <w:bottom w:val="none" w:sz="0" w:space="0" w:color="auto"/>
        <w:right w:val="none" w:sz="0" w:space="0" w:color="auto"/>
      </w:divBdr>
    </w:div>
    <w:div w:id="1774860464">
      <w:marLeft w:val="0"/>
      <w:marRight w:val="0"/>
      <w:marTop w:val="160"/>
      <w:marBottom w:val="0"/>
      <w:divBdr>
        <w:top w:val="none" w:sz="0" w:space="0" w:color="auto"/>
        <w:left w:val="none" w:sz="0" w:space="0" w:color="auto"/>
        <w:bottom w:val="none" w:sz="0" w:space="0" w:color="auto"/>
        <w:right w:val="none" w:sz="0" w:space="0" w:color="auto"/>
      </w:divBdr>
      <w:divsChild>
        <w:div w:id="1330521355">
          <w:marLeft w:val="0"/>
          <w:marRight w:val="0"/>
          <w:marTop w:val="0"/>
          <w:marBottom w:val="0"/>
          <w:divBdr>
            <w:top w:val="none" w:sz="0" w:space="0" w:color="auto"/>
            <w:left w:val="none" w:sz="0" w:space="0" w:color="auto"/>
            <w:bottom w:val="none" w:sz="0" w:space="0" w:color="auto"/>
            <w:right w:val="none" w:sz="0" w:space="0" w:color="auto"/>
          </w:divBdr>
        </w:div>
      </w:divsChild>
    </w:div>
    <w:div w:id="1776241739">
      <w:marLeft w:val="0"/>
      <w:marRight w:val="0"/>
      <w:marTop w:val="120"/>
      <w:marBottom w:val="0"/>
      <w:divBdr>
        <w:top w:val="none" w:sz="0" w:space="0" w:color="auto"/>
        <w:left w:val="none" w:sz="0" w:space="0" w:color="auto"/>
        <w:bottom w:val="none" w:sz="0" w:space="0" w:color="auto"/>
        <w:right w:val="none" w:sz="0" w:space="0" w:color="auto"/>
      </w:divBdr>
    </w:div>
    <w:div w:id="1776250916">
      <w:marLeft w:val="0"/>
      <w:marRight w:val="0"/>
      <w:marTop w:val="240"/>
      <w:marBottom w:val="0"/>
      <w:divBdr>
        <w:top w:val="none" w:sz="0" w:space="0" w:color="auto"/>
        <w:left w:val="none" w:sz="0" w:space="0" w:color="auto"/>
        <w:bottom w:val="none" w:sz="0" w:space="0" w:color="auto"/>
        <w:right w:val="none" w:sz="0" w:space="0" w:color="auto"/>
      </w:divBdr>
    </w:div>
    <w:div w:id="1776830245">
      <w:marLeft w:val="0"/>
      <w:marRight w:val="0"/>
      <w:marTop w:val="240"/>
      <w:marBottom w:val="0"/>
      <w:divBdr>
        <w:top w:val="none" w:sz="0" w:space="0" w:color="auto"/>
        <w:left w:val="none" w:sz="0" w:space="0" w:color="auto"/>
        <w:bottom w:val="none" w:sz="0" w:space="0" w:color="auto"/>
        <w:right w:val="none" w:sz="0" w:space="0" w:color="auto"/>
      </w:divBdr>
    </w:div>
    <w:div w:id="1777871494">
      <w:marLeft w:val="0"/>
      <w:marRight w:val="0"/>
      <w:marTop w:val="0"/>
      <w:marBottom w:val="60"/>
      <w:divBdr>
        <w:top w:val="none" w:sz="0" w:space="0" w:color="auto"/>
        <w:left w:val="none" w:sz="0" w:space="0" w:color="auto"/>
        <w:bottom w:val="none" w:sz="0" w:space="0" w:color="auto"/>
        <w:right w:val="none" w:sz="0" w:space="0" w:color="auto"/>
      </w:divBdr>
    </w:div>
    <w:div w:id="1778519902">
      <w:marLeft w:val="0"/>
      <w:marRight w:val="0"/>
      <w:marTop w:val="120"/>
      <w:marBottom w:val="0"/>
      <w:divBdr>
        <w:top w:val="none" w:sz="0" w:space="0" w:color="auto"/>
        <w:left w:val="none" w:sz="0" w:space="0" w:color="auto"/>
        <w:bottom w:val="none" w:sz="0" w:space="0" w:color="auto"/>
        <w:right w:val="none" w:sz="0" w:space="0" w:color="auto"/>
      </w:divBdr>
    </w:div>
    <w:div w:id="1779913549">
      <w:marLeft w:val="0"/>
      <w:marRight w:val="0"/>
      <w:marTop w:val="240"/>
      <w:marBottom w:val="0"/>
      <w:divBdr>
        <w:top w:val="none" w:sz="0" w:space="0" w:color="auto"/>
        <w:left w:val="none" w:sz="0" w:space="0" w:color="auto"/>
        <w:bottom w:val="none" w:sz="0" w:space="0" w:color="auto"/>
        <w:right w:val="none" w:sz="0" w:space="0" w:color="auto"/>
      </w:divBdr>
    </w:div>
    <w:div w:id="1780907379">
      <w:marLeft w:val="0"/>
      <w:marRight w:val="0"/>
      <w:marTop w:val="0"/>
      <w:marBottom w:val="0"/>
      <w:divBdr>
        <w:top w:val="none" w:sz="0" w:space="0" w:color="auto"/>
        <w:left w:val="none" w:sz="0" w:space="0" w:color="auto"/>
        <w:bottom w:val="none" w:sz="0" w:space="0" w:color="auto"/>
        <w:right w:val="none" w:sz="0" w:space="0" w:color="auto"/>
      </w:divBdr>
      <w:divsChild>
        <w:div w:id="1407537741">
          <w:marLeft w:val="0"/>
          <w:marRight w:val="0"/>
          <w:marTop w:val="0"/>
          <w:marBottom w:val="0"/>
          <w:divBdr>
            <w:top w:val="none" w:sz="0" w:space="0" w:color="auto"/>
            <w:left w:val="none" w:sz="0" w:space="0" w:color="auto"/>
            <w:bottom w:val="none" w:sz="0" w:space="0" w:color="auto"/>
            <w:right w:val="none" w:sz="0" w:space="0" w:color="auto"/>
          </w:divBdr>
        </w:div>
      </w:divsChild>
    </w:div>
    <w:div w:id="1781602942">
      <w:marLeft w:val="0"/>
      <w:marRight w:val="0"/>
      <w:marTop w:val="0"/>
      <w:marBottom w:val="0"/>
      <w:divBdr>
        <w:top w:val="none" w:sz="0" w:space="0" w:color="auto"/>
        <w:left w:val="none" w:sz="0" w:space="0" w:color="auto"/>
        <w:bottom w:val="none" w:sz="0" w:space="0" w:color="auto"/>
        <w:right w:val="none" w:sz="0" w:space="0" w:color="auto"/>
      </w:divBdr>
      <w:divsChild>
        <w:div w:id="65421953">
          <w:marLeft w:val="0"/>
          <w:marRight w:val="0"/>
          <w:marTop w:val="0"/>
          <w:marBottom w:val="0"/>
          <w:divBdr>
            <w:top w:val="none" w:sz="0" w:space="0" w:color="auto"/>
            <w:left w:val="none" w:sz="0" w:space="0" w:color="auto"/>
            <w:bottom w:val="none" w:sz="0" w:space="0" w:color="auto"/>
            <w:right w:val="none" w:sz="0" w:space="0" w:color="auto"/>
          </w:divBdr>
        </w:div>
      </w:divsChild>
    </w:div>
    <w:div w:id="1782190406">
      <w:marLeft w:val="0"/>
      <w:marRight w:val="0"/>
      <w:marTop w:val="140"/>
      <w:marBottom w:val="0"/>
      <w:divBdr>
        <w:top w:val="none" w:sz="0" w:space="0" w:color="auto"/>
        <w:left w:val="none" w:sz="0" w:space="0" w:color="auto"/>
        <w:bottom w:val="none" w:sz="0" w:space="0" w:color="auto"/>
        <w:right w:val="none" w:sz="0" w:space="0" w:color="auto"/>
      </w:divBdr>
    </w:div>
    <w:div w:id="1785463493">
      <w:marLeft w:val="0"/>
      <w:marRight w:val="0"/>
      <w:marTop w:val="180"/>
      <w:marBottom w:val="0"/>
      <w:divBdr>
        <w:top w:val="none" w:sz="0" w:space="0" w:color="auto"/>
        <w:left w:val="none" w:sz="0" w:space="0" w:color="auto"/>
        <w:bottom w:val="none" w:sz="0" w:space="0" w:color="auto"/>
        <w:right w:val="none" w:sz="0" w:space="0" w:color="auto"/>
      </w:divBdr>
    </w:div>
    <w:div w:id="1786928540">
      <w:marLeft w:val="0"/>
      <w:marRight w:val="0"/>
      <w:marTop w:val="0"/>
      <w:marBottom w:val="0"/>
      <w:divBdr>
        <w:top w:val="none" w:sz="0" w:space="0" w:color="auto"/>
        <w:left w:val="none" w:sz="0" w:space="0" w:color="auto"/>
        <w:bottom w:val="none" w:sz="0" w:space="0" w:color="auto"/>
        <w:right w:val="none" w:sz="0" w:space="0" w:color="auto"/>
      </w:divBdr>
      <w:divsChild>
        <w:div w:id="671296044">
          <w:marLeft w:val="0"/>
          <w:marRight w:val="0"/>
          <w:marTop w:val="0"/>
          <w:marBottom w:val="0"/>
          <w:divBdr>
            <w:top w:val="none" w:sz="0" w:space="0" w:color="auto"/>
            <w:left w:val="none" w:sz="0" w:space="0" w:color="auto"/>
            <w:bottom w:val="none" w:sz="0" w:space="0" w:color="auto"/>
            <w:right w:val="none" w:sz="0" w:space="0" w:color="auto"/>
          </w:divBdr>
        </w:div>
      </w:divsChild>
    </w:div>
    <w:div w:id="1793481377">
      <w:marLeft w:val="0"/>
      <w:marRight w:val="0"/>
      <w:marTop w:val="160"/>
      <w:marBottom w:val="0"/>
      <w:divBdr>
        <w:top w:val="none" w:sz="0" w:space="0" w:color="auto"/>
        <w:left w:val="none" w:sz="0" w:space="0" w:color="auto"/>
        <w:bottom w:val="none" w:sz="0" w:space="0" w:color="auto"/>
        <w:right w:val="none" w:sz="0" w:space="0" w:color="auto"/>
      </w:divBdr>
    </w:div>
    <w:div w:id="1793551982">
      <w:marLeft w:val="0"/>
      <w:marRight w:val="0"/>
      <w:marTop w:val="0"/>
      <w:marBottom w:val="0"/>
      <w:divBdr>
        <w:top w:val="none" w:sz="0" w:space="0" w:color="auto"/>
        <w:left w:val="none" w:sz="0" w:space="0" w:color="auto"/>
        <w:bottom w:val="none" w:sz="0" w:space="0" w:color="auto"/>
        <w:right w:val="none" w:sz="0" w:space="0" w:color="auto"/>
      </w:divBdr>
      <w:divsChild>
        <w:div w:id="1662002058">
          <w:marLeft w:val="0"/>
          <w:marRight w:val="0"/>
          <w:marTop w:val="0"/>
          <w:marBottom w:val="0"/>
          <w:divBdr>
            <w:top w:val="none" w:sz="0" w:space="0" w:color="auto"/>
            <w:left w:val="none" w:sz="0" w:space="0" w:color="auto"/>
            <w:bottom w:val="none" w:sz="0" w:space="0" w:color="auto"/>
            <w:right w:val="none" w:sz="0" w:space="0" w:color="auto"/>
          </w:divBdr>
          <w:divsChild>
            <w:div w:id="208321268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97479155">
      <w:marLeft w:val="0"/>
      <w:marRight w:val="0"/>
      <w:marTop w:val="240"/>
      <w:marBottom w:val="0"/>
      <w:divBdr>
        <w:top w:val="none" w:sz="0" w:space="0" w:color="auto"/>
        <w:left w:val="none" w:sz="0" w:space="0" w:color="auto"/>
        <w:bottom w:val="none" w:sz="0" w:space="0" w:color="auto"/>
        <w:right w:val="none" w:sz="0" w:space="0" w:color="auto"/>
      </w:divBdr>
    </w:div>
    <w:div w:id="1798181236">
      <w:marLeft w:val="0"/>
      <w:marRight w:val="0"/>
      <w:marTop w:val="0"/>
      <w:marBottom w:val="0"/>
      <w:divBdr>
        <w:top w:val="none" w:sz="0" w:space="0" w:color="auto"/>
        <w:left w:val="none" w:sz="0" w:space="0" w:color="auto"/>
        <w:bottom w:val="none" w:sz="0" w:space="0" w:color="auto"/>
        <w:right w:val="none" w:sz="0" w:space="0" w:color="auto"/>
      </w:divBdr>
    </w:div>
    <w:div w:id="1798445295">
      <w:marLeft w:val="0"/>
      <w:marRight w:val="0"/>
      <w:marTop w:val="180"/>
      <w:marBottom w:val="0"/>
      <w:divBdr>
        <w:top w:val="none" w:sz="0" w:space="0" w:color="auto"/>
        <w:left w:val="none" w:sz="0" w:space="0" w:color="auto"/>
        <w:bottom w:val="none" w:sz="0" w:space="0" w:color="auto"/>
        <w:right w:val="none" w:sz="0" w:space="0" w:color="auto"/>
      </w:divBdr>
    </w:div>
    <w:div w:id="1798602359">
      <w:marLeft w:val="0"/>
      <w:marRight w:val="0"/>
      <w:marTop w:val="0"/>
      <w:marBottom w:val="0"/>
      <w:divBdr>
        <w:top w:val="none" w:sz="0" w:space="0" w:color="auto"/>
        <w:left w:val="none" w:sz="0" w:space="0" w:color="auto"/>
        <w:bottom w:val="none" w:sz="0" w:space="0" w:color="auto"/>
        <w:right w:val="none" w:sz="0" w:space="0" w:color="auto"/>
      </w:divBdr>
      <w:divsChild>
        <w:div w:id="1213730796">
          <w:marLeft w:val="0"/>
          <w:marRight w:val="0"/>
          <w:marTop w:val="0"/>
          <w:marBottom w:val="0"/>
          <w:divBdr>
            <w:top w:val="none" w:sz="0" w:space="0" w:color="auto"/>
            <w:left w:val="none" w:sz="0" w:space="0" w:color="auto"/>
            <w:bottom w:val="none" w:sz="0" w:space="0" w:color="auto"/>
            <w:right w:val="none" w:sz="0" w:space="0" w:color="auto"/>
          </w:divBdr>
        </w:div>
      </w:divsChild>
    </w:div>
    <w:div w:id="1800760333">
      <w:marLeft w:val="0"/>
      <w:marRight w:val="0"/>
      <w:marTop w:val="240"/>
      <w:marBottom w:val="0"/>
      <w:divBdr>
        <w:top w:val="none" w:sz="0" w:space="0" w:color="auto"/>
        <w:left w:val="none" w:sz="0" w:space="0" w:color="auto"/>
        <w:bottom w:val="none" w:sz="0" w:space="0" w:color="auto"/>
        <w:right w:val="none" w:sz="0" w:space="0" w:color="auto"/>
      </w:divBdr>
    </w:div>
    <w:div w:id="1800803599">
      <w:marLeft w:val="0"/>
      <w:marRight w:val="0"/>
      <w:marTop w:val="240"/>
      <w:marBottom w:val="0"/>
      <w:divBdr>
        <w:top w:val="none" w:sz="0" w:space="0" w:color="auto"/>
        <w:left w:val="none" w:sz="0" w:space="0" w:color="auto"/>
        <w:bottom w:val="none" w:sz="0" w:space="0" w:color="auto"/>
        <w:right w:val="none" w:sz="0" w:space="0" w:color="auto"/>
      </w:divBdr>
    </w:div>
    <w:div w:id="1802267267">
      <w:marLeft w:val="0"/>
      <w:marRight w:val="0"/>
      <w:marTop w:val="240"/>
      <w:marBottom w:val="0"/>
      <w:divBdr>
        <w:top w:val="none" w:sz="0" w:space="0" w:color="auto"/>
        <w:left w:val="none" w:sz="0" w:space="0" w:color="auto"/>
        <w:bottom w:val="none" w:sz="0" w:space="0" w:color="auto"/>
        <w:right w:val="none" w:sz="0" w:space="0" w:color="auto"/>
      </w:divBdr>
    </w:div>
    <w:div w:id="1804812490">
      <w:marLeft w:val="0"/>
      <w:marRight w:val="0"/>
      <w:marTop w:val="100"/>
      <w:marBottom w:val="0"/>
      <w:divBdr>
        <w:top w:val="none" w:sz="0" w:space="0" w:color="auto"/>
        <w:left w:val="none" w:sz="0" w:space="0" w:color="auto"/>
        <w:bottom w:val="none" w:sz="0" w:space="0" w:color="auto"/>
        <w:right w:val="none" w:sz="0" w:space="0" w:color="auto"/>
      </w:divBdr>
      <w:divsChild>
        <w:div w:id="92871190">
          <w:marLeft w:val="0"/>
          <w:marRight w:val="0"/>
          <w:marTop w:val="0"/>
          <w:marBottom w:val="0"/>
          <w:divBdr>
            <w:top w:val="none" w:sz="0" w:space="0" w:color="auto"/>
            <w:left w:val="none" w:sz="0" w:space="0" w:color="auto"/>
            <w:bottom w:val="none" w:sz="0" w:space="0" w:color="auto"/>
            <w:right w:val="none" w:sz="0" w:space="0" w:color="auto"/>
          </w:divBdr>
        </w:div>
        <w:div w:id="1432163389">
          <w:marLeft w:val="0"/>
          <w:marRight w:val="0"/>
          <w:marTop w:val="0"/>
          <w:marBottom w:val="0"/>
          <w:divBdr>
            <w:top w:val="none" w:sz="0" w:space="0" w:color="auto"/>
            <w:left w:val="none" w:sz="0" w:space="0" w:color="auto"/>
            <w:bottom w:val="none" w:sz="0" w:space="0" w:color="auto"/>
            <w:right w:val="none" w:sz="0" w:space="0" w:color="auto"/>
          </w:divBdr>
        </w:div>
        <w:div w:id="10572768">
          <w:marLeft w:val="0"/>
          <w:marRight w:val="0"/>
          <w:marTop w:val="0"/>
          <w:marBottom w:val="0"/>
          <w:divBdr>
            <w:top w:val="none" w:sz="0" w:space="0" w:color="auto"/>
            <w:left w:val="none" w:sz="0" w:space="0" w:color="auto"/>
            <w:bottom w:val="none" w:sz="0" w:space="0" w:color="auto"/>
            <w:right w:val="none" w:sz="0" w:space="0" w:color="auto"/>
          </w:divBdr>
        </w:div>
        <w:div w:id="1657537628">
          <w:marLeft w:val="0"/>
          <w:marRight w:val="0"/>
          <w:marTop w:val="0"/>
          <w:marBottom w:val="0"/>
          <w:divBdr>
            <w:top w:val="none" w:sz="0" w:space="0" w:color="auto"/>
            <w:left w:val="none" w:sz="0" w:space="0" w:color="auto"/>
            <w:bottom w:val="none" w:sz="0" w:space="0" w:color="auto"/>
            <w:right w:val="none" w:sz="0" w:space="0" w:color="auto"/>
          </w:divBdr>
        </w:div>
        <w:div w:id="1395929258">
          <w:marLeft w:val="0"/>
          <w:marRight w:val="0"/>
          <w:marTop w:val="0"/>
          <w:marBottom w:val="0"/>
          <w:divBdr>
            <w:top w:val="none" w:sz="0" w:space="0" w:color="auto"/>
            <w:left w:val="none" w:sz="0" w:space="0" w:color="auto"/>
            <w:bottom w:val="none" w:sz="0" w:space="0" w:color="auto"/>
            <w:right w:val="none" w:sz="0" w:space="0" w:color="auto"/>
          </w:divBdr>
        </w:div>
        <w:div w:id="240456358">
          <w:marLeft w:val="0"/>
          <w:marRight w:val="0"/>
          <w:marTop w:val="0"/>
          <w:marBottom w:val="0"/>
          <w:divBdr>
            <w:top w:val="none" w:sz="0" w:space="0" w:color="auto"/>
            <w:left w:val="none" w:sz="0" w:space="0" w:color="auto"/>
            <w:bottom w:val="none" w:sz="0" w:space="0" w:color="auto"/>
            <w:right w:val="none" w:sz="0" w:space="0" w:color="auto"/>
          </w:divBdr>
        </w:div>
        <w:div w:id="1985816917">
          <w:marLeft w:val="0"/>
          <w:marRight w:val="0"/>
          <w:marTop w:val="0"/>
          <w:marBottom w:val="0"/>
          <w:divBdr>
            <w:top w:val="none" w:sz="0" w:space="0" w:color="auto"/>
            <w:left w:val="none" w:sz="0" w:space="0" w:color="auto"/>
            <w:bottom w:val="none" w:sz="0" w:space="0" w:color="auto"/>
            <w:right w:val="none" w:sz="0" w:space="0" w:color="auto"/>
          </w:divBdr>
        </w:div>
      </w:divsChild>
    </w:div>
    <w:div w:id="1807115706">
      <w:marLeft w:val="0"/>
      <w:marRight w:val="0"/>
      <w:marTop w:val="200"/>
      <w:marBottom w:val="0"/>
      <w:divBdr>
        <w:top w:val="none" w:sz="0" w:space="0" w:color="auto"/>
        <w:left w:val="none" w:sz="0" w:space="0" w:color="auto"/>
        <w:bottom w:val="none" w:sz="0" w:space="0" w:color="auto"/>
        <w:right w:val="none" w:sz="0" w:space="0" w:color="auto"/>
      </w:divBdr>
    </w:div>
    <w:div w:id="1808738671">
      <w:marLeft w:val="0"/>
      <w:marRight w:val="0"/>
      <w:marTop w:val="0"/>
      <w:marBottom w:val="0"/>
      <w:divBdr>
        <w:top w:val="none" w:sz="0" w:space="0" w:color="auto"/>
        <w:left w:val="none" w:sz="0" w:space="0" w:color="auto"/>
        <w:bottom w:val="none" w:sz="0" w:space="0" w:color="auto"/>
        <w:right w:val="none" w:sz="0" w:space="0" w:color="auto"/>
      </w:divBdr>
      <w:divsChild>
        <w:div w:id="920259230">
          <w:marLeft w:val="0"/>
          <w:marRight w:val="0"/>
          <w:marTop w:val="0"/>
          <w:marBottom w:val="0"/>
          <w:divBdr>
            <w:top w:val="none" w:sz="0" w:space="0" w:color="auto"/>
            <w:left w:val="none" w:sz="0" w:space="0" w:color="auto"/>
            <w:bottom w:val="none" w:sz="0" w:space="0" w:color="auto"/>
            <w:right w:val="none" w:sz="0" w:space="0" w:color="auto"/>
          </w:divBdr>
        </w:div>
      </w:divsChild>
    </w:div>
    <w:div w:id="1809321735">
      <w:marLeft w:val="0"/>
      <w:marRight w:val="0"/>
      <w:marTop w:val="0"/>
      <w:marBottom w:val="0"/>
      <w:divBdr>
        <w:top w:val="none" w:sz="0" w:space="0" w:color="auto"/>
        <w:left w:val="none" w:sz="0" w:space="0" w:color="auto"/>
        <w:bottom w:val="none" w:sz="0" w:space="0" w:color="auto"/>
        <w:right w:val="none" w:sz="0" w:space="0" w:color="auto"/>
      </w:divBdr>
      <w:divsChild>
        <w:div w:id="1299147840">
          <w:marLeft w:val="0"/>
          <w:marRight w:val="0"/>
          <w:marTop w:val="0"/>
          <w:marBottom w:val="0"/>
          <w:divBdr>
            <w:top w:val="none" w:sz="0" w:space="0" w:color="auto"/>
            <w:left w:val="none" w:sz="0" w:space="0" w:color="auto"/>
            <w:bottom w:val="none" w:sz="0" w:space="0" w:color="auto"/>
            <w:right w:val="none" w:sz="0" w:space="0" w:color="auto"/>
          </w:divBdr>
        </w:div>
      </w:divsChild>
    </w:div>
    <w:div w:id="1809933933">
      <w:marLeft w:val="0"/>
      <w:marRight w:val="0"/>
      <w:marTop w:val="0"/>
      <w:marBottom w:val="120"/>
      <w:divBdr>
        <w:top w:val="none" w:sz="0" w:space="0" w:color="auto"/>
        <w:left w:val="none" w:sz="0" w:space="0" w:color="auto"/>
        <w:bottom w:val="none" w:sz="0" w:space="0" w:color="auto"/>
        <w:right w:val="none" w:sz="0" w:space="0" w:color="auto"/>
      </w:divBdr>
    </w:div>
    <w:div w:id="1810173152">
      <w:marLeft w:val="0"/>
      <w:marRight w:val="0"/>
      <w:marTop w:val="240"/>
      <w:marBottom w:val="240"/>
      <w:divBdr>
        <w:top w:val="none" w:sz="0" w:space="0" w:color="auto"/>
        <w:left w:val="none" w:sz="0" w:space="0" w:color="auto"/>
        <w:bottom w:val="none" w:sz="0" w:space="0" w:color="auto"/>
        <w:right w:val="none" w:sz="0" w:space="0" w:color="auto"/>
      </w:divBdr>
    </w:div>
    <w:div w:id="1810198051">
      <w:marLeft w:val="0"/>
      <w:marRight w:val="0"/>
      <w:marTop w:val="0"/>
      <w:marBottom w:val="0"/>
      <w:divBdr>
        <w:top w:val="none" w:sz="0" w:space="0" w:color="auto"/>
        <w:left w:val="none" w:sz="0" w:space="0" w:color="auto"/>
        <w:bottom w:val="none" w:sz="0" w:space="0" w:color="auto"/>
        <w:right w:val="none" w:sz="0" w:space="0" w:color="auto"/>
      </w:divBdr>
      <w:divsChild>
        <w:div w:id="1191383574">
          <w:marLeft w:val="0"/>
          <w:marRight w:val="0"/>
          <w:marTop w:val="0"/>
          <w:marBottom w:val="0"/>
          <w:divBdr>
            <w:top w:val="none" w:sz="0" w:space="0" w:color="auto"/>
            <w:left w:val="none" w:sz="0" w:space="0" w:color="auto"/>
            <w:bottom w:val="none" w:sz="0" w:space="0" w:color="auto"/>
            <w:right w:val="none" w:sz="0" w:space="0" w:color="auto"/>
          </w:divBdr>
          <w:divsChild>
            <w:div w:id="9937991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10515999">
      <w:marLeft w:val="0"/>
      <w:marRight w:val="0"/>
      <w:marTop w:val="240"/>
      <w:marBottom w:val="0"/>
      <w:divBdr>
        <w:top w:val="none" w:sz="0" w:space="0" w:color="auto"/>
        <w:left w:val="none" w:sz="0" w:space="0" w:color="auto"/>
        <w:bottom w:val="none" w:sz="0" w:space="0" w:color="auto"/>
        <w:right w:val="none" w:sz="0" w:space="0" w:color="auto"/>
      </w:divBdr>
    </w:div>
    <w:div w:id="1812556007">
      <w:marLeft w:val="0"/>
      <w:marRight w:val="0"/>
      <w:marTop w:val="200"/>
      <w:marBottom w:val="0"/>
      <w:divBdr>
        <w:top w:val="none" w:sz="0" w:space="0" w:color="auto"/>
        <w:left w:val="none" w:sz="0" w:space="0" w:color="auto"/>
        <w:bottom w:val="none" w:sz="0" w:space="0" w:color="auto"/>
        <w:right w:val="none" w:sz="0" w:space="0" w:color="auto"/>
      </w:divBdr>
    </w:div>
    <w:div w:id="1812861062">
      <w:marLeft w:val="0"/>
      <w:marRight w:val="0"/>
      <w:marTop w:val="300"/>
      <w:marBottom w:val="0"/>
      <w:divBdr>
        <w:top w:val="none" w:sz="0" w:space="0" w:color="auto"/>
        <w:left w:val="none" w:sz="0" w:space="0" w:color="auto"/>
        <w:bottom w:val="none" w:sz="0" w:space="0" w:color="auto"/>
        <w:right w:val="none" w:sz="0" w:space="0" w:color="auto"/>
      </w:divBdr>
    </w:div>
    <w:div w:id="1813719264">
      <w:marLeft w:val="0"/>
      <w:marRight w:val="0"/>
      <w:marTop w:val="0"/>
      <w:marBottom w:val="0"/>
      <w:divBdr>
        <w:top w:val="none" w:sz="0" w:space="0" w:color="auto"/>
        <w:left w:val="none" w:sz="0" w:space="0" w:color="auto"/>
        <w:bottom w:val="none" w:sz="0" w:space="0" w:color="auto"/>
        <w:right w:val="none" w:sz="0" w:space="0" w:color="auto"/>
      </w:divBdr>
      <w:divsChild>
        <w:div w:id="877090274">
          <w:marLeft w:val="0"/>
          <w:marRight w:val="0"/>
          <w:marTop w:val="0"/>
          <w:marBottom w:val="0"/>
          <w:divBdr>
            <w:top w:val="none" w:sz="0" w:space="0" w:color="auto"/>
            <w:left w:val="none" w:sz="0" w:space="0" w:color="auto"/>
            <w:bottom w:val="none" w:sz="0" w:space="0" w:color="auto"/>
            <w:right w:val="none" w:sz="0" w:space="0" w:color="auto"/>
          </w:divBdr>
          <w:divsChild>
            <w:div w:id="9983893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14063233">
      <w:marLeft w:val="0"/>
      <w:marRight w:val="0"/>
      <w:marTop w:val="240"/>
      <w:marBottom w:val="120"/>
      <w:divBdr>
        <w:top w:val="none" w:sz="0" w:space="0" w:color="auto"/>
        <w:left w:val="none" w:sz="0" w:space="0" w:color="auto"/>
        <w:bottom w:val="none" w:sz="0" w:space="0" w:color="auto"/>
        <w:right w:val="none" w:sz="0" w:space="0" w:color="auto"/>
      </w:divBdr>
    </w:div>
    <w:div w:id="1814130820">
      <w:marLeft w:val="0"/>
      <w:marRight w:val="0"/>
      <w:marTop w:val="120"/>
      <w:marBottom w:val="0"/>
      <w:divBdr>
        <w:top w:val="none" w:sz="0" w:space="0" w:color="auto"/>
        <w:left w:val="none" w:sz="0" w:space="0" w:color="auto"/>
        <w:bottom w:val="none" w:sz="0" w:space="0" w:color="auto"/>
        <w:right w:val="none" w:sz="0" w:space="0" w:color="auto"/>
      </w:divBdr>
    </w:div>
    <w:div w:id="1815951821">
      <w:marLeft w:val="0"/>
      <w:marRight w:val="0"/>
      <w:marTop w:val="240"/>
      <w:marBottom w:val="240"/>
      <w:divBdr>
        <w:top w:val="none" w:sz="0" w:space="0" w:color="auto"/>
        <w:left w:val="none" w:sz="0" w:space="0" w:color="auto"/>
        <w:bottom w:val="none" w:sz="0" w:space="0" w:color="auto"/>
        <w:right w:val="none" w:sz="0" w:space="0" w:color="auto"/>
      </w:divBdr>
    </w:div>
    <w:div w:id="1817530061">
      <w:marLeft w:val="0"/>
      <w:marRight w:val="0"/>
      <w:marTop w:val="0"/>
      <w:marBottom w:val="0"/>
      <w:divBdr>
        <w:top w:val="none" w:sz="0" w:space="0" w:color="auto"/>
        <w:left w:val="none" w:sz="0" w:space="0" w:color="auto"/>
        <w:bottom w:val="none" w:sz="0" w:space="0" w:color="auto"/>
        <w:right w:val="none" w:sz="0" w:space="0" w:color="auto"/>
      </w:divBdr>
    </w:div>
    <w:div w:id="1819498579">
      <w:marLeft w:val="0"/>
      <w:marRight w:val="0"/>
      <w:marTop w:val="240"/>
      <w:marBottom w:val="0"/>
      <w:divBdr>
        <w:top w:val="none" w:sz="0" w:space="0" w:color="auto"/>
        <w:left w:val="none" w:sz="0" w:space="0" w:color="auto"/>
        <w:bottom w:val="none" w:sz="0" w:space="0" w:color="auto"/>
        <w:right w:val="none" w:sz="0" w:space="0" w:color="auto"/>
      </w:divBdr>
    </w:div>
    <w:div w:id="1819958740">
      <w:marLeft w:val="0"/>
      <w:marRight w:val="0"/>
      <w:marTop w:val="0"/>
      <w:marBottom w:val="0"/>
      <w:divBdr>
        <w:top w:val="none" w:sz="0" w:space="0" w:color="auto"/>
        <w:left w:val="none" w:sz="0" w:space="0" w:color="auto"/>
        <w:bottom w:val="none" w:sz="0" w:space="0" w:color="auto"/>
        <w:right w:val="none" w:sz="0" w:space="0" w:color="auto"/>
      </w:divBdr>
    </w:div>
    <w:div w:id="1820686784">
      <w:marLeft w:val="0"/>
      <w:marRight w:val="0"/>
      <w:marTop w:val="240"/>
      <w:marBottom w:val="0"/>
      <w:divBdr>
        <w:top w:val="none" w:sz="0" w:space="0" w:color="auto"/>
        <w:left w:val="none" w:sz="0" w:space="0" w:color="auto"/>
        <w:bottom w:val="none" w:sz="0" w:space="0" w:color="auto"/>
        <w:right w:val="none" w:sz="0" w:space="0" w:color="auto"/>
      </w:divBdr>
    </w:div>
    <w:div w:id="1822581708">
      <w:marLeft w:val="0"/>
      <w:marRight w:val="0"/>
      <w:marTop w:val="240"/>
      <w:marBottom w:val="0"/>
      <w:divBdr>
        <w:top w:val="none" w:sz="0" w:space="0" w:color="auto"/>
        <w:left w:val="none" w:sz="0" w:space="0" w:color="auto"/>
        <w:bottom w:val="none" w:sz="0" w:space="0" w:color="auto"/>
        <w:right w:val="none" w:sz="0" w:space="0" w:color="auto"/>
      </w:divBdr>
    </w:div>
    <w:div w:id="1822698149">
      <w:marLeft w:val="0"/>
      <w:marRight w:val="0"/>
      <w:marTop w:val="0"/>
      <w:marBottom w:val="0"/>
      <w:divBdr>
        <w:top w:val="none" w:sz="0" w:space="0" w:color="auto"/>
        <w:left w:val="none" w:sz="0" w:space="0" w:color="auto"/>
        <w:bottom w:val="none" w:sz="0" w:space="0" w:color="auto"/>
        <w:right w:val="none" w:sz="0" w:space="0" w:color="auto"/>
      </w:divBdr>
    </w:div>
    <w:div w:id="1822774608">
      <w:marLeft w:val="0"/>
      <w:marRight w:val="0"/>
      <w:marTop w:val="0"/>
      <w:marBottom w:val="0"/>
      <w:divBdr>
        <w:top w:val="none" w:sz="0" w:space="0" w:color="auto"/>
        <w:left w:val="none" w:sz="0" w:space="0" w:color="auto"/>
        <w:bottom w:val="none" w:sz="0" w:space="0" w:color="auto"/>
        <w:right w:val="none" w:sz="0" w:space="0" w:color="auto"/>
      </w:divBdr>
      <w:divsChild>
        <w:div w:id="1705013849">
          <w:marLeft w:val="0"/>
          <w:marRight w:val="0"/>
          <w:marTop w:val="0"/>
          <w:marBottom w:val="0"/>
          <w:divBdr>
            <w:top w:val="none" w:sz="0" w:space="0" w:color="auto"/>
            <w:left w:val="none" w:sz="0" w:space="0" w:color="auto"/>
            <w:bottom w:val="none" w:sz="0" w:space="0" w:color="auto"/>
            <w:right w:val="none" w:sz="0" w:space="0" w:color="auto"/>
          </w:divBdr>
          <w:divsChild>
            <w:div w:id="12170145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24154946">
      <w:marLeft w:val="0"/>
      <w:marRight w:val="0"/>
      <w:marTop w:val="0"/>
      <w:marBottom w:val="0"/>
      <w:divBdr>
        <w:top w:val="none" w:sz="0" w:space="0" w:color="auto"/>
        <w:left w:val="none" w:sz="0" w:space="0" w:color="auto"/>
        <w:bottom w:val="none" w:sz="0" w:space="0" w:color="auto"/>
        <w:right w:val="none" w:sz="0" w:space="0" w:color="auto"/>
      </w:divBdr>
      <w:divsChild>
        <w:div w:id="191112317">
          <w:marLeft w:val="0"/>
          <w:marRight w:val="0"/>
          <w:marTop w:val="0"/>
          <w:marBottom w:val="0"/>
          <w:divBdr>
            <w:top w:val="none" w:sz="0" w:space="0" w:color="auto"/>
            <w:left w:val="none" w:sz="0" w:space="0" w:color="auto"/>
            <w:bottom w:val="none" w:sz="0" w:space="0" w:color="auto"/>
            <w:right w:val="none" w:sz="0" w:space="0" w:color="auto"/>
          </w:divBdr>
          <w:divsChild>
            <w:div w:id="98319481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25314862">
      <w:marLeft w:val="0"/>
      <w:marRight w:val="0"/>
      <w:marTop w:val="240"/>
      <w:marBottom w:val="0"/>
      <w:divBdr>
        <w:top w:val="none" w:sz="0" w:space="0" w:color="auto"/>
        <w:left w:val="none" w:sz="0" w:space="0" w:color="auto"/>
        <w:bottom w:val="none" w:sz="0" w:space="0" w:color="auto"/>
        <w:right w:val="none" w:sz="0" w:space="0" w:color="auto"/>
      </w:divBdr>
    </w:div>
    <w:div w:id="1825655357">
      <w:marLeft w:val="0"/>
      <w:marRight w:val="0"/>
      <w:marTop w:val="240"/>
      <w:marBottom w:val="0"/>
      <w:divBdr>
        <w:top w:val="none" w:sz="0" w:space="0" w:color="auto"/>
        <w:left w:val="none" w:sz="0" w:space="0" w:color="auto"/>
        <w:bottom w:val="none" w:sz="0" w:space="0" w:color="auto"/>
        <w:right w:val="none" w:sz="0" w:space="0" w:color="auto"/>
      </w:divBdr>
    </w:div>
    <w:div w:id="1827472086">
      <w:marLeft w:val="0"/>
      <w:marRight w:val="0"/>
      <w:marTop w:val="120"/>
      <w:marBottom w:val="0"/>
      <w:divBdr>
        <w:top w:val="none" w:sz="0" w:space="0" w:color="auto"/>
        <w:left w:val="none" w:sz="0" w:space="0" w:color="auto"/>
        <w:bottom w:val="none" w:sz="0" w:space="0" w:color="auto"/>
        <w:right w:val="none" w:sz="0" w:space="0" w:color="auto"/>
      </w:divBdr>
    </w:div>
    <w:div w:id="1832864957">
      <w:marLeft w:val="0"/>
      <w:marRight w:val="0"/>
      <w:marTop w:val="240"/>
      <w:marBottom w:val="0"/>
      <w:divBdr>
        <w:top w:val="none" w:sz="0" w:space="0" w:color="auto"/>
        <w:left w:val="none" w:sz="0" w:space="0" w:color="auto"/>
        <w:bottom w:val="none" w:sz="0" w:space="0" w:color="auto"/>
        <w:right w:val="none" w:sz="0" w:space="0" w:color="auto"/>
      </w:divBdr>
    </w:div>
    <w:div w:id="1832866078">
      <w:marLeft w:val="0"/>
      <w:marRight w:val="0"/>
      <w:marTop w:val="240"/>
      <w:marBottom w:val="0"/>
      <w:divBdr>
        <w:top w:val="none" w:sz="0" w:space="0" w:color="auto"/>
        <w:left w:val="none" w:sz="0" w:space="0" w:color="auto"/>
        <w:bottom w:val="none" w:sz="0" w:space="0" w:color="auto"/>
        <w:right w:val="none" w:sz="0" w:space="0" w:color="auto"/>
      </w:divBdr>
    </w:div>
    <w:div w:id="1833566451">
      <w:marLeft w:val="0"/>
      <w:marRight w:val="0"/>
      <w:marTop w:val="240"/>
      <w:marBottom w:val="0"/>
      <w:divBdr>
        <w:top w:val="none" w:sz="0" w:space="0" w:color="auto"/>
        <w:left w:val="none" w:sz="0" w:space="0" w:color="auto"/>
        <w:bottom w:val="none" w:sz="0" w:space="0" w:color="auto"/>
        <w:right w:val="none" w:sz="0" w:space="0" w:color="auto"/>
      </w:divBdr>
    </w:div>
    <w:div w:id="1833911006">
      <w:marLeft w:val="0"/>
      <w:marRight w:val="0"/>
      <w:marTop w:val="240"/>
      <w:marBottom w:val="0"/>
      <w:divBdr>
        <w:top w:val="none" w:sz="0" w:space="0" w:color="auto"/>
        <w:left w:val="none" w:sz="0" w:space="0" w:color="auto"/>
        <w:bottom w:val="none" w:sz="0" w:space="0" w:color="auto"/>
        <w:right w:val="none" w:sz="0" w:space="0" w:color="auto"/>
      </w:divBdr>
    </w:div>
    <w:div w:id="1835145217">
      <w:marLeft w:val="0"/>
      <w:marRight w:val="0"/>
      <w:marTop w:val="240"/>
      <w:marBottom w:val="0"/>
      <w:divBdr>
        <w:top w:val="none" w:sz="0" w:space="0" w:color="auto"/>
        <w:left w:val="none" w:sz="0" w:space="0" w:color="auto"/>
        <w:bottom w:val="none" w:sz="0" w:space="0" w:color="auto"/>
        <w:right w:val="none" w:sz="0" w:space="0" w:color="auto"/>
      </w:divBdr>
    </w:div>
    <w:div w:id="1835756701">
      <w:marLeft w:val="0"/>
      <w:marRight w:val="0"/>
      <w:marTop w:val="240"/>
      <w:marBottom w:val="0"/>
      <w:divBdr>
        <w:top w:val="none" w:sz="0" w:space="0" w:color="auto"/>
        <w:left w:val="none" w:sz="0" w:space="0" w:color="auto"/>
        <w:bottom w:val="none" w:sz="0" w:space="0" w:color="auto"/>
        <w:right w:val="none" w:sz="0" w:space="0" w:color="auto"/>
      </w:divBdr>
    </w:div>
    <w:div w:id="1837840551">
      <w:marLeft w:val="0"/>
      <w:marRight w:val="0"/>
      <w:marTop w:val="0"/>
      <w:marBottom w:val="0"/>
      <w:divBdr>
        <w:top w:val="none" w:sz="0" w:space="0" w:color="auto"/>
        <w:left w:val="none" w:sz="0" w:space="0" w:color="auto"/>
        <w:bottom w:val="none" w:sz="0" w:space="0" w:color="auto"/>
        <w:right w:val="none" w:sz="0" w:space="0" w:color="auto"/>
      </w:divBdr>
      <w:divsChild>
        <w:div w:id="1166238750">
          <w:marLeft w:val="0"/>
          <w:marRight w:val="0"/>
          <w:marTop w:val="0"/>
          <w:marBottom w:val="0"/>
          <w:divBdr>
            <w:top w:val="none" w:sz="0" w:space="0" w:color="auto"/>
            <w:left w:val="none" w:sz="0" w:space="0" w:color="auto"/>
            <w:bottom w:val="none" w:sz="0" w:space="0" w:color="auto"/>
            <w:right w:val="none" w:sz="0" w:space="0" w:color="auto"/>
          </w:divBdr>
        </w:div>
      </w:divsChild>
    </w:div>
    <w:div w:id="1839341651">
      <w:marLeft w:val="0"/>
      <w:marRight w:val="0"/>
      <w:marTop w:val="240"/>
      <w:marBottom w:val="0"/>
      <w:divBdr>
        <w:top w:val="none" w:sz="0" w:space="0" w:color="auto"/>
        <w:left w:val="none" w:sz="0" w:space="0" w:color="auto"/>
        <w:bottom w:val="none" w:sz="0" w:space="0" w:color="auto"/>
        <w:right w:val="none" w:sz="0" w:space="0" w:color="auto"/>
      </w:divBdr>
    </w:div>
    <w:div w:id="1839998396">
      <w:marLeft w:val="0"/>
      <w:marRight w:val="0"/>
      <w:marTop w:val="120"/>
      <w:marBottom w:val="0"/>
      <w:divBdr>
        <w:top w:val="none" w:sz="0" w:space="0" w:color="auto"/>
        <w:left w:val="none" w:sz="0" w:space="0" w:color="auto"/>
        <w:bottom w:val="none" w:sz="0" w:space="0" w:color="auto"/>
        <w:right w:val="none" w:sz="0" w:space="0" w:color="auto"/>
      </w:divBdr>
    </w:div>
    <w:div w:id="1841047390">
      <w:marLeft w:val="0"/>
      <w:marRight w:val="0"/>
      <w:marTop w:val="240"/>
      <w:marBottom w:val="0"/>
      <w:divBdr>
        <w:top w:val="none" w:sz="0" w:space="0" w:color="auto"/>
        <w:left w:val="none" w:sz="0" w:space="0" w:color="auto"/>
        <w:bottom w:val="none" w:sz="0" w:space="0" w:color="auto"/>
        <w:right w:val="none" w:sz="0" w:space="0" w:color="auto"/>
      </w:divBdr>
    </w:div>
    <w:div w:id="1844052674">
      <w:marLeft w:val="0"/>
      <w:marRight w:val="0"/>
      <w:marTop w:val="240"/>
      <w:marBottom w:val="0"/>
      <w:divBdr>
        <w:top w:val="none" w:sz="0" w:space="0" w:color="auto"/>
        <w:left w:val="none" w:sz="0" w:space="0" w:color="auto"/>
        <w:bottom w:val="none" w:sz="0" w:space="0" w:color="auto"/>
        <w:right w:val="none" w:sz="0" w:space="0" w:color="auto"/>
      </w:divBdr>
    </w:div>
    <w:div w:id="1845172080">
      <w:marLeft w:val="0"/>
      <w:marRight w:val="0"/>
      <w:marTop w:val="0"/>
      <w:marBottom w:val="0"/>
      <w:divBdr>
        <w:top w:val="none" w:sz="0" w:space="0" w:color="auto"/>
        <w:left w:val="none" w:sz="0" w:space="0" w:color="auto"/>
        <w:bottom w:val="none" w:sz="0" w:space="0" w:color="auto"/>
        <w:right w:val="none" w:sz="0" w:space="0" w:color="auto"/>
      </w:divBdr>
      <w:divsChild>
        <w:div w:id="1307247362">
          <w:marLeft w:val="0"/>
          <w:marRight w:val="0"/>
          <w:marTop w:val="0"/>
          <w:marBottom w:val="0"/>
          <w:divBdr>
            <w:top w:val="none" w:sz="0" w:space="0" w:color="auto"/>
            <w:left w:val="none" w:sz="0" w:space="0" w:color="auto"/>
            <w:bottom w:val="none" w:sz="0" w:space="0" w:color="auto"/>
            <w:right w:val="none" w:sz="0" w:space="0" w:color="auto"/>
          </w:divBdr>
        </w:div>
      </w:divsChild>
    </w:div>
    <w:div w:id="1845196118">
      <w:marLeft w:val="0"/>
      <w:marRight w:val="0"/>
      <w:marTop w:val="240"/>
      <w:marBottom w:val="0"/>
      <w:divBdr>
        <w:top w:val="none" w:sz="0" w:space="0" w:color="auto"/>
        <w:left w:val="none" w:sz="0" w:space="0" w:color="auto"/>
        <w:bottom w:val="none" w:sz="0" w:space="0" w:color="auto"/>
        <w:right w:val="none" w:sz="0" w:space="0" w:color="auto"/>
      </w:divBdr>
    </w:div>
    <w:div w:id="1847748206">
      <w:marLeft w:val="0"/>
      <w:marRight w:val="0"/>
      <w:marTop w:val="240"/>
      <w:marBottom w:val="0"/>
      <w:divBdr>
        <w:top w:val="none" w:sz="0" w:space="0" w:color="auto"/>
        <w:left w:val="none" w:sz="0" w:space="0" w:color="auto"/>
        <w:bottom w:val="none" w:sz="0" w:space="0" w:color="auto"/>
        <w:right w:val="none" w:sz="0" w:space="0" w:color="auto"/>
      </w:divBdr>
    </w:div>
    <w:div w:id="1847938604">
      <w:marLeft w:val="0"/>
      <w:marRight w:val="0"/>
      <w:marTop w:val="240"/>
      <w:marBottom w:val="0"/>
      <w:divBdr>
        <w:top w:val="none" w:sz="0" w:space="0" w:color="auto"/>
        <w:left w:val="none" w:sz="0" w:space="0" w:color="auto"/>
        <w:bottom w:val="none" w:sz="0" w:space="0" w:color="auto"/>
        <w:right w:val="none" w:sz="0" w:space="0" w:color="auto"/>
      </w:divBdr>
    </w:div>
    <w:div w:id="1848443947">
      <w:marLeft w:val="0"/>
      <w:marRight w:val="0"/>
      <w:marTop w:val="120"/>
      <w:marBottom w:val="0"/>
      <w:divBdr>
        <w:top w:val="none" w:sz="0" w:space="0" w:color="auto"/>
        <w:left w:val="none" w:sz="0" w:space="0" w:color="auto"/>
        <w:bottom w:val="none" w:sz="0" w:space="0" w:color="auto"/>
        <w:right w:val="none" w:sz="0" w:space="0" w:color="auto"/>
      </w:divBdr>
    </w:div>
    <w:div w:id="1849058539">
      <w:marLeft w:val="0"/>
      <w:marRight w:val="0"/>
      <w:marTop w:val="240"/>
      <w:marBottom w:val="0"/>
      <w:divBdr>
        <w:top w:val="none" w:sz="0" w:space="0" w:color="auto"/>
        <w:left w:val="none" w:sz="0" w:space="0" w:color="auto"/>
        <w:bottom w:val="none" w:sz="0" w:space="0" w:color="auto"/>
        <w:right w:val="none" w:sz="0" w:space="0" w:color="auto"/>
      </w:divBdr>
    </w:div>
    <w:div w:id="1849171975">
      <w:marLeft w:val="0"/>
      <w:marRight w:val="0"/>
      <w:marTop w:val="120"/>
      <w:marBottom w:val="0"/>
      <w:divBdr>
        <w:top w:val="none" w:sz="0" w:space="0" w:color="auto"/>
        <w:left w:val="none" w:sz="0" w:space="0" w:color="auto"/>
        <w:bottom w:val="none" w:sz="0" w:space="0" w:color="auto"/>
        <w:right w:val="none" w:sz="0" w:space="0" w:color="auto"/>
      </w:divBdr>
    </w:div>
    <w:div w:id="1849756870">
      <w:marLeft w:val="0"/>
      <w:marRight w:val="0"/>
      <w:marTop w:val="0"/>
      <w:marBottom w:val="0"/>
      <w:divBdr>
        <w:top w:val="none" w:sz="0" w:space="0" w:color="auto"/>
        <w:left w:val="none" w:sz="0" w:space="0" w:color="auto"/>
        <w:bottom w:val="none" w:sz="0" w:space="0" w:color="auto"/>
        <w:right w:val="none" w:sz="0" w:space="0" w:color="auto"/>
      </w:divBdr>
      <w:divsChild>
        <w:div w:id="474878370">
          <w:marLeft w:val="0"/>
          <w:marRight w:val="0"/>
          <w:marTop w:val="120"/>
          <w:marBottom w:val="0"/>
          <w:divBdr>
            <w:top w:val="none" w:sz="0" w:space="0" w:color="auto"/>
            <w:left w:val="none" w:sz="0" w:space="0" w:color="auto"/>
            <w:bottom w:val="none" w:sz="0" w:space="0" w:color="auto"/>
            <w:right w:val="none" w:sz="0" w:space="0" w:color="auto"/>
          </w:divBdr>
        </w:div>
      </w:divsChild>
    </w:div>
    <w:div w:id="1849825115">
      <w:marLeft w:val="0"/>
      <w:marRight w:val="0"/>
      <w:marTop w:val="240"/>
      <w:marBottom w:val="0"/>
      <w:divBdr>
        <w:top w:val="none" w:sz="0" w:space="0" w:color="auto"/>
        <w:left w:val="none" w:sz="0" w:space="0" w:color="auto"/>
        <w:bottom w:val="none" w:sz="0" w:space="0" w:color="auto"/>
        <w:right w:val="none" w:sz="0" w:space="0" w:color="auto"/>
      </w:divBdr>
    </w:div>
    <w:div w:id="1850098879">
      <w:marLeft w:val="0"/>
      <w:marRight w:val="0"/>
      <w:marTop w:val="240"/>
      <w:marBottom w:val="0"/>
      <w:divBdr>
        <w:top w:val="none" w:sz="0" w:space="0" w:color="auto"/>
        <w:left w:val="none" w:sz="0" w:space="0" w:color="auto"/>
        <w:bottom w:val="none" w:sz="0" w:space="0" w:color="auto"/>
        <w:right w:val="none" w:sz="0" w:space="0" w:color="auto"/>
      </w:divBdr>
    </w:div>
    <w:div w:id="1850828541">
      <w:marLeft w:val="0"/>
      <w:marRight w:val="0"/>
      <w:marTop w:val="240"/>
      <w:marBottom w:val="0"/>
      <w:divBdr>
        <w:top w:val="none" w:sz="0" w:space="0" w:color="auto"/>
        <w:left w:val="none" w:sz="0" w:space="0" w:color="auto"/>
        <w:bottom w:val="none" w:sz="0" w:space="0" w:color="auto"/>
        <w:right w:val="none" w:sz="0" w:space="0" w:color="auto"/>
      </w:divBdr>
    </w:div>
    <w:div w:id="1853034550">
      <w:marLeft w:val="0"/>
      <w:marRight w:val="0"/>
      <w:marTop w:val="240"/>
      <w:marBottom w:val="0"/>
      <w:divBdr>
        <w:top w:val="none" w:sz="0" w:space="0" w:color="auto"/>
        <w:left w:val="none" w:sz="0" w:space="0" w:color="auto"/>
        <w:bottom w:val="none" w:sz="0" w:space="0" w:color="auto"/>
        <w:right w:val="none" w:sz="0" w:space="0" w:color="auto"/>
      </w:divBdr>
    </w:div>
    <w:div w:id="1853493189">
      <w:marLeft w:val="0"/>
      <w:marRight w:val="0"/>
      <w:marTop w:val="240"/>
      <w:marBottom w:val="0"/>
      <w:divBdr>
        <w:top w:val="none" w:sz="0" w:space="0" w:color="auto"/>
        <w:left w:val="none" w:sz="0" w:space="0" w:color="auto"/>
        <w:bottom w:val="none" w:sz="0" w:space="0" w:color="auto"/>
        <w:right w:val="none" w:sz="0" w:space="0" w:color="auto"/>
      </w:divBdr>
    </w:div>
    <w:div w:id="1855027187">
      <w:marLeft w:val="0"/>
      <w:marRight w:val="0"/>
      <w:marTop w:val="240"/>
      <w:marBottom w:val="0"/>
      <w:divBdr>
        <w:top w:val="none" w:sz="0" w:space="0" w:color="auto"/>
        <w:left w:val="none" w:sz="0" w:space="0" w:color="auto"/>
        <w:bottom w:val="none" w:sz="0" w:space="0" w:color="auto"/>
        <w:right w:val="none" w:sz="0" w:space="0" w:color="auto"/>
      </w:divBdr>
    </w:div>
    <w:div w:id="1855803618">
      <w:marLeft w:val="0"/>
      <w:marRight w:val="0"/>
      <w:marTop w:val="100"/>
      <w:marBottom w:val="0"/>
      <w:divBdr>
        <w:top w:val="none" w:sz="0" w:space="0" w:color="auto"/>
        <w:left w:val="none" w:sz="0" w:space="0" w:color="auto"/>
        <w:bottom w:val="none" w:sz="0" w:space="0" w:color="auto"/>
        <w:right w:val="none" w:sz="0" w:space="0" w:color="auto"/>
      </w:divBdr>
    </w:div>
    <w:div w:id="1856729230">
      <w:marLeft w:val="0"/>
      <w:marRight w:val="0"/>
      <w:marTop w:val="300"/>
      <w:marBottom w:val="0"/>
      <w:divBdr>
        <w:top w:val="none" w:sz="0" w:space="0" w:color="auto"/>
        <w:left w:val="none" w:sz="0" w:space="0" w:color="auto"/>
        <w:bottom w:val="none" w:sz="0" w:space="0" w:color="auto"/>
        <w:right w:val="none" w:sz="0" w:space="0" w:color="auto"/>
      </w:divBdr>
    </w:div>
    <w:div w:id="1858931537">
      <w:marLeft w:val="0"/>
      <w:marRight w:val="0"/>
      <w:marTop w:val="100"/>
      <w:marBottom w:val="180"/>
      <w:divBdr>
        <w:top w:val="none" w:sz="0" w:space="0" w:color="auto"/>
        <w:left w:val="none" w:sz="0" w:space="0" w:color="auto"/>
        <w:bottom w:val="none" w:sz="0" w:space="0" w:color="auto"/>
        <w:right w:val="none" w:sz="0" w:space="0" w:color="auto"/>
      </w:divBdr>
    </w:div>
    <w:div w:id="1860923672">
      <w:marLeft w:val="0"/>
      <w:marRight w:val="0"/>
      <w:marTop w:val="240"/>
      <w:marBottom w:val="0"/>
      <w:divBdr>
        <w:top w:val="none" w:sz="0" w:space="0" w:color="auto"/>
        <w:left w:val="none" w:sz="0" w:space="0" w:color="auto"/>
        <w:bottom w:val="none" w:sz="0" w:space="0" w:color="auto"/>
        <w:right w:val="none" w:sz="0" w:space="0" w:color="auto"/>
      </w:divBdr>
    </w:div>
    <w:div w:id="1864400364">
      <w:marLeft w:val="0"/>
      <w:marRight w:val="0"/>
      <w:marTop w:val="0"/>
      <w:marBottom w:val="0"/>
      <w:divBdr>
        <w:top w:val="none" w:sz="0" w:space="0" w:color="auto"/>
        <w:left w:val="none" w:sz="0" w:space="0" w:color="auto"/>
        <w:bottom w:val="none" w:sz="0" w:space="0" w:color="auto"/>
        <w:right w:val="none" w:sz="0" w:space="0" w:color="auto"/>
      </w:divBdr>
      <w:divsChild>
        <w:div w:id="694355361">
          <w:marLeft w:val="0"/>
          <w:marRight w:val="0"/>
          <w:marTop w:val="120"/>
          <w:marBottom w:val="0"/>
          <w:divBdr>
            <w:top w:val="none" w:sz="0" w:space="0" w:color="auto"/>
            <w:left w:val="none" w:sz="0" w:space="0" w:color="auto"/>
            <w:bottom w:val="none" w:sz="0" w:space="0" w:color="auto"/>
            <w:right w:val="none" w:sz="0" w:space="0" w:color="auto"/>
          </w:divBdr>
        </w:div>
      </w:divsChild>
    </w:div>
    <w:div w:id="1864703898">
      <w:marLeft w:val="0"/>
      <w:marRight w:val="0"/>
      <w:marTop w:val="240"/>
      <w:marBottom w:val="0"/>
      <w:divBdr>
        <w:top w:val="none" w:sz="0" w:space="0" w:color="auto"/>
        <w:left w:val="none" w:sz="0" w:space="0" w:color="auto"/>
        <w:bottom w:val="none" w:sz="0" w:space="0" w:color="auto"/>
        <w:right w:val="none" w:sz="0" w:space="0" w:color="auto"/>
      </w:divBdr>
    </w:div>
    <w:div w:id="1865165302">
      <w:marLeft w:val="0"/>
      <w:marRight w:val="0"/>
      <w:marTop w:val="240"/>
      <w:marBottom w:val="0"/>
      <w:divBdr>
        <w:top w:val="none" w:sz="0" w:space="0" w:color="auto"/>
        <w:left w:val="none" w:sz="0" w:space="0" w:color="auto"/>
        <w:bottom w:val="none" w:sz="0" w:space="0" w:color="auto"/>
        <w:right w:val="none" w:sz="0" w:space="0" w:color="auto"/>
      </w:divBdr>
    </w:div>
    <w:div w:id="1867790594">
      <w:marLeft w:val="0"/>
      <w:marRight w:val="0"/>
      <w:marTop w:val="140"/>
      <w:marBottom w:val="0"/>
      <w:divBdr>
        <w:top w:val="none" w:sz="0" w:space="0" w:color="auto"/>
        <w:left w:val="none" w:sz="0" w:space="0" w:color="auto"/>
        <w:bottom w:val="none" w:sz="0" w:space="0" w:color="auto"/>
        <w:right w:val="none" w:sz="0" w:space="0" w:color="auto"/>
      </w:divBdr>
    </w:div>
    <w:div w:id="1868132966">
      <w:marLeft w:val="0"/>
      <w:marRight w:val="0"/>
      <w:marTop w:val="180"/>
      <w:marBottom w:val="0"/>
      <w:divBdr>
        <w:top w:val="none" w:sz="0" w:space="0" w:color="auto"/>
        <w:left w:val="none" w:sz="0" w:space="0" w:color="auto"/>
        <w:bottom w:val="none" w:sz="0" w:space="0" w:color="auto"/>
        <w:right w:val="none" w:sz="0" w:space="0" w:color="auto"/>
      </w:divBdr>
    </w:div>
    <w:div w:id="1868173897">
      <w:marLeft w:val="0"/>
      <w:marRight w:val="0"/>
      <w:marTop w:val="240"/>
      <w:marBottom w:val="0"/>
      <w:divBdr>
        <w:top w:val="none" w:sz="0" w:space="0" w:color="auto"/>
        <w:left w:val="none" w:sz="0" w:space="0" w:color="auto"/>
        <w:bottom w:val="none" w:sz="0" w:space="0" w:color="auto"/>
        <w:right w:val="none" w:sz="0" w:space="0" w:color="auto"/>
      </w:divBdr>
    </w:div>
    <w:div w:id="1868374587">
      <w:marLeft w:val="0"/>
      <w:marRight w:val="0"/>
      <w:marTop w:val="240"/>
      <w:marBottom w:val="0"/>
      <w:divBdr>
        <w:top w:val="none" w:sz="0" w:space="0" w:color="auto"/>
        <w:left w:val="none" w:sz="0" w:space="0" w:color="auto"/>
        <w:bottom w:val="none" w:sz="0" w:space="0" w:color="auto"/>
        <w:right w:val="none" w:sz="0" w:space="0" w:color="auto"/>
      </w:divBdr>
    </w:div>
    <w:div w:id="1868715476">
      <w:marLeft w:val="0"/>
      <w:marRight w:val="0"/>
      <w:marTop w:val="240"/>
      <w:marBottom w:val="0"/>
      <w:divBdr>
        <w:top w:val="none" w:sz="0" w:space="0" w:color="auto"/>
        <w:left w:val="none" w:sz="0" w:space="0" w:color="auto"/>
        <w:bottom w:val="none" w:sz="0" w:space="0" w:color="auto"/>
        <w:right w:val="none" w:sz="0" w:space="0" w:color="auto"/>
      </w:divBdr>
    </w:div>
    <w:div w:id="1870339685">
      <w:marLeft w:val="0"/>
      <w:marRight w:val="0"/>
      <w:marTop w:val="180"/>
      <w:marBottom w:val="0"/>
      <w:divBdr>
        <w:top w:val="none" w:sz="0" w:space="0" w:color="auto"/>
        <w:left w:val="none" w:sz="0" w:space="0" w:color="auto"/>
        <w:bottom w:val="none" w:sz="0" w:space="0" w:color="auto"/>
        <w:right w:val="none" w:sz="0" w:space="0" w:color="auto"/>
      </w:divBdr>
    </w:div>
    <w:div w:id="1871533584">
      <w:marLeft w:val="0"/>
      <w:marRight w:val="0"/>
      <w:marTop w:val="240"/>
      <w:marBottom w:val="0"/>
      <w:divBdr>
        <w:top w:val="none" w:sz="0" w:space="0" w:color="auto"/>
        <w:left w:val="none" w:sz="0" w:space="0" w:color="auto"/>
        <w:bottom w:val="none" w:sz="0" w:space="0" w:color="auto"/>
        <w:right w:val="none" w:sz="0" w:space="0" w:color="auto"/>
      </w:divBdr>
    </w:div>
    <w:div w:id="1873609398">
      <w:marLeft w:val="0"/>
      <w:marRight w:val="0"/>
      <w:marTop w:val="0"/>
      <w:marBottom w:val="0"/>
      <w:divBdr>
        <w:top w:val="none" w:sz="0" w:space="0" w:color="auto"/>
        <w:left w:val="none" w:sz="0" w:space="0" w:color="auto"/>
        <w:bottom w:val="none" w:sz="0" w:space="0" w:color="auto"/>
        <w:right w:val="none" w:sz="0" w:space="0" w:color="auto"/>
      </w:divBdr>
      <w:divsChild>
        <w:div w:id="1474909696">
          <w:marLeft w:val="0"/>
          <w:marRight w:val="0"/>
          <w:marTop w:val="0"/>
          <w:marBottom w:val="0"/>
          <w:divBdr>
            <w:top w:val="none" w:sz="0" w:space="0" w:color="auto"/>
            <w:left w:val="none" w:sz="0" w:space="0" w:color="auto"/>
            <w:bottom w:val="none" w:sz="0" w:space="0" w:color="auto"/>
            <w:right w:val="none" w:sz="0" w:space="0" w:color="auto"/>
          </w:divBdr>
          <w:divsChild>
            <w:div w:id="159338953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75851965">
      <w:marLeft w:val="0"/>
      <w:marRight w:val="0"/>
      <w:marTop w:val="240"/>
      <w:marBottom w:val="0"/>
      <w:divBdr>
        <w:top w:val="none" w:sz="0" w:space="0" w:color="auto"/>
        <w:left w:val="none" w:sz="0" w:space="0" w:color="auto"/>
        <w:bottom w:val="none" w:sz="0" w:space="0" w:color="auto"/>
        <w:right w:val="none" w:sz="0" w:space="0" w:color="auto"/>
      </w:divBdr>
    </w:div>
    <w:div w:id="1876234253">
      <w:marLeft w:val="0"/>
      <w:marRight w:val="0"/>
      <w:marTop w:val="240"/>
      <w:marBottom w:val="0"/>
      <w:divBdr>
        <w:top w:val="none" w:sz="0" w:space="0" w:color="auto"/>
        <w:left w:val="none" w:sz="0" w:space="0" w:color="auto"/>
        <w:bottom w:val="none" w:sz="0" w:space="0" w:color="auto"/>
        <w:right w:val="none" w:sz="0" w:space="0" w:color="auto"/>
      </w:divBdr>
    </w:div>
    <w:div w:id="1877153520">
      <w:marLeft w:val="0"/>
      <w:marRight w:val="0"/>
      <w:marTop w:val="240"/>
      <w:marBottom w:val="0"/>
      <w:divBdr>
        <w:top w:val="none" w:sz="0" w:space="0" w:color="auto"/>
        <w:left w:val="none" w:sz="0" w:space="0" w:color="auto"/>
        <w:bottom w:val="none" w:sz="0" w:space="0" w:color="auto"/>
        <w:right w:val="none" w:sz="0" w:space="0" w:color="auto"/>
      </w:divBdr>
    </w:div>
    <w:div w:id="1878352387">
      <w:marLeft w:val="0"/>
      <w:marRight w:val="0"/>
      <w:marTop w:val="240"/>
      <w:marBottom w:val="0"/>
      <w:divBdr>
        <w:top w:val="none" w:sz="0" w:space="0" w:color="auto"/>
        <w:left w:val="none" w:sz="0" w:space="0" w:color="auto"/>
        <w:bottom w:val="none" w:sz="0" w:space="0" w:color="auto"/>
        <w:right w:val="none" w:sz="0" w:space="0" w:color="auto"/>
      </w:divBdr>
    </w:div>
    <w:div w:id="1879732828">
      <w:marLeft w:val="0"/>
      <w:marRight w:val="0"/>
      <w:marTop w:val="100"/>
      <w:marBottom w:val="0"/>
      <w:divBdr>
        <w:top w:val="none" w:sz="0" w:space="0" w:color="auto"/>
        <w:left w:val="none" w:sz="0" w:space="0" w:color="auto"/>
        <w:bottom w:val="none" w:sz="0" w:space="0" w:color="auto"/>
        <w:right w:val="none" w:sz="0" w:space="0" w:color="auto"/>
      </w:divBdr>
    </w:div>
    <w:div w:id="1882473026">
      <w:marLeft w:val="0"/>
      <w:marRight w:val="0"/>
      <w:marTop w:val="240"/>
      <w:marBottom w:val="0"/>
      <w:divBdr>
        <w:top w:val="none" w:sz="0" w:space="0" w:color="auto"/>
        <w:left w:val="none" w:sz="0" w:space="0" w:color="auto"/>
        <w:bottom w:val="none" w:sz="0" w:space="0" w:color="auto"/>
        <w:right w:val="none" w:sz="0" w:space="0" w:color="auto"/>
      </w:divBdr>
    </w:div>
    <w:div w:id="1887139799">
      <w:marLeft w:val="0"/>
      <w:marRight w:val="0"/>
      <w:marTop w:val="60"/>
      <w:marBottom w:val="60"/>
      <w:divBdr>
        <w:top w:val="none" w:sz="0" w:space="0" w:color="auto"/>
        <w:left w:val="none" w:sz="0" w:space="0" w:color="auto"/>
        <w:bottom w:val="none" w:sz="0" w:space="0" w:color="auto"/>
        <w:right w:val="none" w:sz="0" w:space="0" w:color="auto"/>
      </w:divBdr>
    </w:div>
    <w:div w:id="1890725422">
      <w:marLeft w:val="0"/>
      <w:marRight w:val="0"/>
      <w:marTop w:val="240"/>
      <w:marBottom w:val="0"/>
      <w:divBdr>
        <w:top w:val="none" w:sz="0" w:space="0" w:color="auto"/>
        <w:left w:val="none" w:sz="0" w:space="0" w:color="auto"/>
        <w:bottom w:val="none" w:sz="0" w:space="0" w:color="auto"/>
        <w:right w:val="none" w:sz="0" w:space="0" w:color="auto"/>
      </w:divBdr>
    </w:div>
    <w:div w:id="1891723265">
      <w:marLeft w:val="0"/>
      <w:marRight w:val="0"/>
      <w:marTop w:val="0"/>
      <w:marBottom w:val="0"/>
      <w:divBdr>
        <w:top w:val="none" w:sz="0" w:space="0" w:color="auto"/>
        <w:left w:val="none" w:sz="0" w:space="0" w:color="auto"/>
        <w:bottom w:val="none" w:sz="0" w:space="0" w:color="auto"/>
        <w:right w:val="none" w:sz="0" w:space="0" w:color="auto"/>
      </w:divBdr>
      <w:divsChild>
        <w:div w:id="1057239817">
          <w:marLeft w:val="0"/>
          <w:marRight w:val="0"/>
          <w:marTop w:val="0"/>
          <w:marBottom w:val="0"/>
          <w:divBdr>
            <w:top w:val="none" w:sz="0" w:space="0" w:color="auto"/>
            <w:left w:val="none" w:sz="0" w:space="0" w:color="auto"/>
            <w:bottom w:val="none" w:sz="0" w:space="0" w:color="auto"/>
            <w:right w:val="none" w:sz="0" w:space="0" w:color="auto"/>
          </w:divBdr>
          <w:divsChild>
            <w:div w:id="116008195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92573842">
      <w:marLeft w:val="0"/>
      <w:marRight w:val="0"/>
      <w:marTop w:val="120"/>
      <w:marBottom w:val="0"/>
      <w:divBdr>
        <w:top w:val="none" w:sz="0" w:space="0" w:color="auto"/>
        <w:left w:val="none" w:sz="0" w:space="0" w:color="auto"/>
        <w:bottom w:val="none" w:sz="0" w:space="0" w:color="auto"/>
        <w:right w:val="none" w:sz="0" w:space="0" w:color="auto"/>
      </w:divBdr>
    </w:div>
    <w:div w:id="1892694062">
      <w:marLeft w:val="0"/>
      <w:marRight w:val="0"/>
      <w:marTop w:val="240"/>
      <w:marBottom w:val="0"/>
      <w:divBdr>
        <w:top w:val="none" w:sz="0" w:space="0" w:color="auto"/>
        <w:left w:val="none" w:sz="0" w:space="0" w:color="auto"/>
        <w:bottom w:val="none" w:sz="0" w:space="0" w:color="auto"/>
        <w:right w:val="none" w:sz="0" w:space="0" w:color="auto"/>
      </w:divBdr>
    </w:div>
    <w:div w:id="1894736706">
      <w:marLeft w:val="0"/>
      <w:marRight w:val="0"/>
      <w:marTop w:val="240"/>
      <w:marBottom w:val="0"/>
      <w:divBdr>
        <w:top w:val="none" w:sz="0" w:space="0" w:color="auto"/>
        <w:left w:val="none" w:sz="0" w:space="0" w:color="auto"/>
        <w:bottom w:val="none" w:sz="0" w:space="0" w:color="auto"/>
        <w:right w:val="none" w:sz="0" w:space="0" w:color="auto"/>
      </w:divBdr>
    </w:div>
    <w:div w:id="1895507911">
      <w:marLeft w:val="0"/>
      <w:marRight w:val="0"/>
      <w:marTop w:val="240"/>
      <w:marBottom w:val="0"/>
      <w:divBdr>
        <w:top w:val="none" w:sz="0" w:space="0" w:color="auto"/>
        <w:left w:val="none" w:sz="0" w:space="0" w:color="auto"/>
        <w:bottom w:val="none" w:sz="0" w:space="0" w:color="auto"/>
        <w:right w:val="none" w:sz="0" w:space="0" w:color="auto"/>
      </w:divBdr>
    </w:div>
    <w:div w:id="1898281680">
      <w:marLeft w:val="0"/>
      <w:marRight w:val="0"/>
      <w:marTop w:val="240"/>
      <w:marBottom w:val="240"/>
      <w:divBdr>
        <w:top w:val="none" w:sz="0" w:space="0" w:color="auto"/>
        <w:left w:val="none" w:sz="0" w:space="0" w:color="auto"/>
        <w:bottom w:val="none" w:sz="0" w:space="0" w:color="auto"/>
        <w:right w:val="none" w:sz="0" w:space="0" w:color="auto"/>
      </w:divBdr>
    </w:div>
    <w:div w:id="1900090541">
      <w:marLeft w:val="0"/>
      <w:marRight w:val="0"/>
      <w:marTop w:val="240"/>
      <w:marBottom w:val="0"/>
      <w:divBdr>
        <w:top w:val="none" w:sz="0" w:space="0" w:color="auto"/>
        <w:left w:val="none" w:sz="0" w:space="0" w:color="auto"/>
        <w:bottom w:val="none" w:sz="0" w:space="0" w:color="auto"/>
        <w:right w:val="none" w:sz="0" w:space="0" w:color="auto"/>
      </w:divBdr>
    </w:div>
    <w:div w:id="1900438345">
      <w:marLeft w:val="0"/>
      <w:marRight w:val="0"/>
      <w:marTop w:val="240"/>
      <w:marBottom w:val="0"/>
      <w:divBdr>
        <w:top w:val="none" w:sz="0" w:space="0" w:color="auto"/>
        <w:left w:val="none" w:sz="0" w:space="0" w:color="auto"/>
        <w:bottom w:val="none" w:sz="0" w:space="0" w:color="auto"/>
        <w:right w:val="none" w:sz="0" w:space="0" w:color="auto"/>
      </w:divBdr>
    </w:div>
    <w:div w:id="1900549797">
      <w:marLeft w:val="0"/>
      <w:marRight w:val="0"/>
      <w:marTop w:val="240"/>
      <w:marBottom w:val="0"/>
      <w:divBdr>
        <w:top w:val="none" w:sz="0" w:space="0" w:color="auto"/>
        <w:left w:val="none" w:sz="0" w:space="0" w:color="auto"/>
        <w:bottom w:val="none" w:sz="0" w:space="0" w:color="auto"/>
        <w:right w:val="none" w:sz="0" w:space="0" w:color="auto"/>
      </w:divBdr>
    </w:div>
    <w:div w:id="1900550397">
      <w:marLeft w:val="0"/>
      <w:marRight w:val="0"/>
      <w:marTop w:val="240"/>
      <w:marBottom w:val="0"/>
      <w:divBdr>
        <w:top w:val="none" w:sz="0" w:space="0" w:color="auto"/>
        <w:left w:val="none" w:sz="0" w:space="0" w:color="auto"/>
        <w:bottom w:val="none" w:sz="0" w:space="0" w:color="auto"/>
        <w:right w:val="none" w:sz="0" w:space="0" w:color="auto"/>
      </w:divBdr>
    </w:div>
    <w:div w:id="1900745549">
      <w:marLeft w:val="0"/>
      <w:marRight w:val="0"/>
      <w:marTop w:val="240"/>
      <w:marBottom w:val="0"/>
      <w:divBdr>
        <w:top w:val="none" w:sz="0" w:space="0" w:color="auto"/>
        <w:left w:val="none" w:sz="0" w:space="0" w:color="auto"/>
        <w:bottom w:val="none" w:sz="0" w:space="0" w:color="auto"/>
        <w:right w:val="none" w:sz="0" w:space="0" w:color="auto"/>
      </w:divBdr>
    </w:div>
    <w:div w:id="1901860043">
      <w:marLeft w:val="0"/>
      <w:marRight w:val="0"/>
      <w:marTop w:val="240"/>
      <w:marBottom w:val="0"/>
      <w:divBdr>
        <w:top w:val="none" w:sz="0" w:space="0" w:color="auto"/>
        <w:left w:val="none" w:sz="0" w:space="0" w:color="auto"/>
        <w:bottom w:val="none" w:sz="0" w:space="0" w:color="auto"/>
        <w:right w:val="none" w:sz="0" w:space="0" w:color="auto"/>
      </w:divBdr>
    </w:div>
    <w:div w:id="1902326448">
      <w:marLeft w:val="0"/>
      <w:marRight w:val="0"/>
      <w:marTop w:val="240"/>
      <w:marBottom w:val="0"/>
      <w:divBdr>
        <w:top w:val="none" w:sz="0" w:space="0" w:color="auto"/>
        <w:left w:val="none" w:sz="0" w:space="0" w:color="auto"/>
        <w:bottom w:val="none" w:sz="0" w:space="0" w:color="auto"/>
        <w:right w:val="none" w:sz="0" w:space="0" w:color="auto"/>
      </w:divBdr>
    </w:div>
    <w:div w:id="1902713072">
      <w:marLeft w:val="0"/>
      <w:marRight w:val="0"/>
      <w:marTop w:val="180"/>
      <w:marBottom w:val="0"/>
      <w:divBdr>
        <w:top w:val="none" w:sz="0" w:space="0" w:color="auto"/>
        <w:left w:val="none" w:sz="0" w:space="0" w:color="auto"/>
        <w:bottom w:val="none" w:sz="0" w:space="0" w:color="auto"/>
        <w:right w:val="none" w:sz="0" w:space="0" w:color="auto"/>
      </w:divBdr>
    </w:div>
    <w:div w:id="1902866182">
      <w:marLeft w:val="0"/>
      <w:marRight w:val="0"/>
      <w:marTop w:val="240"/>
      <w:marBottom w:val="0"/>
      <w:divBdr>
        <w:top w:val="none" w:sz="0" w:space="0" w:color="auto"/>
        <w:left w:val="none" w:sz="0" w:space="0" w:color="auto"/>
        <w:bottom w:val="none" w:sz="0" w:space="0" w:color="auto"/>
        <w:right w:val="none" w:sz="0" w:space="0" w:color="auto"/>
      </w:divBdr>
    </w:div>
    <w:div w:id="1904682314">
      <w:marLeft w:val="0"/>
      <w:marRight w:val="0"/>
      <w:marTop w:val="240"/>
      <w:marBottom w:val="240"/>
      <w:divBdr>
        <w:top w:val="none" w:sz="0" w:space="0" w:color="auto"/>
        <w:left w:val="none" w:sz="0" w:space="0" w:color="auto"/>
        <w:bottom w:val="none" w:sz="0" w:space="0" w:color="auto"/>
        <w:right w:val="none" w:sz="0" w:space="0" w:color="auto"/>
      </w:divBdr>
    </w:div>
    <w:div w:id="1905216579">
      <w:marLeft w:val="0"/>
      <w:marRight w:val="0"/>
      <w:marTop w:val="240"/>
      <w:marBottom w:val="240"/>
      <w:divBdr>
        <w:top w:val="none" w:sz="0" w:space="0" w:color="auto"/>
        <w:left w:val="none" w:sz="0" w:space="0" w:color="auto"/>
        <w:bottom w:val="none" w:sz="0" w:space="0" w:color="auto"/>
        <w:right w:val="none" w:sz="0" w:space="0" w:color="auto"/>
      </w:divBdr>
    </w:div>
    <w:div w:id="1905987251">
      <w:marLeft w:val="0"/>
      <w:marRight w:val="0"/>
      <w:marTop w:val="240"/>
      <w:marBottom w:val="240"/>
      <w:divBdr>
        <w:top w:val="none" w:sz="0" w:space="0" w:color="auto"/>
        <w:left w:val="none" w:sz="0" w:space="0" w:color="auto"/>
        <w:bottom w:val="none" w:sz="0" w:space="0" w:color="auto"/>
        <w:right w:val="none" w:sz="0" w:space="0" w:color="auto"/>
      </w:divBdr>
    </w:div>
    <w:div w:id="1906066079">
      <w:marLeft w:val="0"/>
      <w:marRight w:val="0"/>
      <w:marTop w:val="240"/>
      <w:marBottom w:val="0"/>
      <w:divBdr>
        <w:top w:val="none" w:sz="0" w:space="0" w:color="auto"/>
        <w:left w:val="none" w:sz="0" w:space="0" w:color="auto"/>
        <w:bottom w:val="none" w:sz="0" w:space="0" w:color="auto"/>
        <w:right w:val="none" w:sz="0" w:space="0" w:color="auto"/>
      </w:divBdr>
    </w:div>
    <w:div w:id="1906181516">
      <w:marLeft w:val="0"/>
      <w:marRight w:val="0"/>
      <w:marTop w:val="140"/>
      <w:marBottom w:val="0"/>
      <w:divBdr>
        <w:top w:val="none" w:sz="0" w:space="0" w:color="auto"/>
        <w:left w:val="none" w:sz="0" w:space="0" w:color="auto"/>
        <w:bottom w:val="none" w:sz="0" w:space="0" w:color="auto"/>
        <w:right w:val="none" w:sz="0" w:space="0" w:color="auto"/>
      </w:divBdr>
    </w:div>
    <w:div w:id="1906716219">
      <w:marLeft w:val="0"/>
      <w:marRight w:val="0"/>
      <w:marTop w:val="180"/>
      <w:marBottom w:val="0"/>
      <w:divBdr>
        <w:top w:val="none" w:sz="0" w:space="0" w:color="auto"/>
        <w:left w:val="none" w:sz="0" w:space="0" w:color="auto"/>
        <w:bottom w:val="none" w:sz="0" w:space="0" w:color="auto"/>
        <w:right w:val="none" w:sz="0" w:space="0" w:color="auto"/>
      </w:divBdr>
    </w:div>
    <w:div w:id="1906839629">
      <w:marLeft w:val="0"/>
      <w:marRight w:val="0"/>
      <w:marTop w:val="0"/>
      <w:marBottom w:val="0"/>
      <w:divBdr>
        <w:top w:val="none" w:sz="0" w:space="0" w:color="auto"/>
        <w:left w:val="none" w:sz="0" w:space="0" w:color="auto"/>
        <w:bottom w:val="none" w:sz="0" w:space="0" w:color="auto"/>
        <w:right w:val="none" w:sz="0" w:space="0" w:color="auto"/>
      </w:divBdr>
      <w:divsChild>
        <w:div w:id="944732622">
          <w:marLeft w:val="0"/>
          <w:marRight w:val="0"/>
          <w:marTop w:val="0"/>
          <w:marBottom w:val="0"/>
          <w:divBdr>
            <w:top w:val="none" w:sz="0" w:space="0" w:color="auto"/>
            <w:left w:val="none" w:sz="0" w:space="0" w:color="auto"/>
            <w:bottom w:val="none" w:sz="0" w:space="0" w:color="auto"/>
            <w:right w:val="none" w:sz="0" w:space="0" w:color="auto"/>
          </w:divBdr>
          <w:divsChild>
            <w:div w:id="966087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07568289">
      <w:marLeft w:val="0"/>
      <w:marRight w:val="0"/>
      <w:marTop w:val="0"/>
      <w:marBottom w:val="0"/>
      <w:divBdr>
        <w:top w:val="none" w:sz="0" w:space="0" w:color="auto"/>
        <w:left w:val="none" w:sz="0" w:space="0" w:color="auto"/>
        <w:bottom w:val="none" w:sz="0" w:space="0" w:color="auto"/>
        <w:right w:val="none" w:sz="0" w:space="0" w:color="auto"/>
      </w:divBdr>
      <w:divsChild>
        <w:div w:id="1143890266">
          <w:marLeft w:val="0"/>
          <w:marRight w:val="0"/>
          <w:marTop w:val="0"/>
          <w:marBottom w:val="0"/>
          <w:divBdr>
            <w:top w:val="none" w:sz="0" w:space="0" w:color="auto"/>
            <w:left w:val="none" w:sz="0" w:space="0" w:color="auto"/>
            <w:bottom w:val="none" w:sz="0" w:space="0" w:color="auto"/>
            <w:right w:val="none" w:sz="0" w:space="0" w:color="auto"/>
          </w:divBdr>
        </w:div>
      </w:divsChild>
    </w:div>
    <w:div w:id="1907640519">
      <w:marLeft w:val="0"/>
      <w:marRight w:val="0"/>
      <w:marTop w:val="240"/>
      <w:marBottom w:val="0"/>
      <w:divBdr>
        <w:top w:val="none" w:sz="0" w:space="0" w:color="auto"/>
        <w:left w:val="none" w:sz="0" w:space="0" w:color="auto"/>
        <w:bottom w:val="none" w:sz="0" w:space="0" w:color="auto"/>
        <w:right w:val="none" w:sz="0" w:space="0" w:color="auto"/>
      </w:divBdr>
    </w:div>
    <w:div w:id="1907907870">
      <w:marLeft w:val="0"/>
      <w:marRight w:val="0"/>
      <w:marTop w:val="240"/>
      <w:marBottom w:val="0"/>
      <w:divBdr>
        <w:top w:val="none" w:sz="0" w:space="0" w:color="auto"/>
        <w:left w:val="none" w:sz="0" w:space="0" w:color="auto"/>
        <w:bottom w:val="none" w:sz="0" w:space="0" w:color="auto"/>
        <w:right w:val="none" w:sz="0" w:space="0" w:color="auto"/>
      </w:divBdr>
    </w:div>
    <w:div w:id="1908300680">
      <w:marLeft w:val="0"/>
      <w:marRight w:val="0"/>
      <w:marTop w:val="240"/>
      <w:marBottom w:val="0"/>
      <w:divBdr>
        <w:top w:val="none" w:sz="0" w:space="0" w:color="auto"/>
        <w:left w:val="none" w:sz="0" w:space="0" w:color="auto"/>
        <w:bottom w:val="none" w:sz="0" w:space="0" w:color="auto"/>
        <w:right w:val="none" w:sz="0" w:space="0" w:color="auto"/>
      </w:divBdr>
    </w:div>
    <w:div w:id="1908876971">
      <w:marLeft w:val="0"/>
      <w:marRight w:val="0"/>
      <w:marTop w:val="100"/>
      <w:marBottom w:val="0"/>
      <w:divBdr>
        <w:top w:val="none" w:sz="0" w:space="0" w:color="auto"/>
        <w:left w:val="none" w:sz="0" w:space="0" w:color="auto"/>
        <w:bottom w:val="none" w:sz="0" w:space="0" w:color="auto"/>
        <w:right w:val="none" w:sz="0" w:space="0" w:color="auto"/>
      </w:divBdr>
      <w:divsChild>
        <w:div w:id="222327671">
          <w:marLeft w:val="0"/>
          <w:marRight w:val="0"/>
          <w:marTop w:val="0"/>
          <w:marBottom w:val="0"/>
          <w:divBdr>
            <w:top w:val="none" w:sz="0" w:space="0" w:color="auto"/>
            <w:left w:val="none" w:sz="0" w:space="0" w:color="auto"/>
            <w:bottom w:val="none" w:sz="0" w:space="0" w:color="auto"/>
            <w:right w:val="none" w:sz="0" w:space="0" w:color="auto"/>
          </w:divBdr>
        </w:div>
        <w:div w:id="1401908923">
          <w:marLeft w:val="0"/>
          <w:marRight w:val="0"/>
          <w:marTop w:val="0"/>
          <w:marBottom w:val="0"/>
          <w:divBdr>
            <w:top w:val="none" w:sz="0" w:space="0" w:color="auto"/>
            <w:left w:val="none" w:sz="0" w:space="0" w:color="auto"/>
            <w:bottom w:val="none" w:sz="0" w:space="0" w:color="auto"/>
            <w:right w:val="none" w:sz="0" w:space="0" w:color="auto"/>
          </w:divBdr>
        </w:div>
        <w:div w:id="424694642">
          <w:marLeft w:val="0"/>
          <w:marRight w:val="0"/>
          <w:marTop w:val="0"/>
          <w:marBottom w:val="0"/>
          <w:divBdr>
            <w:top w:val="none" w:sz="0" w:space="0" w:color="auto"/>
            <w:left w:val="none" w:sz="0" w:space="0" w:color="auto"/>
            <w:bottom w:val="none" w:sz="0" w:space="0" w:color="auto"/>
            <w:right w:val="none" w:sz="0" w:space="0" w:color="auto"/>
          </w:divBdr>
        </w:div>
        <w:div w:id="1512452281">
          <w:marLeft w:val="0"/>
          <w:marRight w:val="0"/>
          <w:marTop w:val="0"/>
          <w:marBottom w:val="0"/>
          <w:divBdr>
            <w:top w:val="none" w:sz="0" w:space="0" w:color="auto"/>
            <w:left w:val="none" w:sz="0" w:space="0" w:color="auto"/>
            <w:bottom w:val="none" w:sz="0" w:space="0" w:color="auto"/>
            <w:right w:val="none" w:sz="0" w:space="0" w:color="auto"/>
          </w:divBdr>
        </w:div>
        <w:div w:id="1296715128">
          <w:marLeft w:val="0"/>
          <w:marRight w:val="0"/>
          <w:marTop w:val="0"/>
          <w:marBottom w:val="0"/>
          <w:divBdr>
            <w:top w:val="none" w:sz="0" w:space="0" w:color="auto"/>
            <w:left w:val="none" w:sz="0" w:space="0" w:color="auto"/>
            <w:bottom w:val="none" w:sz="0" w:space="0" w:color="auto"/>
            <w:right w:val="none" w:sz="0" w:space="0" w:color="auto"/>
          </w:divBdr>
        </w:div>
        <w:div w:id="219292057">
          <w:marLeft w:val="0"/>
          <w:marRight w:val="0"/>
          <w:marTop w:val="0"/>
          <w:marBottom w:val="0"/>
          <w:divBdr>
            <w:top w:val="none" w:sz="0" w:space="0" w:color="auto"/>
            <w:left w:val="none" w:sz="0" w:space="0" w:color="auto"/>
            <w:bottom w:val="none" w:sz="0" w:space="0" w:color="auto"/>
            <w:right w:val="none" w:sz="0" w:space="0" w:color="auto"/>
          </w:divBdr>
        </w:div>
      </w:divsChild>
    </w:div>
    <w:div w:id="1909265445">
      <w:marLeft w:val="0"/>
      <w:marRight w:val="0"/>
      <w:marTop w:val="240"/>
      <w:marBottom w:val="0"/>
      <w:divBdr>
        <w:top w:val="none" w:sz="0" w:space="0" w:color="auto"/>
        <w:left w:val="none" w:sz="0" w:space="0" w:color="auto"/>
        <w:bottom w:val="none" w:sz="0" w:space="0" w:color="auto"/>
        <w:right w:val="none" w:sz="0" w:space="0" w:color="auto"/>
      </w:divBdr>
    </w:div>
    <w:div w:id="1910118470">
      <w:marLeft w:val="0"/>
      <w:marRight w:val="0"/>
      <w:marTop w:val="60"/>
      <w:marBottom w:val="0"/>
      <w:divBdr>
        <w:top w:val="none" w:sz="0" w:space="0" w:color="auto"/>
        <w:left w:val="none" w:sz="0" w:space="0" w:color="auto"/>
        <w:bottom w:val="none" w:sz="0" w:space="0" w:color="auto"/>
        <w:right w:val="none" w:sz="0" w:space="0" w:color="auto"/>
      </w:divBdr>
    </w:div>
    <w:div w:id="1911236494">
      <w:marLeft w:val="0"/>
      <w:marRight w:val="0"/>
      <w:marTop w:val="180"/>
      <w:marBottom w:val="0"/>
      <w:divBdr>
        <w:top w:val="none" w:sz="0" w:space="0" w:color="auto"/>
        <w:left w:val="none" w:sz="0" w:space="0" w:color="auto"/>
        <w:bottom w:val="none" w:sz="0" w:space="0" w:color="auto"/>
        <w:right w:val="none" w:sz="0" w:space="0" w:color="auto"/>
      </w:divBdr>
    </w:div>
    <w:div w:id="1911386757">
      <w:marLeft w:val="0"/>
      <w:marRight w:val="0"/>
      <w:marTop w:val="180"/>
      <w:marBottom w:val="0"/>
      <w:divBdr>
        <w:top w:val="none" w:sz="0" w:space="0" w:color="auto"/>
        <w:left w:val="none" w:sz="0" w:space="0" w:color="auto"/>
        <w:bottom w:val="none" w:sz="0" w:space="0" w:color="auto"/>
        <w:right w:val="none" w:sz="0" w:space="0" w:color="auto"/>
      </w:divBdr>
    </w:div>
    <w:div w:id="1915430963">
      <w:marLeft w:val="0"/>
      <w:marRight w:val="0"/>
      <w:marTop w:val="240"/>
      <w:marBottom w:val="0"/>
      <w:divBdr>
        <w:top w:val="none" w:sz="0" w:space="0" w:color="auto"/>
        <w:left w:val="none" w:sz="0" w:space="0" w:color="auto"/>
        <w:bottom w:val="none" w:sz="0" w:space="0" w:color="auto"/>
        <w:right w:val="none" w:sz="0" w:space="0" w:color="auto"/>
      </w:divBdr>
    </w:div>
    <w:div w:id="1920366072">
      <w:marLeft w:val="0"/>
      <w:marRight w:val="0"/>
      <w:marTop w:val="240"/>
      <w:marBottom w:val="0"/>
      <w:divBdr>
        <w:top w:val="none" w:sz="0" w:space="0" w:color="auto"/>
        <w:left w:val="none" w:sz="0" w:space="0" w:color="auto"/>
        <w:bottom w:val="none" w:sz="0" w:space="0" w:color="auto"/>
        <w:right w:val="none" w:sz="0" w:space="0" w:color="auto"/>
      </w:divBdr>
    </w:div>
    <w:div w:id="1924757505">
      <w:marLeft w:val="0"/>
      <w:marRight w:val="0"/>
      <w:marTop w:val="0"/>
      <w:marBottom w:val="0"/>
      <w:divBdr>
        <w:top w:val="none" w:sz="0" w:space="0" w:color="auto"/>
        <w:left w:val="none" w:sz="0" w:space="0" w:color="auto"/>
        <w:bottom w:val="none" w:sz="0" w:space="0" w:color="auto"/>
        <w:right w:val="none" w:sz="0" w:space="0" w:color="auto"/>
      </w:divBdr>
      <w:divsChild>
        <w:div w:id="1600478784">
          <w:marLeft w:val="0"/>
          <w:marRight w:val="0"/>
          <w:marTop w:val="120"/>
          <w:marBottom w:val="0"/>
          <w:divBdr>
            <w:top w:val="none" w:sz="0" w:space="0" w:color="auto"/>
            <w:left w:val="none" w:sz="0" w:space="0" w:color="auto"/>
            <w:bottom w:val="none" w:sz="0" w:space="0" w:color="auto"/>
            <w:right w:val="none" w:sz="0" w:space="0" w:color="auto"/>
          </w:divBdr>
        </w:div>
      </w:divsChild>
    </w:div>
    <w:div w:id="1925452812">
      <w:marLeft w:val="0"/>
      <w:marRight w:val="0"/>
      <w:marTop w:val="0"/>
      <w:marBottom w:val="0"/>
      <w:divBdr>
        <w:top w:val="none" w:sz="0" w:space="0" w:color="auto"/>
        <w:left w:val="none" w:sz="0" w:space="0" w:color="auto"/>
        <w:bottom w:val="none" w:sz="0" w:space="0" w:color="auto"/>
        <w:right w:val="none" w:sz="0" w:space="0" w:color="auto"/>
      </w:divBdr>
      <w:divsChild>
        <w:div w:id="209612233">
          <w:marLeft w:val="0"/>
          <w:marRight w:val="0"/>
          <w:marTop w:val="0"/>
          <w:marBottom w:val="0"/>
          <w:divBdr>
            <w:top w:val="none" w:sz="0" w:space="0" w:color="auto"/>
            <w:left w:val="none" w:sz="0" w:space="0" w:color="auto"/>
            <w:bottom w:val="none" w:sz="0" w:space="0" w:color="auto"/>
            <w:right w:val="none" w:sz="0" w:space="0" w:color="auto"/>
          </w:divBdr>
          <w:divsChild>
            <w:div w:id="165532939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26452191">
      <w:marLeft w:val="0"/>
      <w:marRight w:val="0"/>
      <w:marTop w:val="240"/>
      <w:marBottom w:val="0"/>
      <w:divBdr>
        <w:top w:val="none" w:sz="0" w:space="0" w:color="auto"/>
        <w:left w:val="none" w:sz="0" w:space="0" w:color="auto"/>
        <w:bottom w:val="none" w:sz="0" w:space="0" w:color="auto"/>
        <w:right w:val="none" w:sz="0" w:space="0" w:color="auto"/>
      </w:divBdr>
    </w:div>
    <w:div w:id="1928230164">
      <w:marLeft w:val="0"/>
      <w:marRight w:val="0"/>
      <w:marTop w:val="240"/>
      <w:marBottom w:val="0"/>
      <w:divBdr>
        <w:top w:val="none" w:sz="0" w:space="0" w:color="auto"/>
        <w:left w:val="none" w:sz="0" w:space="0" w:color="auto"/>
        <w:bottom w:val="none" w:sz="0" w:space="0" w:color="auto"/>
        <w:right w:val="none" w:sz="0" w:space="0" w:color="auto"/>
      </w:divBdr>
    </w:div>
    <w:div w:id="1928268125">
      <w:marLeft w:val="0"/>
      <w:marRight w:val="0"/>
      <w:marTop w:val="240"/>
      <w:marBottom w:val="0"/>
      <w:divBdr>
        <w:top w:val="none" w:sz="0" w:space="0" w:color="auto"/>
        <w:left w:val="none" w:sz="0" w:space="0" w:color="auto"/>
        <w:bottom w:val="none" w:sz="0" w:space="0" w:color="auto"/>
        <w:right w:val="none" w:sz="0" w:space="0" w:color="auto"/>
      </w:divBdr>
    </w:div>
    <w:div w:id="1928542027">
      <w:marLeft w:val="0"/>
      <w:marRight w:val="0"/>
      <w:marTop w:val="240"/>
      <w:marBottom w:val="0"/>
      <w:divBdr>
        <w:top w:val="none" w:sz="0" w:space="0" w:color="auto"/>
        <w:left w:val="none" w:sz="0" w:space="0" w:color="auto"/>
        <w:bottom w:val="none" w:sz="0" w:space="0" w:color="auto"/>
        <w:right w:val="none" w:sz="0" w:space="0" w:color="auto"/>
      </w:divBdr>
    </w:div>
    <w:div w:id="1929121493">
      <w:marLeft w:val="0"/>
      <w:marRight w:val="0"/>
      <w:marTop w:val="240"/>
      <w:marBottom w:val="0"/>
      <w:divBdr>
        <w:top w:val="none" w:sz="0" w:space="0" w:color="auto"/>
        <w:left w:val="none" w:sz="0" w:space="0" w:color="auto"/>
        <w:bottom w:val="none" w:sz="0" w:space="0" w:color="auto"/>
        <w:right w:val="none" w:sz="0" w:space="0" w:color="auto"/>
      </w:divBdr>
    </w:div>
    <w:div w:id="1930657660">
      <w:marLeft w:val="0"/>
      <w:marRight w:val="0"/>
      <w:marTop w:val="240"/>
      <w:marBottom w:val="0"/>
      <w:divBdr>
        <w:top w:val="none" w:sz="0" w:space="0" w:color="auto"/>
        <w:left w:val="none" w:sz="0" w:space="0" w:color="auto"/>
        <w:bottom w:val="none" w:sz="0" w:space="0" w:color="auto"/>
        <w:right w:val="none" w:sz="0" w:space="0" w:color="auto"/>
      </w:divBdr>
    </w:div>
    <w:div w:id="1932934897">
      <w:marLeft w:val="0"/>
      <w:marRight w:val="0"/>
      <w:marTop w:val="180"/>
      <w:marBottom w:val="0"/>
      <w:divBdr>
        <w:top w:val="none" w:sz="0" w:space="0" w:color="auto"/>
        <w:left w:val="none" w:sz="0" w:space="0" w:color="auto"/>
        <w:bottom w:val="none" w:sz="0" w:space="0" w:color="auto"/>
        <w:right w:val="none" w:sz="0" w:space="0" w:color="auto"/>
      </w:divBdr>
    </w:div>
    <w:div w:id="1934044017">
      <w:marLeft w:val="0"/>
      <w:marRight w:val="0"/>
      <w:marTop w:val="240"/>
      <w:marBottom w:val="0"/>
      <w:divBdr>
        <w:top w:val="none" w:sz="0" w:space="0" w:color="auto"/>
        <w:left w:val="none" w:sz="0" w:space="0" w:color="auto"/>
        <w:bottom w:val="none" w:sz="0" w:space="0" w:color="auto"/>
        <w:right w:val="none" w:sz="0" w:space="0" w:color="auto"/>
      </w:divBdr>
    </w:div>
    <w:div w:id="1934899158">
      <w:marLeft w:val="0"/>
      <w:marRight w:val="0"/>
      <w:marTop w:val="240"/>
      <w:marBottom w:val="0"/>
      <w:divBdr>
        <w:top w:val="none" w:sz="0" w:space="0" w:color="auto"/>
        <w:left w:val="none" w:sz="0" w:space="0" w:color="auto"/>
        <w:bottom w:val="none" w:sz="0" w:space="0" w:color="auto"/>
        <w:right w:val="none" w:sz="0" w:space="0" w:color="auto"/>
      </w:divBdr>
    </w:div>
    <w:div w:id="1936397535">
      <w:marLeft w:val="0"/>
      <w:marRight w:val="0"/>
      <w:marTop w:val="180"/>
      <w:marBottom w:val="120"/>
      <w:divBdr>
        <w:top w:val="none" w:sz="0" w:space="0" w:color="auto"/>
        <w:left w:val="none" w:sz="0" w:space="0" w:color="auto"/>
        <w:bottom w:val="none" w:sz="0" w:space="0" w:color="auto"/>
        <w:right w:val="none" w:sz="0" w:space="0" w:color="auto"/>
      </w:divBdr>
    </w:div>
    <w:div w:id="1937857315">
      <w:marLeft w:val="0"/>
      <w:marRight w:val="0"/>
      <w:marTop w:val="240"/>
      <w:marBottom w:val="0"/>
      <w:divBdr>
        <w:top w:val="none" w:sz="0" w:space="0" w:color="auto"/>
        <w:left w:val="none" w:sz="0" w:space="0" w:color="auto"/>
        <w:bottom w:val="none" w:sz="0" w:space="0" w:color="auto"/>
        <w:right w:val="none" w:sz="0" w:space="0" w:color="auto"/>
      </w:divBdr>
    </w:div>
    <w:div w:id="1939680906">
      <w:marLeft w:val="0"/>
      <w:marRight w:val="0"/>
      <w:marTop w:val="240"/>
      <w:marBottom w:val="0"/>
      <w:divBdr>
        <w:top w:val="none" w:sz="0" w:space="0" w:color="auto"/>
        <w:left w:val="none" w:sz="0" w:space="0" w:color="auto"/>
        <w:bottom w:val="none" w:sz="0" w:space="0" w:color="auto"/>
        <w:right w:val="none" w:sz="0" w:space="0" w:color="auto"/>
      </w:divBdr>
    </w:div>
    <w:div w:id="1941450668">
      <w:marLeft w:val="0"/>
      <w:marRight w:val="0"/>
      <w:marTop w:val="60"/>
      <w:marBottom w:val="0"/>
      <w:divBdr>
        <w:top w:val="none" w:sz="0" w:space="0" w:color="auto"/>
        <w:left w:val="none" w:sz="0" w:space="0" w:color="auto"/>
        <w:bottom w:val="none" w:sz="0" w:space="0" w:color="auto"/>
        <w:right w:val="none" w:sz="0" w:space="0" w:color="auto"/>
      </w:divBdr>
    </w:div>
    <w:div w:id="1942031641">
      <w:marLeft w:val="0"/>
      <w:marRight w:val="0"/>
      <w:marTop w:val="300"/>
      <w:marBottom w:val="0"/>
      <w:divBdr>
        <w:top w:val="none" w:sz="0" w:space="0" w:color="auto"/>
        <w:left w:val="none" w:sz="0" w:space="0" w:color="auto"/>
        <w:bottom w:val="none" w:sz="0" w:space="0" w:color="auto"/>
        <w:right w:val="none" w:sz="0" w:space="0" w:color="auto"/>
      </w:divBdr>
    </w:div>
    <w:div w:id="1943685627">
      <w:marLeft w:val="0"/>
      <w:marRight w:val="0"/>
      <w:marTop w:val="240"/>
      <w:marBottom w:val="0"/>
      <w:divBdr>
        <w:top w:val="none" w:sz="0" w:space="0" w:color="auto"/>
        <w:left w:val="none" w:sz="0" w:space="0" w:color="auto"/>
        <w:bottom w:val="none" w:sz="0" w:space="0" w:color="auto"/>
        <w:right w:val="none" w:sz="0" w:space="0" w:color="auto"/>
      </w:divBdr>
    </w:div>
    <w:div w:id="1943756671">
      <w:marLeft w:val="0"/>
      <w:marRight w:val="0"/>
      <w:marTop w:val="240"/>
      <w:marBottom w:val="0"/>
      <w:divBdr>
        <w:top w:val="none" w:sz="0" w:space="0" w:color="auto"/>
        <w:left w:val="none" w:sz="0" w:space="0" w:color="auto"/>
        <w:bottom w:val="none" w:sz="0" w:space="0" w:color="auto"/>
        <w:right w:val="none" w:sz="0" w:space="0" w:color="auto"/>
      </w:divBdr>
    </w:div>
    <w:div w:id="1946158111">
      <w:marLeft w:val="0"/>
      <w:marRight w:val="0"/>
      <w:marTop w:val="240"/>
      <w:marBottom w:val="240"/>
      <w:divBdr>
        <w:top w:val="none" w:sz="0" w:space="0" w:color="auto"/>
        <w:left w:val="none" w:sz="0" w:space="0" w:color="auto"/>
        <w:bottom w:val="none" w:sz="0" w:space="0" w:color="auto"/>
        <w:right w:val="none" w:sz="0" w:space="0" w:color="auto"/>
      </w:divBdr>
    </w:div>
    <w:div w:id="1948192089">
      <w:marLeft w:val="0"/>
      <w:marRight w:val="0"/>
      <w:marTop w:val="180"/>
      <w:marBottom w:val="0"/>
      <w:divBdr>
        <w:top w:val="none" w:sz="0" w:space="0" w:color="auto"/>
        <w:left w:val="none" w:sz="0" w:space="0" w:color="auto"/>
        <w:bottom w:val="none" w:sz="0" w:space="0" w:color="auto"/>
        <w:right w:val="none" w:sz="0" w:space="0" w:color="auto"/>
      </w:divBdr>
    </w:div>
    <w:div w:id="1950502664">
      <w:marLeft w:val="0"/>
      <w:marRight w:val="0"/>
      <w:marTop w:val="240"/>
      <w:marBottom w:val="0"/>
      <w:divBdr>
        <w:top w:val="none" w:sz="0" w:space="0" w:color="auto"/>
        <w:left w:val="none" w:sz="0" w:space="0" w:color="auto"/>
        <w:bottom w:val="none" w:sz="0" w:space="0" w:color="auto"/>
        <w:right w:val="none" w:sz="0" w:space="0" w:color="auto"/>
      </w:divBdr>
    </w:div>
    <w:div w:id="1953246748">
      <w:marLeft w:val="0"/>
      <w:marRight w:val="0"/>
      <w:marTop w:val="0"/>
      <w:marBottom w:val="0"/>
      <w:divBdr>
        <w:top w:val="none" w:sz="0" w:space="0" w:color="auto"/>
        <w:left w:val="none" w:sz="0" w:space="0" w:color="auto"/>
        <w:bottom w:val="none" w:sz="0" w:space="0" w:color="auto"/>
        <w:right w:val="none" w:sz="0" w:space="0" w:color="auto"/>
      </w:divBdr>
      <w:divsChild>
        <w:div w:id="1288395515">
          <w:marLeft w:val="0"/>
          <w:marRight w:val="0"/>
          <w:marTop w:val="0"/>
          <w:marBottom w:val="0"/>
          <w:divBdr>
            <w:top w:val="none" w:sz="0" w:space="0" w:color="auto"/>
            <w:left w:val="none" w:sz="0" w:space="0" w:color="auto"/>
            <w:bottom w:val="none" w:sz="0" w:space="0" w:color="auto"/>
            <w:right w:val="none" w:sz="0" w:space="0" w:color="auto"/>
          </w:divBdr>
          <w:divsChild>
            <w:div w:id="8981728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56716278">
      <w:marLeft w:val="0"/>
      <w:marRight w:val="0"/>
      <w:marTop w:val="180"/>
      <w:marBottom w:val="0"/>
      <w:divBdr>
        <w:top w:val="none" w:sz="0" w:space="0" w:color="auto"/>
        <w:left w:val="none" w:sz="0" w:space="0" w:color="auto"/>
        <w:bottom w:val="none" w:sz="0" w:space="0" w:color="auto"/>
        <w:right w:val="none" w:sz="0" w:space="0" w:color="auto"/>
      </w:divBdr>
    </w:div>
    <w:div w:id="1962149272">
      <w:marLeft w:val="0"/>
      <w:marRight w:val="0"/>
      <w:marTop w:val="160"/>
      <w:marBottom w:val="0"/>
      <w:divBdr>
        <w:top w:val="none" w:sz="0" w:space="0" w:color="auto"/>
        <w:left w:val="none" w:sz="0" w:space="0" w:color="auto"/>
        <w:bottom w:val="none" w:sz="0" w:space="0" w:color="auto"/>
        <w:right w:val="none" w:sz="0" w:space="0" w:color="auto"/>
      </w:divBdr>
      <w:divsChild>
        <w:div w:id="389814661">
          <w:marLeft w:val="0"/>
          <w:marRight w:val="0"/>
          <w:marTop w:val="0"/>
          <w:marBottom w:val="0"/>
          <w:divBdr>
            <w:top w:val="none" w:sz="0" w:space="0" w:color="auto"/>
            <w:left w:val="none" w:sz="0" w:space="0" w:color="auto"/>
            <w:bottom w:val="none" w:sz="0" w:space="0" w:color="auto"/>
            <w:right w:val="none" w:sz="0" w:space="0" w:color="auto"/>
          </w:divBdr>
        </w:div>
        <w:div w:id="364404070">
          <w:marLeft w:val="0"/>
          <w:marRight w:val="0"/>
          <w:marTop w:val="0"/>
          <w:marBottom w:val="0"/>
          <w:divBdr>
            <w:top w:val="none" w:sz="0" w:space="0" w:color="auto"/>
            <w:left w:val="none" w:sz="0" w:space="0" w:color="auto"/>
            <w:bottom w:val="none" w:sz="0" w:space="0" w:color="auto"/>
            <w:right w:val="none" w:sz="0" w:space="0" w:color="auto"/>
          </w:divBdr>
        </w:div>
        <w:div w:id="958727360">
          <w:marLeft w:val="0"/>
          <w:marRight w:val="0"/>
          <w:marTop w:val="0"/>
          <w:marBottom w:val="0"/>
          <w:divBdr>
            <w:top w:val="none" w:sz="0" w:space="0" w:color="auto"/>
            <w:left w:val="none" w:sz="0" w:space="0" w:color="auto"/>
            <w:bottom w:val="none" w:sz="0" w:space="0" w:color="auto"/>
            <w:right w:val="none" w:sz="0" w:space="0" w:color="auto"/>
          </w:divBdr>
        </w:div>
        <w:div w:id="1415663705">
          <w:marLeft w:val="0"/>
          <w:marRight w:val="0"/>
          <w:marTop w:val="0"/>
          <w:marBottom w:val="0"/>
          <w:divBdr>
            <w:top w:val="none" w:sz="0" w:space="0" w:color="auto"/>
            <w:left w:val="none" w:sz="0" w:space="0" w:color="auto"/>
            <w:bottom w:val="none" w:sz="0" w:space="0" w:color="auto"/>
            <w:right w:val="none" w:sz="0" w:space="0" w:color="auto"/>
          </w:divBdr>
        </w:div>
      </w:divsChild>
    </w:div>
    <w:div w:id="1963074537">
      <w:marLeft w:val="0"/>
      <w:marRight w:val="0"/>
      <w:marTop w:val="240"/>
      <w:marBottom w:val="0"/>
      <w:divBdr>
        <w:top w:val="none" w:sz="0" w:space="0" w:color="auto"/>
        <w:left w:val="none" w:sz="0" w:space="0" w:color="auto"/>
        <w:bottom w:val="none" w:sz="0" w:space="0" w:color="auto"/>
        <w:right w:val="none" w:sz="0" w:space="0" w:color="auto"/>
      </w:divBdr>
    </w:div>
    <w:div w:id="1964801663">
      <w:marLeft w:val="0"/>
      <w:marRight w:val="0"/>
      <w:marTop w:val="240"/>
      <w:marBottom w:val="0"/>
      <w:divBdr>
        <w:top w:val="none" w:sz="0" w:space="0" w:color="auto"/>
        <w:left w:val="none" w:sz="0" w:space="0" w:color="auto"/>
        <w:bottom w:val="none" w:sz="0" w:space="0" w:color="auto"/>
        <w:right w:val="none" w:sz="0" w:space="0" w:color="auto"/>
      </w:divBdr>
    </w:div>
    <w:div w:id="1966227142">
      <w:marLeft w:val="0"/>
      <w:marRight w:val="0"/>
      <w:marTop w:val="180"/>
      <w:marBottom w:val="0"/>
      <w:divBdr>
        <w:top w:val="none" w:sz="0" w:space="0" w:color="auto"/>
        <w:left w:val="none" w:sz="0" w:space="0" w:color="auto"/>
        <w:bottom w:val="none" w:sz="0" w:space="0" w:color="auto"/>
        <w:right w:val="none" w:sz="0" w:space="0" w:color="auto"/>
      </w:divBdr>
    </w:div>
    <w:div w:id="1967350025">
      <w:marLeft w:val="0"/>
      <w:marRight w:val="0"/>
      <w:marTop w:val="60"/>
      <w:marBottom w:val="0"/>
      <w:divBdr>
        <w:top w:val="none" w:sz="0" w:space="0" w:color="auto"/>
        <w:left w:val="none" w:sz="0" w:space="0" w:color="auto"/>
        <w:bottom w:val="none" w:sz="0" w:space="0" w:color="auto"/>
        <w:right w:val="none" w:sz="0" w:space="0" w:color="auto"/>
      </w:divBdr>
    </w:div>
    <w:div w:id="1967815492">
      <w:marLeft w:val="0"/>
      <w:marRight w:val="0"/>
      <w:marTop w:val="160"/>
      <w:marBottom w:val="0"/>
      <w:divBdr>
        <w:top w:val="none" w:sz="0" w:space="0" w:color="auto"/>
        <w:left w:val="none" w:sz="0" w:space="0" w:color="auto"/>
        <w:bottom w:val="none" w:sz="0" w:space="0" w:color="auto"/>
        <w:right w:val="none" w:sz="0" w:space="0" w:color="auto"/>
      </w:divBdr>
    </w:div>
    <w:div w:id="1969389026">
      <w:marLeft w:val="0"/>
      <w:marRight w:val="0"/>
      <w:marTop w:val="300"/>
      <w:marBottom w:val="0"/>
      <w:divBdr>
        <w:top w:val="none" w:sz="0" w:space="0" w:color="auto"/>
        <w:left w:val="none" w:sz="0" w:space="0" w:color="auto"/>
        <w:bottom w:val="none" w:sz="0" w:space="0" w:color="auto"/>
        <w:right w:val="none" w:sz="0" w:space="0" w:color="auto"/>
      </w:divBdr>
    </w:div>
    <w:div w:id="1970092058">
      <w:marLeft w:val="0"/>
      <w:marRight w:val="0"/>
      <w:marTop w:val="220"/>
      <w:marBottom w:val="0"/>
      <w:divBdr>
        <w:top w:val="none" w:sz="0" w:space="0" w:color="auto"/>
        <w:left w:val="none" w:sz="0" w:space="0" w:color="auto"/>
        <w:bottom w:val="none" w:sz="0" w:space="0" w:color="auto"/>
        <w:right w:val="none" w:sz="0" w:space="0" w:color="auto"/>
      </w:divBdr>
    </w:div>
    <w:div w:id="1970697988">
      <w:marLeft w:val="0"/>
      <w:marRight w:val="0"/>
      <w:marTop w:val="240"/>
      <w:marBottom w:val="0"/>
      <w:divBdr>
        <w:top w:val="none" w:sz="0" w:space="0" w:color="auto"/>
        <w:left w:val="none" w:sz="0" w:space="0" w:color="auto"/>
        <w:bottom w:val="none" w:sz="0" w:space="0" w:color="auto"/>
        <w:right w:val="none" w:sz="0" w:space="0" w:color="auto"/>
      </w:divBdr>
    </w:div>
    <w:div w:id="1971401991">
      <w:marLeft w:val="0"/>
      <w:marRight w:val="0"/>
      <w:marTop w:val="240"/>
      <w:marBottom w:val="0"/>
      <w:divBdr>
        <w:top w:val="none" w:sz="0" w:space="0" w:color="auto"/>
        <w:left w:val="none" w:sz="0" w:space="0" w:color="auto"/>
        <w:bottom w:val="none" w:sz="0" w:space="0" w:color="auto"/>
        <w:right w:val="none" w:sz="0" w:space="0" w:color="auto"/>
      </w:divBdr>
    </w:div>
    <w:div w:id="1971549076">
      <w:marLeft w:val="0"/>
      <w:marRight w:val="0"/>
      <w:marTop w:val="240"/>
      <w:marBottom w:val="0"/>
      <w:divBdr>
        <w:top w:val="none" w:sz="0" w:space="0" w:color="auto"/>
        <w:left w:val="none" w:sz="0" w:space="0" w:color="auto"/>
        <w:bottom w:val="none" w:sz="0" w:space="0" w:color="auto"/>
        <w:right w:val="none" w:sz="0" w:space="0" w:color="auto"/>
      </w:divBdr>
    </w:div>
    <w:div w:id="1971938670">
      <w:marLeft w:val="0"/>
      <w:marRight w:val="0"/>
      <w:marTop w:val="240"/>
      <w:marBottom w:val="0"/>
      <w:divBdr>
        <w:top w:val="none" w:sz="0" w:space="0" w:color="auto"/>
        <w:left w:val="none" w:sz="0" w:space="0" w:color="auto"/>
        <w:bottom w:val="none" w:sz="0" w:space="0" w:color="auto"/>
        <w:right w:val="none" w:sz="0" w:space="0" w:color="auto"/>
      </w:divBdr>
    </w:div>
    <w:div w:id="1972400094">
      <w:marLeft w:val="0"/>
      <w:marRight w:val="0"/>
      <w:marTop w:val="240"/>
      <w:marBottom w:val="0"/>
      <w:divBdr>
        <w:top w:val="none" w:sz="0" w:space="0" w:color="auto"/>
        <w:left w:val="none" w:sz="0" w:space="0" w:color="auto"/>
        <w:bottom w:val="none" w:sz="0" w:space="0" w:color="auto"/>
        <w:right w:val="none" w:sz="0" w:space="0" w:color="auto"/>
      </w:divBdr>
    </w:div>
    <w:div w:id="1972981257">
      <w:marLeft w:val="0"/>
      <w:marRight w:val="0"/>
      <w:marTop w:val="240"/>
      <w:marBottom w:val="0"/>
      <w:divBdr>
        <w:top w:val="none" w:sz="0" w:space="0" w:color="auto"/>
        <w:left w:val="none" w:sz="0" w:space="0" w:color="auto"/>
        <w:bottom w:val="none" w:sz="0" w:space="0" w:color="auto"/>
        <w:right w:val="none" w:sz="0" w:space="0" w:color="auto"/>
      </w:divBdr>
    </w:div>
    <w:div w:id="1973439712">
      <w:marLeft w:val="0"/>
      <w:marRight w:val="0"/>
      <w:marTop w:val="240"/>
      <w:marBottom w:val="0"/>
      <w:divBdr>
        <w:top w:val="none" w:sz="0" w:space="0" w:color="auto"/>
        <w:left w:val="none" w:sz="0" w:space="0" w:color="auto"/>
        <w:bottom w:val="none" w:sz="0" w:space="0" w:color="auto"/>
        <w:right w:val="none" w:sz="0" w:space="0" w:color="auto"/>
      </w:divBdr>
    </w:div>
    <w:div w:id="1975136303">
      <w:marLeft w:val="0"/>
      <w:marRight w:val="0"/>
      <w:marTop w:val="240"/>
      <w:marBottom w:val="0"/>
      <w:divBdr>
        <w:top w:val="none" w:sz="0" w:space="0" w:color="auto"/>
        <w:left w:val="none" w:sz="0" w:space="0" w:color="auto"/>
        <w:bottom w:val="none" w:sz="0" w:space="0" w:color="auto"/>
        <w:right w:val="none" w:sz="0" w:space="0" w:color="auto"/>
      </w:divBdr>
    </w:div>
    <w:div w:id="1977681205">
      <w:marLeft w:val="0"/>
      <w:marRight w:val="0"/>
      <w:marTop w:val="180"/>
      <w:marBottom w:val="0"/>
      <w:divBdr>
        <w:top w:val="none" w:sz="0" w:space="0" w:color="auto"/>
        <w:left w:val="none" w:sz="0" w:space="0" w:color="auto"/>
        <w:bottom w:val="none" w:sz="0" w:space="0" w:color="auto"/>
        <w:right w:val="none" w:sz="0" w:space="0" w:color="auto"/>
      </w:divBdr>
    </w:div>
    <w:div w:id="1980646509">
      <w:marLeft w:val="0"/>
      <w:marRight w:val="0"/>
      <w:marTop w:val="240"/>
      <w:marBottom w:val="0"/>
      <w:divBdr>
        <w:top w:val="none" w:sz="0" w:space="0" w:color="auto"/>
        <w:left w:val="none" w:sz="0" w:space="0" w:color="auto"/>
        <w:bottom w:val="none" w:sz="0" w:space="0" w:color="auto"/>
        <w:right w:val="none" w:sz="0" w:space="0" w:color="auto"/>
      </w:divBdr>
    </w:div>
    <w:div w:id="1980718971">
      <w:marLeft w:val="0"/>
      <w:marRight w:val="0"/>
      <w:marTop w:val="240"/>
      <w:marBottom w:val="0"/>
      <w:divBdr>
        <w:top w:val="none" w:sz="0" w:space="0" w:color="auto"/>
        <w:left w:val="none" w:sz="0" w:space="0" w:color="auto"/>
        <w:bottom w:val="none" w:sz="0" w:space="0" w:color="auto"/>
        <w:right w:val="none" w:sz="0" w:space="0" w:color="auto"/>
      </w:divBdr>
    </w:div>
    <w:div w:id="1982029887">
      <w:marLeft w:val="0"/>
      <w:marRight w:val="0"/>
      <w:marTop w:val="240"/>
      <w:marBottom w:val="240"/>
      <w:divBdr>
        <w:top w:val="none" w:sz="0" w:space="0" w:color="auto"/>
        <w:left w:val="none" w:sz="0" w:space="0" w:color="auto"/>
        <w:bottom w:val="none" w:sz="0" w:space="0" w:color="auto"/>
        <w:right w:val="none" w:sz="0" w:space="0" w:color="auto"/>
      </w:divBdr>
    </w:div>
    <w:div w:id="1982034651">
      <w:marLeft w:val="0"/>
      <w:marRight w:val="0"/>
      <w:marTop w:val="60"/>
      <w:marBottom w:val="0"/>
      <w:divBdr>
        <w:top w:val="none" w:sz="0" w:space="0" w:color="auto"/>
        <w:left w:val="none" w:sz="0" w:space="0" w:color="auto"/>
        <w:bottom w:val="none" w:sz="0" w:space="0" w:color="auto"/>
        <w:right w:val="none" w:sz="0" w:space="0" w:color="auto"/>
      </w:divBdr>
    </w:div>
    <w:div w:id="1983927827">
      <w:marLeft w:val="0"/>
      <w:marRight w:val="0"/>
      <w:marTop w:val="0"/>
      <w:marBottom w:val="0"/>
      <w:divBdr>
        <w:top w:val="none" w:sz="0" w:space="0" w:color="auto"/>
        <w:left w:val="none" w:sz="0" w:space="0" w:color="auto"/>
        <w:bottom w:val="none" w:sz="0" w:space="0" w:color="auto"/>
        <w:right w:val="none" w:sz="0" w:space="0" w:color="auto"/>
      </w:divBdr>
    </w:div>
    <w:div w:id="1984893879">
      <w:marLeft w:val="0"/>
      <w:marRight w:val="0"/>
      <w:marTop w:val="180"/>
      <w:marBottom w:val="0"/>
      <w:divBdr>
        <w:top w:val="none" w:sz="0" w:space="0" w:color="auto"/>
        <w:left w:val="none" w:sz="0" w:space="0" w:color="auto"/>
        <w:bottom w:val="none" w:sz="0" w:space="0" w:color="auto"/>
        <w:right w:val="none" w:sz="0" w:space="0" w:color="auto"/>
      </w:divBdr>
    </w:div>
    <w:div w:id="1985427879">
      <w:marLeft w:val="0"/>
      <w:marRight w:val="0"/>
      <w:marTop w:val="240"/>
      <w:marBottom w:val="0"/>
      <w:divBdr>
        <w:top w:val="none" w:sz="0" w:space="0" w:color="auto"/>
        <w:left w:val="none" w:sz="0" w:space="0" w:color="auto"/>
        <w:bottom w:val="none" w:sz="0" w:space="0" w:color="auto"/>
        <w:right w:val="none" w:sz="0" w:space="0" w:color="auto"/>
      </w:divBdr>
    </w:div>
    <w:div w:id="1985506390">
      <w:marLeft w:val="0"/>
      <w:marRight w:val="0"/>
      <w:marTop w:val="240"/>
      <w:marBottom w:val="0"/>
      <w:divBdr>
        <w:top w:val="none" w:sz="0" w:space="0" w:color="auto"/>
        <w:left w:val="none" w:sz="0" w:space="0" w:color="auto"/>
        <w:bottom w:val="none" w:sz="0" w:space="0" w:color="auto"/>
        <w:right w:val="none" w:sz="0" w:space="0" w:color="auto"/>
      </w:divBdr>
    </w:div>
    <w:div w:id="1986200537">
      <w:marLeft w:val="0"/>
      <w:marRight w:val="0"/>
      <w:marTop w:val="0"/>
      <w:marBottom w:val="0"/>
      <w:divBdr>
        <w:top w:val="none" w:sz="0" w:space="0" w:color="auto"/>
        <w:left w:val="none" w:sz="0" w:space="0" w:color="auto"/>
        <w:bottom w:val="none" w:sz="0" w:space="0" w:color="auto"/>
        <w:right w:val="none" w:sz="0" w:space="0" w:color="auto"/>
      </w:divBdr>
      <w:divsChild>
        <w:div w:id="236139430">
          <w:marLeft w:val="0"/>
          <w:marRight w:val="0"/>
          <w:marTop w:val="0"/>
          <w:marBottom w:val="0"/>
          <w:divBdr>
            <w:top w:val="none" w:sz="0" w:space="0" w:color="auto"/>
            <w:left w:val="none" w:sz="0" w:space="0" w:color="auto"/>
            <w:bottom w:val="none" w:sz="0" w:space="0" w:color="auto"/>
            <w:right w:val="none" w:sz="0" w:space="0" w:color="auto"/>
          </w:divBdr>
        </w:div>
      </w:divsChild>
    </w:div>
    <w:div w:id="1987394973">
      <w:marLeft w:val="0"/>
      <w:marRight w:val="0"/>
      <w:marTop w:val="240"/>
      <w:marBottom w:val="0"/>
      <w:divBdr>
        <w:top w:val="none" w:sz="0" w:space="0" w:color="auto"/>
        <w:left w:val="none" w:sz="0" w:space="0" w:color="auto"/>
        <w:bottom w:val="none" w:sz="0" w:space="0" w:color="auto"/>
        <w:right w:val="none" w:sz="0" w:space="0" w:color="auto"/>
      </w:divBdr>
    </w:div>
    <w:div w:id="1988363176">
      <w:marLeft w:val="0"/>
      <w:marRight w:val="0"/>
      <w:marTop w:val="0"/>
      <w:marBottom w:val="0"/>
      <w:divBdr>
        <w:top w:val="none" w:sz="0" w:space="0" w:color="auto"/>
        <w:left w:val="none" w:sz="0" w:space="0" w:color="auto"/>
        <w:bottom w:val="none" w:sz="0" w:space="0" w:color="auto"/>
        <w:right w:val="none" w:sz="0" w:space="0" w:color="auto"/>
      </w:divBdr>
      <w:divsChild>
        <w:div w:id="323315649">
          <w:marLeft w:val="0"/>
          <w:marRight w:val="0"/>
          <w:marTop w:val="0"/>
          <w:marBottom w:val="0"/>
          <w:divBdr>
            <w:top w:val="none" w:sz="0" w:space="0" w:color="auto"/>
            <w:left w:val="none" w:sz="0" w:space="0" w:color="auto"/>
            <w:bottom w:val="none" w:sz="0" w:space="0" w:color="auto"/>
            <w:right w:val="none" w:sz="0" w:space="0" w:color="auto"/>
          </w:divBdr>
          <w:divsChild>
            <w:div w:id="37631842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88973753">
      <w:marLeft w:val="0"/>
      <w:marRight w:val="0"/>
      <w:marTop w:val="240"/>
      <w:marBottom w:val="0"/>
      <w:divBdr>
        <w:top w:val="none" w:sz="0" w:space="0" w:color="auto"/>
        <w:left w:val="none" w:sz="0" w:space="0" w:color="auto"/>
        <w:bottom w:val="none" w:sz="0" w:space="0" w:color="auto"/>
        <w:right w:val="none" w:sz="0" w:space="0" w:color="auto"/>
      </w:divBdr>
    </w:div>
    <w:div w:id="1989699694">
      <w:marLeft w:val="0"/>
      <w:marRight w:val="0"/>
      <w:marTop w:val="0"/>
      <w:marBottom w:val="0"/>
      <w:divBdr>
        <w:top w:val="none" w:sz="0" w:space="0" w:color="auto"/>
        <w:left w:val="none" w:sz="0" w:space="0" w:color="auto"/>
        <w:bottom w:val="none" w:sz="0" w:space="0" w:color="auto"/>
        <w:right w:val="none" w:sz="0" w:space="0" w:color="auto"/>
      </w:divBdr>
    </w:div>
    <w:div w:id="1995331208">
      <w:marLeft w:val="0"/>
      <w:marRight w:val="0"/>
      <w:marTop w:val="240"/>
      <w:marBottom w:val="0"/>
      <w:divBdr>
        <w:top w:val="none" w:sz="0" w:space="0" w:color="auto"/>
        <w:left w:val="none" w:sz="0" w:space="0" w:color="auto"/>
        <w:bottom w:val="none" w:sz="0" w:space="0" w:color="auto"/>
        <w:right w:val="none" w:sz="0" w:space="0" w:color="auto"/>
      </w:divBdr>
    </w:div>
    <w:div w:id="1995837442">
      <w:marLeft w:val="0"/>
      <w:marRight w:val="0"/>
      <w:marTop w:val="300"/>
      <w:marBottom w:val="0"/>
      <w:divBdr>
        <w:top w:val="none" w:sz="0" w:space="0" w:color="auto"/>
        <w:left w:val="none" w:sz="0" w:space="0" w:color="auto"/>
        <w:bottom w:val="none" w:sz="0" w:space="0" w:color="auto"/>
        <w:right w:val="none" w:sz="0" w:space="0" w:color="auto"/>
      </w:divBdr>
    </w:div>
    <w:div w:id="2000426614">
      <w:marLeft w:val="0"/>
      <w:marRight w:val="0"/>
      <w:marTop w:val="100"/>
      <w:marBottom w:val="0"/>
      <w:divBdr>
        <w:top w:val="none" w:sz="0" w:space="0" w:color="auto"/>
        <w:left w:val="none" w:sz="0" w:space="0" w:color="auto"/>
        <w:bottom w:val="none" w:sz="0" w:space="0" w:color="auto"/>
        <w:right w:val="none" w:sz="0" w:space="0" w:color="auto"/>
      </w:divBdr>
      <w:divsChild>
        <w:div w:id="460849575">
          <w:marLeft w:val="0"/>
          <w:marRight w:val="0"/>
          <w:marTop w:val="0"/>
          <w:marBottom w:val="0"/>
          <w:divBdr>
            <w:top w:val="none" w:sz="0" w:space="0" w:color="auto"/>
            <w:left w:val="none" w:sz="0" w:space="0" w:color="auto"/>
            <w:bottom w:val="none" w:sz="0" w:space="0" w:color="auto"/>
            <w:right w:val="none" w:sz="0" w:space="0" w:color="auto"/>
          </w:divBdr>
        </w:div>
      </w:divsChild>
    </w:div>
    <w:div w:id="2001695063">
      <w:marLeft w:val="0"/>
      <w:marRight w:val="0"/>
      <w:marTop w:val="240"/>
      <w:marBottom w:val="0"/>
      <w:divBdr>
        <w:top w:val="none" w:sz="0" w:space="0" w:color="auto"/>
        <w:left w:val="none" w:sz="0" w:space="0" w:color="auto"/>
        <w:bottom w:val="none" w:sz="0" w:space="0" w:color="auto"/>
        <w:right w:val="none" w:sz="0" w:space="0" w:color="auto"/>
      </w:divBdr>
    </w:div>
    <w:div w:id="2002849989">
      <w:marLeft w:val="0"/>
      <w:marRight w:val="0"/>
      <w:marTop w:val="240"/>
      <w:marBottom w:val="0"/>
      <w:divBdr>
        <w:top w:val="none" w:sz="0" w:space="0" w:color="auto"/>
        <w:left w:val="none" w:sz="0" w:space="0" w:color="auto"/>
        <w:bottom w:val="none" w:sz="0" w:space="0" w:color="auto"/>
        <w:right w:val="none" w:sz="0" w:space="0" w:color="auto"/>
      </w:divBdr>
    </w:div>
    <w:div w:id="2003315185">
      <w:marLeft w:val="0"/>
      <w:marRight w:val="0"/>
      <w:marTop w:val="240"/>
      <w:marBottom w:val="0"/>
      <w:divBdr>
        <w:top w:val="none" w:sz="0" w:space="0" w:color="auto"/>
        <w:left w:val="none" w:sz="0" w:space="0" w:color="auto"/>
        <w:bottom w:val="none" w:sz="0" w:space="0" w:color="auto"/>
        <w:right w:val="none" w:sz="0" w:space="0" w:color="auto"/>
      </w:divBdr>
    </w:div>
    <w:div w:id="2005740390">
      <w:marLeft w:val="0"/>
      <w:marRight w:val="0"/>
      <w:marTop w:val="240"/>
      <w:marBottom w:val="0"/>
      <w:divBdr>
        <w:top w:val="none" w:sz="0" w:space="0" w:color="auto"/>
        <w:left w:val="none" w:sz="0" w:space="0" w:color="auto"/>
        <w:bottom w:val="none" w:sz="0" w:space="0" w:color="auto"/>
        <w:right w:val="none" w:sz="0" w:space="0" w:color="auto"/>
      </w:divBdr>
    </w:div>
    <w:div w:id="2005743734">
      <w:marLeft w:val="0"/>
      <w:marRight w:val="0"/>
      <w:marTop w:val="0"/>
      <w:marBottom w:val="0"/>
      <w:divBdr>
        <w:top w:val="none" w:sz="0" w:space="0" w:color="auto"/>
        <w:left w:val="none" w:sz="0" w:space="0" w:color="auto"/>
        <w:bottom w:val="none" w:sz="0" w:space="0" w:color="auto"/>
        <w:right w:val="none" w:sz="0" w:space="0" w:color="auto"/>
      </w:divBdr>
      <w:divsChild>
        <w:div w:id="1412585621">
          <w:marLeft w:val="0"/>
          <w:marRight w:val="0"/>
          <w:marTop w:val="0"/>
          <w:marBottom w:val="0"/>
          <w:divBdr>
            <w:top w:val="none" w:sz="0" w:space="0" w:color="auto"/>
            <w:left w:val="none" w:sz="0" w:space="0" w:color="auto"/>
            <w:bottom w:val="none" w:sz="0" w:space="0" w:color="auto"/>
            <w:right w:val="none" w:sz="0" w:space="0" w:color="auto"/>
          </w:divBdr>
          <w:divsChild>
            <w:div w:id="21337487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06546064">
      <w:marLeft w:val="0"/>
      <w:marRight w:val="0"/>
      <w:marTop w:val="220"/>
      <w:marBottom w:val="0"/>
      <w:divBdr>
        <w:top w:val="none" w:sz="0" w:space="0" w:color="auto"/>
        <w:left w:val="none" w:sz="0" w:space="0" w:color="auto"/>
        <w:bottom w:val="none" w:sz="0" w:space="0" w:color="auto"/>
        <w:right w:val="none" w:sz="0" w:space="0" w:color="auto"/>
      </w:divBdr>
      <w:divsChild>
        <w:div w:id="1547334690">
          <w:marLeft w:val="0"/>
          <w:marRight w:val="0"/>
          <w:marTop w:val="0"/>
          <w:marBottom w:val="15"/>
          <w:divBdr>
            <w:top w:val="none" w:sz="0" w:space="0" w:color="auto"/>
            <w:left w:val="none" w:sz="0" w:space="0" w:color="auto"/>
            <w:bottom w:val="none" w:sz="0" w:space="0" w:color="auto"/>
            <w:right w:val="none" w:sz="0" w:space="0" w:color="auto"/>
          </w:divBdr>
        </w:div>
        <w:div w:id="1879509257">
          <w:marLeft w:val="0"/>
          <w:marRight w:val="0"/>
          <w:marTop w:val="0"/>
          <w:marBottom w:val="15"/>
          <w:divBdr>
            <w:top w:val="none" w:sz="0" w:space="0" w:color="auto"/>
            <w:left w:val="none" w:sz="0" w:space="0" w:color="auto"/>
            <w:bottom w:val="none" w:sz="0" w:space="0" w:color="auto"/>
            <w:right w:val="none" w:sz="0" w:space="0" w:color="auto"/>
          </w:divBdr>
        </w:div>
        <w:div w:id="697194232">
          <w:marLeft w:val="0"/>
          <w:marRight w:val="0"/>
          <w:marTop w:val="0"/>
          <w:marBottom w:val="15"/>
          <w:divBdr>
            <w:top w:val="none" w:sz="0" w:space="0" w:color="auto"/>
            <w:left w:val="none" w:sz="0" w:space="0" w:color="auto"/>
            <w:bottom w:val="none" w:sz="0" w:space="0" w:color="auto"/>
            <w:right w:val="none" w:sz="0" w:space="0" w:color="auto"/>
          </w:divBdr>
        </w:div>
        <w:div w:id="400367322">
          <w:marLeft w:val="0"/>
          <w:marRight w:val="0"/>
          <w:marTop w:val="0"/>
          <w:marBottom w:val="15"/>
          <w:divBdr>
            <w:top w:val="none" w:sz="0" w:space="0" w:color="auto"/>
            <w:left w:val="none" w:sz="0" w:space="0" w:color="auto"/>
            <w:bottom w:val="none" w:sz="0" w:space="0" w:color="auto"/>
            <w:right w:val="none" w:sz="0" w:space="0" w:color="auto"/>
          </w:divBdr>
        </w:div>
      </w:divsChild>
    </w:div>
    <w:div w:id="2009403611">
      <w:marLeft w:val="0"/>
      <w:marRight w:val="0"/>
      <w:marTop w:val="160"/>
      <w:marBottom w:val="0"/>
      <w:divBdr>
        <w:top w:val="none" w:sz="0" w:space="0" w:color="auto"/>
        <w:left w:val="none" w:sz="0" w:space="0" w:color="auto"/>
        <w:bottom w:val="none" w:sz="0" w:space="0" w:color="auto"/>
        <w:right w:val="none" w:sz="0" w:space="0" w:color="auto"/>
      </w:divBdr>
    </w:div>
    <w:div w:id="2009676416">
      <w:marLeft w:val="0"/>
      <w:marRight w:val="0"/>
      <w:marTop w:val="240"/>
      <w:marBottom w:val="0"/>
      <w:divBdr>
        <w:top w:val="none" w:sz="0" w:space="0" w:color="auto"/>
        <w:left w:val="none" w:sz="0" w:space="0" w:color="auto"/>
        <w:bottom w:val="none" w:sz="0" w:space="0" w:color="auto"/>
        <w:right w:val="none" w:sz="0" w:space="0" w:color="auto"/>
      </w:divBdr>
    </w:div>
    <w:div w:id="2009867021">
      <w:marLeft w:val="0"/>
      <w:marRight w:val="0"/>
      <w:marTop w:val="0"/>
      <w:marBottom w:val="0"/>
      <w:divBdr>
        <w:top w:val="none" w:sz="0" w:space="0" w:color="auto"/>
        <w:left w:val="none" w:sz="0" w:space="0" w:color="auto"/>
        <w:bottom w:val="none" w:sz="0" w:space="0" w:color="auto"/>
        <w:right w:val="none" w:sz="0" w:space="0" w:color="auto"/>
      </w:divBdr>
      <w:divsChild>
        <w:div w:id="2090926270">
          <w:marLeft w:val="0"/>
          <w:marRight w:val="0"/>
          <w:marTop w:val="0"/>
          <w:marBottom w:val="0"/>
          <w:divBdr>
            <w:top w:val="none" w:sz="0" w:space="0" w:color="auto"/>
            <w:left w:val="none" w:sz="0" w:space="0" w:color="auto"/>
            <w:bottom w:val="none" w:sz="0" w:space="0" w:color="auto"/>
            <w:right w:val="none" w:sz="0" w:space="0" w:color="auto"/>
          </w:divBdr>
          <w:divsChild>
            <w:div w:id="211008008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12945274">
      <w:marLeft w:val="0"/>
      <w:marRight w:val="0"/>
      <w:marTop w:val="240"/>
      <w:marBottom w:val="0"/>
      <w:divBdr>
        <w:top w:val="none" w:sz="0" w:space="0" w:color="auto"/>
        <w:left w:val="none" w:sz="0" w:space="0" w:color="auto"/>
        <w:bottom w:val="none" w:sz="0" w:space="0" w:color="auto"/>
        <w:right w:val="none" w:sz="0" w:space="0" w:color="auto"/>
      </w:divBdr>
    </w:div>
    <w:div w:id="2013293939">
      <w:marLeft w:val="0"/>
      <w:marRight w:val="0"/>
      <w:marTop w:val="240"/>
      <w:marBottom w:val="0"/>
      <w:divBdr>
        <w:top w:val="none" w:sz="0" w:space="0" w:color="auto"/>
        <w:left w:val="none" w:sz="0" w:space="0" w:color="auto"/>
        <w:bottom w:val="none" w:sz="0" w:space="0" w:color="auto"/>
        <w:right w:val="none" w:sz="0" w:space="0" w:color="auto"/>
      </w:divBdr>
    </w:div>
    <w:div w:id="2013408906">
      <w:marLeft w:val="0"/>
      <w:marRight w:val="0"/>
      <w:marTop w:val="180"/>
      <w:marBottom w:val="0"/>
      <w:divBdr>
        <w:top w:val="none" w:sz="0" w:space="0" w:color="auto"/>
        <w:left w:val="none" w:sz="0" w:space="0" w:color="auto"/>
        <w:bottom w:val="none" w:sz="0" w:space="0" w:color="auto"/>
        <w:right w:val="none" w:sz="0" w:space="0" w:color="auto"/>
      </w:divBdr>
    </w:div>
    <w:div w:id="2014337391">
      <w:marLeft w:val="0"/>
      <w:marRight w:val="0"/>
      <w:marTop w:val="240"/>
      <w:marBottom w:val="240"/>
      <w:divBdr>
        <w:top w:val="none" w:sz="0" w:space="0" w:color="auto"/>
        <w:left w:val="none" w:sz="0" w:space="0" w:color="auto"/>
        <w:bottom w:val="none" w:sz="0" w:space="0" w:color="auto"/>
        <w:right w:val="none" w:sz="0" w:space="0" w:color="auto"/>
      </w:divBdr>
    </w:div>
    <w:div w:id="2016178037">
      <w:marLeft w:val="0"/>
      <w:marRight w:val="0"/>
      <w:marTop w:val="0"/>
      <w:marBottom w:val="120"/>
      <w:divBdr>
        <w:top w:val="none" w:sz="0" w:space="0" w:color="auto"/>
        <w:left w:val="none" w:sz="0" w:space="0" w:color="auto"/>
        <w:bottom w:val="none" w:sz="0" w:space="0" w:color="auto"/>
        <w:right w:val="none" w:sz="0" w:space="0" w:color="auto"/>
      </w:divBdr>
    </w:div>
    <w:div w:id="2016420584">
      <w:marLeft w:val="0"/>
      <w:marRight w:val="0"/>
      <w:marTop w:val="240"/>
      <w:marBottom w:val="0"/>
      <w:divBdr>
        <w:top w:val="none" w:sz="0" w:space="0" w:color="auto"/>
        <w:left w:val="none" w:sz="0" w:space="0" w:color="auto"/>
        <w:bottom w:val="none" w:sz="0" w:space="0" w:color="auto"/>
        <w:right w:val="none" w:sz="0" w:space="0" w:color="auto"/>
      </w:divBdr>
    </w:div>
    <w:div w:id="2016953010">
      <w:marLeft w:val="0"/>
      <w:marRight w:val="0"/>
      <w:marTop w:val="160"/>
      <w:marBottom w:val="0"/>
      <w:divBdr>
        <w:top w:val="none" w:sz="0" w:space="0" w:color="auto"/>
        <w:left w:val="none" w:sz="0" w:space="0" w:color="auto"/>
        <w:bottom w:val="none" w:sz="0" w:space="0" w:color="auto"/>
        <w:right w:val="none" w:sz="0" w:space="0" w:color="auto"/>
      </w:divBdr>
      <w:divsChild>
        <w:div w:id="1204706452">
          <w:marLeft w:val="0"/>
          <w:marRight w:val="0"/>
          <w:marTop w:val="0"/>
          <w:marBottom w:val="0"/>
          <w:divBdr>
            <w:top w:val="none" w:sz="0" w:space="0" w:color="auto"/>
            <w:left w:val="none" w:sz="0" w:space="0" w:color="auto"/>
            <w:bottom w:val="none" w:sz="0" w:space="0" w:color="auto"/>
            <w:right w:val="none" w:sz="0" w:space="0" w:color="auto"/>
          </w:divBdr>
        </w:div>
      </w:divsChild>
    </w:div>
    <w:div w:id="2017727156">
      <w:marLeft w:val="0"/>
      <w:marRight w:val="0"/>
      <w:marTop w:val="0"/>
      <w:marBottom w:val="0"/>
      <w:divBdr>
        <w:top w:val="none" w:sz="0" w:space="0" w:color="auto"/>
        <w:left w:val="none" w:sz="0" w:space="0" w:color="auto"/>
        <w:bottom w:val="none" w:sz="0" w:space="0" w:color="auto"/>
        <w:right w:val="none" w:sz="0" w:space="0" w:color="auto"/>
      </w:divBdr>
      <w:divsChild>
        <w:div w:id="835463170">
          <w:marLeft w:val="0"/>
          <w:marRight w:val="0"/>
          <w:marTop w:val="0"/>
          <w:marBottom w:val="0"/>
          <w:divBdr>
            <w:top w:val="none" w:sz="0" w:space="0" w:color="auto"/>
            <w:left w:val="none" w:sz="0" w:space="0" w:color="auto"/>
            <w:bottom w:val="none" w:sz="0" w:space="0" w:color="auto"/>
            <w:right w:val="none" w:sz="0" w:space="0" w:color="auto"/>
          </w:divBdr>
        </w:div>
      </w:divsChild>
    </w:div>
    <w:div w:id="2017998796">
      <w:marLeft w:val="0"/>
      <w:marRight w:val="0"/>
      <w:marTop w:val="240"/>
      <w:marBottom w:val="0"/>
      <w:divBdr>
        <w:top w:val="none" w:sz="0" w:space="0" w:color="auto"/>
        <w:left w:val="none" w:sz="0" w:space="0" w:color="auto"/>
        <w:bottom w:val="none" w:sz="0" w:space="0" w:color="auto"/>
        <w:right w:val="none" w:sz="0" w:space="0" w:color="auto"/>
      </w:divBdr>
    </w:div>
    <w:div w:id="2019505921">
      <w:marLeft w:val="0"/>
      <w:marRight w:val="0"/>
      <w:marTop w:val="60"/>
      <w:marBottom w:val="0"/>
      <w:divBdr>
        <w:top w:val="none" w:sz="0" w:space="0" w:color="auto"/>
        <w:left w:val="none" w:sz="0" w:space="0" w:color="auto"/>
        <w:bottom w:val="none" w:sz="0" w:space="0" w:color="auto"/>
        <w:right w:val="none" w:sz="0" w:space="0" w:color="auto"/>
      </w:divBdr>
    </w:div>
    <w:div w:id="2019965069">
      <w:marLeft w:val="0"/>
      <w:marRight w:val="0"/>
      <w:marTop w:val="240"/>
      <w:marBottom w:val="0"/>
      <w:divBdr>
        <w:top w:val="none" w:sz="0" w:space="0" w:color="auto"/>
        <w:left w:val="none" w:sz="0" w:space="0" w:color="auto"/>
        <w:bottom w:val="none" w:sz="0" w:space="0" w:color="auto"/>
        <w:right w:val="none" w:sz="0" w:space="0" w:color="auto"/>
      </w:divBdr>
    </w:div>
    <w:div w:id="2024358602">
      <w:marLeft w:val="0"/>
      <w:marRight w:val="0"/>
      <w:marTop w:val="240"/>
      <w:marBottom w:val="0"/>
      <w:divBdr>
        <w:top w:val="none" w:sz="0" w:space="0" w:color="auto"/>
        <w:left w:val="none" w:sz="0" w:space="0" w:color="auto"/>
        <w:bottom w:val="none" w:sz="0" w:space="0" w:color="auto"/>
        <w:right w:val="none" w:sz="0" w:space="0" w:color="auto"/>
      </w:divBdr>
    </w:div>
    <w:div w:id="2024624111">
      <w:marLeft w:val="0"/>
      <w:marRight w:val="0"/>
      <w:marTop w:val="240"/>
      <w:marBottom w:val="0"/>
      <w:divBdr>
        <w:top w:val="none" w:sz="0" w:space="0" w:color="auto"/>
        <w:left w:val="none" w:sz="0" w:space="0" w:color="auto"/>
        <w:bottom w:val="none" w:sz="0" w:space="0" w:color="auto"/>
        <w:right w:val="none" w:sz="0" w:space="0" w:color="auto"/>
      </w:divBdr>
    </w:div>
    <w:div w:id="2025327180">
      <w:marLeft w:val="0"/>
      <w:marRight w:val="0"/>
      <w:marTop w:val="240"/>
      <w:marBottom w:val="0"/>
      <w:divBdr>
        <w:top w:val="none" w:sz="0" w:space="0" w:color="auto"/>
        <w:left w:val="none" w:sz="0" w:space="0" w:color="auto"/>
        <w:bottom w:val="none" w:sz="0" w:space="0" w:color="auto"/>
        <w:right w:val="none" w:sz="0" w:space="0" w:color="auto"/>
      </w:divBdr>
    </w:div>
    <w:div w:id="2026133155">
      <w:marLeft w:val="0"/>
      <w:marRight w:val="0"/>
      <w:marTop w:val="240"/>
      <w:marBottom w:val="0"/>
      <w:divBdr>
        <w:top w:val="none" w:sz="0" w:space="0" w:color="auto"/>
        <w:left w:val="none" w:sz="0" w:space="0" w:color="auto"/>
        <w:bottom w:val="none" w:sz="0" w:space="0" w:color="auto"/>
        <w:right w:val="none" w:sz="0" w:space="0" w:color="auto"/>
      </w:divBdr>
    </w:div>
    <w:div w:id="2026592411">
      <w:marLeft w:val="0"/>
      <w:marRight w:val="0"/>
      <w:marTop w:val="240"/>
      <w:marBottom w:val="0"/>
      <w:divBdr>
        <w:top w:val="none" w:sz="0" w:space="0" w:color="auto"/>
        <w:left w:val="none" w:sz="0" w:space="0" w:color="auto"/>
        <w:bottom w:val="none" w:sz="0" w:space="0" w:color="auto"/>
        <w:right w:val="none" w:sz="0" w:space="0" w:color="auto"/>
      </w:divBdr>
    </w:div>
    <w:div w:id="2027516410">
      <w:marLeft w:val="0"/>
      <w:marRight w:val="0"/>
      <w:marTop w:val="240"/>
      <w:marBottom w:val="0"/>
      <w:divBdr>
        <w:top w:val="none" w:sz="0" w:space="0" w:color="auto"/>
        <w:left w:val="none" w:sz="0" w:space="0" w:color="auto"/>
        <w:bottom w:val="none" w:sz="0" w:space="0" w:color="auto"/>
        <w:right w:val="none" w:sz="0" w:space="0" w:color="auto"/>
      </w:divBdr>
    </w:div>
    <w:div w:id="2028629505">
      <w:marLeft w:val="0"/>
      <w:marRight w:val="0"/>
      <w:marTop w:val="240"/>
      <w:marBottom w:val="0"/>
      <w:divBdr>
        <w:top w:val="none" w:sz="0" w:space="0" w:color="auto"/>
        <w:left w:val="none" w:sz="0" w:space="0" w:color="auto"/>
        <w:bottom w:val="none" w:sz="0" w:space="0" w:color="auto"/>
        <w:right w:val="none" w:sz="0" w:space="0" w:color="auto"/>
      </w:divBdr>
    </w:div>
    <w:div w:id="2028827073">
      <w:marLeft w:val="0"/>
      <w:marRight w:val="0"/>
      <w:marTop w:val="240"/>
      <w:marBottom w:val="0"/>
      <w:divBdr>
        <w:top w:val="none" w:sz="0" w:space="0" w:color="auto"/>
        <w:left w:val="none" w:sz="0" w:space="0" w:color="auto"/>
        <w:bottom w:val="none" w:sz="0" w:space="0" w:color="auto"/>
        <w:right w:val="none" w:sz="0" w:space="0" w:color="auto"/>
      </w:divBdr>
    </w:div>
    <w:div w:id="2030332288">
      <w:marLeft w:val="0"/>
      <w:marRight w:val="0"/>
      <w:marTop w:val="240"/>
      <w:marBottom w:val="0"/>
      <w:divBdr>
        <w:top w:val="none" w:sz="0" w:space="0" w:color="auto"/>
        <w:left w:val="none" w:sz="0" w:space="0" w:color="auto"/>
        <w:bottom w:val="none" w:sz="0" w:space="0" w:color="auto"/>
        <w:right w:val="none" w:sz="0" w:space="0" w:color="auto"/>
      </w:divBdr>
    </w:div>
    <w:div w:id="2031486883">
      <w:marLeft w:val="0"/>
      <w:marRight w:val="0"/>
      <w:marTop w:val="180"/>
      <w:marBottom w:val="0"/>
      <w:divBdr>
        <w:top w:val="none" w:sz="0" w:space="0" w:color="auto"/>
        <w:left w:val="none" w:sz="0" w:space="0" w:color="auto"/>
        <w:bottom w:val="none" w:sz="0" w:space="0" w:color="auto"/>
        <w:right w:val="none" w:sz="0" w:space="0" w:color="auto"/>
      </w:divBdr>
    </w:div>
    <w:div w:id="2032564591">
      <w:marLeft w:val="0"/>
      <w:marRight w:val="0"/>
      <w:marTop w:val="180"/>
      <w:marBottom w:val="0"/>
      <w:divBdr>
        <w:top w:val="none" w:sz="0" w:space="0" w:color="auto"/>
        <w:left w:val="none" w:sz="0" w:space="0" w:color="auto"/>
        <w:bottom w:val="none" w:sz="0" w:space="0" w:color="auto"/>
        <w:right w:val="none" w:sz="0" w:space="0" w:color="auto"/>
      </w:divBdr>
    </w:div>
    <w:div w:id="2034767386">
      <w:marLeft w:val="0"/>
      <w:marRight w:val="0"/>
      <w:marTop w:val="240"/>
      <w:marBottom w:val="0"/>
      <w:divBdr>
        <w:top w:val="none" w:sz="0" w:space="0" w:color="auto"/>
        <w:left w:val="none" w:sz="0" w:space="0" w:color="auto"/>
        <w:bottom w:val="none" w:sz="0" w:space="0" w:color="auto"/>
        <w:right w:val="none" w:sz="0" w:space="0" w:color="auto"/>
      </w:divBdr>
    </w:div>
    <w:div w:id="2035839804">
      <w:marLeft w:val="0"/>
      <w:marRight w:val="0"/>
      <w:marTop w:val="240"/>
      <w:marBottom w:val="0"/>
      <w:divBdr>
        <w:top w:val="none" w:sz="0" w:space="0" w:color="auto"/>
        <w:left w:val="none" w:sz="0" w:space="0" w:color="auto"/>
        <w:bottom w:val="none" w:sz="0" w:space="0" w:color="auto"/>
        <w:right w:val="none" w:sz="0" w:space="0" w:color="auto"/>
      </w:divBdr>
    </w:div>
    <w:div w:id="2038773209">
      <w:marLeft w:val="0"/>
      <w:marRight w:val="0"/>
      <w:marTop w:val="240"/>
      <w:marBottom w:val="0"/>
      <w:divBdr>
        <w:top w:val="none" w:sz="0" w:space="0" w:color="auto"/>
        <w:left w:val="none" w:sz="0" w:space="0" w:color="auto"/>
        <w:bottom w:val="none" w:sz="0" w:space="0" w:color="auto"/>
        <w:right w:val="none" w:sz="0" w:space="0" w:color="auto"/>
      </w:divBdr>
    </w:div>
    <w:div w:id="2039818580">
      <w:marLeft w:val="0"/>
      <w:marRight w:val="0"/>
      <w:marTop w:val="240"/>
      <w:marBottom w:val="0"/>
      <w:divBdr>
        <w:top w:val="none" w:sz="0" w:space="0" w:color="auto"/>
        <w:left w:val="none" w:sz="0" w:space="0" w:color="auto"/>
        <w:bottom w:val="none" w:sz="0" w:space="0" w:color="auto"/>
        <w:right w:val="none" w:sz="0" w:space="0" w:color="auto"/>
      </w:divBdr>
    </w:div>
    <w:div w:id="2041468778">
      <w:marLeft w:val="0"/>
      <w:marRight w:val="0"/>
      <w:marTop w:val="160"/>
      <w:marBottom w:val="0"/>
      <w:divBdr>
        <w:top w:val="none" w:sz="0" w:space="0" w:color="auto"/>
        <w:left w:val="none" w:sz="0" w:space="0" w:color="auto"/>
        <w:bottom w:val="none" w:sz="0" w:space="0" w:color="auto"/>
        <w:right w:val="none" w:sz="0" w:space="0" w:color="auto"/>
      </w:divBdr>
    </w:div>
    <w:div w:id="2041469515">
      <w:marLeft w:val="0"/>
      <w:marRight w:val="0"/>
      <w:marTop w:val="160"/>
      <w:marBottom w:val="0"/>
      <w:divBdr>
        <w:top w:val="none" w:sz="0" w:space="0" w:color="auto"/>
        <w:left w:val="none" w:sz="0" w:space="0" w:color="auto"/>
        <w:bottom w:val="none" w:sz="0" w:space="0" w:color="auto"/>
        <w:right w:val="none" w:sz="0" w:space="0" w:color="auto"/>
      </w:divBdr>
    </w:div>
    <w:div w:id="2041933914">
      <w:marLeft w:val="0"/>
      <w:marRight w:val="0"/>
      <w:marTop w:val="240"/>
      <w:marBottom w:val="0"/>
      <w:divBdr>
        <w:top w:val="none" w:sz="0" w:space="0" w:color="auto"/>
        <w:left w:val="none" w:sz="0" w:space="0" w:color="auto"/>
        <w:bottom w:val="none" w:sz="0" w:space="0" w:color="auto"/>
        <w:right w:val="none" w:sz="0" w:space="0" w:color="auto"/>
      </w:divBdr>
    </w:div>
    <w:div w:id="2044986278">
      <w:marLeft w:val="0"/>
      <w:marRight w:val="0"/>
      <w:marTop w:val="180"/>
      <w:marBottom w:val="0"/>
      <w:divBdr>
        <w:top w:val="none" w:sz="0" w:space="0" w:color="auto"/>
        <w:left w:val="none" w:sz="0" w:space="0" w:color="auto"/>
        <w:bottom w:val="none" w:sz="0" w:space="0" w:color="auto"/>
        <w:right w:val="none" w:sz="0" w:space="0" w:color="auto"/>
      </w:divBdr>
    </w:div>
    <w:div w:id="2045858889">
      <w:marLeft w:val="0"/>
      <w:marRight w:val="0"/>
      <w:marTop w:val="240"/>
      <w:marBottom w:val="0"/>
      <w:divBdr>
        <w:top w:val="none" w:sz="0" w:space="0" w:color="auto"/>
        <w:left w:val="none" w:sz="0" w:space="0" w:color="auto"/>
        <w:bottom w:val="none" w:sz="0" w:space="0" w:color="auto"/>
        <w:right w:val="none" w:sz="0" w:space="0" w:color="auto"/>
      </w:divBdr>
    </w:div>
    <w:div w:id="2047943705">
      <w:marLeft w:val="0"/>
      <w:marRight w:val="0"/>
      <w:marTop w:val="0"/>
      <w:marBottom w:val="0"/>
      <w:divBdr>
        <w:top w:val="none" w:sz="0" w:space="0" w:color="auto"/>
        <w:left w:val="none" w:sz="0" w:space="0" w:color="auto"/>
        <w:bottom w:val="none" w:sz="0" w:space="0" w:color="auto"/>
        <w:right w:val="none" w:sz="0" w:space="0" w:color="auto"/>
      </w:divBdr>
      <w:divsChild>
        <w:div w:id="1349722064">
          <w:marLeft w:val="0"/>
          <w:marRight w:val="0"/>
          <w:marTop w:val="0"/>
          <w:marBottom w:val="0"/>
          <w:divBdr>
            <w:top w:val="none" w:sz="0" w:space="0" w:color="auto"/>
            <w:left w:val="none" w:sz="0" w:space="0" w:color="auto"/>
            <w:bottom w:val="none" w:sz="0" w:space="0" w:color="auto"/>
            <w:right w:val="none" w:sz="0" w:space="0" w:color="auto"/>
          </w:divBdr>
          <w:divsChild>
            <w:div w:id="79614412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49063112">
      <w:marLeft w:val="0"/>
      <w:marRight w:val="0"/>
      <w:marTop w:val="0"/>
      <w:marBottom w:val="0"/>
      <w:divBdr>
        <w:top w:val="none" w:sz="0" w:space="0" w:color="auto"/>
        <w:left w:val="none" w:sz="0" w:space="0" w:color="auto"/>
        <w:bottom w:val="none" w:sz="0" w:space="0" w:color="auto"/>
        <w:right w:val="none" w:sz="0" w:space="0" w:color="auto"/>
      </w:divBdr>
      <w:divsChild>
        <w:div w:id="1121920943">
          <w:marLeft w:val="0"/>
          <w:marRight w:val="0"/>
          <w:marTop w:val="120"/>
          <w:marBottom w:val="0"/>
          <w:divBdr>
            <w:top w:val="none" w:sz="0" w:space="0" w:color="auto"/>
            <w:left w:val="none" w:sz="0" w:space="0" w:color="auto"/>
            <w:bottom w:val="none" w:sz="0" w:space="0" w:color="auto"/>
            <w:right w:val="none" w:sz="0" w:space="0" w:color="auto"/>
          </w:divBdr>
        </w:div>
      </w:divsChild>
    </w:div>
    <w:div w:id="2053577799">
      <w:marLeft w:val="0"/>
      <w:marRight w:val="0"/>
      <w:marTop w:val="100"/>
      <w:marBottom w:val="0"/>
      <w:divBdr>
        <w:top w:val="none" w:sz="0" w:space="0" w:color="auto"/>
        <w:left w:val="none" w:sz="0" w:space="0" w:color="auto"/>
        <w:bottom w:val="none" w:sz="0" w:space="0" w:color="auto"/>
        <w:right w:val="none" w:sz="0" w:space="0" w:color="auto"/>
      </w:divBdr>
      <w:divsChild>
        <w:div w:id="1380400446">
          <w:marLeft w:val="0"/>
          <w:marRight w:val="0"/>
          <w:marTop w:val="0"/>
          <w:marBottom w:val="0"/>
          <w:divBdr>
            <w:top w:val="none" w:sz="0" w:space="0" w:color="auto"/>
            <w:left w:val="none" w:sz="0" w:space="0" w:color="auto"/>
            <w:bottom w:val="none" w:sz="0" w:space="0" w:color="auto"/>
            <w:right w:val="none" w:sz="0" w:space="0" w:color="auto"/>
          </w:divBdr>
        </w:div>
        <w:div w:id="69665965">
          <w:marLeft w:val="0"/>
          <w:marRight w:val="0"/>
          <w:marTop w:val="0"/>
          <w:marBottom w:val="0"/>
          <w:divBdr>
            <w:top w:val="none" w:sz="0" w:space="0" w:color="auto"/>
            <w:left w:val="none" w:sz="0" w:space="0" w:color="auto"/>
            <w:bottom w:val="none" w:sz="0" w:space="0" w:color="auto"/>
            <w:right w:val="none" w:sz="0" w:space="0" w:color="auto"/>
          </w:divBdr>
        </w:div>
      </w:divsChild>
    </w:div>
    <w:div w:id="2053579273">
      <w:marLeft w:val="0"/>
      <w:marRight w:val="0"/>
      <w:marTop w:val="100"/>
      <w:marBottom w:val="0"/>
      <w:divBdr>
        <w:top w:val="none" w:sz="0" w:space="0" w:color="auto"/>
        <w:left w:val="none" w:sz="0" w:space="0" w:color="auto"/>
        <w:bottom w:val="none" w:sz="0" w:space="0" w:color="auto"/>
        <w:right w:val="none" w:sz="0" w:space="0" w:color="auto"/>
      </w:divBdr>
      <w:divsChild>
        <w:div w:id="1592081130">
          <w:marLeft w:val="0"/>
          <w:marRight w:val="0"/>
          <w:marTop w:val="0"/>
          <w:marBottom w:val="0"/>
          <w:divBdr>
            <w:top w:val="none" w:sz="0" w:space="0" w:color="auto"/>
            <w:left w:val="none" w:sz="0" w:space="0" w:color="auto"/>
            <w:bottom w:val="none" w:sz="0" w:space="0" w:color="auto"/>
            <w:right w:val="none" w:sz="0" w:space="0" w:color="auto"/>
          </w:divBdr>
        </w:div>
        <w:div w:id="734816112">
          <w:marLeft w:val="0"/>
          <w:marRight w:val="0"/>
          <w:marTop w:val="0"/>
          <w:marBottom w:val="0"/>
          <w:divBdr>
            <w:top w:val="none" w:sz="0" w:space="0" w:color="auto"/>
            <w:left w:val="none" w:sz="0" w:space="0" w:color="auto"/>
            <w:bottom w:val="none" w:sz="0" w:space="0" w:color="auto"/>
            <w:right w:val="none" w:sz="0" w:space="0" w:color="auto"/>
          </w:divBdr>
        </w:div>
        <w:div w:id="1265459210">
          <w:marLeft w:val="0"/>
          <w:marRight w:val="0"/>
          <w:marTop w:val="0"/>
          <w:marBottom w:val="0"/>
          <w:divBdr>
            <w:top w:val="none" w:sz="0" w:space="0" w:color="auto"/>
            <w:left w:val="none" w:sz="0" w:space="0" w:color="auto"/>
            <w:bottom w:val="none" w:sz="0" w:space="0" w:color="auto"/>
            <w:right w:val="none" w:sz="0" w:space="0" w:color="auto"/>
          </w:divBdr>
        </w:div>
      </w:divsChild>
    </w:div>
    <w:div w:id="2055810220">
      <w:marLeft w:val="0"/>
      <w:marRight w:val="0"/>
      <w:marTop w:val="0"/>
      <w:marBottom w:val="0"/>
      <w:divBdr>
        <w:top w:val="none" w:sz="0" w:space="0" w:color="auto"/>
        <w:left w:val="none" w:sz="0" w:space="0" w:color="auto"/>
        <w:bottom w:val="none" w:sz="0" w:space="0" w:color="auto"/>
        <w:right w:val="none" w:sz="0" w:space="0" w:color="auto"/>
      </w:divBdr>
      <w:divsChild>
        <w:div w:id="1651789753">
          <w:marLeft w:val="0"/>
          <w:marRight w:val="0"/>
          <w:marTop w:val="120"/>
          <w:marBottom w:val="0"/>
          <w:divBdr>
            <w:top w:val="none" w:sz="0" w:space="0" w:color="auto"/>
            <w:left w:val="none" w:sz="0" w:space="0" w:color="auto"/>
            <w:bottom w:val="none" w:sz="0" w:space="0" w:color="auto"/>
            <w:right w:val="none" w:sz="0" w:space="0" w:color="auto"/>
          </w:divBdr>
        </w:div>
      </w:divsChild>
    </w:div>
    <w:div w:id="2058581464">
      <w:marLeft w:val="0"/>
      <w:marRight w:val="0"/>
      <w:marTop w:val="240"/>
      <w:marBottom w:val="0"/>
      <w:divBdr>
        <w:top w:val="none" w:sz="0" w:space="0" w:color="auto"/>
        <w:left w:val="none" w:sz="0" w:space="0" w:color="auto"/>
        <w:bottom w:val="none" w:sz="0" w:space="0" w:color="auto"/>
        <w:right w:val="none" w:sz="0" w:space="0" w:color="auto"/>
      </w:divBdr>
    </w:div>
    <w:div w:id="2058704601">
      <w:marLeft w:val="0"/>
      <w:marRight w:val="0"/>
      <w:marTop w:val="240"/>
      <w:marBottom w:val="0"/>
      <w:divBdr>
        <w:top w:val="none" w:sz="0" w:space="0" w:color="auto"/>
        <w:left w:val="none" w:sz="0" w:space="0" w:color="auto"/>
        <w:bottom w:val="none" w:sz="0" w:space="0" w:color="auto"/>
        <w:right w:val="none" w:sz="0" w:space="0" w:color="auto"/>
      </w:divBdr>
    </w:div>
    <w:div w:id="2061323688">
      <w:marLeft w:val="0"/>
      <w:marRight w:val="0"/>
      <w:marTop w:val="0"/>
      <w:marBottom w:val="0"/>
      <w:divBdr>
        <w:top w:val="none" w:sz="0" w:space="0" w:color="auto"/>
        <w:left w:val="none" w:sz="0" w:space="0" w:color="auto"/>
        <w:bottom w:val="none" w:sz="0" w:space="0" w:color="auto"/>
        <w:right w:val="none" w:sz="0" w:space="0" w:color="auto"/>
      </w:divBdr>
      <w:divsChild>
        <w:div w:id="1226260437">
          <w:marLeft w:val="0"/>
          <w:marRight w:val="0"/>
          <w:marTop w:val="0"/>
          <w:marBottom w:val="0"/>
          <w:divBdr>
            <w:top w:val="none" w:sz="0" w:space="0" w:color="auto"/>
            <w:left w:val="none" w:sz="0" w:space="0" w:color="auto"/>
            <w:bottom w:val="none" w:sz="0" w:space="0" w:color="auto"/>
            <w:right w:val="none" w:sz="0" w:space="0" w:color="auto"/>
          </w:divBdr>
          <w:divsChild>
            <w:div w:id="11176799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61787738">
      <w:marLeft w:val="0"/>
      <w:marRight w:val="0"/>
      <w:marTop w:val="240"/>
      <w:marBottom w:val="0"/>
      <w:divBdr>
        <w:top w:val="none" w:sz="0" w:space="0" w:color="auto"/>
        <w:left w:val="none" w:sz="0" w:space="0" w:color="auto"/>
        <w:bottom w:val="none" w:sz="0" w:space="0" w:color="auto"/>
        <w:right w:val="none" w:sz="0" w:space="0" w:color="auto"/>
      </w:divBdr>
    </w:div>
    <w:div w:id="2061903344">
      <w:marLeft w:val="0"/>
      <w:marRight w:val="0"/>
      <w:marTop w:val="220"/>
      <w:marBottom w:val="0"/>
      <w:divBdr>
        <w:top w:val="none" w:sz="0" w:space="0" w:color="auto"/>
        <w:left w:val="none" w:sz="0" w:space="0" w:color="auto"/>
        <w:bottom w:val="none" w:sz="0" w:space="0" w:color="auto"/>
        <w:right w:val="none" w:sz="0" w:space="0" w:color="auto"/>
      </w:divBdr>
    </w:div>
    <w:div w:id="2062055315">
      <w:marLeft w:val="0"/>
      <w:marRight w:val="0"/>
      <w:marTop w:val="240"/>
      <w:marBottom w:val="0"/>
      <w:divBdr>
        <w:top w:val="none" w:sz="0" w:space="0" w:color="auto"/>
        <w:left w:val="none" w:sz="0" w:space="0" w:color="auto"/>
        <w:bottom w:val="none" w:sz="0" w:space="0" w:color="auto"/>
        <w:right w:val="none" w:sz="0" w:space="0" w:color="auto"/>
      </w:divBdr>
    </w:div>
    <w:div w:id="2067872292">
      <w:marLeft w:val="0"/>
      <w:marRight w:val="0"/>
      <w:marTop w:val="0"/>
      <w:marBottom w:val="0"/>
      <w:divBdr>
        <w:top w:val="none" w:sz="0" w:space="0" w:color="auto"/>
        <w:left w:val="none" w:sz="0" w:space="0" w:color="auto"/>
        <w:bottom w:val="none" w:sz="0" w:space="0" w:color="auto"/>
        <w:right w:val="none" w:sz="0" w:space="0" w:color="auto"/>
      </w:divBdr>
      <w:divsChild>
        <w:div w:id="1174371447">
          <w:marLeft w:val="0"/>
          <w:marRight w:val="0"/>
          <w:marTop w:val="120"/>
          <w:marBottom w:val="0"/>
          <w:divBdr>
            <w:top w:val="none" w:sz="0" w:space="0" w:color="auto"/>
            <w:left w:val="none" w:sz="0" w:space="0" w:color="auto"/>
            <w:bottom w:val="none" w:sz="0" w:space="0" w:color="auto"/>
            <w:right w:val="none" w:sz="0" w:space="0" w:color="auto"/>
          </w:divBdr>
        </w:div>
      </w:divsChild>
    </w:div>
    <w:div w:id="2067874783">
      <w:marLeft w:val="0"/>
      <w:marRight w:val="0"/>
      <w:marTop w:val="240"/>
      <w:marBottom w:val="0"/>
      <w:divBdr>
        <w:top w:val="none" w:sz="0" w:space="0" w:color="auto"/>
        <w:left w:val="none" w:sz="0" w:space="0" w:color="auto"/>
        <w:bottom w:val="none" w:sz="0" w:space="0" w:color="auto"/>
        <w:right w:val="none" w:sz="0" w:space="0" w:color="auto"/>
      </w:divBdr>
    </w:div>
    <w:div w:id="2068644644">
      <w:marLeft w:val="0"/>
      <w:marRight w:val="0"/>
      <w:marTop w:val="100"/>
      <w:marBottom w:val="0"/>
      <w:divBdr>
        <w:top w:val="none" w:sz="0" w:space="0" w:color="auto"/>
        <w:left w:val="none" w:sz="0" w:space="0" w:color="auto"/>
        <w:bottom w:val="none" w:sz="0" w:space="0" w:color="auto"/>
        <w:right w:val="none" w:sz="0" w:space="0" w:color="auto"/>
      </w:divBdr>
      <w:divsChild>
        <w:div w:id="2084137879">
          <w:marLeft w:val="0"/>
          <w:marRight w:val="0"/>
          <w:marTop w:val="0"/>
          <w:marBottom w:val="0"/>
          <w:divBdr>
            <w:top w:val="none" w:sz="0" w:space="0" w:color="auto"/>
            <w:left w:val="none" w:sz="0" w:space="0" w:color="auto"/>
            <w:bottom w:val="none" w:sz="0" w:space="0" w:color="auto"/>
            <w:right w:val="none" w:sz="0" w:space="0" w:color="auto"/>
          </w:divBdr>
        </w:div>
      </w:divsChild>
    </w:div>
    <w:div w:id="2068799164">
      <w:marLeft w:val="0"/>
      <w:marRight w:val="0"/>
      <w:marTop w:val="240"/>
      <w:marBottom w:val="240"/>
      <w:divBdr>
        <w:top w:val="none" w:sz="0" w:space="0" w:color="auto"/>
        <w:left w:val="none" w:sz="0" w:space="0" w:color="auto"/>
        <w:bottom w:val="none" w:sz="0" w:space="0" w:color="auto"/>
        <w:right w:val="none" w:sz="0" w:space="0" w:color="auto"/>
      </w:divBdr>
      <w:divsChild>
        <w:div w:id="2107922800">
          <w:marLeft w:val="0"/>
          <w:marRight w:val="0"/>
          <w:marTop w:val="0"/>
          <w:marBottom w:val="0"/>
          <w:divBdr>
            <w:top w:val="none" w:sz="0" w:space="0" w:color="auto"/>
            <w:left w:val="none" w:sz="0" w:space="0" w:color="auto"/>
            <w:bottom w:val="none" w:sz="0" w:space="0" w:color="auto"/>
            <w:right w:val="none" w:sz="0" w:space="0" w:color="auto"/>
          </w:divBdr>
        </w:div>
        <w:div w:id="885680329">
          <w:marLeft w:val="0"/>
          <w:marRight w:val="0"/>
          <w:marTop w:val="0"/>
          <w:marBottom w:val="0"/>
          <w:divBdr>
            <w:top w:val="none" w:sz="0" w:space="0" w:color="auto"/>
            <w:left w:val="none" w:sz="0" w:space="0" w:color="auto"/>
            <w:bottom w:val="none" w:sz="0" w:space="0" w:color="auto"/>
            <w:right w:val="none" w:sz="0" w:space="0" w:color="auto"/>
          </w:divBdr>
        </w:div>
        <w:div w:id="329872752">
          <w:marLeft w:val="0"/>
          <w:marRight w:val="0"/>
          <w:marTop w:val="0"/>
          <w:marBottom w:val="0"/>
          <w:divBdr>
            <w:top w:val="none" w:sz="0" w:space="0" w:color="auto"/>
            <w:left w:val="none" w:sz="0" w:space="0" w:color="auto"/>
            <w:bottom w:val="none" w:sz="0" w:space="0" w:color="auto"/>
            <w:right w:val="none" w:sz="0" w:space="0" w:color="auto"/>
          </w:divBdr>
        </w:div>
        <w:div w:id="1861622175">
          <w:marLeft w:val="0"/>
          <w:marRight w:val="0"/>
          <w:marTop w:val="0"/>
          <w:marBottom w:val="0"/>
          <w:divBdr>
            <w:top w:val="none" w:sz="0" w:space="0" w:color="auto"/>
            <w:left w:val="none" w:sz="0" w:space="0" w:color="auto"/>
            <w:bottom w:val="none" w:sz="0" w:space="0" w:color="auto"/>
            <w:right w:val="none" w:sz="0" w:space="0" w:color="auto"/>
          </w:divBdr>
        </w:div>
      </w:divsChild>
    </w:div>
    <w:div w:id="2070299567">
      <w:marLeft w:val="0"/>
      <w:marRight w:val="0"/>
      <w:marTop w:val="0"/>
      <w:marBottom w:val="0"/>
      <w:divBdr>
        <w:top w:val="none" w:sz="0" w:space="0" w:color="auto"/>
        <w:left w:val="none" w:sz="0" w:space="0" w:color="auto"/>
        <w:bottom w:val="none" w:sz="0" w:space="0" w:color="auto"/>
        <w:right w:val="none" w:sz="0" w:space="0" w:color="auto"/>
      </w:divBdr>
      <w:divsChild>
        <w:div w:id="252980941">
          <w:marLeft w:val="0"/>
          <w:marRight w:val="0"/>
          <w:marTop w:val="0"/>
          <w:marBottom w:val="0"/>
          <w:divBdr>
            <w:top w:val="none" w:sz="0" w:space="0" w:color="auto"/>
            <w:left w:val="none" w:sz="0" w:space="0" w:color="auto"/>
            <w:bottom w:val="none" w:sz="0" w:space="0" w:color="auto"/>
            <w:right w:val="none" w:sz="0" w:space="0" w:color="auto"/>
          </w:divBdr>
        </w:div>
      </w:divsChild>
    </w:div>
    <w:div w:id="2071491217">
      <w:marLeft w:val="0"/>
      <w:marRight w:val="0"/>
      <w:marTop w:val="240"/>
      <w:marBottom w:val="0"/>
      <w:divBdr>
        <w:top w:val="none" w:sz="0" w:space="0" w:color="auto"/>
        <w:left w:val="none" w:sz="0" w:space="0" w:color="auto"/>
        <w:bottom w:val="none" w:sz="0" w:space="0" w:color="auto"/>
        <w:right w:val="none" w:sz="0" w:space="0" w:color="auto"/>
      </w:divBdr>
    </w:div>
    <w:div w:id="2072118812">
      <w:marLeft w:val="0"/>
      <w:marRight w:val="0"/>
      <w:marTop w:val="220"/>
      <w:marBottom w:val="0"/>
      <w:divBdr>
        <w:top w:val="none" w:sz="0" w:space="0" w:color="auto"/>
        <w:left w:val="none" w:sz="0" w:space="0" w:color="auto"/>
        <w:bottom w:val="none" w:sz="0" w:space="0" w:color="auto"/>
        <w:right w:val="none" w:sz="0" w:space="0" w:color="auto"/>
      </w:divBdr>
    </w:div>
    <w:div w:id="2072531650">
      <w:marLeft w:val="0"/>
      <w:marRight w:val="0"/>
      <w:marTop w:val="140"/>
      <w:marBottom w:val="0"/>
      <w:divBdr>
        <w:top w:val="none" w:sz="0" w:space="0" w:color="auto"/>
        <w:left w:val="none" w:sz="0" w:space="0" w:color="auto"/>
        <w:bottom w:val="none" w:sz="0" w:space="0" w:color="auto"/>
        <w:right w:val="none" w:sz="0" w:space="0" w:color="auto"/>
      </w:divBdr>
    </w:div>
    <w:div w:id="2073038857">
      <w:marLeft w:val="0"/>
      <w:marRight w:val="0"/>
      <w:marTop w:val="100"/>
      <w:marBottom w:val="0"/>
      <w:divBdr>
        <w:top w:val="none" w:sz="0" w:space="0" w:color="auto"/>
        <w:left w:val="none" w:sz="0" w:space="0" w:color="auto"/>
        <w:bottom w:val="none" w:sz="0" w:space="0" w:color="auto"/>
        <w:right w:val="none" w:sz="0" w:space="0" w:color="auto"/>
      </w:divBdr>
    </w:div>
    <w:div w:id="2073114388">
      <w:marLeft w:val="0"/>
      <w:marRight w:val="0"/>
      <w:marTop w:val="240"/>
      <w:marBottom w:val="0"/>
      <w:divBdr>
        <w:top w:val="none" w:sz="0" w:space="0" w:color="auto"/>
        <w:left w:val="none" w:sz="0" w:space="0" w:color="auto"/>
        <w:bottom w:val="none" w:sz="0" w:space="0" w:color="auto"/>
        <w:right w:val="none" w:sz="0" w:space="0" w:color="auto"/>
      </w:divBdr>
    </w:div>
    <w:div w:id="2073651797">
      <w:marLeft w:val="0"/>
      <w:marRight w:val="0"/>
      <w:marTop w:val="240"/>
      <w:marBottom w:val="0"/>
      <w:divBdr>
        <w:top w:val="none" w:sz="0" w:space="0" w:color="auto"/>
        <w:left w:val="none" w:sz="0" w:space="0" w:color="auto"/>
        <w:bottom w:val="none" w:sz="0" w:space="0" w:color="auto"/>
        <w:right w:val="none" w:sz="0" w:space="0" w:color="auto"/>
      </w:divBdr>
    </w:div>
    <w:div w:id="2075466821">
      <w:marLeft w:val="0"/>
      <w:marRight w:val="0"/>
      <w:marTop w:val="180"/>
      <w:marBottom w:val="0"/>
      <w:divBdr>
        <w:top w:val="none" w:sz="0" w:space="0" w:color="auto"/>
        <w:left w:val="none" w:sz="0" w:space="0" w:color="auto"/>
        <w:bottom w:val="none" w:sz="0" w:space="0" w:color="auto"/>
        <w:right w:val="none" w:sz="0" w:space="0" w:color="auto"/>
      </w:divBdr>
    </w:div>
    <w:div w:id="2075547591">
      <w:marLeft w:val="0"/>
      <w:marRight w:val="0"/>
      <w:marTop w:val="240"/>
      <w:marBottom w:val="0"/>
      <w:divBdr>
        <w:top w:val="none" w:sz="0" w:space="0" w:color="auto"/>
        <w:left w:val="none" w:sz="0" w:space="0" w:color="auto"/>
        <w:bottom w:val="none" w:sz="0" w:space="0" w:color="auto"/>
        <w:right w:val="none" w:sz="0" w:space="0" w:color="auto"/>
      </w:divBdr>
    </w:div>
    <w:div w:id="2079864556">
      <w:marLeft w:val="0"/>
      <w:marRight w:val="0"/>
      <w:marTop w:val="160"/>
      <w:marBottom w:val="0"/>
      <w:divBdr>
        <w:top w:val="none" w:sz="0" w:space="0" w:color="auto"/>
        <w:left w:val="none" w:sz="0" w:space="0" w:color="auto"/>
        <w:bottom w:val="none" w:sz="0" w:space="0" w:color="auto"/>
        <w:right w:val="none" w:sz="0" w:space="0" w:color="auto"/>
      </w:divBdr>
    </w:div>
    <w:div w:id="2080204298">
      <w:marLeft w:val="0"/>
      <w:marRight w:val="0"/>
      <w:marTop w:val="240"/>
      <w:marBottom w:val="0"/>
      <w:divBdr>
        <w:top w:val="none" w:sz="0" w:space="0" w:color="auto"/>
        <w:left w:val="none" w:sz="0" w:space="0" w:color="auto"/>
        <w:bottom w:val="none" w:sz="0" w:space="0" w:color="auto"/>
        <w:right w:val="none" w:sz="0" w:space="0" w:color="auto"/>
      </w:divBdr>
    </w:div>
    <w:div w:id="2081902057">
      <w:marLeft w:val="0"/>
      <w:marRight w:val="0"/>
      <w:marTop w:val="270"/>
      <w:marBottom w:val="0"/>
      <w:divBdr>
        <w:top w:val="none" w:sz="0" w:space="0" w:color="auto"/>
        <w:left w:val="none" w:sz="0" w:space="0" w:color="auto"/>
        <w:bottom w:val="none" w:sz="0" w:space="0" w:color="auto"/>
        <w:right w:val="none" w:sz="0" w:space="0" w:color="auto"/>
      </w:divBdr>
    </w:div>
    <w:div w:id="2082022405">
      <w:marLeft w:val="0"/>
      <w:marRight w:val="0"/>
      <w:marTop w:val="240"/>
      <w:marBottom w:val="0"/>
      <w:divBdr>
        <w:top w:val="none" w:sz="0" w:space="0" w:color="auto"/>
        <w:left w:val="none" w:sz="0" w:space="0" w:color="auto"/>
        <w:bottom w:val="none" w:sz="0" w:space="0" w:color="auto"/>
        <w:right w:val="none" w:sz="0" w:space="0" w:color="auto"/>
      </w:divBdr>
    </w:div>
    <w:div w:id="2083021104">
      <w:marLeft w:val="0"/>
      <w:marRight w:val="0"/>
      <w:marTop w:val="240"/>
      <w:marBottom w:val="0"/>
      <w:divBdr>
        <w:top w:val="none" w:sz="0" w:space="0" w:color="auto"/>
        <w:left w:val="none" w:sz="0" w:space="0" w:color="auto"/>
        <w:bottom w:val="none" w:sz="0" w:space="0" w:color="auto"/>
        <w:right w:val="none" w:sz="0" w:space="0" w:color="auto"/>
      </w:divBdr>
    </w:div>
    <w:div w:id="2083210627">
      <w:marLeft w:val="0"/>
      <w:marRight w:val="0"/>
      <w:marTop w:val="240"/>
      <w:marBottom w:val="0"/>
      <w:divBdr>
        <w:top w:val="none" w:sz="0" w:space="0" w:color="auto"/>
        <w:left w:val="none" w:sz="0" w:space="0" w:color="auto"/>
        <w:bottom w:val="none" w:sz="0" w:space="0" w:color="auto"/>
        <w:right w:val="none" w:sz="0" w:space="0" w:color="auto"/>
      </w:divBdr>
    </w:div>
    <w:div w:id="2084913009">
      <w:marLeft w:val="0"/>
      <w:marRight w:val="0"/>
      <w:marTop w:val="240"/>
      <w:marBottom w:val="0"/>
      <w:divBdr>
        <w:top w:val="none" w:sz="0" w:space="0" w:color="auto"/>
        <w:left w:val="none" w:sz="0" w:space="0" w:color="auto"/>
        <w:bottom w:val="none" w:sz="0" w:space="0" w:color="auto"/>
        <w:right w:val="none" w:sz="0" w:space="0" w:color="auto"/>
      </w:divBdr>
    </w:div>
    <w:div w:id="2085107029">
      <w:marLeft w:val="0"/>
      <w:marRight w:val="0"/>
      <w:marTop w:val="140"/>
      <w:marBottom w:val="0"/>
      <w:divBdr>
        <w:top w:val="none" w:sz="0" w:space="0" w:color="auto"/>
        <w:left w:val="none" w:sz="0" w:space="0" w:color="auto"/>
        <w:bottom w:val="none" w:sz="0" w:space="0" w:color="auto"/>
        <w:right w:val="none" w:sz="0" w:space="0" w:color="auto"/>
      </w:divBdr>
    </w:div>
    <w:div w:id="2085252590">
      <w:marLeft w:val="0"/>
      <w:marRight w:val="0"/>
      <w:marTop w:val="240"/>
      <w:marBottom w:val="240"/>
      <w:divBdr>
        <w:top w:val="none" w:sz="0" w:space="0" w:color="auto"/>
        <w:left w:val="none" w:sz="0" w:space="0" w:color="auto"/>
        <w:bottom w:val="none" w:sz="0" w:space="0" w:color="auto"/>
        <w:right w:val="none" w:sz="0" w:space="0" w:color="auto"/>
      </w:divBdr>
    </w:div>
    <w:div w:id="2086026310">
      <w:marLeft w:val="0"/>
      <w:marRight w:val="0"/>
      <w:marTop w:val="240"/>
      <w:marBottom w:val="240"/>
      <w:divBdr>
        <w:top w:val="none" w:sz="0" w:space="0" w:color="auto"/>
        <w:left w:val="none" w:sz="0" w:space="0" w:color="auto"/>
        <w:bottom w:val="none" w:sz="0" w:space="0" w:color="auto"/>
        <w:right w:val="none" w:sz="0" w:space="0" w:color="auto"/>
      </w:divBdr>
    </w:div>
    <w:div w:id="2090735620">
      <w:marLeft w:val="0"/>
      <w:marRight w:val="0"/>
      <w:marTop w:val="0"/>
      <w:marBottom w:val="0"/>
      <w:divBdr>
        <w:top w:val="none" w:sz="0" w:space="0" w:color="auto"/>
        <w:left w:val="none" w:sz="0" w:space="0" w:color="auto"/>
        <w:bottom w:val="none" w:sz="0" w:space="0" w:color="auto"/>
        <w:right w:val="none" w:sz="0" w:space="0" w:color="auto"/>
      </w:divBdr>
    </w:div>
    <w:div w:id="2093038052">
      <w:marLeft w:val="0"/>
      <w:marRight w:val="0"/>
      <w:marTop w:val="0"/>
      <w:marBottom w:val="0"/>
      <w:divBdr>
        <w:top w:val="none" w:sz="0" w:space="0" w:color="auto"/>
        <w:left w:val="none" w:sz="0" w:space="0" w:color="auto"/>
        <w:bottom w:val="none" w:sz="0" w:space="0" w:color="auto"/>
        <w:right w:val="none" w:sz="0" w:space="0" w:color="auto"/>
      </w:divBdr>
      <w:divsChild>
        <w:div w:id="858273112">
          <w:marLeft w:val="0"/>
          <w:marRight w:val="0"/>
          <w:marTop w:val="0"/>
          <w:marBottom w:val="0"/>
          <w:divBdr>
            <w:top w:val="none" w:sz="0" w:space="0" w:color="auto"/>
            <w:left w:val="none" w:sz="0" w:space="0" w:color="auto"/>
            <w:bottom w:val="none" w:sz="0" w:space="0" w:color="auto"/>
            <w:right w:val="none" w:sz="0" w:space="0" w:color="auto"/>
          </w:divBdr>
        </w:div>
      </w:divsChild>
    </w:div>
    <w:div w:id="2094400275">
      <w:marLeft w:val="0"/>
      <w:marRight w:val="0"/>
      <w:marTop w:val="240"/>
      <w:marBottom w:val="0"/>
      <w:divBdr>
        <w:top w:val="none" w:sz="0" w:space="0" w:color="auto"/>
        <w:left w:val="none" w:sz="0" w:space="0" w:color="auto"/>
        <w:bottom w:val="none" w:sz="0" w:space="0" w:color="auto"/>
        <w:right w:val="none" w:sz="0" w:space="0" w:color="auto"/>
      </w:divBdr>
    </w:div>
    <w:div w:id="2095934670">
      <w:marLeft w:val="0"/>
      <w:marRight w:val="0"/>
      <w:marTop w:val="0"/>
      <w:marBottom w:val="0"/>
      <w:divBdr>
        <w:top w:val="none" w:sz="0" w:space="0" w:color="auto"/>
        <w:left w:val="none" w:sz="0" w:space="0" w:color="auto"/>
        <w:bottom w:val="none" w:sz="0" w:space="0" w:color="auto"/>
        <w:right w:val="none" w:sz="0" w:space="0" w:color="auto"/>
      </w:divBdr>
      <w:divsChild>
        <w:div w:id="1739666959">
          <w:marLeft w:val="0"/>
          <w:marRight w:val="0"/>
          <w:marTop w:val="0"/>
          <w:marBottom w:val="0"/>
          <w:divBdr>
            <w:top w:val="none" w:sz="0" w:space="0" w:color="auto"/>
            <w:left w:val="none" w:sz="0" w:space="0" w:color="auto"/>
            <w:bottom w:val="none" w:sz="0" w:space="0" w:color="auto"/>
            <w:right w:val="none" w:sz="0" w:space="0" w:color="auto"/>
          </w:divBdr>
          <w:divsChild>
            <w:div w:id="118918023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96509827">
      <w:marLeft w:val="0"/>
      <w:marRight w:val="0"/>
      <w:marTop w:val="220"/>
      <w:marBottom w:val="240"/>
      <w:divBdr>
        <w:top w:val="none" w:sz="0" w:space="0" w:color="auto"/>
        <w:left w:val="none" w:sz="0" w:space="0" w:color="auto"/>
        <w:bottom w:val="none" w:sz="0" w:space="0" w:color="auto"/>
        <w:right w:val="none" w:sz="0" w:space="0" w:color="auto"/>
      </w:divBdr>
    </w:div>
    <w:div w:id="2096589526">
      <w:marLeft w:val="0"/>
      <w:marRight w:val="0"/>
      <w:marTop w:val="180"/>
      <w:marBottom w:val="240"/>
      <w:divBdr>
        <w:top w:val="none" w:sz="0" w:space="0" w:color="auto"/>
        <w:left w:val="none" w:sz="0" w:space="0" w:color="auto"/>
        <w:bottom w:val="none" w:sz="0" w:space="0" w:color="auto"/>
        <w:right w:val="none" w:sz="0" w:space="0" w:color="auto"/>
      </w:divBdr>
    </w:div>
    <w:div w:id="2099016758">
      <w:marLeft w:val="0"/>
      <w:marRight w:val="0"/>
      <w:marTop w:val="0"/>
      <w:marBottom w:val="0"/>
      <w:divBdr>
        <w:top w:val="none" w:sz="0" w:space="0" w:color="auto"/>
        <w:left w:val="none" w:sz="0" w:space="0" w:color="auto"/>
        <w:bottom w:val="none" w:sz="0" w:space="0" w:color="auto"/>
        <w:right w:val="none" w:sz="0" w:space="0" w:color="auto"/>
      </w:divBdr>
      <w:divsChild>
        <w:div w:id="1622179759">
          <w:marLeft w:val="0"/>
          <w:marRight w:val="0"/>
          <w:marTop w:val="0"/>
          <w:marBottom w:val="0"/>
          <w:divBdr>
            <w:top w:val="none" w:sz="0" w:space="0" w:color="auto"/>
            <w:left w:val="none" w:sz="0" w:space="0" w:color="auto"/>
            <w:bottom w:val="none" w:sz="0" w:space="0" w:color="auto"/>
            <w:right w:val="none" w:sz="0" w:space="0" w:color="auto"/>
          </w:divBdr>
          <w:divsChild>
            <w:div w:id="17036249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01681741">
      <w:marLeft w:val="0"/>
      <w:marRight w:val="0"/>
      <w:marTop w:val="240"/>
      <w:marBottom w:val="0"/>
      <w:divBdr>
        <w:top w:val="none" w:sz="0" w:space="0" w:color="auto"/>
        <w:left w:val="none" w:sz="0" w:space="0" w:color="auto"/>
        <w:bottom w:val="none" w:sz="0" w:space="0" w:color="auto"/>
        <w:right w:val="none" w:sz="0" w:space="0" w:color="auto"/>
      </w:divBdr>
    </w:div>
    <w:div w:id="2102409133">
      <w:marLeft w:val="0"/>
      <w:marRight w:val="0"/>
      <w:marTop w:val="180"/>
      <w:marBottom w:val="0"/>
      <w:divBdr>
        <w:top w:val="none" w:sz="0" w:space="0" w:color="auto"/>
        <w:left w:val="none" w:sz="0" w:space="0" w:color="auto"/>
        <w:bottom w:val="none" w:sz="0" w:space="0" w:color="auto"/>
        <w:right w:val="none" w:sz="0" w:space="0" w:color="auto"/>
      </w:divBdr>
    </w:div>
    <w:div w:id="2103795930">
      <w:marLeft w:val="0"/>
      <w:marRight w:val="0"/>
      <w:marTop w:val="240"/>
      <w:marBottom w:val="0"/>
      <w:divBdr>
        <w:top w:val="none" w:sz="0" w:space="0" w:color="auto"/>
        <w:left w:val="none" w:sz="0" w:space="0" w:color="auto"/>
        <w:bottom w:val="none" w:sz="0" w:space="0" w:color="auto"/>
        <w:right w:val="none" w:sz="0" w:space="0" w:color="auto"/>
      </w:divBdr>
    </w:div>
    <w:div w:id="2104034114">
      <w:marLeft w:val="0"/>
      <w:marRight w:val="0"/>
      <w:marTop w:val="0"/>
      <w:marBottom w:val="0"/>
      <w:divBdr>
        <w:top w:val="none" w:sz="0" w:space="0" w:color="auto"/>
        <w:left w:val="none" w:sz="0" w:space="0" w:color="auto"/>
        <w:bottom w:val="none" w:sz="0" w:space="0" w:color="auto"/>
        <w:right w:val="none" w:sz="0" w:space="0" w:color="auto"/>
      </w:divBdr>
      <w:divsChild>
        <w:div w:id="2129229412">
          <w:marLeft w:val="0"/>
          <w:marRight w:val="0"/>
          <w:marTop w:val="0"/>
          <w:marBottom w:val="0"/>
          <w:divBdr>
            <w:top w:val="none" w:sz="0" w:space="0" w:color="auto"/>
            <w:left w:val="none" w:sz="0" w:space="0" w:color="auto"/>
            <w:bottom w:val="none" w:sz="0" w:space="0" w:color="auto"/>
            <w:right w:val="none" w:sz="0" w:space="0" w:color="auto"/>
          </w:divBdr>
          <w:divsChild>
            <w:div w:id="20792032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04951657">
      <w:marLeft w:val="0"/>
      <w:marRight w:val="0"/>
      <w:marTop w:val="100"/>
      <w:marBottom w:val="0"/>
      <w:divBdr>
        <w:top w:val="none" w:sz="0" w:space="0" w:color="auto"/>
        <w:left w:val="none" w:sz="0" w:space="0" w:color="auto"/>
        <w:bottom w:val="none" w:sz="0" w:space="0" w:color="auto"/>
        <w:right w:val="none" w:sz="0" w:space="0" w:color="auto"/>
      </w:divBdr>
      <w:divsChild>
        <w:div w:id="220291945">
          <w:marLeft w:val="0"/>
          <w:marRight w:val="0"/>
          <w:marTop w:val="0"/>
          <w:marBottom w:val="0"/>
          <w:divBdr>
            <w:top w:val="none" w:sz="0" w:space="0" w:color="auto"/>
            <w:left w:val="none" w:sz="0" w:space="0" w:color="auto"/>
            <w:bottom w:val="none" w:sz="0" w:space="0" w:color="auto"/>
            <w:right w:val="none" w:sz="0" w:space="0" w:color="auto"/>
          </w:divBdr>
        </w:div>
        <w:div w:id="1441951774">
          <w:marLeft w:val="0"/>
          <w:marRight w:val="0"/>
          <w:marTop w:val="0"/>
          <w:marBottom w:val="0"/>
          <w:divBdr>
            <w:top w:val="none" w:sz="0" w:space="0" w:color="auto"/>
            <w:left w:val="none" w:sz="0" w:space="0" w:color="auto"/>
            <w:bottom w:val="none" w:sz="0" w:space="0" w:color="auto"/>
            <w:right w:val="none" w:sz="0" w:space="0" w:color="auto"/>
          </w:divBdr>
        </w:div>
        <w:div w:id="1528133107">
          <w:marLeft w:val="0"/>
          <w:marRight w:val="0"/>
          <w:marTop w:val="0"/>
          <w:marBottom w:val="0"/>
          <w:divBdr>
            <w:top w:val="none" w:sz="0" w:space="0" w:color="auto"/>
            <w:left w:val="none" w:sz="0" w:space="0" w:color="auto"/>
            <w:bottom w:val="none" w:sz="0" w:space="0" w:color="auto"/>
            <w:right w:val="none" w:sz="0" w:space="0" w:color="auto"/>
          </w:divBdr>
        </w:div>
        <w:div w:id="621765783">
          <w:marLeft w:val="0"/>
          <w:marRight w:val="0"/>
          <w:marTop w:val="0"/>
          <w:marBottom w:val="0"/>
          <w:divBdr>
            <w:top w:val="none" w:sz="0" w:space="0" w:color="auto"/>
            <w:left w:val="none" w:sz="0" w:space="0" w:color="auto"/>
            <w:bottom w:val="none" w:sz="0" w:space="0" w:color="auto"/>
            <w:right w:val="none" w:sz="0" w:space="0" w:color="auto"/>
          </w:divBdr>
        </w:div>
        <w:div w:id="720175350">
          <w:marLeft w:val="0"/>
          <w:marRight w:val="0"/>
          <w:marTop w:val="0"/>
          <w:marBottom w:val="0"/>
          <w:divBdr>
            <w:top w:val="none" w:sz="0" w:space="0" w:color="auto"/>
            <w:left w:val="none" w:sz="0" w:space="0" w:color="auto"/>
            <w:bottom w:val="none" w:sz="0" w:space="0" w:color="auto"/>
            <w:right w:val="none" w:sz="0" w:space="0" w:color="auto"/>
          </w:divBdr>
        </w:div>
        <w:div w:id="1760903790">
          <w:marLeft w:val="0"/>
          <w:marRight w:val="0"/>
          <w:marTop w:val="0"/>
          <w:marBottom w:val="0"/>
          <w:divBdr>
            <w:top w:val="none" w:sz="0" w:space="0" w:color="auto"/>
            <w:left w:val="none" w:sz="0" w:space="0" w:color="auto"/>
            <w:bottom w:val="none" w:sz="0" w:space="0" w:color="auto"/>
            <w:right w:val="none" w:sz="0" w:space="0" w:color="auto"/>
          </w:divBdr>
        </w:div>
        <w:div w:id="388918696">
          <w:marLeft w:val="0"/>
          <w:marRight w:val="0"/>
          <w:marTop w:val="0"/>
          <w:marBottom w:val="0"/>
          <w:divBdr>
            <w:top w:val="none" w:sz="0" w:space="0" w:color="auto"/>
            <w:left w:val="none" w:sz="0" w:space="0" w:color="auto"/>
            <w:bottom w:val="none" w:sz="0" w:space="0" w:color="auto"/>
            <w:right w:val="none" w:sz="0" w:space="0" w:color="auto"/>
          </w:divBdr>
        </w:div>
      </w:divsChild>
    </w:div>
    <w:div w:id="2105105187">
      <w:marLeft w:val="0"/>
      <w:marRight w:val="0"/>
      <w:marTop w:val="0"/>
      <w:marBottom w:val="0"/>
      <w:divBdr>
        <w:top w:val="none" w:sz="0" w:space="0" w:color="auto"/>
        <w:left w:val="none" w:sz="0" w:space="0" w:color="auto"/>
        <w:bottom w:val="none" w:sz="0" w:space="0" w:color="auto"/>
        <w:right w:val="none" w:sz="0" w:space="0" w:color="auto"/>
      </w:divBdr>
      <w:divsChild>
        <w:div w:id="1026098233">
          <w:marLeft w:val="0"/>
          <w:marRight w:val="0"/>
          <w:marTop w:val="120"/>
          <w:marBottom w:val="0"/>
          <w:divBdr>
            <w:top w:val="none" w:sz="0" w:space="0" w:color="auto"/>
            <w:left w:val="none" w:sz="0" w:space="0" w:color="auto"/>
            <w:bottom w:val="none" w:sz="0" w:space="0" w:color="auto"/>
            <w:right w:val="none" w:sz="0" w:space="0" w:color="auto"/>
          </w:divBdr>
        </w:div>
      </w:divsChild>
    </w:div>
    <w:div w:id="2105152475">
      <w:marLeft w:val="0"/>
      <w:marRight w:val="0"/>
      <w:marTop w:val="120"/>
      <w:marBottom w:val="0"/>
      <w:divBdr>
        <w:top w:val="none" w:sz="0" w:space="0" w:color="auto"/>
        <w:left w:val="none" w:sz="0" w:space="0" w:color="auto"/>
        <w:bottom w:val="none" w:sz="0" w:space="0" w:color="auto"/>
        <w:right w:val="none" w:sz="0" w:space="0" w:color="auto"/>
      </w:divBdr>
    </w:div>
    <w:div w:id="2105959025">
      <w:marLeft w:val="0"/>
      <w:marRight w:val="0"/>
      <w:marTop w:val="240"/>
      <w:marBottom w:val="0"/>
      <w:divBdr>
        <w:top w:val="none" w:sz="0" w:space="0" w:color="auto"/>
        <w:left w:val="none" w:sz="0" w:space="0" w:color="auto"/>
        <w:bottom w:val="none" w:sz="0" w:space="0" w:color="auto"/>
        <w:right w:val="none" w:sz="0" w:space="0" w:color="auto"/>
      </w:divBdr>
    </w:div>
    <w:div w:id="2106144587">
      <w:marLeft w:val="0"/>
      <w:marRight w:val="0"/>
      <w:marTop w:val="240"/>
      <w:marBottom w:val="0"/>
      <w:divBdr>
        <w:top w:val="none" w:sz="0" w:space="0" w:color="auto"/>
        <w:left w:val="none" w:sz="0" w:space="0" w:color="auto"/>
        <w:bottom w:val="none" w:sz="0" w:space="0" w:color="auto"/>
        <w:right w:val="none" w:sz="0" w:space="0" w:color="auto"/>
      </w:divBdr>
    </w:div>
    <w:div w:id="2106917572">
      <w:marLeft w:val="0"/>
      <w:marRight w:val="0"/>
      <w:marTop w:val="60"/>
      <w:marBottom w:val="0"/>
      <w:divBdr>
        <w:top w:val="none" w:sz="0" w:space="0" w:color="auto"/>
        <w:left w:val="none" w:sz="0" w:space="0" w:color="auto"/>
        <w:bottom w:val="none" w:sz="0" w:space="0" w:color="auto"/>
        <w:right w:val="none" w:sz="0" w:space="0" w:color="auto"/>
      </w:divBdr>
      <w:divsChild>
        <w:div w:id="1243296358">
          <w:marLeft w:val="0"/>
          <w:marRight w:val="0"/>
          <w:marTop w:val="0"/>
          <w:marBottom w:val="0"/>
          <w:divBdr>
            <w:top w:val="none" w:sz="0" w:space="0" w:color="auto"/>
            <w:left w:val="none" w:sz="0" w:space="0" w:color="auto"/>
            <w:bottom w:val="none" w:sz="0" w:space="0" w:color="auto"/>
            <w:right w:val="none" w:sz="0" w:space="0" w:color="auto"/>
          </w:divBdr>
        </w:div>
        <w:div w:id="382142380">
          <w:marLeft w:val="0"/>
          <w:marRight w:val="0"/>
          <w:marTop w:val="0"/>
          <w:marBottom w:val="0"/>
          <w:divBdr>
            <w:top w:val="none" w:sz="0" w:space="0" w:color="auto"/>
            <w:left w:val="none" w:sz="0" w:space="0" w:color="auto"/>
            <w:bottom w:val="none" w:sz="0" w:space="0" w:color="auto"/>
            <w:right w:val="none" w:sz="0" w:space="0" w:color="auto"/>
          </w:divBdr>
        </w:div>
        <w:div w:id="1823306108">
          <w:marLeft w:val="0"/>
          <w:marRight w:val="0"/>
          <w:marTop w:val="0"/>
          <w:marBottom w:val="0"/>
          <w:divBdr>
            <w:top w:val="none" w:sz="0" w:space="0" w:color="auto"/>
            <w:left w:val="none" w:sz="0" w:space="0" w:color="auto"/>
            <w:bottom w:val="none" w:sz="0" w:space="0" w:color="auto"/>
            <w:right w:val="none" w:sz="0" w:space="0" w:color="auto"/>
          </w:divBdr>
        </w:div>
      </w:divsChild>
    </w:div>
    <w:div w:id="2108579773">
      <w:marLeft w:val="0"/>
      <w:marRight w:val="0"/>
      <w:marTop w:val="240"/>
      <w:marBottom w:val="0"/>
      <w:divBdr>
        <w:top w:val="none" w:sz="0" w:space="0" w:color="auto"/>
        <w:left w:val="none" w:sz="0" w:space="0" w:color="auto"/>
        <w:bottom w:val="none" w:sz="0" w:space="0" w:color="auto"/>
        <w:right w:val="none" w:sz="0" w:space="0" w:color="auto"/>
      </w:divBdr>
    </w:div>
    <w:div w:id="2108697885">
      <w:marLeft w:val="0"/>
      <w:marRight w:val="0"/>
      <w:marTop w:val="240"/>
      <w:marBottom w:val="0"/>
      <w:divBdr>
        <w:top w:val="none" w:sz="0" w:space="0" w:color="auto"/>
        <w:left w:val="none" w:sz="0" w:space="0" w:color="auto"/>
        <w:bottom w:val="none" w:sz="0" w:space="0" w:color="auto"/>
        <w:right w:val="none" w:sz="0" w:space="0" w:color="auto"/>
      </w:divBdr>
    </w:div>
    <w:div w:id="2109958165">
      <w:marLeft w:val="0"/>
      <w:marRight w:val="0"/>
      <w:marTop w:val="240"/>
      <w:marBottom w:val="0"/>
      <w:divBdr>
        <w:top w:val="none" w:sz="0" w:space="0" w:color="auto"/>
        <w:left w:val="none" w:sz="0" w:space="0" w:color="auto"/>
        <w:bottom w:val="none" w:sz="0" w:space="0" w:color="auto"/>
        <w:right w:val="none" w:sz="0" w:space="0" w:color="auto"/>
      </w:divBdr>
    </w:div>
    <w:div w:id="2112049373">
      <w:marLeft w:val="0"/>
      <w:marRight w:val="0"/>
      <w:marTop w:val="0"/>
      <w:marBottom w:val="0"/>
      <w:divBdr>
        <w:top w:val="none" w:sz="0" w:space="0" w:color="auto"/>
        <w:left w:val="none" w:sz="0" w:space="0" w:color="auto"/>
        <w:bottom w:val="none" w:sz="0" w:space="0" w:color="auto"/>
        <w:right w:val="none" w:sz="0" w:space="0" w:color="auto"/>
      </w:divBdr>
      <w:divsChild>
        <w:div w:id="121315500">
          <w:marLeft w:val="0"/>
          <w:marRight w:val="0"/>
          <w:marTop w:val="0"/>
          <w:marBottom w:val="0"/>
          <w:divBdr>
            <w:top w:val="none" w:sz="0" w:space="0" w:color="auto"/>
            <w:left w:val="none" w:sz="0" w:space="0" w:color="auto"/>
            <w:bottom w:val="none" w:sz="0" w:space="0" w:color="auto"/>
            <w:right w:val="none" w:sz="0" w:space="0" w:color="auto"/>
          </w:divBdr>
        </w:div>
      </w:divsChild>
    </w:div>
    <w:div w:id="2112121219">
      <w:marLeft w:val="0"/>
      <w:marRight w:val="0"/>
      <w:marTop w:val="240"/>
      <w:marBottom w:val="0"/>
      <w:divBdr>
        <w:top w:val="none" w:sz="0" w:space="0" w:color="auto"/>
        <w:left w:val="none" w:sz="0" w:space="0" w:color="auto"/>
        <w:bottom w:val="none" w:sz="0" w:space="0" w:color="auto"/>
        <w:right w:val="none" w:sz="0" w:space="0" w:color="auto"/>
      </w:divBdr>
    </w:div>
    <w:div w:id="2112898039">
      <w:marLeft w:val="0"/>
      <w:marRight w:val="0"/>
      <w:marTop w:val="240"/>
      <w:marBottom w:val="0"/>
      <w:divBdr>
        <w:top w:val="none" w:sz="0" w:space="0" w:color="auto"/>
        <w:left w:val="none" w:sz="0" w:space="0" w:color="auto"/>
        <w:bottom w:val="none" w:sz="0" w:space="0" w:color="auto"/>
        <w:right w:val="none" w:sz="0" w:space="0" w:color="auto"/>
      </w:divBdr>
    </w:div>
    <w:div w:id="2113742684">
      <w:marLeft w:val="0"/>
      <w:marRight w:val="0"/>
      <w:marTop w:val="240"/>
      <w:marBottom w:val="0"/>
      <w:divBdr>
        <w:top w:val="none" w:sz="0" w:space="0" w:color="auto"/>
        <w:left w:val="none" w:sz="0" w:space="0" w:color="auto"/>
        <w:bottom w:val="none" w:sz="0" w:space="0" w:color="auto"/>
        <w:right w:val="none" w:sz="0" w:space="0" w:color="auto"/>
      </w:divBdr>
    </w:div>
    <w:div w:id="2114009948">
      <w:marLeft w:val="0"/>
      <w:marRight w:val="0"/>
      <w:marTop w:val="240"/>
      <w:marBottom w:val="0"/>
      <w:divBdr>
        <w:top w:val="none" w:sz="0" w:space="0" w:color="auto"/>
        <w:left w:val="none" w:sz="0" w:space="0" w:color="auto"/>
        <w:bottom w:val="none" w:sz="0" w:space="0" w:color="auto"/>
        <w:right w:val="none" w:sz="0" w:space="0" w:color="auto"/>
      </w:divBdr>
    </w:div>
    <w:div w:id="2115787296">
      <w:marLeft w:val="0"/>
      <w:marRight w:val="0"/>
      <w:marTop w:val="240"/>
      <w:marBottom w:val="0"/>
      <w:divBdr>
        <w:top w:val="none" w:sz="0" w:space="0" w:color="auto"/>
        <w:left w:val="none" w:sz="0" w:space="0" w:color="auto"/>
        <w:bottom w:val="none" w:sz="0" w:space="0" w:color="auto"/>
        <w:right w:val="none" w:sz="0" w:space="0" w:color="auto"/>
      </w:divBdr>
    </w:div>
    <w:div w:id="2115905793">
      <w:marLeft w:val="0"/>
      <w:marRight w:val="0"/>
      <w:marTop w:val="100"/>
      <w:marBottom w:val="0"/>
      <w:divBdr>
        <w:top w:val="none" w:sz="0" w:space="0" w:color="auto"/>
        <w:left w:val="none" w:sz="0" w:space="0" w:color="auto"/>
        <w:bottom w:val="none" w:sz="0" w:space="0" w:color="auto"/>
        <w:right w:val="none" w:sz="0" w:space="0" w:color="auto"/>
      </w:divBdr>
      <w:divsChild>
        <w:div w:id="1751583766">
          <w:marLeft w:val="0"/>
          <w:marRight w:val="0"/>
          <w:marTop w:val="0"/>
          <w:marBottom w:val="0"/>
          <w:divBdr>
            <w:top w:val="none" w:sz="0" w:space="0" w:color="auto"/>
            <w:left w:val="none" w:sz="0" w:space="0" w:color="auto"/>
            <w:bottom w:val="none" w:sz="0" w:space="0" w:color="auto"/>
            <w:right w:val="none" w:sz="0" w:space="0" w:color="auto"/>
          </w:divBdr>
        </w:div>
      </w:divsChild>
    </w:div>
    <w:div w:id="2116434637">
      <w:marLeft w:val="0"/>
      <w:marRight w:val="0"/>
      <w:marTop w:val="240"/>
      <w:marBottom w:val="240"/>
      <w:divBdr>
        <w:top w:val="none" w:sz="0" w:space="0" w:color="auto"/>
        <w:left w:val="none" w:sz="0" w:space="0" w:color="auto"/>
        <w:bottom w:val="none" w:sz="0" w:space="0" w:color="auto"/>
        <w:right w:val="none" w:sz="0" w:space="0" w:color="auto"/>
      </w:divBdr>
    </w:div>
    <w:div w:id="2116434988">
      <w:marLeft w:val="0"/>
      <w:marRight w:val="0"/>
      <w:marTop w:val="300"/>
      <w:marBottom w:val="0"/>
      <w:divBdr>
        <w:top w:val="none" w:sz="0" w:space="0" w:color="auto"/>
        <w:left w:val="none" w:sz="0" w:space="0" w:color="auto"/>
        <w:bottom w:val="none" w:sz="0" w:space="0" w:color="auto"/>
        <w:right w:val="none" w:sz="0" w:space="0" w:color="auto"/>
      </w:divBdr>
    </w:div>
    <w:div w:id="2116514562">
      <w:marLeft w:val="0"/>
      <w:marRight w:val="0"/>
      <w:marTop w:val="180"/>
      <w:marBottom w:val="0"/>
      <w:divBdr>
        <w:top w:val="none" w:sz="0" w:space="0" w:color="auto"/>
        <w:left w:val="none" w:sz="0" w:space="0" w:color="auto"/>
        <w:bottom w:val="none" w:sz="0" w:space="0" w:color="auto"/>
        <w:right w:val="none" w:sz="0" w:space="0" w:color="auto"/>
      </w:divBdr>
    </w:div>
    <w:div w:id="2118720676">
      <w:marLeft w:val="0"/>
      <w:marRight w:val="0"/>
      <w:marTop w:val="240"/>
      <w:marBottom w:val="240"/>
      <w:divBdr>
        <w:top w:val="none" w:sz="0" w:space="0" w:color="auto"/>
        <w:left w:val="none" w:sz="0" w:space="0" w:color="auto"/>
        <w:bottom w:val="none" w:sz="0" w:space="0" w:color="auto"/>
        <w:right w:val="none" w:sz="0" w:space="0" w:color="auto"/>
      </w:divBdr>
    </w:div>
    <w:div w:id="2118914061">
      <w:marLeft w:val="0"/>
      <w:marRight w:val="0"/>
      <w:marTop w:val="120"/>
      <w:marBottom w:val="0"/>
      <w:divBdr>
        <w:top w:val="none" w:sz="0" w:space="0" w:color="auto"/>
        <w:left w:val="none" w:sz="0" w:space="0" w:color="auto"/>
        <w:bottom w:val="none" w:sz="0" w:space="0" w:color="auto"/>
        <w:right w:val="none" w:sz="0" w:space="0" w:color="auto"/>
      </w:divBdr>
    </w:div>
    <w:div w:id="2121104165">
      <w:marLeft w:val="0"/>
      <w:marRight w:val="0"/>
      <w:marTop w:val="240"/>
      <w:marBottom w:val="0"/>
      <w:divBdr>
        <w:top w:val="none" w:sz="0" w:space="0" w:color="auto"/>
        <w:left w:val="none" w:sz="0" w:space="0" w:color="auto"/>
        <w:bottom w:val="none" w:sz="0" w:space="0" w:color="auto"/>
        <w:right w:val="none" w:sz="0" w:space="0" w:color="auto"/>
      </w:divBdr>
    </w:div>
    <w:div w:id="2121491267">
      <w:marLeft w:val="0"/>
      <w:marRight w:val="0"/>
      <w:marTop w:val="240"/>
      <w:marBottom w:val="0"/>
      <w:divBdr>
        <w:top w:val="none" w:sz="0" w:space="0" w:color="auto"/>
        <w:left w:val="none" w:sz="0" w:space="0" w:color="auto"/>
        <w:bottom w:val="none" w:sz="0" w:space="0" w:color="auto"/>
        <w:right w:val="none" w:sz="0" w:space="0" w:color="auto"/>
      </w:divBdr>
    </w:div>
    <w:div w:id="2121535006">
      <w:marLeft w:val="0"/>
      <w:marRight w:val="0"/>
      <w:marTop w:val="220"/>
      <w:marBottom w:val="0"/>
      <w:divBdr>
        <w:top w:val="none" w:sz="0" w:space="0" w:color="auto"/>
        <w:left w:val="none" w:sz="0" w:space="0" w:color="auto"/>
        <w:bottom w:val="none" w:sz="0" w:space="0" w:color="auto"/>
        <w:right w:val="none" w:sz="0" w:space="0" w:color="auto"/>
      </w:divBdr>
      <w:divsChild>
        <w:div w:id="601500691">
          <w:marLeft w:val="0"/>
          <w:marRight w:val="0"/>
          <w:marTop w:val="240"/>
          <w:marBottom w:val="0"/>
          <w:divBdr>
            <w:top w:val="none" w:sz="0" w:space="0" w:color="auto"/>
            <w:left w:val="none" w:sz="0" w:space="0" w:color="auto"/>
            <w:bottom w:val="none" w:sz="0" w:space="0" w:color="auto"/>
            <w:right w:val="none" w:sz="0" w:space="0" w:color="auto"/>
          </w:divBdr>
        </w:div>
        <w:div w:id="1938053332">
          <w:marLeft w:val="0"/>
          <w:marRight w:val="0"/>
          <w:marTop w:val="240"/>
          <w:marBottom w:val="0"/>
          <w:divBdr>
            <w:top w:val="none" w:sz="0" w:space="0" w:color="auto"/>
            <w:left w:val="none" w:sz="0" w:space="0" w:color="auto"/>
            <w:bottom w:val="none" w:sz="0" w:space="0" w:color="auto"/>
            <w:right w:val="none" w:sz="0" w:space="0" w:color="auto"/>
          </w:divBdr>
        </w:div>
        <w:div w:id="1492596254">
          <w:marLeft w:val="0"/>
          <w:marRight w:val="0"/>
          <w:marTop w:val="240"/>
          <w:marBottom w:val="0"/>
          <w:divBdr>
            <w:top w:val="none" w:sz="0" w:space="0" w:color="auto"/>
            <w:left w:val="none" w:sz="0" w:space="0" w:color="auto"/>
            <w:bottom w:val="none" w:sz="0" w:space="0" w:color="auto"/>
            <w:right w:val="none" w:sz="0" w:space="0" w:color="auto"/>
          </w:divBdr>
        </w:div>
        <w:div w:id="600258055">
          <w:marLeft w:val="0"/>
          <w:marRight w:val="0"/>
          <w:marTop w:val="240"/>
          <w:marBottom w:val="0"/>
          <w:divBdr>
            <w:top w:val="none" w:sz="0" w:space="0" w:color="auto"/>
            <w:left w:val="none" w:sz="0" w:space="0" w:color="auto"/>
            <w:bottom w:val="none" w:sz="0" w:space="0" w:color="auto"/>
            <w:right w:val="none" w:sz="0" w:space="0" w:color="auto"/>
          </w:divBdr>
        </w:div>
        <w:div w:id="1075589092">
          <w:marLeft w:val="0"/>
          <w:marRight w:val="0"/>
          <w:marTop w:val="240"/>
          <w:marBottom w:val="0"/>
          <w:divBdr>
            <w:top w:val="none" w:sz="0" w:space="0" w:color="auto"/>
            <w:left w:val="none" w:sz="0" w:space="0" w:color="auto"/>
            <w:bottom w:val="none" w:sz="0" w:space="0" w:color="auto"/>
            <w:right w:val="none" w:sz="0" w:space="0" w:color="auto"/>
          </w:divBdr>
        </w:div>
        <w:div w:id="1555778199">
          <w:marLeft w:val="0"/>
          <w:marRight w:val="0"/>
          <w:marTop w:val="240"/>
          <w:marBottom w:val="0"/>
          <w:divBdr>
            <w:top w:val="none" w:sz="0" w:space="0" w:color="auto"/>
            <w:left w:val="none" w:sz="0" w:space="0" w:color="auto"/>
            <w:bottom w:val="none" w:sz="0" w:space="0" w:color="auto"/>
            <w:right w:val="none" w:sz="0" w:space="0" w:color="auto"/>
          </w:divBdr>
        </w:div>
      </w:divsChild>
    </w:div>
    <w:div w:id="2123064733">
      <w:marLeft w:val="0"/>
      <w:marRight w:val="0"/>
      <w:marTop w:val="180"/>
      <w:marBottom w:val="0"/>
      <w:divBdr>
        <w:top w:val="none" w:sz="0" w:space="0" w:color="auto"/>
        <w:left w:val="none" w:sz="0" w:space="0" w:color="auto"/>
        <w:bottom w:val="none" w:sz="0" w:space="0" w:color="auto"/>
        <w:right w:val="none" w:sz="0" w:space="0" w:color="auto"/>
      </w:divBdr>
    </w:div>
    <w:div w:id="2124375377">
      <w:marLeft w:val="0"/>
      <w:marRight w:val="0"/>
      <w:marTop w:val="240"/>
      <w:marBottom w:val="0"/>
      <w:divBdr>
        <w:top w:val="none" w:sz="0" w:space="0" w:color="auto"/>
        <w:left w:val="none" w:sz="0" w:space="0" w:color="auto"/>
        <w:bottom w:val="none" w:sz="0" w:space="0" w:color="auto"/>
        <w:right w:val="none" w:sz="0" w:space="0" w:color="auto"/>
      </w:divBdr>
    </w:div>
    <w:div w:id="2126581596">
      <w:marLeft w:val="0"/>
      <w:marRight w:val="0"/>
      <w:marTop w:val="240"/>
      <w:marBottom w:val="0"/>
      <w:divBdr>
        <w:top w:val="none" w:sz="0" w:space="0" w:color="auto"/>
        <w:left w:val="none" w:sz="0" w:space="0" w:color="auto"/>
        <w:bottom w:val="none" w:sz="0" w:space="0" w:color="auto"/>
        <w:right w:val="none" w:sz="0" w:space="0" w:color="auto"/>
      </w:divBdr>
    </w:div>
    <w:div w:id="2126609124">
      <w:marLeft w:val="0"/>
      <w:marRight w:val="0"/>
      <w:marTop w:val="120"/>
      <w:marBottom w:val="0"/>
      <w:divBdr>
        <w:top w:val="none" w:sz="0" w:space="0" w:color="auto"/>
        <w:left w:val="none" w:sz="0" w:space="0" w:color="auto"/>
        <w:bottom w:val="none" w:sz="0" w:space="0" w:color="auto"/>
        <w:right w:val="none" w:sz="0" w:space="0" w:color="auto"/>
      </w:divBdr>
    </w:div>
    <w:div w:id="2127121061">
      <w:marLeft w:val="0"/>
      <w:marRight w:val="0"/>
      <w:marTop w:val="240"/>
      <w:marBottom w:val="0"/>
      <w:divBdr>
        <w:top w:val="none" w:sz="0" w:space="0" w:color="auto"/>
        <w:left w:val="none" w:sz="0" w:space="0" w:color="auto"/>
        <w:bottom w:val="none" w:sz="0" w:space="0" w:color="auto"/>
        <w:right w:val="none" w:sz="0" w:space="0" w:color="auto"/>
      </w:divBdr>
    </w:div>
    <w:div w:id="2131586711">
      <w:marLeft w:val="0"/>
      <w:marRight w:val="0"/>
      <w:marTop w:val="240"/>
      <w:marBottom w:val="240"/>
      <w:divBdr>
        <w:top w:val="none" w:sz="0" w:space="0" w:color="auto"/>
        <w:left w:val="none" w:sz="0" w:space="0" w:color="auto"/>
        <w:bottom w:val="none" w:sz="0" w:space="0" w:color="auto"/>
        <w:right w:val="none" w:sz="0" w:space="0" w:color="auto"/>
      </w:divBdr>
    </w:div>
    <w:div w:id="2131587429">
      <w:marLeft w:val="0"/>
      <w:marRight w:val="0"/>
      <w:marTop w:val="240"/>
      <w:marBottom w:val="0"/>
      <w:divBdr>
        <w:top w:val="none" w:sz="0" w:space="0" w:color="auto"/>
        <w:left w:val="none" w:sz="0" w:space="0" w:color="auto"/>
        <w:bottom w:val="none" w:sz="0" w:space="0" w:color="auto"/>
        <w:right w:val="none" w:sz="0" w:space="0" w:color="auto"/>
      </w:divBdr>
    </w:div>
    <w:div w:id="2132044539">
      <w:marLeft w:val="0"/>
      <w:marRight w:val="0"/>
      <w:marTop w:val="240"/>
      <w:marBottom w:val="0"/>
      <w:divBdr>
        <w:top w:val="none" w:sz="0" w:space="0" w:color="auto"/>
        <w:left w:val="none" w:sz="0" w:space="0" w:color="auto"/>
        <w:bottom w:val="none" w:sz="0" w:space="0" w:color="auto"/>
        <w:right w:val="none" w:sz="0" w:space="0" w:color="auto"/>
      </w:divBdr>
    </w:div>
    <w:div w:id="2132360110">
      <w:marLeft w:val="0"/>
      <w:marRight w:val="0"/>
      <w:marTop w:val="300"/>
      <w:marBottom w:val="0"/>
      <w:divBdr>
        <w:top w:val="none" w:sz="0" w:space="0" w:color="auto"/>
        <w:left w:val="none" w:sz="0" w:space="0" w:color="auto"/>
        <w:bottom w:val="none" w:sz="0" w:space="0" w:color="auto"/>
        <w:right w:val="none" w:sz="0" w:space="0" w:color="auto"/>
      </w:divBdr>
    </w:div>
    <w:div w:id="2133285566">
      <w:marLeft w:val="0"/>
      <w:marRight w:val="0"/>
      <w:marTop w:val="0"/>
      <w:marBottom w:val="0"/>
      <w:divBdr>
        <w:top w:val="none" w:sz="0" w:space="0" w:color="auto"/>
        <w:left w:val="none" w:sz="0" w:space="0" w:color="auto"/>
        <w:bottom w:val="none" w:sz="0" w:space="0" w:color="auto"/>
        <w:right w:val="none" w:sz="0" w:space="0" w:color="auto"/>
      </w:divBdr>
      <w:divsChild>
        <w:div w:id="1066731894">
          <w:marLeft w:val="0"/>
          <w:marRight w:val="0"/>
          <w:marTop w:val="0"/>
          <w:marBottom w:val="0"/>
          <w:divBdr>
            <w:top w:val="none" w:sz="0" w:space="0" w:color="auto"/>
            <w:left w:val="none" w:sz="0" w:space="0" w:color="auto"/>
            <w:bottom w:val="none" w:sz="0" w:space="0" w:color="auto"/>
            <w:right w:val="none" w:sz="0" w:space="0" w:color="auto"/>
          </w:divBdr>
          <w:divsChild>
            <w:div w:id="148897949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33936526">
      <w:marLeft w:val="0"/>
      <w:marRight w:val="0"/>
      <w:marTop w:val="240"/>
      <w:marBottom w:val="240"/>
      <w:divBdr>
        <w:top w:val="none" w:sz="0" w:space="0" w:color="auto"/>
        <w:left w:val="none" w:sz="0" w:space="0" w:color="auto"/>
        <w:bottom w:val="none" w:sz="0" w:space="0" w:color="auto"/>
        <w:right w:val="none" w:sz="0" w:space="0" w:color="auto"/>
      </w:divBdr>
    </w:div>
    <w:div w:id="2134785561">
      <w:marLeft w:val="0"/>
      <w:marRight w:val="0"/>
      <w:marTop w:val="240"/>
      <w:marBottom w:val="0"/>
      <w:divBdr>
        <w:top w:val="none" w:sz="0" w:space="0" w:color="auto"/>
        <w:left w:val="none" w:sz="0" w:space="0" w:color="auto"/>
        <w:bottom w:val="none" w:sz="0" w:space="0" w:color="auto"/>
        <w:right w:val="none" w:sz="0" w:space="0" w:color="auto"/>
      </w:divBdr>
    </w:div>
    <w:div w:id="2135177468">
      <w:marLeft w:val="0"/>
      <w:marRight w:val="0"/>
      <w:marTop w:val="240"/>
      <w:marBottom w:val="0"/>
      <w:divBdr>
        <w:top w:val="none" w:sz="0" w:space="0" w:color="auto"/>
        <w:left w:val="none" w:sz="0" w:space="0" w:color="auto"/>
        <w:bottom w:val="none" w:sz="0" w:space="0" w:color="auto"/>
        <w:right w:val="none" w:sz="0" w:space="0" w:color="auto"/>
      </w:divBdr>
    </w:div>
    <w:div w:id="2135558399">
      <w:marLeft w:val="0"/>
      <w:marRight w:val="0"/>
      <w:marTop w:val="0"/>
      <w:marBottom w:val="0"/>
      <w:divBdr>
        <w:top w:val="none" w:sz="0" w:space="0" w:color="auto"/>
        <w:left w:val="none" w:sz="0" w:space="0" w:color="auto"/>
        <w:bottom w:val="none" w:sz="0" w:space="0" w:color="auto"/>
        <w:right w:val="none" w:sz="0" w:space="0" w:color="auto"/>
      </w:divBdr>
      <w:divsChild>
        <w:div w:id="968054400">
          <w:marLeft w:val="0"/>
          <w:marRight w:val="0"/>
          <w:marTop w:val="0"/>
          <w:marBottom w:val="0"/>
          <w:divBdr>
            <w:top w:val="none" w:sz="0" w:space="0" w:color="auto"/>
            <w:left w:val="none" w:sz="0" w:space="0" w:color="auto"/>
            <w:bottom w:val="none" w:sz="0" w:space="0" w:color="auto"/>
            <w:right w:val="none" w:sz="0" w:space="0" w:color="auto"/>
          </w:divBdr>
          <w:divsChild>
            <w:div w:id="2373262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35633409">
      <w:marLeft w:val="0"/>
      <w:marRight w:val="0"/>
      <w:marTop w:val="240"/>
      <w:marBottom w:val="0"/>
      <w:divBdr>
        <w:top w:val="none" w:sz="0" w:space="0" w:color="auto"/>
        <w:left w:val="none" w:sz="0" w:space="0" w:color="auto"/>
        <w:bottom w:val="none" w:sz="0" w:space="0" w:color="auto"/>
        <w:right w:val="none" w:sz="0" w:space="0" w:color="auto"/>
      </w:divBdr>
    </w:div>
    <w:div w:id="2135783233">
      <w:marLeft w:val="0"/>
      <w:marRight w:val="0"/>
      <w:marTop w:val="240"/>
      <w:marBottom w:val="0"/>
      <w:divBdr>
        <w:top w:val="none" w:sz="0" w:space="0" w:color="auto"/>
        <w:left w:val="none" w:sz="0" w:space="0" w:color="auto"/>
        <w:bottom w:val="none" w:sz="0" w:space="0" w:color="auto"/>
        <w:right w:val="none" w:sz="0" w:space="0" w:color="auto"/>
      </w:divBdr>
    </w:div>
    <w:div w:id="2135824836">
      <w:marLeft w:val="0"/>
      <w:marRight w:val="0"/>
      <w:marTop w:val="240"/>
      <w:marBottom w:val="0"/>
      <w:divBdr>
        <w:top w:val="none" w:sz="0" w:space="0" w:color="auto"/>
        <w:left w:val="none" w:sz="0" w:space="0" w:color="auto"/>
        <w:bottom w:val="none" w:sz="0" w:space="0" w:color="auto"/>
        <w:right w:val="none" w:sz="0" w:space="0" w:color="auto"/>
      </w:divBdr>
    </w:div>
    <w:div w:id="2135901104">
      <w:marLeft w:val="0"/>
      <w:marRight w:val="0"/>
      <w:marTop w:val="240"/>
      <w:marBottom w:val="0"/>
      <w:divBdr>
        <w:top w:val="none" w:sz="0" w:space="0" w:color="auto"/>
        <w:left w:val="none" w:sz="0" w:space="0" w:color="auto"/>
        <w:bottom w:val="none" w:sz="0" w:space="0" w:color="auto"/>
        <w:right w:val="none" w:sz="0" w:space="0" w:color="auto"/>
      </w:divBdr>
    </w:div>
    <w:div w:id="2136755931">
      <w:marLeft w:val="0"/>
      <w:marRight w:val="0"/>
      <w:marTop w:val="0"/>
      <w:marBottom w:val="0"/>
      <w:divBdr>
        <w:top w:val="none" w:sz="0" w:space="0" w:color="auto"/>
        <w:left w:val="none" w:sz="0" w:space="0" w:color="auto"/>
        <w:bottom w:val="none" w:sz="0" w:space="0" w:color="auto"/>
        <w:right w:val="none" w:sz="0" w:space="0" w:color="auto"/>
      </w:divBdr>
      <w:divsChild>
        <w:div w:id="155464074">
          <w:marLeft w:val="0"/>
          <w:marRight w:val="0"/>
          <w:marTop w:val="0"/>
          <w:marBottom w:val="0"/>
          <w:divBdr>
            <w:top w:val="none" w:sz="0" w:space="0" w:color="auto"/>
            <w:left w:val="none" w:sz="0" w:space="0" w:color="auto"/>
            <w:bottom w:val="none" w:sz="0" w:space="0" w:color="auto"/>
            <w:right w:val="none" w:sz="0" w:space="0" w:color="auto"/>
          </w:divBdr>
          <w:divsChild>
            <w:div w:id="27193583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37066113">
      <w:marLeft w:val="0"/>
      <w:marRight w:val="0"/>
      <w:marTop w:val="240"/>
      <w:marBottom w:val="0"/>
      <w:divBdr>
        <w:top w:val="none" w:sz="0" w:space="0" w:color="auto"/>
        <w:left w:val="none" w:sz="0" w:space="0" w:color="auto"/>
        <w:bottom w:val="none" w:sz="0" w:space="0" w:color="auto"/>
        <w:right w:val="none" w:sz="0" w:space="0" w:color="auto"/>
      </w:divBdr>
    </w:div>
    <w:div w:id="2139642648">
      <w:marLeft w:val="0"/>
      <w:marRight w:val="0"/>
      <w:marTop w:val="60"/>
      <w:marBottom w:val="0"/>
      <w:divBdr>
        <w:top w:val="none" w:sz="0" w:space="0" w:color="auto"/>
        <w:left w:val="none" w:sz="0" w:space="0" w:color="auto"/>
        <w:bottom w:val="none" w:sz="0" w:space="0" w:color="auto"/>
        <w:right w:val="none" w:sz="0" w:space="0" w:color="auto"/>
      </w:divBdr>
    </w:div>
    <w:div w:id="2141023747">
      <w:marLeft w:val="0"/>
      <w:marRight w:val="0"/>
      <w:marTop w:val="240"/>
      <w:marBottom w:val="0"/>
      <w:divBdr>
        <w:top w:val="none" w:sz="0" w:space="0" w:color="auto"/>
        <w:left w:val="none" w:sz="0" w:space="0" w:color="auto"/>
        <w:bottom w:val="none" w:sz="0" w:space="0" w:color="auto"/>
        <w:right w:val="none" w:sz="0" w:space="0" w:color="auto"/>
      </w:divBdr>
    </w:div>
    <w:div w:id="2143838095">
      <w:marLeft w:val="0"/>
      <w:marRight w:val="0"/>
      <w:marTop w:val="24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037038/000103703816000024/rl-20161001x10qex101.htm" TargetMode="External"/><Relationship Id="rId21" Type="http://schemas.openxmlformats.org/officeDocument/2006/relationships/hyperlink" Target="http://www.sec.gov/Archives/edgar/data/1037038/000103703820000023/rl-20200627x10qex101.htm" TargetMode="External"/><Relationship Id="rId42" Type="http://schemas.openxmlformats.org/officeDocument/2006/relationships/hyperlink" Target="http://www.sec.gov/Archives/edgar/data/1037038/000103703814000006/rl-20140329x10kex1027.htm" TargetMode="External"/><Relationship Id="rId47" Type="http://schemas.openxmlformats.org/officeDocument/2006/relationships/hyperlink" Target="http://www.sec.gov/Archives/edgar/data/1037038/000103703817000010/rl-20170930x10qex101.htm" TargetMode="External"/><Relationship Id="rId63" Type="http://schemas.openxmlformats.org/officeDocument/2006/relationships/hyperlink" Target="http://www.sec.gov/Archives/edgar/data/1037038/000095012306001404/y17243exv10w1.htm" TargetMode="External"/><Relationship Id="rId68" Type="http://schemas.openxmlformats.org/officeDocument/2006/relationships/hyperlink" Target="http://www.sec.gov/Archives/edgar/data/1037038/000103703815000009/rl-20150627x10qex141.htm" TargetMode="External"/><Relationship Id="rId16" Type="http://schemas.openxmlformats.org/officeDocument/2006/relationships/hyperlink" Target="http://www.sec.gov/Archives/edgar/data/0001037038/000103703820000014/rl-20200328x10kex44.htm" TargetMode="External"/><Relationship Id="rId11" Type="http://schemas.openxmlformats.org/officeDocument/2006/relationships/hyperlink" Target="http://www.sec.gov/Archives/edgar/data/1037038/000119312518244504/d605912dex42.htm" TargetMode="External"/><Relationship Id="rId24" Type="http://schemas.openxmlformats.org/officeDocument/2006/relationships/hyperlink" Target="http://www.sec.gov/Archives/edgar/data/1037038/000103703820000023/rl-20200627x10qex102.htm" TargetMode="External"/><Relationship Id="rId32" Type="http://schemas.openxmlformats.org/officeDocument/2006/relationships/hyperlink" Target="http://www.sec.gov/Archives/edgar/data/1037038/000095012305008114/y10404exv10w15.htm" TargetMode="External"/><Relationship Id="rId37" Type="http://schemas.openxmlformats.org/officeDocument/2006/relationships/hyperlink" Target="http://www.sec.gov/Archives/edgar/data/1037038/000095012309009558/y77331exv10w26.htm" TargetMode="External"/><Relationship Id="rId40" Type="http://schemas.openxmlformats.org/officeDocument/2006/relationships/hyperlink" Target="http://www.sec.gov/Archives/edgar/data/1037038/000103703814000006/rl-20140329x10kex1025.htm" TargetMode="External"/><Relationship Id="rId45" Type="http://schemas.openxmlformats.org/officeDocument/2006/relationships/hyperlink" Target="http://www.sec.gov/Archives/edgar/data/1037038/000103703815000006/rl-20150328x10kex1039.htm" TargetMode="External"/><Relationship Id="rId53" Type="http://schemas.openxmlformats.org/officeDocument/2006/relationships/hyperlink" Target="http://www.sec.gov/Archives/edgar/data/1037038/000103703819000008/rl-20190629x10qex102.htm" TargetMode="External"/><Relationship Id="rId58" Type="http://schemas.openxmlformats.org/officeDocument/2006/relationships/hyperlink" Target="http://www.sec.gov/Archives/edgar/data/1037038/000103703819000010/rl-20190928x10qex104.htm" TargetMode="External"/><Relationship Id="rId66" Type="http://schemas.openxmlformats.org/officeDocument/2006/relationships/hyperlink" Target="http://www.sec.gov/Archives/edgar/data/0001037038/000103703820000014/rl-20200328x10kex1041.htm" TargetMode="External"/><Relationship Id="rId74" Type="http://schemas.openxmlformats.org/officeDocument/2006/relationships/hyperlink" Target="rl-20210327x10kex321.htm" TargetMode="External"/><Relationship Id="rId5" Type="http://schemas.openxmlformats.org/officeDocument/2006/relationships/image" Target="file:///E:\projects\LLMs\new_data_collection\data_new\htm\RALPH%20LAUREN%20CORP\rl-20210327_g2.jpg" TargetMode="External"/><Relationship Id="rId61" Type="http://schemas.openxmlformats.org/officeDocument/2006/relationships/hyperlink" Target="http://www.sec.gov/Archives/edgar/data/1037038/000103703820000030/rl-20200926x10qex102.htm" TargetMode="External"/><Relationship Id="rId19" Type="http://schemas.openxmlformats.org/officeDocument/2006/relationships/hyperlink" Target="http://www.sec.gov/Archives/edgar/data/1037038/0000950123-97-004911.txt" TargetMode="External"/><Relationship Id="rId14" Type="http://schemas.openxmlformats.org/officeDocument/2006/relationships/hyperlink" Target="http://www.sec.gov/Archives/edgar/data/0001037038/000119312520159787/d903486dex42.htm" TargetMode="External"/><Relationship Id="rId22" Type="http://schemas.openxmlformats.org/officeDocument/2006/relationships/hyperlink" Target="http://www.sec.gov/Archives/edgar/data/1037038/000095014217001057/eh1700645_ex1001.htm" TargetMode="External"/><Relationship Id="rId27" Type="http://schemas.openxmlformats.org/officeDocument/2006/relationships/hyperlink" Target="http://www.sec.gov/Archives/edgar/data/1037038/000095014219001592/eh1900922_ex1001.htm" TargetMode="External"/><Relationship Id="rId30" Type="http://schemas.openxmlformats.org/officeDocument/2006/relationships/hyperlink" Target="http://www.sec.gov/Archives/edgar/data/1037038/000103703820000023/rl-20200627x10qex103.htm" TargetMode="External"/><Relationship Id="rId35" Type="http://schemas.openxmlformats.org/officeDocument/2006/relationships/hyperlink" Target="http://www.sec.gov/Archives/edgar/data/1037038/000095014204003417/ex99-1form8k_081204.txt" TargetMode="External"/><Relationship Id="rId43" Type="http://schemas.openxmlformats.org/officeDocument/2006/relationships/hyperlink" Target="http://www.sec.gov/Archives/edgar/data/1037038/000103703814000006/rl-20140329x10kex1028.htm" TargetMode="External"/><Relationship Id="rId48" Type="http://schemas.openxmlformats.org/officeDocument/2006/relationships/hyperlink" Target="http://www.sec.gov/Archives/edgar/data/1037038/000103703817000010/rl-20170930x10qex102.htm" TargetMode="External"/><Relationship Id="rId56" Type="http://schemas.openxmlformats.org/officeDocument/2006/relationships/hyperlink" Target="http://www.sec.gov/Archives/edgar/data/1037038/000103703819000010/rl-20190928x10qex102.htm" TargetMode="External"/><Relationship Id="rId64" Type="http://schemas.openxmlformats.org/officeDocument/2006/relationships/hyperlink" Target="http://www.sec.gov/Archives/edgar/data/0001037038/000103703820000014/rl-20200328x10kex1041.htm" TargetMode="External"/><Relationship Id="rId69" Type="http://schemas.openxmlformats.org/officeDocument/2006/relationships/hyperlink" Target="rl-20210327x10kex211.htm" TargetMode="External"/><Relationship Id="rId77" Type="http://schemas.openxmlformats.org/officeDocument/2006/relationships/theme" Target="theme/theme1.xml"/><Relationship Id="rId8" Type="http://schemas.openxmlformats.org/officeDocument/2006/relationships/hyperlink" Target="http://www.sec.gov/Archives/edgar/data/1037038/000103703817000008/rl-20170701x10qex33.htm" TargetMode="External"/><Relationship Id="rId51" Type="http://schemas.openxmlformats.org/officeDocument/2006/relationships/hyperlink" Target="http://www.sec.gov/Archives/edgar/data/1037038/000103703819000002/rl-20181229x10qex102.htm" TargetMode="External"/><Relationship Id="rId72" Type="http://schemas.openxmlformats.org/officeDocument/2006/relationships/hyperlink" Target="rl-20210327x10kex311.htm" TargetMode="External"/><Relationship Id="rId3" Type="http://schemas.openxmlformats.org/officeDocument/2006/relationships/webSettings" Target="webSettings.xml"/><Relationship Id="rId12" Type="http://schemas.openxmlformats.org/officeDocument/2006/relationships/hyperlink" Target="http://www.sec.gov/Archives/edgar/data/0001037038/000119312520159787/d903486dex42.htm" TargetMode="External"/><Relationship Id="rId17" Type="http://schemas.openxmlformats.org/officeDocument/2006/relationships/hyperlink" Target="http://www.sec.gov/Archives/edgar/data/0001037038/000103703820000014/rl-20200328x10kex44.htm" TargetMode="External"/><Relationship Id="rId25" Type="http://schemas.openxmlformats.org/officeDocument/2006/relationships/hyperlink" Target="http://www.sec.gov/Archives/edgar/data/1037038/000095014216003655/eh1600565_ex1001.htm" TargetMode="External"/><Relationship Id="rId33" Type="http://schemas.openxmlformats.org/officeDocument/2006/relationships/hyperlink" Target="http://www.sec.gov/Archives/edgar/data/1037038/000103703817000008/rl-20170701x10qex102.htm" TargetMode="External"/><Relationship Id="rId38" Type="http://schemas.openxmlformats.org/officeDocument/2006/relationships/hyperlink" Target="http://www.sec.gov/Archives/edgar/data/1037038/000103703816000022/rl-20160702x10qex104.htm" TargetMode="External"/><Relationship Id="rId46" Type="http://schemas.openxmlformats.org/officeDocument/2006/relationships/hyperlink" Target="http://www.sec.gov/Archives/edgar/data/1037038/000103703815000009/rl-20150627x10qex101.htm" TargetMode="External"/><Relationship Id="rId59" Type="http://schemas.openxmlformats.org/officeDocument/2006/relationships/hyperlink" Target="http://www.sec.gov/Archives/edgar/data/1037038/000103703819000010/rl-20190928x10qex105.htm" TargetMode="External"/><Relationship Id="rId67" Type="http://schemas.openxmlformats.org/officeDocument/2006/relationships/hyperlink" Target="http://www.sec.gov/Archives/edgar/data/1037038/000095012303007248/y87538exv14w1.txt" TargetMode="External"/><Relationship Id="rId20" Type="http://schemas.openxmlformats.org/officeDocument/2006/relationships/hyperlink" Target="http://www.sec.gov/Archives/edgar/data/1037038/000095014217000682/eh1700461_ex1001.htm" TargetMode="External"/><Relationship Id="rId41" Type="http://schemas.openxmlformats.org/officeDocument/2006/relationships/hyperlink" Target="http://www.sec.gov/Archives/edgar/data/1037038/000103703814000006/rl-20140329x10kex1026.htm" TargetMode="External"/><Relationship Id="rId54" Type="http://schemas.openxmlformats.org/officeDocument/2006/relationships/hyperlink" Target="http://www.sec.gov/Archives/edgar/data/1037038/000103703819000008/rl-20190629x10qex103.htm" TargetMode="External"/><Relationship Id="rId62" Type="http://schemas.openxmlformats.org/officeDocument/2006/relationships/hyperlink" Target="http://www.sec.gov/Archives/edgar/data/1037038/000103703820000030/rl-20200926x10qex103.htm" TargetMode="External"/><Relationship Id="rId70" Type="http://schemas.openxmlformats.org/officeDocument/2006/relationships/hyperlink" Target="rl-20210327x10kex211.htm" TargetMode="External"/><Relationship Id="rId75" Type="http://schemas.openxmlformats.org/officeDocument/2006/relationships/hyperlink" Target="rl-20210327x10kex322.htm" TargetMode="External"/><Relationship Id="rId1" Type="http://schemas.openxmlformats.org/officeDocument/2006/relationships/styles" Target="styles.xml"/><Relationship Id="rId6" Type="http://schemas.openxmlformats.org/officeDocument/2006/relationships/hyperlink" Target="http://www.sec.gov/Archives/edgar/data/1037038/0000950123-97-004911.txt" TargetMode="External"/><Relationship Id="rId15" Type="http://schemas.openxmlformats.org/officeDocument/2006/relationships/hyperlink" Target="http://www.sec.gov/Archives/edgar/data/0001037038/000103703820000014/rl-20200328x10kex44.htm" TargetMode="External"/><Relationship Id="rId23" Type="http://schemas.openxmlformats.org/officeDocument/2006/relationships/hyperlink" Target="http://www.sec.gov/Archives/edgar/data/1037038/000103703817000008/rl-20170701x10qex101.htm" TargetMode="External"/><Relationship Id="rId28" Type="http://schemas.openxmlformats.org/officeDocument/2006/relationships/hyperlink" Target="http://www.sec.gov/Archives/edgar/data/1037038/000103703819000010/rl-20190928x10qex101.htm" TargetMode="External"/><Relationship Id="rId36" Type="http://schemas.openxmlformats.org/officeDocument/2006/relationships/hyperlink" Target="http://www.sec.gov/Archives/edgar/data/1037038/000095012306010353/y23830exv10w4.htm" TargetMode="External"/><Relationship Id="rId49" Type="http://schemas.openxmlformats.org/officeDocument/2006/relationships/hyperlink" Target="http://www.sec.gov/Archives/edgar/data/1037038/000103703817000010/rl-20170930x10qex103.htm" TargetMode="External"/><Relationship Id="rId57" Type="http://schemas.openxmlformats.org/officeDocument/2006/relationships/hyperlink" Target="http://www.sec.gov/Archives/edgar/data/1037038/000103703819000010/rl-20190928x10qex103.htm" TargetMode="External"/><Relationship Id="rId10" Type="http://schemas.openxmlformats.org/officeDocument/2006/relationships/hyperlink" Target="http://www.sec.gov/Archives/edgar/data/1037038/000119312515294668/d82935dex42.htm" TargetMode="External"/><Relationship Id="rId31" Type="http://schemas.openxmlformats.org/officeDocument/2006/relationships/hyperlink" Target="http://www.sec.gov/Archives/edgar/data/0001037038/000103703820000014/rl-20200328x10kex1011.htm" TargetMode="External"/><Relationship Id="rId44" Type="http://schemas.openxmlformats.org/officeDocument/2006/relationships/hyperlink" Target="http://www.sec.gov/Archives/edgar/data/1037038/000103703815000006/rl-20150328x10kex1038.htm" TargetMode="External"/><Relationship Id="rId52" Type="http://schemas.openxmlformats.org/officeDocument/2006/relationships/hyperlink" Target="http://www.sec.gov/Archives/edgar/data/1037038/000103703819000002/rl-20181229x10qex103.htm" TargetMode="External"/><Relationship Id="rId60" Type="http://schemas.openxmlformats.org/officeDocument/2006/relationships/hyperlink" Target="http://www.sec.gov/Archives/edgar/data/1037038/000103703820000030/rl-20200926x10qex101.htm" TargetMode="External"/><Relationship Id="rId65" Type="http://schemas.openxmlformats.org/officeDocument/2006/relationships/hyperlink" Target="http://www.sec.gov/Archives/edgar/data/0001037038/000103703820000014/rl-20200328x10kex1041.htm" TargetMode="External"/><Relationship Id="rId73" Type="http://schemas.openxmlformats.org/officeDocument/2006/relationships/hyperlink" Target="rl-20210327x10kex312.htm" TargetMode="External"/><Relationship Id="rId4" Type="http://schemas.openxmlformats.org/officeDocument/2006/relationships/image" Target="file:///E:\projects\LLMs\new_data_collection\data_new\htm\RALPH%20LAUREN%20CORP\rl-20210327_g1.jpg" TargetMode="External"/><Relationship Id="rId9" Type="http://schemas.openxmlformats.org/officeDocument/2006/relationships/hyperlink" Target="http://www.sec.gov/Archives/edgar/data/1037038/000119312513380171/d603749dex41.htm" TargetMode="External"/><Relationship Id="rId13" Type="http://schemas.openxmlformats.org/officeDocument/2006/relationships/hyperlink" Target="http://www.sec.gov/Archives/edgar/data/0001037038/000119312520159787/d903486dex42.htm" TargetMode="External"/><Relationship Id="rId18" Type="http://schemas.openxmlformats.org/officeDocument/2006/relationships/hyperlink" Target="http://www.sec.gov/Archives/edgar/data/1037038/0000950123-97-004911.txt" TargetMode="External"/><Relationship Id="rId39" Type="http://schemas.openxmlformats.org/officeDocument/2006/relationships/hyperlink" Target="http://www.sec.gov/Archives/edgar/data/1037038/000119312519178914/d729878ddef14a.htm" TargetMode="External"/><Relationship Id="rId34" Type="http://schemas.openxmlformats.org/officeDocument/2006/relationships/hyperlink" Target="http://www.sec.gov/Archives/edgar/data/0001037038/000103703820000014/rl-20200328x10kex1014.htm" TargetMode="External"/><Relationship Id="rId50" Type="http://schemas.openxmlformats.org/officeDocument/2006/relationships/hyperlink" Target="http://www.sec.gov/Archives/edgar/data/1037038/000103703819000002/rl-20181229x10qex101.htm" TargetMode="External"/><Relationship Id="rId55" Type="http://schemas.openxmlformats.org/officeDocument/2006/relationships/hyperlink" Target="http://www.sec.gov/Archives/edgar/data/1037038/000103703819000008/rl-20190629x10qex104.htm" TargetMode="External"/><Relationship Id="rId76" Type="http://schemas.openxmlformats.org/officeDocument/2006/relationships/fontTable" Target="fontTable.xml"/><Relationship Id="rId7" Type="http://schemas.openxmlformats.org/officeDocument/2006/relationships/hyperlink" Target="http://www.sec.gov/Archives/edgar/data/1037038/000095014211001462/eh1100604-ex0301.htm" TargetMode="External"/><Relationship Id="rId71" Type="http://schemas.openxmlformats.org/officeDocument/2006/relationships/hyperlink" Target="rl-20210327x10kex231.htm" TargetMode="External"/><Relationship Id="rId2" Type="http://schemas.openxmlformats.org/officeDocument/2006/relationships/settings" Target="settings.xml"/><Relationship Id="rId29" Type="http://schemas.openxmlformats.org/officeDocument/2006/relationships/hyperlink" Target="http://www.sec.gov/Archives/edgar/data/1037038/000095014219000380/eh1900294_ex10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92025</Words>
  <Characters>524549</Characters>
  <Application>Microsoft Office Word</Application>
  <DocSecurity>0</DocSecurity>
  <Lines>4371</Lines>
  <Paragraphs>1230</Paragraphs>
  <ScaleCrop>false</ScaleCrop>
  <Company/>
  <LinksUpToDate>false</LinksUpToDate>
  <CharactersWithSpaces>615344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rl-20210327</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